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CA8118E" w14:textId="4FD1330A" w:rsidR="00BA5E33" w:rsidRPr="006B2701" w:rsidRDefault="00010CF0" w:rsidP="000F5753">
      <w:pPr>
        <w:pStyle w:val="Quote"/>
        <w:spacing w:line="276" w:lineRule="auto"/>
        <w:rPr>
          <w:rFonts w:ascii="Arial" w:hAnsi="Arial" w:cs="Arial"/>
          <w:sz w:val="24"/>
          <w:szCs w:val="24"/>
          <w:lang w:val="ro-RO"/>
        </w:rPr>
      </w:pPr>
      <w:r w:rsidRPr="006B2701">
        <w:rPr>
          <w:rFonts w:ascii="Arial" w:hAnsi="Arial" w:cs="Arial"/>
          <w:noProof/>
          <w:sz w:val="24"/>
          <w:szCs w:val="24"/>
        </w:rPr>
        <w:drawing>
          <wp:anchor distT="0" distB="0" distL="114300" distR="114300" simplePos="0" relativeHeight="251707904" behindDoc="1" locked="0" layoutInCell="1" allowOverlap="1" wp14:anchorId="599C2C8D" wp14:editId="7E71ED34">
            <wp:simplePos x="0" y="0"/>
            <wp:positionH relativeFrom="column">
              <wp:posOffset>2256790</wp:posOffset>
            </wp:positionH>
            <wp:positionV relativeFrom="paragraph">
              <wp:posOffset>129540</wp:posOffset>
            </wp:positionV>
            <wp:extent cx="1602821" cy="1463040"/>
            <wp:effectExtent l="0" t="0" r="0" b="3810"/>
            <wp:wrapTight wrapText="bothSides">
              <wp:wrapPolygon edited="0">
                <wp:start x="0" y="0"/>
                <wp:lineTo x="0" y="21375"/>
                <wp:lineTo x="21309" y="21375"/>
                <wp:lineTo x="21309" y="0"/>
                <wp:lineTo x="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821" cy="1463040"/>
                    </a:xfrm>
                    <a:prstGeom prst="rect">
                      <a:avLst/>
                    </a:prstGeom>
                    <a:noFill/>
                  </pic:spPr>
                </pic:pic>
              </a:graphicData>
            </a:graphic>
          </wp:anchor>
        </w:drawing>
      </w:r>
    </w:p>
    <w:p w14:paraId="56B65E89" w14:textId="77777777" w:rsidR="00BA5E33" w:rsidRPr="006B2701" w:rsidRDefault="00BA5E33" w:rsidP="000F5753">
      <w:pPr>
        <w:spacing w:line="276" w:lineRule="auto"/>
        <w:rPr>
          <w:rFonts w:ascii="Arial" w:hAnsi="Arial" w:cs="Arial"/>
          <w:sz w:val="24"/>
          <w:szCs w:val="24"/>
          <w:lang w:val="ro-RO"/>
        </w:rPr>
      </w:pPr>
    </w:p>
    <w:p w14:paraId="2D55819E" w14:textId="77777777" w:rsidR="00BA5E33" w:rsidRPr="006B2701" w:rsidRDefault="00BA5E33" w:rsidP="000F5753">
      <w:pPr>
        <w:spacing w:line="276" w:lineRule="auto"/>
        <w:rPr>
          <w:rFonts w:ascii="Arial" w:hAnsi="Arial" w:cs="Arial"/>
          <w:sz w:val="24"/>
          <w:szCs w:val="24"/>
          <w:lang w:val="ro-RO"/>
        </w:rPr>
      </w:pPr>
    </w:p>
    <w:p w14:paraId="445A47B1" w14:textId="77777777" w:rsidR="00BA5E33" w:rsidRPr="006B2701" w:rsidRDefault="00BA5E33" w:rsidP="000F5753">
      <w:pPr>
        <w:spacing w:line="276" w:lineRule="auto"/>
        <w:rPr>
          <w:rFonts w:ascii="Arial" w:hAnsi="Arial" w:cs="Arial"/>
          <w:sz w:val="24"/>
          <w:szCs w:val="24"/>
          <w:lang w:val="ro-RO"/>
        </w:rPr>
      </w:pPr>
    </w:p>
    <w:p w14:paraId="567D1B1B" w14:textId="77777777" w:rsidR="00BA5E33" w:rsidRPr="006B2701" w:rsidRDefault="00BA5E33" w:rsidP="000F5753">
      <w:pPr>
        <w:spacing w:line="276" w:lineRule="auto"/>
        <w:rPr>
          <w:rFonts w:ascii="Arial" w:hAnsi="Arial" w:cs="Arial"/>
          <w:sz w:val="24"/>
          <w:szCs w:val="24"/>
          <w:lang w:val="ro-RO"/>
        </w:rPr>
      </w:pPr>
    </w:p>
    <w:p w14:paraId="1885B16E" w14:textId="77777777" w:rsidR="00BA5E33" w:rsidRPr="006B2701" w:rsidRDefault="00BA5E33" w:rsidP="000F5753">
      <w:pPr>
        <w:spacing w:line="276" w:lineRule="auto"/>
        <w:rPr>
          <w:rFonts w:ascii="Arial" w:hAnsi="Arial" w:cs="Arial"/>
          <w:sz w:val="24"/>
          <w:szCs w:val="24"/>
          <w:lang w:val="ro-RO"/>
        </w:rPr>
      </w:pPr>
    </w:p>
    <w:p w14:paraId="5BF47B89" w14:textId="77777777" w:rsidR="00BA5E33" w:rsidRPr="006B2701" w:rsidRDefault="00BA5E33" w:rsidP="000F5753">
      <w:pPr>
        <w:spacing w:line="276" w:lineRule="auto"/>
        <w:rPr>
          <w:rFonts w:ascii="Arial" w:hAnsi="Arial" w:cs="Arial"/>
          <w:sz w:val="24"/>
          <w:szCs w:val="24"/>
          <w:lang w:val="ro-RO"/>
        </w:rPr>
      </w:pPr>
    </w:p>
    <w:p w14:paraId="4D3427E9" w14:textId="77777777" w:rsidR="00BA5E33" w:rsidRPr="006B2701" w:rsidRDefault="00BA5E33" w:rsidP="000F5753">
      <w:pPr>
        <w:spacing w:line="276" w:lineRule="auto"/>
        <w:rPr>
          <w:rFonts w:ascii="Arial" w:hAnsi="Arial" w:cs="Arial"/>
          <w:sz w:val="24"/>
          <w:szCs w:val="24"/>
          <w:lang w:val="ro-RO"/>
        </w:rPr>
      </w:pPr>
    </w:p>
    <w:p w14:paraId="64EBFA1F" w14:textId="77777777" w:rsidR="00BA5E33" w:rsidRPr="006B2701" w:rsidRDefault="00BA5E33" w:rsidP="000F5753">
      <w:pPr>
        <w:spacing w:line="276" w:lineRule="auto"/>
        <w:rPr>
          <w:rFonts w:ascii="Arial" w:hAnsi="Arial" w:cs="Arial"/>
          <w:sz w:val="24"/>
          <w:szCs w:val="24"/>
          <w:lang w:val="ro-RO"/>
        </w:rPr>
      </w:pPr>
    </w:p>
    <w:p w14:paraId="4BE7675B" w14:textId="77777777" w:rsidR="00BA5E33" w:rsidRPr="006B2701" w:rsidRDefault="00BA5E33" w:rsidP="000F5753">
      <w:pPr>
        <w:spacing w:line="276" w:lineRule="auto"/>
        <w:rPr>
          <w:rFonts w:ascii="Arial" w:hAnsi="Arial" w:cs="Arial"/>
          <w:sz w:val="24"/>
          <w:szCs w:val="24"/>
          <w:lang w:val="ro-RO"/>
        </w:rPr>
      </w:pPr>
    </w:p>
    <w:p w14:paraId="6DF64C11" w14:textId="77777777" w:rsidR="00243C56" w:rsidRPr="006B2701" w:rsidRDefault="00243C56" w:rsidP="000F5753">
      <w:pPr>
        <w:spacing w:line="276" w:lineRule="auto"/>
        <w:rPr>
          <w:rFonts w:ascii="Arial" w:hAnsi="Arial" w:cs="Arial"/>
          <w:sz w:val="24"/>
          <w:szCs w:val="24"/>
          <w:lang w:val="ro-RO"/>
        </w:rPr>
      </w:pPr>
    </w:p>
    <w:p w14:paraId="1CD10BAF" w14:textId="77777777" w:rsidR="00243C56" w:rsidRPr="006B2701" w:rsidRDefault="00243C56" w:rsidP="000F5753">
      <w:pPr>
        <w:spacing w:line="276" w:lineRule="auto"/>
        <w:rPr>
          <w:rFonts w:ascii="Arial" w:hAnsi="Arial" w:cs="Arial"/>
          <w:sz w:val="24"/>
          <w:szCs w:val="24"/>
          <w:lang w:val="ro-RO"/>
        </w:rPr>
      </w:pPr>
    </w:p>
    <w:p w14:paraId="1AB9F472" w14:textId="77777777" w:rsidR="00243C56" w:rsidRPr="006B2701" w:rsidRDefault="00243C56" w:rsidP="000F5753">
      <w:pPr>
        <w:spacing w:line="276" w:lineRule="auto"/>
        <w:rPr>
          <w:rFonts w:ascii="Arial" w:hAnsi="Arial" w:cs="Arial"/>
          <w:sz w:val="24"/>
          <w:szCs w:val="24"/>
          <w:lang w:val="ro-RO"/>
        </w:rPr>
      </w:pPr>
    </w:p>
    <w:p w14:paraId="6AE371E8" w14:textId="77777777" w:rsidR="00243C56" w:rsidRPr="006B2701" w:rsidRDefault="00243C56" w:rsidP="000F5753">
      <w:pPr>
        <w:spacing w:line="276" w:lineRule="auto"/>
        <w:rPr>
          <w:rFonts w:ascii="Arial" w:hAnsi="Arial" w:cs="Arial"/>
          <w:sz w:val="24"/>
          <w:szCs w:val="24"/>
          <w:lang w:val="ro-RO"/>
        </w:rPr>
      </w:pPr>
    </w:p>
    <w:p w14:paraId="0774DDB6" w14:textId="77777777" w:rsidR="00BA5E33" w:rsidRPr="006B2701" w:rsidRDefault="00BA5E33" w:rsidP="000F5753">
      <w:pPr>
        <w:spacing w:line="276" w:lineRule="auto"/>
        <w:jc w:val="center"/>
        <w:rPr>
          <w:rFonts w:ascii="Arial" w:hAnsi="Arial" w:cs="Arial"/>
          <w:b/>
          <w:bCs/>
          <w:sz w:val="24"/>
          <w:szCs w:val="24"/>
          <w:lang w:val="ro-RO"/>
        </w:rPr>
      </w:pPr>
      <w:r w:rsidRPr="006B2701">
        <w:rPr>
          <w:rFonts w:ascii="Arial" w:hAnsi="Arial" w:cs="Arial"/>
          <w:sz w:val="24"/>
          <w:szCs w:val="24"/>
          <w:lang w:val="ro-RO"/>
        </w:rPr>
        <w:tab/>
      </w:r>
    </w:p>
    <w:p w14:paraId="296A45D1" w14:textId="6C6DC179" w:rsidR="00BA5E33" w:rsidRPr="006B2701" w:rsidRDefault="00BA5E33" w:rsidP="000F5753">
      <w:pPr>
        <w:spacing w:line="276" w:lineRule="auto"/>
        <w:jc w:val="center"/>
        <w:rPr>
          <w:rFonts w:ascii="Tahoma" w:hAnsi="Tahoma" w:cs="Tahoma"/>
          <w:b/>
          <w:bCs/>
          <w:sz w:val="32"/>
          <w:szCs w:val="32"/>
          <w:lang w:val="ro-RO"/>
        </w:rPr>
      </w:pPr>
      <w:r w:rsidRPr="006B2701">
        <w:rPr>
          <w:rFonts w:ascii="Arial" w:hAnsi="Arial" w:cs="Arial"/>
          <w:b/>
          <w:bCs/>
          <w:sz w:val="32"/>
          <w:szCs w:val="32"/>
          <w:lang w:val="ro-RO"/>
        </w:rPr>
        <w:t xml:space="preserve">     </w:t>
      </w:r>
      <w:r w:rsidRPr="006B2701">
        <w:rPr>
          <w:rFonts w:ascii="Tahoma" w:hAnsi="Tahoma" w:cs="Tahoma"/>
          <w:b/>
          <w:bCs/>
          <w:sz w:val="32"/>
          <w:szCs w:val="32"/>
          <w:lang w:val="ro-RO"/>
        </w:rPr>
        <w:t xml:space="preserve">MINISTERUL FINANŢELOR </w:t>
      </w:r>
    </w:p>
    <w:p w14:paraId="6D052D54" w14:textId="77777777" w:rsidR="00BA5E33" w:rsidRPr="006B2701" w:rsidRDefault="00BA5E33" w:rsidP="000F5753">
      <w:pPr>
        <w:spacing w:line="276" w:lineRule="auto"/>
        <w:jc w:val="center"/>
        <w:rPr>
          <w:rFonts w:ascii="Arial" w:hAnsi="Arial" w:cs="Arial"/>
          <w:b/>
          <w:bCs/>
          <w:sz w:val="24"/>
          <w:szCs w:val="24"/>
          <w:lang w:val="ro-RO"/>
        </w:rPr>
      </w:pPr>
    </w:p>
    <w:p w14:paraId="7AA8D783" w14:textId="00A27263" w:rsidR="00BA5E33" w:rsidRPr="006B2701" w:rsidRDefault="00BA5E33" w:rsidP="000F5753">
      <w:pPr>
        <w:spacing w:line="276" w:lineRule="auto"/>
        <w:jc w:val="center"/>
        <w:rPr>
          <w:rFonts w:ascii="Arial" w:hAnsi="Arial" w:cs="Arial"/>
          <w:sz w:val="28"/>
          <w:szCs w:val="28"/>
          <w:lang w:val="ro-RO"/>
        </w:rPr>
      </w:pPr>
    </w:p>
    <w:p w14:paraId="730AE3B4" w14:textId="771E6A6A" w:rsidR="0005651C" w:rsidRPr="006B2701" w:rsidRDefault="0005651C" w:rsidP="000F5753">
      <w:pPr>
        <w:spacing w:line="276" w:lineRule="auto"/>
        <w:jc w:val="center"/>
        <w:rPr>
          <w:rFonts w:ascii="Arial" w:hAnsi="Arial" w:cs="Arial"/>
          <w:sz w:val="28"/>
          <w:szCs w:val="28"/>
          <w:lang w:val="ro-RO"/>
        </w:rPr>
      </w:pPr>
    </w:p>
    <w:p w14:paraId="64E54CBB" w14:textId="77777777" w:rsidR="0005651C" w:rsidRPr="006B2701" w:rsidRDefault="0005651C" w:rsidP="000F5753">
      <w:pPr>
        <w:spacing w:line="276" w:lineRule="auto"/>
        <w:jc w:val="center"/>
        <w:rPr>
          <w:rFonts w:ascii="Arial" w:hAnsi="Arial" w:cs="Arial"/>
          <w:sz w:val="28"/>
          <w:szCs w:val="28"/>
          <w:lang w:val="ro-RO"/>
        </w:rPr>
      </w:pPr>
    </w:p>
    <w:p w14:paraId="16827166" w14:textId="77777777" w:rsidR="00C94F9E" w:rsidRPr="006B2701" w:rsidRDefault="00C94F9E" w:rsidP="00C94F9E">
      <w:pPr>
        <w:pBdr>
          <w:top w:val="single" w:sz="4" w:space="1" w:color="auto"/>
          <w:bottom w:val="single" w:sz="4" w:space="1" w:color="auto"/>
        </w:pBdr>
        <w:spacing w:after="120"/>
        <w:jc w:val="right"/>
        <w:rPr>
          <w:rFonts w:ascii="Tahoma" w:hAnsi="Tahoma" w:cs="Tahoma"/>
          <w:b/>
          <w:caps/>
          <w:color w:val="0070C0"/>
          <w:sz w:val="28"/>
          <w:szCs w:val="28"/>
          <w:lang w:val="ro-RO"/>
        </w:rPr>
      </w:pPr>
      <w:r w:rsidRPr="006B2701">
        <w:rPr>
          <w:rFonts w:ascii="Tahoma" w:hAnsi="Tahoma" w:cs="Tahoma"/>
          <w:b/>
          <w:caps/>
          <w:color w:val="0070C0"/>
          <w:sz w:val="28"/>
          <w:szCs w:val="28"/>
          <w:lang w:val="ro-RO"/>
        </w:rPr>
        <w:t xml:space="preserve">RAPORT PRIVIND EXECUția bugetARĂ </w:t>
      </w:r>
    </w:p>
    <w:p w14:paraId="4763F3BE" w14:textId="67B2A05F" w:rsidR="00C94F9E" w:rsidRPr="006B2701" w:rsidRDefault="00C94F9E" w:rsidP="00C94F9E">
      <w:pPr>
        <w:pBdr>
          <w:top w:val="single" w:sz="4" w:space="1" w:color="auto"/>
          <w:bottom w:val="single" w:sz="4" w:space="1" w:color="auto"/>
        </w:pBdr>
        <w:spacing w:after="120"/>
        <w:jc w:val="right"/>
        <w:rPr>
          <w:rFonts w:ascii="Tahoma" w:hAnsi="Tahoma" w:cs="Tahoma"/>
          <w:b/>
          <w:caps/>
          <w:color w:val="0070C0"/>
          <w:sz w:val="28"/>
          <w:szCs w:val="28"/>
          <w:lang w:val="ro-RO"/>
        </w:rPr>
      </w:pPr>
      <w:r w:rsidRPr="006B2701">
        <w:rPr>
          <w:rFonts w:ascii="Tahoma" w:hAnsi="Tahoma" w:cs="Tahoma"/>
          <w:b/>
          <w:caps/>
          <w:color w:val="0070C0"/>
          <w:sz w:val="28"/>
          <w:szCs w:val="28"/>
          <w:lang w:val="ro-RO"/>
        </w:rPr>
        <w:t>FINALĂ PE ANUL 20</w:t>
      </w:r>
      <w:r w:rsidR="008E425E" w:rsidRPr="006B2701">
        <w:rPr>
          <w:rFonts w:ascii="Tahoma" w:hAnsi="Tahoma" w:cs="Tahoma"/>
          <w:b/>
          <w:caps/>
          <w:color w:val="0070C0"/>
          <w:sz w:val="28"/>
          <w:szCs w:val="28"/>
          <w:lang w:val="ro-RO"/>
        </w:rPr>
        <w:t>2</w:t>
      </w:r>
      <w:r w:rsidR="008109E6" w:rsidRPr="006B2701">
        <w:rPr>
          <w:rFonts w:ascii="Tahoma" w:hAnsi="Tahoma" w:cs="Tahoma"/>
          <w:b/>
          <w:caps/>
          <w:color w:val="0070C0"/>
          <w:sz w:val="28"/>
          <w:szCs w:val="28"/>
          <w:lang w:val="ro-RO"/>
        </w:rPr>
        <w:t>2</w:t>
      </w:r>
    </w:p>
    <w:p w14:paraId="2CE401BC" w14:textId="77777777" w:rsidR="00BA5E33" w:rsidRPr="006B2701" w:rsidRDefault="00BA5E33" w:rsidP="000F5753">
      <w:pPr>
        <w:spacing w:line="276" w:lineRule="auto"/>
        <w:jc w:val="center"/>
        <w:rPr>
          <w:rFonts w:ascii="Arial" w:hAnsi="Arial" w:cs="Arial"/>
          <w:b/>
          <w:bCs/>
          <w:sz w:val="24"/>
          <w:szCs w:val="24"/>
          <w:lang w:val="ro-RO"/>
        </w:rPr>
      </w:pPr>
    </w:p>
    <w:p w14:paraId="42235892" w14:textId="77777777" w:rsidR="00BA5E33" w:rsidRPr="006B2701" w:rsidRDefault="00BA5E33" w:rsidP="000F5753">
      <w:pPr>
        <w:spacing w:line="276" w:lineRule="auto"/>
        <w:jc w:val="center"/>
        <w:rPr>
          <w:rFonts w:ascii="Arial" w:hAnsi="Arial" w:cs="Arial"/>
          <w:b/>
          <w:bCs/>
          <w:sz w:val="24"/>
          <w:szCs w:val="24"/>
          <w:lang w:val="ro-RO"/>
        </w:rPr>
      </w:pPr>
    </w:p>
    <w:p w14:paraId="6109B99F" w14:textId="77777777" w:rsidR="00BA5E33" w:rsidRPr="006B2701" w:rsidRDefault="00BA5E33" w:rsidP="000F5753">
      <w:pPr>
        <w:spacing w:line="276" w:lineRule="auto"/>
        <w:jc w:val="center"/>
        <w:rPr>
          <w:rFonts w:ascii="Arial" w:hAnsi="Arial" w:cs="Arial"/>
          <w:b/>
          <w:bCs/>
          <w:sz w:val="24"/>
          <w:szCs w:val="24"/>
          <w:lang w:val="ro-RO"/>
        </w:rPr>
      </w:pPr>
    </w:p>
    <w:p w14:paraId="4D22E7C5" w14:textId="77777777" w:rsidR="00BA5E33" w:rsidRPr="006B2701" w:rsidRDefault="00BA5E33" w:rsidP="000F5753">
      <w:pPr>
        <w:spacing w:line="276" w:lineRule="auto"/>
        <w:jc w:val="center"/>
        <w:rPr>
          <w:rFonts w:ascii="Arial" w:hAnsi="Arial" w:cs="Arial"/>
          <w:b/>
          <w:bCs/>
          <w:sz w:val="24"/>
          <w:szCs w:val="24"/>
          <w:lang w:val="ro-RO"/>
        </w:rPr>
      </w:pPr>
    </w:p>
    <w:p w14:paraId="4F2256B1" w14:textId="77777777" w:rsidR="00BA5E33" w:rsidRPr="006B2701" w:rsidRDefault="00BA5E33" w:rsidP="000F5753">
      <w:pPr>
        <w:spacing w:line="276" w:lineRule="auto"/>
        <w:jc w:val="center"/>
        <w:rPr>
          <w:rFonts w:ascii="Arial" w:hAnsi="Arial" w:cs="Arial"/>
          <w:b/>
          <w:bCs/>
          <w:sz w:val="24"/>
          <w:szCs w:val="24"/>
          <w:lang w:val="ro-RO"/>
        </w:rPr>
      </w:pPr>
    </w:p>
    <w:p w14:paraId="7364B43E" w14:textId="77777777" w:rsidR="00BA5E33" w:rsidRPr="006B2701" w:rsidRDefault="00BA5E33" w:rsidP="000F5753">
      <w:pPr>
        <w:spacing w:line="276" w:lineRule="auto"/>
        <w:jc w:val="center"/>
        <w:rPr>
          <w:rFonts w:ascii="Arial" w:hAnsi="Arial" w:cs="Arial"/>
          <w:b/>
          <w:bCs/>
          <w:sz w:val="24"/>
          <w:szCs w:val="24"/>
          <w:lang w:val="ro-RO"/>
        </w:rPr>
      </w:pPr>
    </w:p>
    <w:p w14:paraId="79639698" w14:textId="77777777" w:rsidR="00BA5E33" w:rsidRPr="006B2701" w:rsidRDefault="00BA5E33" w:rsidP="000F5753">
      <w:pPr>
        <w:spacing w:line="276" w:lineRule="auto"/>
        <w:jc w:val="center"/>
        <w:rPr>
          <w:rFonts w:ascii="Arial" w:hAnsi="Arial" w:cs="Arial"/>
          <w:b/>
          <w:bCs/>
          <w:sz w:val="24"/>
          <w:szCs w:val="24"/>
          <w:lang w:val="ro-RO"/>
        </w:rPr>
      </w:pPr>
    </w:p>
    <w:p w14:paraId="7C9550F5" w14:textId="77777777" w:rsidR="00BA5E33" w:rsidRPr="006B2701" w:rsidRDefault="00BA5E33" w:rsidP="000F5753">
      <w:pPr>
        <w:spacing w:line="276" w:lineRule="auto"/>
        <w:jc w:val="center"/>
        <w:rPr>
          <w:rFonts w:ascii="Arial" w:hAnsi="Arial" w:cs="Arial"/>
          <w:b/>
          <w:bCs/>
          <w:sz w:val="24"/>
          <w:szCs w:val="24"/>
          <w:lang w:val="ro-RO"/>
        </w:rPr>
      </w:pPr>
    </w:p>
    <w:p w14:paraId="074FBE12" w14:textId="77777777" w:rsidR="00BA5E33" w:rsidRPr="006B2701" w:rsidRDefault="00BA5E33" w:rsidP="000F5753">
      <w:pPr>
        <w:spacing w:line="276" w:lineRule="auto"/>
        <w:jc w:val="center"/>
        <w:rPr>
          <w:rFonts w:ascii="Arial" w:hAnsi="Arial" w:cs="Arial"/>
          <w:b/>
          <w:bCs/>
          <w:sz w:val="24"/>
          <w:szCs w:val="24"/>
          <w:lang w:val="ro-RO"/>
        </w:rPr>
      </w:pPr>
    </w:p>
    <w:p w14:paraId="193B5DC8" w14:textId="77777777" w:rsidR="00BA5E33" w:rsidRPr="006B2701" w:rsidRDefault="00BA5E33" w:rsidP="000F5753">
      <w:pPr>
        <w:spacing w:line="276" w:lineRule="auto"/>
        <w:jc w:val="center"/>
        <w:rPr>
          <w:rFonts w:ascii="Arial" w:hAnsi="Arial" w:cs="Arial"/>
          <w:b/>
          <w:bCs/>
          <w:sz w:val="24"/>
          <w:szCs w:val="24"/>
          <w:lang w:val="ro-RO"/>
        </w:rPr>
      </w:pPr>
    </w:p>
    <w:p w14:paraId="15897FB3" w14:textId="77777777" w:rsidR="00BA5E33" w:rsidRPr="006B2701" w:rsidRDefault="00BA5E33" w:rsidP="000F5753">
      <w:pPr>
        <w:spacing w:line="276" w:lineRule="auto"/>
        <w:jc w:val="center"/>
        <w:rPr>
          <w:rFonts w:ascii="Arial" w:hAnsi="Arial" w:cs="Arial"/>
          <w:b/>
          <w:bCs/>
          <w:sz w:val="24"/>
          <w:szCs w:val="24"/>
          <w:lang w:val="ro-RO"/>
        </w:rPr>
      </w:pPr>
    </w:p>
    <w:p w14:paraId="56F4B8CA" w14:textId="77777777" w:rsidR="00BA5E33" w:rsidRPr="006B2701" w:rsidRDefault="00BA5E33" w:rsidP="000F5753">
      <w:pPr>
        <w:spacing w:line="276" w:lineRule="auto"/>
        <w:jc w:val="center"/>
        <w:rPr>
          <w:rFonts w:ascii="Arial" w:hAnsi="Arial" w:cs="Arial"/>
          <w:b/>
          <w:bCs/>
          <w:sz w:val="24"/>
          <w:szCs w:val="24"/>
          <w:lang w:val="ro-RO"/>
        </w:rPr>
      </w:pPr>
    </w:p>
    <w:p w14:paraId="0561F128" w14:textId="77777777" w:rsidR="00BA5E33" w:rsidRPr="006B2701" w:rsidRDefault="00BA5E33" w:rsidP="000F5753">
      <w:pPr>
        <w:spacing w:line="276" w:lineRule="auto"/>
        <w:jc w:val="center"/>
        <w:rPr>
          <w:rFonts w:ascii="Arial" w:hAnsi="Arial" w:cs="Arial"/>
          <w:b/>
          <w:bCs/>
          <w:sz w:val="24"/>
          <w:szCs w:val="24"/>
          <w:lang w:val="ro-RO"/>
        </w:rPr>
      </w:pPr>
    </w:p>
    <w:p w14:paraId="196D41DB" w14:textId="77777777" w:rsidR="00BA5E33" w:rsidRPr="006B2701" w:rsidRDefault="00BA5E33" w:rsidP="000F5753">
      <w:pPr>
        <w:spacing w:line="276" w:lineRule="auto"/>
        <w:jc w:val="center"/>
        <w:rPr>
          <w:rFonts w:ascii="Arial" w:hAnsi="Arial" w:cs="Arial"/>
          <w:b/>
          <w:bCs/>
          <w:sz w:val="24"/>
          <w:szCs w:val="24"/>
          <w:lang w:val="ro-RO"/>
        </w:rPr>
      </w:pPr>
    </w:p>
    <w:p w14:paraId="0F843C7D" w14:textId="77777777" w:rsidR="00BA5E33" w:rsidRPr="006B2701" w:rsidRDefault="00BA5E33" w:rsidP="000F5753">
      <w:pPr>
        <w:spacing w:line="276" w:lineRule="auto"/>
        <w:jc w:val="center"/>
        <w:rPr>
          <w:rFonts w:ascii="Arial" w:hAnsi="Arial" w:cs="Arial"/>
          <w:b/>
          <w:bCs/>
          <w:sz w:val="24"/>
          <w:szCs w:val="24"/>
          <w:lang w:val="ro-RO"/>
        </w:rPr>
      </w:pPr>
    </w:p>
    <w:p w14:paraId="5F11374A" w14:textId="77777777" w:rsidR="00BA5E33" w:rsidRPr="006B2701" w:rsidRDefault="00BA5E33" w:rsidP="000F5753">
      <w:pPr>
        <w:spacing w:line="276" w:lineRule="auto"/>
        <w:jc w:val="center"/>
        <w:rPr>
          <w:rFonts w:ascii="Arial" w:hAnsi="Arial" w:cs="Arial"/>
          <w:b/>
          <w:bCs/>
          <w:sz w:val="24"/>
          <w:szCs w:val="24"/>
          <w:lang w:val="ro-RO"/>
        </w:rPr>
      </w:pPr>
    </w:p>
    <w:p w14:paraId="3282EE58" w14:textId="77777777" w:rsidR="00BA5E33" w:rsidRPr="006B2701" w:rsidRDefault="00BA5E33" w:rsidP="000F5753">
      <w:pPr>
        <w:spacing w:line="276" w:lineRule="auto"/>
        <w:jc w:val="center"/>
        <w:rPr>
          <w:rFonts w:ascii="Arial" w:hAnsi="Arial" w:cs="Arial"/>
          <w:b/>
          <w:bCs/>
          <w:sz w:val="24"/>
          <w:szCs w:val="24"/>
          <w:lang w:val="ro-RO"/>
        </w:rPr>
      </w:pPr>
    </w:p>
    <w:p w14:paraId="63FE855A" w14:textId="77777777" w:rsidR="00BA5E33" w:rsidRPr="006B2701" w:rsidRDefault="00BA5E33" w:rsidP="000F5753">
      <w:pPr>
        <w:spacing w:line="276" w:lineRule="auto"/>
        <w:jc w:val="center"/>
        <w:rPr>
          <w:rFonts w:ascii="Arial" w:hAnsi="Arial" w:cs="Arial"/>
          <w:b/>
          <w:bCs/>
          <w:sz w:val="24"/>
          <w:szCs w:val="24"/>
          <w:lang w:val="ro-RO"/>
        </w:rPr>
      </w:pPr>
    </w:p>
    <w:p w14:paraId="364EB04D" w14:textId="77777777" w:rsidR="00BA5E33" w:rsidRPr="006B2701" w:rsidRDefault="00BA5E33" w:rsidP="000F5753">
      <w:pPr>
        <w:spacing w:line="276" w:lineRule="auto"/>
        <w:jc w:val="center"/>
        <w:rPr>
          <w:rFonts w:ascii="Arial" w:hAnsi="Arial" w:cs="Arial"/>
          <w:b/>
          <w:bCs/>
          <w:sz w:val="24"/>
          <w:szCs w:val="24"/>
          <w:lang w:val="ro-RO"/>
        </w:rPr>
      </w:pPr>
    </w:p>
    <w:p w14:paraId="03CE5550" w14:textId="77777777" w:rsidR="00BA5E33" w:rsidRPr="006B2701" w:rsidRDefault="00BA5E33" w:rsidP="000F5753">
      <w:pPr>
        <w:spacing w:line="276" w:lineRule="auto"/>
        <w:jc w:val="center"/>
        <w:rPr>
          <w:rFonts w:ascii="Arial" w:hAnsi="Arial" w:cs="Arial"/>
          <w:b/>
          <w:bCs/>
          <w:sz w:val="24"/>
          <w:szCs w:val="24"/>
          <w:lang w:val="ro-RO"/>
        </w:rPr>
      </w:pPr>
    </w:p>
    <w:p w14:paraId="1DABA1A6" w14:textId="77777777" w:rsidR="00BA5E33" w:rsidRPr="006B2701" w:rsidRDefault="00BA5E33" w:rsidP="000F5753">
      <w:pPr>
        <w:spacing w:line="276" w:lineRule="auto"/>
        <w:jc w:val="center"/>
        <w:rPr>
          <w:rFonts w:ascii="Arial" w:hAnsi="Arial" w:cs="Arial"/>
          <w:b/>
          <w:bCs/>
          <w:sz w:val="24"/>
          <w:szCs w:val="24"/>
          <w:lang w:val="ro-RO"/>
        </w:rPr>
      </w:pPr>
    </w:p>
    <w:p w14:paraId="5C653100" w14:textId="77777777" w:rsidR="00BA5E33" w:rsidRPr="006B2701" w:rsidRDefault="00BA5E33" w:rsidP="000F5753">
      <w:pPr>
        <w:spacing w:line="276" w:lineRule="auto"/>
        <w:jc w:val="center"/>
        <w:rPr>
          <w:rFonts w:ascii="Arial" w:hAnsi="Arial" w:cs="Arial"/>
          <w:b/>
          <w:bCs/>
          <w:sz w:val="24"/>
          <w:szCs w:val="24"/>
          <w:lang w:val="ro-RO"/>
        </w:rPr>
      </w:pPr>
    </w:p>
    <w:p w14:paraId="3115A2B8" w14:textId="77777777" w:rsidR="00BA5E33" w:rsidRPr="006B2701" w:rsidRDefault="00BA5E33" w:rsidP="000F5753">
      <w:pPr>
        <w:spacing w:line="276" w:lineRule="auto"/>
        <w:jc w:val="center"/>
        <w:rPr>
          <w:rFonts w:ascii="Arial" w:hAnsi="Arial" w:cs="Arial"/>
          <w:b/>
          <w:bCs/>
          <w:sz w:val="24"/>
          <w:szCs w:val="24"/>
          <w:lang w:val="ro-RO"/>
        </w:rPr>
      </w:pPr>
    </w:p>
    <w:p w14:paraId="26103EE4" w14:textId="77777777" w:rsidR="00BA5E33" w:rsidRPr="006B2701" w:rsidRDefault="00BA5E33" w:rsidP="000F5753">
      <w:pPr>
        <w:spacing w:line="276" w:lineRule="auto"/>
        <w:jc w:val="center"/>
        <w:rPr>
          <w:rFonts w:ascii="Arial" w:hAnsi="Arial" w:cs="Arial"/>
          <w:b/>
          <w:bCs/>
          <w:sz w:val="24"/>
          <w:szCs w:val="24"/>
          <w:lang w:val="ro-RO"/>
        </w:rPr>
      </w:pPr>
    </w:p>
    <w:p w14:paraId="584986B2" w14:textId="77777777" w:rsidR="00BA5E33" w:rsidRPr="006B2701" w:rsidRDefault="00BA5E33" w:rsidP="000F5753">
      <w:pPr>
        <w:spacing w:line="276" w:lineRule="auto"/>
        <w:jc w:val="center"/>
        <w:rPr>
          <w:rFonts w:ascii="Arial" w:hAnsi="Arial" w:cs="Arial"/>
          <w:b/>
          <w:bCs/>
          <w:sz w:val="24"/>
          <w:szCs w:val="24"/>
          <w:lang w:val="ro-RO"/>
        </w:rPr>
      </w:pPr>
    </w:p>
    <w:p w14:paraId="17C13AA6" w14:textId="77777777" w:rsidR="00BA5E33" w:rsidRPr="006B2701" w:rsidRDefault="00BA5E33" w:rsidP="000F5753">
      <w:pPr>
        <w:spacing w:line="276" w:lineRule="auto"/>
        <w:rPr>
          <w:rFonts w:ascii="Arial" w:hAnsi="Arial" w:cs="Arial"/>
          <w:sz w:val="24"/>
          <w:szCs w:val="24"/>
          <w:lang w:val="ro-RO"/>
        </w:rPr>
      </w:pPr>
    </w:p>
    <w:p w14:paraId="6AF3BFEE" w14:textId="77777777" w:rsidR="00BA5E33" w:rsidRPr="006B2701" w:rsidRDefault="00BA5E33" w:rsidP="000F5753">
      <w:pPr>
        <w:spacing w:line="276" w:lineRule="auto"/>
        <w:rPr>
          <w:rFonts w:ascii="Arial" w:hAnsi="Arial" w:cs="Arial"/>
          <w:sz w:val="24"/>
          <w:szCs w:val="24"/>
          <w:lang w:val="ro-RO"/>
        </w:rPr>
      </w:pPr>
    </w:p>
    <w:p w14:paraId="2416EE32" w14:textId="77777777" w:rsidR="00BA5E33" w:rsidRPr="006B2701" w:rsidRDefault="00BA5E33" w:rsidP="000F5753">
      <w:pPr>
        <w:spacing w:line="276" w:lineRule="auto"/>
        <w:rPr>
          <w:rFonts w:ascii="Arial" w:hAnsi="Arial" w:cs="Arial"/>
          <w:sz w:val="24"/>
          <w:szCs w:val="24"/>
          <w:lang w:val="ro-RO"/>
        </w:rPr>
      </w:pPr>
    </w:p>
    <w:p w14:paraId="1EBCBAD3" w14:textId="77777777" w:rsidR="00BA5E33" w:rsidRPr="006B2701" w:rsidRDefault="00BA5E33" w:rsidP="000F5753">
      <w:pPr>
        <w:spacing w:line="276" w:lineRule="auto"/>
        <w:rPr>
          <w:rFonts w:ascii="Arial" w:hAnsi="Arial" w:cs="Arial"/>
          <w:sz w:val="24"/>
          <w:szCs w:val="24"/>
          <w:lang w:val="ro-RO"/>
        </w:rPr>
      </w:pPr>
    </w:p>
    <w:p w14:paraId="4957EF24" w14:textId="77777777" w:rsidR="00BA5E33" w:rsidRPr="006B2701" w:rsidRDefault="00BA5E33" w:rsidP="000F5753">
      <w:pPr>
        <w:spacing w:line="276" w:lineRule="auto"/>
        <w:rPr>
          <w:rFonts w:ascii="Arial" w:hAnsi="Arial" w:cs="Arial"/>
          <w:sz w:val="24"/>
          <w:szCs w:val="24"/>
          <w:lang w:val="ro-RO"/>
        </w:rPr>
      </w:pPr>
    </w:p>
    <w:p w14:paraId="4D7E24A6" w14:textId="77777777" w:rsidR="00BA5E33" w:rsidRPr="006B2701" w:rsidRDefault="00BA5E33" w:rsidP="000F5753">
      <w:pPr>
        <w:spacing w:line="276" w:lineRule="auto"/>
        <w:rPr>
          <w:rFonts w:ascii="Arial" w:hAnsi="Arial" w:cs="Arial"/>
          <w:sz w:val="24"/>
          <w:szCs w:val="24"/>
          <w:lang w:val="ro-RO"/>
        </w:rPr>
      </w:pPr>
    </w:p>
    <w:p w14:paraId="7B50D5B5" w14:textId="77777777" w:rsidR="00BA5E33" w:rsidRPr="006B2701" w:rsidRDefault="00BA5E33" w:rsidP="000F5753">
      <w:pPr>
        <w:spacing w:line="276" w:lineRule="auto"/>
        <w:rPr>
          <w:rFonts w:ascii="Arial" w:hAnsi="Arial" w:cs="Arial"/>
          <w:sz w:val="24"/>
          <w:szCs w:val="24"/>
          <w:lang w:val="ro-RO"/>
        </w:rPr>
      </w:pPr>
    </w:p>
    <w:p w14:paraId="6723860D" w14:textId="77777777" w:rsidR="00BA5E33" w:rsidRPr="006B2701" w:rsidRDefault="00BA5E33" w:rsidP="000F5753">
      <w:pPr>
        <w:spacing w:line="276" w:lineRule="auto"/>
        <w:rPr>
          <w:rFonts w:ascii="Arial" w:hAnsi="Arial" w:cs="Arial"/>
          <w:sz w:val="24"/>
          <w:szCs w:val="24"/>
          <w:lang w:val="ro-RO"/>
        </w:rPr>
      </w:pPr>
    </w:p>
    <w:p w14:paraId="58DA7FF5" w14:textId="77777777" w:rsidR="00BA5E33" w:rsidRPr="006B2701" w:rsidRDefault="00BA5E33" w:rsidP="000F5753">
      <w:pPr>
        <w:spacing w:line="276" w:lineRule="auto"/>
        <w:rPr>
          <w:rFonts w:ascii="Arial" w:hAnsi="Arial" w:cs="Arial"/>
          <w:sz w:val="24"/>
          <w:szCs w:val="24"/>
          <w:lang w:val="ro-RO"/>
        </w:rPr>
      </w:pPr>
    </w:p>
    <w:p w14:paraId="516BAEAC" w14:textId="77777777" w:rsidR="00BA5E33" w:rsidRPr="006B2701" w:rsidRDefault="00BA5E33" w:rsidP="000F5753">
      <w:pPr>
        <w:spacing w:line="276" w:lineRule="auto"/>
        <w:rPr>
          <w:rFonts w:ascii="Arial" w:hAnsi="Arial" w:cs="Arial"/>
          <w:sz w:val="24"/>
          <w:szCs w:val="24"/>
          <w:lang w:val="ro-RO"/>
        </w:rPr>
      </w:pPr>
    </w:p>
    <w:p w14:paraId="2B18E011" w14:textId="77777777" w:rsidR="00BA5E33" w:rsidRPr="006B2701" w:rsidRDefault="00BA5E33" w:rsidP="000F5753">
      <w:pPr>
        <w:spacing w:line="276" w:lineRule="auto"/>
        <w:rPr>
          <w:rFonts w:ascii="Arial" w:hAnsi="Arial" w:cs="Arial"/>
          <w:sz w:val="24"/>
          <w:szCs w:val="24"/>
          <w:lang w:val="ro-RO"/>
        </w:rPr>
      </w:pPr>
    </w:p>
    <w:p w14:paraId="7458AF02" w14:textId="77777777" w:rsidR="00BA5E33" w:rsidRPr="006B2701" w:rsidRDefault="00BA5E33" w:rsidP="000F5753">
      <w:pPr>
        <w:spacing w:line="276" w:lineRule="auto"/>
        <w:rPr>
          <w:rFonts w:ascii="Arial" w:hAnsi="Arial" w:cs="Arial"/>
          <w:sz w:val="24"/>
          <w:szCs w:val="24"/>
          <w:lang w:val="ro-RO"/>
        </w:rPr>
      </w:pPr>
    </w:p>
    <w:p w14:paraId="093EE0D5" w14:textId="77777777" w:rsidR="00BA5E33" w:rsidRPr="006B2701" w:rsidRDefault="00BA5E33" w:rsidP="000F5753">
      <w:pPr>
        <w:spacing w:line="276" w:lineRule="auto"/>
        <w:rPr>
          <w:rFonts w:ascii="Arial" w:hAnsi="Arial" w:cs="Arial"/>
          <w:sz w:val="24"/>
          <w:szCs w:val="24"/>
          <w:lang w:val="ro-RO"/>
        </w:rPr>
      </w:pPr>
    </w:p>
    <w:p w14:paraId="4C43FDA8" w14:textId="77777777" w:rsidR="00BA5E33" w:rsidRPr="006B2701" w:rsidRDefault="00BA5E33" w:rsidP="000F5753">
      <w:pPr>
        <w:spacing w:line="276" w:lineRule="auto"/>
        <w:rPr>
          <w:rFonts w:ascii="Arial" w:hAnsi="Arial" w:cs="Arial"/>
          <w:sz w:val="24"/>
          <w:szCs w:val="24"/>
          <w:lang w:val="ro-RO"/>
        </w:rPr>
      </w:pPr>
    </w:p>
    <w:p w14:paraId="6766EB4C" w14:textId="77777777" w:rsidR="00BA5E33" w:rsidRPr="006B2701" w:rsidRDefault="00BA5E33" w:rsidP="000958D7">
      <w:pPr>
        <w:pStyle w:val="TOCHeading"/>
        <w:shd w:val="clear" w:color="auto" w:fill="E2EFD9" w:themeFill="accent6" w:themeFillTint="33"/>
        <w:spacing w:line="276" w:lineRule="auto"/>
        <w:rPr>
          <w:rFonts w:ascii="Tahoma" w:hAnsi="Tahoma" w:cs="Tahoma"/>
          <w:b/>
          <w:color w:val="auto"/>
          <w:sz w:val="24"/>
          <w:szCs w:val="24"/>
          <w:lang w:val="ro-RO"/>
        </w:rPr>
      </w:pPr>
      <w:r w:rsidRPr="006B2701">
        <w:rPr>
          <w:rFonts w:ascii="Tahoma" w:hAnsi="Tahoma" w:cs="Tahoma"/>
          <w:b/>
          <w:color w:val="auto"/>
          <w:sz w:val="24"/>
          <w:szCs w:val="24"/>
          <w:lang w:val="ro-RO"/>
        </w:rPr>
        <w:t>Cuprins</w:t>
      </w:r>
    </w:p>
    <w:p w14:paraId="6C0DBF0F" w14:textId="4CDB2B5B" w:rsidR="0039084A" w:rsidRPr="006B2701" w:rsidRDefault="00BA5E33" w:rsidP="000958D7">
      <w:pPr>
        <w:pStyle w:val="TOC1"/>
        <w:rPr>
          <w:rFonts w:eastAsiaTheme="minorEastAsia"/>
          <w:lang w:eastAsia="ro-RO"/>
        </w:rPr>
      </w:pPr>
      <w:r w:rsidRPr="006B2701">
        <w:rPr>
          <w:rFonts w:ascii="Arial" w:hAnsi="Arial" w:cs="Arial"/>
        </w:rPr>
        <w:fldChar w:fldCharType="begin"/>
      </w:r>
      <w:r w:rsidRPr="006B2701">
        <w:rPr>
          <w:rFonts w:ascii="Arial" w:hAnsi="Arial" w:cs="Arial"/>
        </w:rPr>
        <w:instrText xml:space="preserve"> TOC \o "1-3" \h \z \u </w:instrText>
      </w:r>
      <w:r w:rsidRPr="006B2701">
        <w:rPr>
          <w:rFonts w:ascii="Arial" w:hAnsi="Arial" w:cs="Arial"/>
        </w:rPr>
        <w:fldChar w:fldCharType="separate"/>
      </w:r>
      <w:hyperlink w:anchor="_Toc516046452" w:history="1">
        <w:r w:rsidR="0039084A" w:rsidRPr="006B2701">
          <w:rPr>
            <w:rStyle w:val="Hyperlink"/>
            <w:rFonts w:cs="Tahoma"/>
          </w:rPr>
          <w:t>I.</w:t>
        </w:r>
        <w:r w:rsidR="0039084A" w:rsidRPr="006B2701">
          <w:rPr>
            <w:rFonts w:eastAsiaTheme="minorEastAsia"/>
            <w:lang w:eastAsia="ro-RO"/>
          </w:rPr>
          <w:tab/>
        </w:r>
        <w:r w:rsidR="00354472" w:rsidRPr="006B2701">
          <w:rPr>
            <w:rFonts w:eastAsiaTheme="minorEastAsia"/>
            <w:lang w:eastAsia="ro-RO"/>
          </w:rPr>
          <w:t xml:space="preserve"> </w:t>
        </w:r>
        <w:r w:rsidR="0039084A" w:rsidRPr="006B2701">
          <w:rPr>
            <w:rStyle w:val="Hyperlink"/>
            <w:rFonts w:cs="Tahoma"/>
          </w:rPr>
          <w:t>Analiza situației macroeconomice</w:t>
        </w:r>
        <w:r w:rsidR="0039084A" w:rsidRPr="006B2701">
          <w:rPr>
            <w:webHidden/>
          </w:rPr>
          <w:tab/>
        </w:r>
        <w:r w:rsidR="0039084A" w:rsidRPr="006B2701">
          <w:rPr>
            <w:webHidden/>
          </w:rPr>
          <w:fldChar w:fldCharType="begin"/>
        </w:r>
        <w:r w:rsidR="0039084A" w:rsidRPr="006B2701">
          <w:rPr>
            <w:webHidden/>
          </w:rPr>
          <w:instrText xml:space="preserve"> PAGEREF _Toc516046452 \h </w:instrText>
        </w:r>
        <w:r w:rsidR="0039084A" w:rsidRPr="006B2701">
          <w:rPr>
            <w:webHidden/>
          </w:rPr>
        </w:r>
        <w:r w:rsidR="0039084A" w:rsidRPr="006B2701">
          <w:rPr>
            <w:webHidden/>
          </w:rPr>
          <w:fldChar w:fldCharType="separate"/>
        </w:r>
        <w:r w:rsidR="00354472" w:rsidRPr="006B2701">
          <w:rPr>
            <w:webHidden/>
          </w:rPr>
          <w:t>2</w:t>
        </w:r>
        <w:r w:rsidR="0039084A" w:rsidRPr="006B2701">
          <w:rPr>
            <w:webHidden/>
          </w:rPr>
          <w:fldChar w:fldCharType="end"/>
        </w:r>
      </w:hyperlink>
    </w:p>
    <w:p w14:paraId="4C1D3DC6" w14:textId="081E0A97" w:rsidR="0039084A" w:rsidRPr="006B2701" w:rsidRDefault="0073616C" w:rsidP="000958D7">
      <w:pPr>
        <w:pStyle w:val="TOC1"/>
        <w:rPr>
          <w:rFonts w:eastAsiaTheme="minorEastAsia"/>
          <w:lang w:eastAsia="ro-RO"/>
        </w:rPr>
      </w:pPr>
      <w:hyperlink w:anchor="_Toc516046456" w:history="1">
        <w:r w:rsidR="0039084A" w:rsidRPr="006B2701">
          <w:rPr>
            <w:rStyle w:val="Hyperlink"/>
            <w:rFonts w:cs="Tahoma"/>
          </w:rPr>
          <w:t xml:space="preserve">II. </w:t>
        </w:r>
        <w:r w:rsidR="004640BE" w:rsidRPr="006B2701">
          <w:rPr>
            <w:rStyle w:val="Hyperlink"/>
            <w:rFonts w:cs="Tahoma"/>
          </w:rPr>
          <w:t xml:space="preserve"> </w:t>
        </w:r>
        <w:r w:rsidR="0039084A" w:rsidRPr="006B2701">
          <w:rPr>
            <w:rStyle w:val="Hyperlink"/>
            <w:rFonts w:cs="Tahoma"/>
          </w:rPr>
          <w:t>Deficitul ESA şi deficitul structural</w:t>
        </w:r>
        <w:r w:rsidR="0039084A" w:rsidRPr="006B2701">
          <w:rPr>
            <w:webHidden/>
          </w:rPr>
          <w:tab/>
        </w:r>
        <w:r w:rsidR="0039084A" w:rsidRPr="006B2701">
          <w:rPr>
            <w:webHidden/>
          </w:rPr>
          <w:fldChar w:fldCharType="begin"/>
        </w:r>
        <w:r w:rsidR="0039084A" w:rsidRPr="006B2701">
          <w:rPr>
            <w:webHidden/>
          </w:rPr>
          <w:instrText xml:space="preserve"> PAGEREF _Toc516046456 \h </w:instrText>
        </w:r>
        <w:r w:rsidR="0039084A" w:rsidRPr="006B2701">
          <w:rPr>
            <w:webHidden/>
          </w:rPr>
        </w:r>
        <w:r w:rsidR="0039084A" w:rsidRPr="006B2701">
          <w:rPr>
            <w:webHidden/>
          </w:rPr>
          <w:fldChar w:fldCharType="separate"/>
        </w:r>
        <w:r w:rsidR="00354472" w:rsidRPr="006B2701">
          <w:rPr>
            <w:webHidden/>
          </w:rPr>
          <w:t>7</w:t>
        </w:r>
        <w:r w:rsidR="0039084A" w:rsidRPr="006B2701">
          <w:rPr>
            <w:webHidden/>
          </w:rPr>
          <w:fldChar w:fldCharType="end"/>
        </w:r>
      </w:hyperlink>
    </w:p>
    <w:p w14:paraId="18D7C2A1" w14:textId="7B088232" w:rsidR="0039084A" w:rsidRPr="006B2701" w:rsidRDefault="0073616C" w:rsidP="000958D7">
      <w:pPr>
        <w:pStyle w:val="TOC1"/>
        <w:rPr>
          <w:rFonts w:eastAsiaTheme="minorEastAsia"/>
          <w:lang w:eastAsia="ro-RO"/>
        </w:rPr>
      </w:pPr>
      <w:hyperlink w:anchor="_Toc516046457" w:history="1">
        <w:r w:rsidR="0039084A" w:rsidRPr="006B2701">
          <w:rPr>
            <w:rStyle w:val="Hyperlink"/>
            <w:rFonts w:cs="Tahoma"/>
          </w:rPr>
          <w:t>III.</w:t>
        </w:r>
        <w:r w:rsidR="004640BE" w:rsidRPr="006B2701">
          <w:rPr>
            <w:rFonts w:eastAsiaTheme="minorEastAsia"/>
            <w:lang w:eastAsia="ro-RO"/>
          </w:rPr>
          <w:t xml:space="preserve"> </w:t>
        </w:r>
        <w:r w:rsidR="0039084A" w:rsidRPr="006B2701">
          <w:rPr>
            <w:rStyle w:val="Hyperlink"/>
            <w:rFonts w:cs="Tahoma"/>
          </w:rPr>
          <w:t>Politica fiscal bugetară</w:t>
        </w:r>
        <w:r w:rsidR="0039084A" w:rsidRPr="006B2701">
          <w:rPr>
            <w:webHidden/>
          </w:rPr>
          <w:tab/>
        </w:r>
        <w:r w:rsidR="0039084A" w:rsidRPr="006B2701">
          <w:rPr>
            <w:webHidden/>
          </w:rPr>
          <w:fldChar w:fldCharType="begin"/>
        </w:r>
        <w:r w:rsidR="0039084A" w:rsidRPr="006B2701">
          <w:rPr>
            <w:webHidden/>
          </w:rPr>
          <w:instrText xml:space="preserve"> PAGEREF _Toc516046457 \h </w:instrText>
        </w:r>
        <w:r w:rsidR="0039084A" w:rsidRPr="006B2701">
          <w:rPr>
            <w:webHidden/>
          </w:rPr>
        </w:r>
        <w:r w:rsidR="0039084A" w:rsidRPr="006B2701">
          <w:rPr>
            <w:webHidden/>
          </w:rPr>
          <w:fldChar w:fldCharType="separate"/>
        </w:r>
        <w:r w:rsidR="00354472" w:rsidRPr="006B2701">
          <w:rPr>
            <w:webHidden/>
          </w:rPr>
          <w:t>9</w:t>
        </w:r>
        <w:r w:rsidR="0039084A" w:rsidRPr="006B2701">
          <w:rPr>
            <w:webHidden/>
          </w:rPr>
          <w:fldChar w:fldCharType="end"/>
        </w:r>
      </w:hyperlink>
    </w:p>
    <w:p w14:paraId="28524AF8" w14:textId="34BAE163" w:rsidR="0039084A" w:rsidRPr="006B2701" w:rsidRDefault="0073616C" w:rsidP="000958D7">
      <w:pPr>
        <w:pStyle w:val="TOC1"/>
        <w:rPr>
          <w:rFonts w:eastAsiaTheme="minorEastAsia"/>
          <w:sz w:val="22"/>
          <w:szCs w:val="22"/>
          <w:lang w:eastAsia="ro-RO"/>
        </w:rPr>
      </w:pPr>
      <w:hyperlink w:anchor="_Toc516046458" w:history="1">
        <w:r w:rsidR="0039084A" w:rsidRPr="006B2701">
          <w:rPr>
            <w:rStyle w:val="Hyperlink"/>
            <w:rFonts w:cs="Tahoma"/>
          </w:rPr>
          <w:t>IV. Cheltuielile de natura investițiilor în anul 20</w:t>
        </w:r>
        <w:r w:rsidR="0005651C" w:rsidRPr="006B2701">
          <w:rPr>
            <w:rStyle w:val="Hyperlink"/>
            <w:rFonts w:cs="Tahoma"/>
          </w:rPr>
          <w:t>2</w:t>
        </w:r>
        <w:r w:rsidR="000958D7" w:rsidRPr="006B2701">
          <w:rPr>
            <w:rStyle w:val="Hyperlink"/>
            <w:rFonts w:cs="Tahoma"/>
          </w:rPr>
          <w:t>2</w:t>
        </w:r>
        <w:r w:rsidR="0039084A" w:rsidRPr="006B2701">
          <w:rPr>
            <w:webHidden/>
          </w:rPr>
          <w:tab/>
        </w:r>
        <w:r w:rsidR="0039084A" w:rsidRPr="006B2701">
          <w:rPr>
            <w:webHidden/>
          </w:rPr>
          <w:fldChar w:fldCharType="begin"/>
        </w:r>
        <w:r w:rsidR="0039084A" w:rsidRPr="006B2701">
          <w:rPr>
            <w:webHidden/>
          </w:rPr>
          <w:instrText xml:space="preserve"> PAGEREF _Toc516046458 \h </w:instrText>
        </w:r>
        <w:r w:rsidR="0039084A" w:rsidRPr="006B2701">
          <w:rPr>
            <w:webHidden/>
          </w:rPr>
        </w:r>
        <w:r w:rsidR="0039084A" w:rsidRPr="006B2701">
          <w:rPr>
            <w:webHidden/>
          </w:rPr>
          <w:fldChar w:fldCharType="separate"/>
        </w:r>
        <w:r w:rsidR="00354472" w:rsidRPr="006B2701">
          <w:rPr>
            <w:webHidden/>
          </w:rPr>
          <w:t>37</w:t>
        </w:r>
        <w:r w:rsidR="0039084A" w:rsidRPr="006B2701">
          <w:rPr>
            <w:webHidden/>
          </w:rPr>
          <w:fldChar w:fldCharType="end"/>
        </w:r>
      </w:hyperlink>
    </w:p>
    <w:p w14:paraId="7812D392" w14:textId="2E9743CF" w:rsidR="0039084A" w:rsidRPr="006B2701" w:rsidRDefault="0073616C" w:rsidP="000958D7">
      <w:pPr>
        <w:pStyle w:val="TOC1"/>
        <w:rPr>
          <w:rFonts w:eastAsiaTheme="minorEastAsia"/>
          <w:sz w:val="22"/>
          <w:szCs w:val="22"/>
          <w:lang w:eastAsia="ro-RO"/>
        </w:rPr>
      </w:pPr>
      <w:hyperlink w:anchor="_Toc516046459" w:history="1">
        <w:r w:rsidR="0039084A" w:rsidRPr="006B2701">
          <w:rPr>
            <w:rStyle w:val="Hyperlink"/>
            <w:rFonts w:cs="Tahoma"/>
          </w:rPr>
          <w:t>V.</w:t>
        </w:r>
        <w:r w:rsidR="0039084A" w:rsidRPr="006B2701">
          <w:rPr>
            <w:rFonts w:eastAsiaTheme="minorEastAsia"/>
            <w:sz w:val="22"/>
            <w:szCs w:val="22"/>
            <w:lang w:eastAsia="ro-RO"/>
          </w:rPr>
          <w:tab/>
        </w:r>
        <w:r w:rsidR="004640BE" w:rsidRPr="006B2701">
          <w:rPr>
            <w:rFonts w:eastAsiaTheme="minorEastAsia"/>
            <w:sz w:val="22"/>
            <w:szCs w:val="22"/>
            <w:lang w:eastAsia="ro-RO"/>
          </w:rPr>
          <w:t xml:space="preserve"> </w:t>
        </w:r>
        <w:r w:rsidR="0039084A" w:rsidRPr="006B2701">
          <w:rPr>
            <w:rStyle w:val="Hyperlink"/>
            <w:rFonts w:cs="Tahoma"/>
          </w:rPr>
          <w:t>Activele financiare şi nefinanciare guvernamentale</w:t>
        </w:r>
        <w:r w:rsidR="0039084A" w:rsidRPr="006B2701">
          <w:rPr>
            <w:webHidden/>
          </w:rPr>
          <w:tab/>
        </w:r>
        <w:r w:rsidR="0039084A" w:rsidRPr="006B2701">
          <w:rPr>
            <w:webHidden/>
          </w:rPr>
          <w:fldChar w:fldCharType="begin"/>
        </w:r>
        <w:r w:rsidR="0039084A" w:rsidRPr="006B2701">
          <w:rPr>
            <w:webHidden/>
          </w:rPr>
          <w:instrText xml:space="preserve"> PAGEREF _Toc516046459 \h </w:instrText>
        </w:r>
        <w:r w:rsidR="0039084A" w:rsidRPr="006B2701">
          <w:rPr>
            <w:webHidden/>
          </w:rPr>
        </w:r>
        <w:r w:rsidR="0039084A" w:rsidRPr="006B2701">
          <w:rPr>
            <w:webHidden/>
          </w:rPr>
          <w:fldChar w:fldCharType="separate"/>
        </w:r>
        <w:r w:rsidR="00354472" w:rsidRPr="006B2701">
          <w:rPr>
            <w:webHidden/>
          </w:rPr>
          <w:t>40</w:t>
        </w:r>
        <w:r w:rsidR="0039084A" w:rsidRPr="006B2701">
          <w:rPr>
            <w:webHidden/>
          </w:rPr>
          <w:fldChar w:fldCharType="end"/>
        </w:r>
      </w:hyperlink>
    </w:p>
    <w:p w14:paraId="054B932F" w14:textId="1F8FE2AF" w:rsidR="0039084A" w:rsidRPr="006B2701" w:rsidRDefault="0073616C" w:rsidP="000958D7">
      <w:pPr>
        <w:pStyle w:val="TOC1"/>
        <w:rPr>
          <w:rFonts w:eastAsiaTheme="minorEastAsia"/>
          <w:sz w:val="22"/>
          <w:szCs w:val="22"/>
          <w:lang w:eastAsia="ro-RO"/>
        </w:rPr>
      </w:pPr>
      <w:hyperlink w:anchor="_Toc516046460" w:history="1">
        <w:r w:rsidR="0039084A" w:rsidRPr="006B2701">
          <w:rPr>
            <w:rStyle w:val="Hyperlink"/>
            <w:rFonts w:cs="Tahoma"/>
          </w:rPr>
          <w:t>VI. Finanțarea deficitului bugetar şi datoria publică</w:t>
        </w:r>
        <w:r w:rsidR="0039084A" w:rsidRPr="006B2701">
          <w:rPr>
            <w:webHidden/>
          </w:rPr>
          <w:tab/>
        </w:r>
        <w:r w:rsidR="0039084A" w:rsidRPr="006B2701">
          <w:rPr>
            <w:webHidden/>
          </w:rPr>
          <w:fldChar w:fldCharType="begin"/>
        </w:r>
        <w:r w:rsidR="0039084A" w:rsidRPr="006B2701">
          <w:rPr>
            <w:webHidden/>
          </w:rPr>
          <w:instrText xml:space="preserve"> PAGEREF _Toc516046460 \h </w:instrText>
        </w:r>
        <w:r w:rsidR="0039084A" w:rsidRPr="006B2701">
          <w:rPr>
            <w:webHidden/>
          </w:rPr>
        </w:r>
        <w:r w:rsidR="0039084A" w:rsidRPr="006B2701">
          <w:rPr>
            <w:webHidden/>
          </w:rPr>
          <w:fldChar w:fldCharType="separate"/>
        </w:r>
        <w:r w:rsidR="00354472" w:rsidRPr="006B2701">
          <w:rPr>
            <w:webHidden/>
          </w:rPr>
          <w:t>42</w:t>
        </w:r>
        <w:r w:rsidR="0039084A" w:rsidRPr="006B2701">
          <w:rPr>
            <w:webHidden/>
          </w:rPr>
          <w:fldChar w:fldCharType="end"/>
        </w:r>
      </w:hyperlink>
    </w:p>
    <w:p w14:paraId="3F5A3164" w14:textId="0735FF67" w:rsidR="0039084A" w:rsidRPr="006B2701" w:rsidRDefault="0073616C" w:rsidP="000958D7">
      <w:pPr>
        <w:pStyle w:val="TOC1"/>
        <w:rPr>
          <w:rStyle w:val="Hyperlink"/>
        </w:rPr>
      </w:pPr>
      <w:hyperlink w:anchor="_Toc516046461" w:history="1">
        <w:r w:rsidR="0005597F" w:rsidRPr="006B2701">
          <w:rPr>
            <w:rStyle w:val="Hyperlink"/>
            <w:rFonts w:cs="Tahoma"/>
          </w:rPr>
          <w:t xml:space="preserve">Anexa nr.1 </w:t>
        </w:r>
        <w:r w:rsidR="0039084A" w:rsidRPr="006B2701">
          <w:rPr>
            <w:rStyle w:val="Hyperlink"/>
            <w:rFonts w:cs="Tahoma"/>
          </w:rPr>
          <w:t>Execuția bugetului general consolidat în anul 20</w:t>
        </w:r>
        <w:r w:rsidR="008109E6" w:rsidRPr="006B2701">
          <w:rPr>
            <w:rStyle w:val="Hyperlink"/>
            <w:rFonts w:cs="Tahoma"/>
          </w:rPr>
          <w:t>22</w:t>
        </w:r>
        <w:r w:rsidR="0039084A" w:rsidRPr="006B2701">
          <w:rPr>
            <w:webHidden/>
          </w:rPr>
          <w:tab/>
        </w:r>
        <w:r w:rsidR="0039084A" w:rsidRPr="006B2701">
          <w:rPr>
            <w:webHidden/>
          </w:rPr>
          <w:fldChar w:fldCharType="begin"/>
        </w:r>
        <w:r w:rsidR="0039084A" w:rsidRPr="006B2701">
          <w:rPr>
            <w:webHidden/>
          </w:rPr>
          <w:instrText xml:space="preserve"> PAGEREF _Toc516046461 \h </w:instrText>
        </w:r>
        <w:r w:rsidR="0039084A" w:rsidRPr="006B2701">
          <w:rPr>
            <w:webHidden/>
          </w:rPr>
        </w:r>
        <w:r w:rsidR="0039084A" w:rsidRPr="006B2701">
          <w:rPr>
            <w:webHidden/>
          </w:rPr>
          <w:fldChar w:fldCharType="separate"/>
        </w:r>
        <w:r w:rsidR="00354472" w:rsidRPr="006B2701">
          <w:rPr>
            <w:webHidden/>
          </w:rPr>
          <w:t>45</w:t>
        </w:r>
        <w:r w:rsidR="0039084A" w:rsidRPr="006B2701">
          <w:rPr>
            <w:webHidden/>
          </w:rPr>
          <w:fldChar w:fldCharType="end"/>
        </w:r>
      </w:hyperlink>
    </w:p>
    <w:p w14:paraId="75FD7C4D" w14:textId="33C85AA0" w:rsidR="0039084A" w:rsidRPr="006B2701" w:rsidRDefault="0073616C" w:rsidP="000958D7">
      <w:pPr>
        <w:pStyle w:val="TOC1"/>
        <w:rPr>
          <w:rFonts w:eastAsiaTheme="minorEastAsia"/>
          <w:sz w:val="22"/>
          <w:szCs w:val="22"/>
          <w:lang w:eastAsia="ro-RO"/>
        </w:rPr>
      </w:pPr>
      <w:hyperlink w:anchor="_Toc516046463" w:history="1">
        <w:r w:rsidR="0039084A" w:rsidRPr="006B2701">
          <w:rPr>
            <w:rStyle w:val="Hyperlink"/>
            <w:rFonts w:cs="Tahoma"/>
          </w:rPr>
          <w:t xml:space="preserve">Anexa nr.2 - Tabelul de corespondenţă  privind  metodologia de tranziţie între datele bazate pe contabilitatea in numerar şi datele bazate pe standardele sistemului european de conturi </w:t>
        </w:r>
        <w:r w:rsidR="0005651C" w:rsidRPr="006B2701">
          <w:rPr>
            <w:rStyle w:val="Hyperlink"/>
            <w:rFonts w:cs="Tahoma"/>
          </w:rPr>
          <w:t>2020</w:t>
        </w:r>
        <w:r w:rsidR="0039084A" w:rsidRPr="006B2701">
          <w:rPr>
            <w:webHidden/>
          </w:rPr>
          <w:tab/>
        </w:r>
        <w:r w:rsidR="0039084A" w:rsidRPr="006B2701">
          <w:rPr>
            <w:webHidden/>
          </w:rPr>
          <w:fldChar w:fldCharType="begin"/>
        </w:r>
        <w:r w:rsidR="0039084A" w:rsidRPr="006B2701">
          <w:rPr>
            <w:webHidden/>
          </w:rPr>
          <w:instrText xml:space="preserve"> PAGEREF _Toc516046463 \h </w:instrText>
        </w:r>
        <w:r w:rsidR="0039084A" w:rsidRPr="006B2701">
          <w:rPr>
            <w:webHidden/>
          </w:rPr>
        </w:r>
        <w:r w:rsidR="0039084A" w:rsidRPr="006B2701">
          <w:rPr>
            <w:webHidden/>
          </w:rPr>
          <w:fldChar w:fldCharType="separate"/>
        </w:r>
        <w:r w:rsidR="00354472" w:rsidRPr="006B2701">
          <w:rPr>
            <w:webHidden/>
          </w:rPr>
          <w:t>46</w:t>
        </w:r>
        <w:r w:rsidR="0039084A" w:rsidRPr="006B2701">
          <w:rPr>
            <w:webHidden/>
          </w:rPr>
          <w:fldChar w:fldCharType="end"/>
        </w:r>
      </w:hyperlink>
    </w:p>
    <w:p w14:paraId="1B432391" w14:textId="77777777" w:rsidR="00BA5E33" w:rsidRPr="006B2701" w:rsidRDefault="00BA5E33" w:rsidP="000958D7">
      <w:pPr>
        <w:shd w:val="clear" w:color="auto" w:fill="E2EFD9" w:themeFill="accent6" w:themeFillTint="33"/>
        <w:rPr>
          <w:rFonts w:ascii="Arial" w:hAnsi="Arial" w:cs="Arial"/>
          <w:sz w:val="24"/>
          <w:szCs w:val="24"/>
          <w:lang w:val="ro-RO"/>
        </w:rPr>
      </w:pPr>
      <w:r w:rsidRPr="006B2701">
        <w:rPr>
          <w:rFonts w:ascii="Arial" w:hAnsi="Arial" w:cs="Arial"/>
          <w:sz w:val="24"/>
          <w:szCs w:val="24"/>
          <w:lang w:val="ro-RO"/>
        </w:rPr>
        <w:fldChar w:fldCharType="end"/>
      </w:r>
    </w:p>
    <w:p w14:paraId="7D0F5C9F" w14:textId="672BB9D8" w:rsidR="00BA5E33" w:rsidRPr="006B2701" w:rsidRDefault="00BA5E33" w:rsidP="000F5753">
      <w:pPr>
        <w:pStyle w:val="Heading1"/>
        <w:spacing w:line="276" w:lineRule="auto"/>
        <w:rPr>
          <w:rFonts w:ascii="Arial" w:hAnsi="Arial" w:cs="Arial"/>
          <w:b/>
          <w:bCs/>
          <w:sz w:val="24"/>
          <w:szCs w:val="24"/>
          <w:lang w:val="ro-RO" w:eastAsia="x-none"/>
        </w:rPr>
      </w:pPr>
      <w:bookmarkStart w:id="0" w:name="_Toc451247816"/>
      <w:bookmarkStart w:id="1" w:name="_Toc451248268"/>
      <w:bookmarkStart w:id="2" w:name="_Toc451248432"/>
    </w:p>
    <w:p w14:paraId="51613852" w14:textId="77777777" w:rsidR="00BA5E33" w:rsidRPr="006B2701" w:rsidRDefault="00BA5E33" w:rsidP="000F5753">
      <w:pPr>
        <w:pStyle w:val="Heading1"/>
        <w:spacing w:line="276" w:lineRule="auto"/>
        <w:rPr>
          <w:rFonts w:ascii="Arial" w:hAnsi="Arial" w:cs="Arial"/>
          <w:b/>
          <w:bCs/>
          <w:sz w:val="24"/>
          <w:szCs w:val="24"/>
          <w:lang w:val="ro-RO" w:eastAsia="x-none"/>
        </w:rPr>
      </w:pPr>
    </w:p>
    <w:p w14:paraId="19BA85AC" w14:textId="77777777" w:rsidR="00BA5E33" w:rsidRPr="006B2701" w:rsidRDefault="00BA5E33" w:rsidP="000F5753">
      <w:pPr>
        <w:pStyle w:val="Heading1"/>
        <w:spacing w:line="276" w:lineRule="auto"/>
        <w:rPr>
          <w:rFonts w:ascii="Arial" w:hAnsi="Arial" w:cs="Arial"/>
          <w:b/>
          <w:bCs/>
          <w:sz w:val="24"/>
          <w:szCs w:val="24"/>
          <w:lang w:val="ro-RO" w:eastAsia="x-none"/>
        </w:rPr>
      </w:pPr>
      <w:r w:rsidRPr="006B2701">
        <w:rPr>
          <w:rFonts w:ascii="Arial" w:hAnsi="Arial" w:cs="Arial"/>
          <w:b/>
          <w:bCs/>
          <w:sz w:val="24"/>
          <w:szCs w:val="24"/>
          <w:lang w:val="ro-RO" w:eastAsia="x-none"/>
        </w:rPr>
        <w:t xml:space="preserve">                           </w:t>
      </w:r>
    </w:p>
    <w:p w14:paraId="23A6CFD5" w14:textId="77777777" w:rsidR="00BA5E33" w:rsidRPr="006B2701" w:rsidRDefault="00BA5E33" w:rsidP="000F5753">
      <w:pPr>
        <w:pStyle w:val="Heading1"/>
        <w:spacing w:line="276" w:lineRule="auto"/>
        <w:rPr>
          <w:rFonts w:ascii="Arial" w:hAnsi="Arial" w:cs="Arial"/>
          <w:b/>
          <w:bCs/>
          <w:sz w:val="24"/>
          <w:szCs w:val="24"/>
          <w:lang w:val="ro-RO" w:eastAsia="x-none"/>
        </w:rPr>
      </w:pPr>
      <w:r w:rsidRPr="006B2701">
        <w:rPr>
          <w:rFonts w:ascii="Arial" w:hAnsi="Arial" w:cs="Arial"/>
          <w:b/>
          <w:bCs/>
          <w:sz w:val="24"/>
          <w:szCs w:val="24"/>
          <w:lang w:val="ro-RO" w:eastAsia="x-none"/>
        </w:rPr>
        <w:t xml:space="preserve">                         </w:t>
      </w:r>
    </w:p>
    <w:p w14:paraId="517FE8A2" w14:textId="4B81F8ED" w:rsidR="00BA5E33" w:rsidRPr="006B2701" w:rsidRDefault="00BA5E33" w:rsidP="000F5753">
      <w:pPr>
        <w:spacing w:line="276" w:lineRule="auto"/>
        <w:rPr>
          <w:rFonts w:ascii="Arial" w:hAnsi="Arial" w:cs="Arial"/>
          <w:sz w:val="24"/>
          <w:szCs w:val="24"/>
          <w:lang w:val="ro-RO" w:eastAsia="x-none"/>
        </w:rPr>
      </w:pPr>
    </w:p>
    <w:p w14:paraId="6FBFAA84" w14:textId="77777777" w:rsidR="00BA5E33" w:rsidRPr="006B2701" w:rsidRDefault="00BA5E33" w:rsidP="007E711E">
      <w:pPr>
        <w:pStyle w:val="Heading1"/>
        <w:numPr>
          <w:ilvl w:val="0"/>
          <w:numId w:val="3"/>
        </w:numPr>
        <w:spacing w:after="240" w:line="276" w:lineRule="auto"/>
        <w:ind w:left="426" w:hanging="222"/>
        <w:rPr>
          <w:rFonts w:ascii="Tahoma" w:hAnsi="Tahoma" w:cs="Tahoma"/>
          <w:b/>
          <w:bCs/>
          <w:color w:val="000000"/>
          <w:sz w:val="24"/>
          <w:szCs w:val="24"/>
          <w:lang w:val="ro-RO" w:eastAsia="x-none"/>
        </w:rPr>
      </w:pPr>
      <w:bookmarkStart w:id="3" w:name="_Ref452040195"/>
      <w:bookmarkStart w:id="4" w:name="_Toc516046452"/>
      <w:r w:rsidRPr="006B2701">
        <w:rPr>
          <w:rFonts w:ascii="Tahoma" w:hAnsi="Tahoma" w:cs="Tahoma"/>
          <w:b/>
          <w:bCs/>
          <w:color w:val="000000"/>
          <w:sz w:val="24"/>
          <w:szCs w:val="24"/>
          <w:lang w:val="ro-RO" w:eastAsia="x-none"/>
        </w:rPr>
        <w:lastRenderedPageBreak/>
        <w:t>Analiza situației macroeconomice</w:t>
      </w:r>
      <w:bookmarkEnd w:id="0"/>
      <w:bookmarkEnd w:id="1"/>
      <w:bookmarkEnd w:id="2"/>
      <w:bookmarkEnd w:id="3"/>
      <w:bookmarkEnd w:id="4"/>
    </w:p>
    <w:p w14:paraId="07E5792C" w14:textId="77777777" w:rsidR="00123F4F" w:rsidRPr="006B2701" w:rsidRDefault="00123F4F" w:rsidP="00123F4F">
      <w:pPr>
        <w:keepNext/>
        <w:spacing w:before="120" w:line="276" w:lineRule="auto"/>
        <w:jc w:val="both"/>
        <w:rPr>
          <w:rFonts w:ascii="Tahoma" w:hAnsi="Tahoma" w:cs="Tahoma"/>
          <w:sz w:val="24"/>
          <w:szCs w:val="24"/>
          <w:shd w:val="clear" w:color="auto" w:fill="FFFFFF"/>
          <w:lang w:val="ro-RO"/>
        </w:rPr>
      </w:pPr>
      <w:r w:rsidRPr="006B2701">
        <w:rPr>
          <w:rFonts w:ascii="Tahoma" w:hAnsi="Tahoma" w:cs="Tahoma"/>
          <w:sz w:val="24"/>
          <w:szCs w:val="24"/>
          <w:shd w:val="clear" w:color="auto" w:fill="FFFFFF"/>
          <w:lang w:val="ro-RO"/>
        </w:rPr>
        <w:t xml:space="preserve">În anul 2022 economia </w:t>
      </w:r>
      <w:proofErr w:type="spellStart"/>
      <w:r w:rsidRPr="006B2701">
        <w:rPr>
          <w:rFonts w:ascii="Tahoma" w:hAnsi="Tahoma" w:cs="Tahoma"/>
          <w:sz w:val="24"/>
          <w:szCs w:val="24"/>
          <w:shd w:val="clear" w:color="auto" w:fill="FFFFFF"/>
          <w:lang w:val="ro-RO"/>
        </w:rPr>
        <w:t>naţională</w:t>
      </w:r>
      <w:proofErr w:type="spellEnd"/>
      <w:r w:rsidRPr="006B2701">
        <w:rPr>
          <w:rFonts w:ascii="Tahoma" w:hAnsi="Tahoma" w:cs="Tahoma"/>
          <w:sz w:val="24"/>
          <w:szCs w:val="24"/>
          <w:shd w:val="clear" w:color="auto" w:fill="FFFFFF"/>
          <w:lang w:val="ro-RO"/>
        </w:rPr>
        <w:t xml:space="preserve"> s-a confruntat cu suprapunerea unor </w:t>
      </w:r>
      <w:proofErr w:type="spellStart"/>
      <w:r w:rsidRPr="006B2701">
        <w:rPr>
          <w:rFonts w:ascii="Tahoma" w:hAnsi="Tahoma" w:cs="Tahoma"/>
          <w:sz w:val="24"/>
          <w:szCs w:val="24"/>
          <w:shd w:val="clear" w:color="auto" w:fill="FFFFFF"/>
          <w:lang w:val="ro-RO"/>
        </w:rPr>
        <w:t>şocuri</w:t>
      </w:r>
      <w:proofErr w:type="spellEnd"/>
      <w:r w:rsidRPr="006B2701">
        <w:rPr>
          <w:rFonts w:ascii="Tahoma" w:hAnsi="Tahoma" w:cs="Tahoma"/>
          <w:sz w:val="24"/>
          <w:szCs w:val="24"/>
          <w:shd w:val="clear" w:color="auto" w:fill="FFFFFF"/>
          <w:lang w:val="ro-RO"/>
        </w:rPr>
        <w:t xml:space="preserve"> multiple, cum ar fi izbucnirea conflictului ruso-ucrainean, majorări succesive de </w:t>
      </w:r>
      <w:proofErr w:type="spellStart"/>
      <w:r w:rsidRPr="006B2701">
        <w:rPr>
          <w:rFonts w:ascii="Tahoma" w:hAnsi="Tahoma" w:cs="Tahoma"/>
          <w:sz w:val="24"/>
          <w:szCs w:val="24"/>
          <w:shd w:val="clear" w:color="auto" w:fill="FFFFFF"/>
          <w:lang w:val="ro-RO"/>
        </w:rPr>
        <w:t>preţuri</w:t>
      </w:r>
      <w:proofErr w:type="spellEnd"/>
      <w:r w:rsidRPr="006B2701">
        <w:rPr>
          <w:rFonts w:ascii="Tahoma" w:hAnsi="Tahoma" w:cs="Tahoma"/>
          <w:sz w:val="24"/>
          <w:szCs w:val="24"/>
          <w:shd w:val="clear" w:color="auto" w:fill="FFFFFF"/>
          <w:lang w:val="ro-RO"/>
        </w:rPr>
        <w:t xml:space="preserve"> pentru bunurile energetice </w:t>
      </w:r>
      <w:proofErr w:type="spellStart"/>
      <w:r w:rsidRPr="006B2701">
        <w:rPr>
          <w:rFonts w:ascii="Tahoma" w:hAnsi="Tahoma" w:cs="Tahoma"/>
          <w:sz w:val="24"/>
          <w:szCs w:val="24"/>
          <w:shd w:val="clear" w:color="auto" w:fill="FFFFFF"/>
          <w:lang w:val="ro-RO"/>
        </w:rPr>
        <w:t>şi</w:t>
      </w:r>
      <w:proofErr w:type="spellEnd"/>
      <w:r w:rsidRPr="006B2701">
        <w:rPr>
          <w:rFonts w:ascii="Tahoma" w:hAnsi="Tahoma" w:cs="Tahoma"/>
          <w:sz w:val="24"/>
          <w:szCs w:val="24"/>
          <w:shd w:val="clear" w:color="auto" w:fill="FFFFFF"/>
          <w:lang w:val="ro-RO"/>
        </w:rPr>
        <w:t xml:space="preserve"> unele materii prime, dar </w:t>
      </w:r>
      <w:proofErr w:type="spellStart"/>
      <w:r w:rsidRPr="006B2701">
        <w:rPr>
          <w:rFonts w:ascii="Tahoma" w:hAnsi="Tahoma" w:cs="Tahoma"/>
          <w:sz w:val="24"/>
          <w:szCs w:val="24"/>
          <w:shd w:val="clear" w:color="auto" w:fill="FFFFFF"/>
          <w:lang w:val="ro-RO"/>
        </w:rPr>
        <w:t>şi</w:t>
      </w:r>
      <w:proofErr w:type="spellEnd"/>
      <w:r w:rsidRPr="006B2701">
        <w:rPr>
          <w:rFonts w:ascii="Tahoma" w:hAnsi="Tahoma" w:cs="Tahoma"/>
          <w:sz w:val="24"/>
          <w:szCs w:val="24"/>
          <w:shd w:val="clear" w:color="auto" w:fill="FFFFFF"/>
          <w:lang w:val="ro-RO"/>
        </w:rPr>
        <w:t xml:space="preserve"> continuarea alterării </w:t>
      </w:r>
      <w:proofErr w:type="spellStart"/>
      <w:r w:rsidRPr="006B2701">
        <w:rPr>
          <w:rFonts w:ascii="Tahoma" w:hAnsi="Tahoma" w:cs="Tahoma"/>
          <w:sz w:val="24"/>
          <w:szCs w:val="24"/>
          <w:shd w:val="clear" w:color="auto" w:fill="FFFFFF"/>
          <w:lang w:val="ro-RO"/>
        </w:rPr>
        <w:t>lanţurilor</w:t>
      </w:r>
      <w:proofErr w:type="spellEnd"/>
      <w:r w:rsidRPr="006B2701">
        <w:rPr>
          <w:rFonts w:ascii="Tahoma" w:hAnsi="Tahoma" w:cs="Tahoma"/>
          <w:sz w:val="24"/>
          <w:szCs w:val="24"/>
          <w:shd w:val="clear" w:color="auto" w:fill="FFFFFF"/>
          <w:lang w:val="ro-RO"/>
        </w:rPr>
        <w:t xml:space="preserve"> globale de aprovizionare. Aceste </w:t>
      </w:r>
      <w:proofErr w:type="spellStart"/>
      <w:r w:rsidRPr="006B2701">
        <w:rPr>
          <w:rFonts w:ascii="Tahoma" w:hAnsi="Tahoma" w:cs="Tahoma"/>
          <w:sz w:val="24"/>
          <w:szCs w:val="24"/>
          <w:shd w:val="clear" w:color="auto" w:fill="FFFFFF"/>
          <w:lang w:val="ro-RO"/>
        </w:rPr>
        <w:t>şocuri</w:t>
      </w:r>
      <w:proofErr w:type="spellEnd"/>
      <w:r w:rsidRPr="006B2701">
        <w:rPr>
          <w:rFonts w:ascii="Tahoma" w:hAnsi="Tahoma" w:cs="Tahoma"/>
          <w:sz w:val="24"/>
          <w:szCs w:val="24"/>
          <w:shd w:val="clear" w:color="auto" w:fill="FFFFFF"/>
          <w:lang w:val="ro-RO"/>
        </w:rPr>
        <w:t xml:space="preserve"> au avut cel mai relevant impact asupra tuturor categoriilor de </w:t>
      </w:r>
      <w:proofErr w:type="spellStart"/>
      <w:r w:rsidRPr="006B2701">
        <w:rPr>
          <w:rFonts w:ascii="Tahoma" w:hAnsi="Tahoma" w:cs="Tahoma"/>
          <w:sz w:val="24"/>
          <w:szCs w:val="24"/>
          <w:shd w:val="clear" w:color="auto" w:fill="FFFFFF"/>
          <w:lang w:val="ro-RO"/>
        </w:rPr>
        <w:t>preţuri</w:t>
      </w:r>
      <w:proofErr w:type="spellEnd"/>
      <w:r w:rsidRPr="006B2701">
        <w:rPr>
          <w:rFonts w:ascii="Tahoma" w:hAnsi="Tahoma" w:cs="Tahoma"/>
          <w:sz w:val="24"/>
          <w:szCs w:val="24"/>
          <w:shd w:val="clear" w:color="auto" w:fill="FFFFFF"/>
          <w:lang w:val="ro-RO"/>
        </w:rPr>
        <w:t xml:space="preserve">, ceea ce explică </w:t>
      </w:r>
      <w:proofErr w:type="spellStart"/>
      <w:r w:rsidRPr="006B2701">
        <w:rPr>
          <w:rFonts w:ascii="Tahoma" w:hAnsi="Tahoma" w:cs="Tahoma"/>
          <w:sz w:val="24"/>
          <w:szCs w:val="24"/>
          <w:shd w:val="clear" w:color="auto" w:fill="FFFFFF"/>
          <w:lang w:val="ro-RO"/>
        </w:rPr>
        <w:t>diferenţele</w:t>
      </w:r>
      <w:proofErr w:type="spellEnd"/>
      <w:r w:rsidRPr="006B2701">
        <w:rPr>
          <w:rFonts w:ascii="Tahoma" w:hAnsi="Tahoma" w:cs="Tahoma"/>
          <w:sz w:val="24"/>
          <w:szCs w:val="24"/>
          <w:shd w:val="clear" w:color="auto" w:fill="FFFFFF"/>
          <w:lang w:val="ro-RO"/>
        </w:rPr>
        <w:t xml:space="preserve"> între estimările </w:t>
      </w:r>
      <w:proofErr w:type="spellStart"/>
      <w:r w:rsidRPr="006B2701">
        <w:rPr>
          <w:rFonts w:ascii="Tahoma" w:hAnsi="Tahoma" w:cs="Tahoma"/>
          <w:sz w:val="24"/>
          <w:szCs w:val="24"/>
          <w:shd w:val="clear" w:color="auto" w:fill="FFFFFF"/>
          <w:lang w:val="ro-RO"/>
        </w:rPr>
        <w:t>şi</w:t>
      </w:r>
      <w:proofErr w:type="spellEnd"/>
      <w:r w:rsidRPr="006B2701">
        <w:rPr>
          <w:rFonts w:ascii="Tahoma" w:hAnsi="Tahoma" w:cs="Tahoma"/>
          <w:sz w:val="24"/>
          <w:szCs w:val="24"/>
          <w:shd w:val="clear" w:color="auto" w:fill="FFFFFF"/>
          <w:lang w:val="ro-RO"/>
        </w:rPr>
        <w:t xml:space="preserve"> realizările aferente anului 2022.</w:t>
      </w:r>
    </w:p>
    <w:p w14:paraId="096650A6" w14:textId="77777777" w:rsidR="00123F4F" w:rsidRPr="006B2701" w:rsidRDefault="00123F4F" w:rsidP="00123F4F">
      <w:pPr>
        <w:keepNext/>
        <w:spacing w:before="120" w:line="276" w:lineRule="auto"/>
        <w:jc w:val="both"/>
        <w:rPr>
          <w:rFonts w:ascii="Tahoma" w:hAnsi="Tahoma" w:cs="Tahoma"/>
          <w:sz w:val="24"/>
          <w:szCs w:val="24"/>
          <w:shd w:val="clear" w:color="auto" w:fill="FFFFFF"/>
          <w:lang w:val="ro-RO"/>
        </w:rPr>
      </w:pPr>
      <w:r w:rsidRPr="006B2701">
        <w:rPr>
          <w:rFonts w:ascii="Tahoma" w:hAnsi="Tahoma" w:cs="Tahoma"/>
          <w:sz w:val="24"/>
          <w:szCs w:val="24"/>
          <w:shd w:val="clear" w:color="auto" w:fill="FFFFFF"/>
          <w:lang w:val="ro-RO"/>
        </w:rPr>
        <w:t xml:space="preserve">Prognoza de creștere economică utilizată la elaborarea legii bugetului de stat pentru anul 2022 a fost realizată în luna noiembrie 2021 (varianta de toamnă 2021) </w:t>
      </w:r>
      <w:proofErr w:type="spellStart"/>
      <w:r w:rsidRPr="006B2701">
        <w:rPr>
          <w:rFonts w:ascii="Tahoma" w:hAnsi="Tahoma" w:cs="Tahoma"/>
          <w:sz w:val="24"/>
          <w:szCs w:val="24"/>
          <w:shd w:val="clear" w:color="auto" w:fill="FFFFFF"/>
          <w:lang w:val="ro-RO"/>
        </w:rPr>
        <w:t>şi</w:t>
      </w:r>
      <w:proofErr w:type="spellEnd"/>
      <w:r w:rsidRPr="006B2701">
        <w:rPr>
          <w:rFonts w:ascii="Tahoma" w:hAnsi="Tahoma" w:cs="Tahoma"/>
          <w:sz w:val="24"/>
          <w:szCs w:val="24"/>
          <w:shd w:val="clear" w:color="auto" w:fill="FFFFFF"/>
          <w:lang w:val="ro-RO"/>
        </w:rPr>
        <w:t xml:space="preserve"> a luat în considerare unele majorări de </w:t>
      </w:r>
      <w:proofErr w:type="spellStart"/>
      <w:r w:rsidRPr="006B2701">
        <w:rPr>
          <w:rFonts w:ascii="Tahoma" w:hAnsi="Tahoma" w:cs="Tahoma"/>
          <w:sz w:val="24"/>
          <w:szCs w:val="24"/>
          <w:shd w:val="clear" w:color="auto" w:fill="FFFFFF"/>
          <w:lang w:val="ro-RO"/>
        </w:rPr>
        <w:t>preţuri</w:t>
      </w:r>
      <w:proofErr w:type="spellEnd"/>
      <w:r w:rsidRPr="006B2701">
        <w:rPr>
          <w:rFonts w:ascii="Tahoma" w:hAnsi="Tahoma" w:cs="Tahoma"/>
          <w:sz w:val="24"/>
          <w:szCs w:val="24"/>
          <w:shd w:val="clear" w:color="auto" w:fill="FFFFFF"/>
          <w:lang w:val="ro-RO"/>
        </w:rPr>
        <w:t xml:space="preserve"> pentru bunurile energetice </w:t>
      </w:r>
      <w:proofErr w:type="spellStart"/>
      <w:r w:rsidRPr="006B2701">
        <w:rPr>
          <w:rFonts w:ascii="Tahoma" w:hAnsi="Tahoma" w:cs="Tahoma"/>
          <w:sz w:val="24"/>
          <w:szCs w:val="24"/>
          <w:shd w:val="clear" w:color="auto" w:fill="FFFFFF"/>
          <w:lang w:val="ro-RO"/>
        </w:rPr>
        <w:t>şi</w:t>
      </w:r>
      <w:proofErr w:type="spellEnd"/>
      <w:r w:rsidRPr="006B2701">
        <w:rPr>
          <w:rFonts w:ascii="Tahoma" w:hAnsi="Tahoma" w:cs="Tahoma"/>
          <w:sz w:val="24"/>
          <w:szCs w:val="24"/>
          <w:shd w:val="clear" w:color="auto" w:fill="FFFFFF"/>
          <w:lang w:val="ro-RO"/>
        </w:rPr>
        <w:t xml:space="preserve"> materiile prime, induse de amplificarea cererii agregate după perioada pandemică, nefiind anticipată la acel moment criza energetică determinată de </w:t>
      </w:r>
      <w:proofErr w:type="spellStart"/>
      <w:r w:rsidRPr="006B2701">
        <w:rPr>
          <w:rFonts w:ascii="Tahoma" w:hAnsi="Tahoma" w:cs="Tahoma"/>
          <w:sz w:val="24"/>
          <w:szCs w:val="24"/>
          <w:shd w:val="clear" w:color="auto" w:fill="FFFFFF"/>
          <w:lang w:val="ro-RO"/>
        </w:rPr>
        <w:t>apariţia</w:t>
      </w:r>
      <w:proofErr w:type="spellEnd"/>
      <w:r w:rsidRPr="006B2701">
        <w:rPr>
          <w:rFonts w:ascii="Tahoma" w:hAnsi="Tahoma" w:cs="Tahoma"/>
          <w:sz w:val="24"/>
          <w:szCs w:val="24"/>
          <w:shd w:val="clear" w:color="auto" w:fill="FFFFFF"/>
          <w:lang w:val="ro-RO"/>
        </w:rPr>
        <w:t xml:space="preserve"> războiului din Ucraina </w:t>
      </w:r>
      <w:proofErr w:type="spellStart"/>
      <w:r w:rsidRPr="006B2701">
        <w:rPr>
          <w:rFonts w:ascii="Tahoma" w:hAnsi="Tahoma" w:cs="Tahoma"/>
          <w:sz w:val="24"/>
          <w:szCs w:val="24"/>
          <w:shd w:val="clear" w:color="auto" w:fill="FFFFFF"/>
          <w:lang w:val="ro-RO"/>
        </w:rPr>
        <w:t>şi</w:t>
      </w:r>
      <w:proofErr w:type="spellEnd"/>
      <w:r w:rsidRPr="006B2701">
        <w:rPr>
          <w:rFonts w:ascii="Tahoma" w:hAnsi="Tahoma" w:cs="Tahoma"/>
          <w:sz w:val="24"/>
          <w:szCs w:val="24"/>
          <w:shd w:val="clear" w:color="auto" w:fill="FFFFFF"/>
          <w:lang w:val="ro-RO"/>
        </w:rPr>
        <w:t xml:space="preserve"> a </w:t>
      </w:r>
      <w:proofErr w:type="spellStart"/>
      <w:r w:rsidRPr="006B2701">
        <w:rPr>
          <w:rFonts w:ascii="Tahoma" w:hAnsi="Tahoma" w:cs="Tahoma"/>
          <w:sz w:val="24"/>
          <w:szCs w:val="24"/>
          <w:shd w:val="clear" w:color="auto" w:fill="FFFFFF"/>
          <w:lang w:val="ro-RO"/>
        </w:rPr>
        <w:t>sancţiunilor</w:t>
      </w:r>
      <w:proofErr w:type="spellEnd"/>
      <w:r w:rsidRPr="006B2701">
        <w:rPr>
          <w:rFonts w:ascii="Tahoma" w:hAnsi="Tahoma" w:cs="Tahoma"/>
          <w:sz w:val="24"/>
          <w:szCs w:val="24"/>
          <w:shd w:val="clear" w:color="auto" w:fill="FFFFFF"/>
          <w:lang w:val="ro-RO"/>
        </w:rPr>
        <w:t xml:space="preserve"> asociate. În aceste </w:t>
      </w:r>
      <w:proofErr w:type="spellStart"/>
      <w:r w:rsidRPr="006B2701">
        <w:rPr>
          <w:rFonts w:ascii="Tahoma" w:hAnsi="Tahoma" w:cs="Tahoma"/>
          <w:sz w:val="24"/>
          <w:szCs w:val="24"/>
          <w:shd w:val="clear" w:color="auto" w:fill="FFFFFF"/>
          <w:lang w:val="ro-RO"/>
        </w:rPr>
        <w:t>condiţii</w:t>
      </w:r>
      <w:proofErr w:type="spellEnd"/>
      <w:r w:rsidRPr="006B2701">
        <w:rPr>
          <w:rFonts w:ascii="Tahoma" w:hAnsi="Tahoma" w:cs="Tahoma"/>
          <w:sz w:val="24"/>
          <w:szCs w:val="24"/>
          <w:shd w:val="clear" w:color="auto" w:fill="FFFFFF"/>
          <w:lang w:val="ro-RO"/>
        </w:rPr>
        <w:t xml:space="preserve"> s-a estimat o </w:t>
      </w:r>
      <w:proofErr w:type="spellStart"/>
      <w:r w:rsidRPr="006B2701">
        <w:rPr>
          <w:rFonts w:ascii="Tahoma" w:hAnsi="Tahoma" w:cs="Tahoma"/>
          <w:sz w:val="24"/>
          <w:szCs w:val="24"/>
          <w:shd w:val="clear" w:color="auto" w:fill="FFFFFF"/>
          <w:lang w:val="ro-RO"/>
        </w:rPr>
        <w:t>creştere</w:t>
      </w:r>
      <w:proofErr w:type="spellEnd"/>
      <w:r w:rsidRPr="006B2701">
        <w:rPr>
          <w:rFonts w:ascii="Tahoma" w:hAnsi="Tahoma" w:cs="Tahoma"/>
          <w:sz w:val="24"/>
          <w:szCs w:val="24"/>
          <w:shd w:val="clear" w:color="auto" w:fill="FFFFFF"/>
          <w:lang w:val="ro-RO"/>
        </w:rPr>
        <w:t xml:space="preserve">, în termeni reali, a produsului intern brut cu 4,6%. Cadrul macroeconomic a vizat politicile fiscale </w:t>
      </w:r>
      <w:proofErr w:type="spellStart"/>
      <w:r w:rsidRPr="006B2701">
        <w:rPr>
          <w:rFonts w:ascii="Tahoma" w:hAnsi="Tahoma" w:cs="Tahoma"/>
          <w:sz w:val="24"/>
          <w:szCs w:val="24"/>
          <w:shd w:val="clear" w:color="auto" w:fill="FFFFFF"/>
          <w:lang w:val="ro-RO"/>
        </w:rPr>
        <w:t>şi</w:t>
      </w:r>
      <w:proofErr w:type="spellEnd"/>
      <w:r w:rsidRPr="006B2701">
        <w:rPr>
          <w:rFonts w:ascii="Tahoma" w:hAnsi="Tahoma" w:cs="Tahoma"/>
          <w:sz w:val="24"/>
          <w:szCs w:val="24"/>
          <w:shd w:val="clear" w:color="auto" w:fill="FFFFFF"/>
          <w:lang w:val="ro-RO"/>
        </w:rPr>
        <w:t xml:space="preserve"> bugetare care să creeze premisele unei </w:t>
      </w:r>
      <w:proofErr w:type="spellStart"/>
      <w:r w:rsidRPr="006B2701">
        <w:rPr>
          <w:rFonts w:ascii="Tahoma" w:hAnsi="Tahoma" w:cs="Tahoma"/>
          <w:sz w:val="24"/>
          <w:szCs w:val="24"/>
          <w:shd w:val="clear" w:color="auto" w:fill="FFFFFF"/>
          <w:lang w:val="ro-RO"/>
        </w:rPr>
        <w:t>evoluţii</w:t>
      </w:r>
      <w:proofErr w:type="spellEnd"/>
      <w:r w:rsidRPr="006B2701">
        <w:rPr>
          <w:rFonts w:ascii="Tahoma" w:hAnsi="Tahoma" w:cs="Tahoma"/>
          <w:sz w:val="24"/>
          <w:szCs w:val="24"/>
          <w:shd w:val="clear" w:color="auto" w:fill="FFFFFF"/>
          <w:lang w:val="ro-RO"/>
        </w:rPr>
        <w:t xml:space="preserve"> economice sustenabile.</w:t>
      </w:r>
    </w:p>
    <w:p w14:paraId="3530A49B" w14:textId="77777777" w:rsidR="00123F4F" w:rsidRPr="006B2701" w:rsidRDefault="00123F4F" w:rsidP="00123F4F">
      <w:pPr>
        <w:keepNext/>
        <w:spacing w:before="120" w:line="276" w:lineRule="auto"/>
        <w:ind w:firstLine="720"/>
        <w:jc w:val="both"/>
        <w:rPr>
          <w:rFonts w:ascii="Tahoma" w:hAnsi="Tahoma" w:cs="Tahoma"/>
          <w:lang w:val="ro-RO"/>
        </w:rPr>
      </w:pPr>
    </w:p>
    <w:p w14:paraId="26279FE8" w14:textId="77777777" w:rsidR="00123F4F" w:rsidRPr="006B2701" w:rsidRDefault="00123F4F" w:rsidP="00123F4F">
      <w:pPr>
        <w:keepNext/>
        <w:spacing w:before="120" w:line="276" w:lineRule="auto"/>
        <w:ind w:firstLine="540"/>
        <w:jc w:val="both"/>
        <w:rPr>
          <w:rFonts w:ascii="Tahoma" w:hAnsi="Tahoma" w:cs="Tahoma"/>
          <w:sz w:val="24"/>
          <w:szCs w:val="24"/>
          <w:lang w:val="ro-RO"/>
        </w:rPr>
      </w:pPr>
      <w:r w:rsidRPr="006B2701">
        <w:rPr>
          <w:rFonts w:ascii="Tahoma" w:hAnsi="Tahoma" w:cs="Tahoma"/>
          <w:sz w:val="24"/>
          <w:szCs w:val="24"/>
          <w:lang w:val="ro-RO"/>
        </w:rPr>
        <w:t>Principalii indicatori macroeconomici ai cadrului bugetar au fost:</w:t>
      </w:r>
    </w:p>
    <w:p w14:paraId="592E59B3" w14:textId="77777777" w:rsidR="00123F4F" w:rsidRPr="006B2701" w:rsidRDefault="00123F4F" w:rsidP="00123F4F">
      <w:pPr>
        <w:keepNext/>
        <w:autoSpaceDE w:val="0"/>
        <w:autoSpaceDN w:val="0"/>
        <w:adjustRightInd w:val="0"/>
        <w:jc w:val="center"/>
        <w:rPr>
          <w:rFonts w:ascii="Tahoma" w:hAnsi="Tahoma" w:cs="Tahoma"/>
          <w:b/>
          <w:bCs/>
          <w:sz w:val="24"/>
          <w:szCs w:val="24"/>
          <w:lang w:val="ro-RO"/>
        </w:rPr>
      </w:pPr>
    </w:p>
    <w:tbl>
      <w:tblPr>
        <w:tblW w:w="9267" w:type="dxa"/>
        <w:jc w:val="center"/>
        <w:tblLook w:val="0000" w:firstRow="0" w:lastRow="0" w:firstColumn="0" w:lastColumn="0" w:noHBand="0" w:noVBand="0"/>
      </w:tblPr>
      <w:tblGrid>
        <w:gridCol w:w="5627"/>
        <w:gridCol w:w="1810"/>
        <w:gridCol w:w="1830"/>
      </w:tblGrid>
      <w:tr w:rsidR="00123F4F" w:rsidRPr="006B2701" w14:paraId="2371C87A" w14:textId="77777777" w:rsidTr="00123F4F">
        <w:trPr>
          <w:trHeight w:val="228"/>
          <w:jc w:val="center"/>
        </w:trPr>
        <w:tc>
          <w:tcPr>
            <w:tcW w:w="56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3420BC" w14:textId="77777777" w:rsidR="00123F4F" w:rsidRPr="006B2701" w:rsidRDefault="00123F4F" w:rsidP="00123F4F">
            <w:pPr>
              <w:keepNext/>
              <w:spacing w:before="120"/>
              <w:ind w:left="-53" w:firstLine="53"/>
              <w:jc w:val="center"/>
              <w:rPr>
                <w:rFonts w:ascii="Tahoma" w:hAnsi="Tahoma" w:cs="Tahoma"/>
                <w:b/>
                <w:bCs/>
                <w:lang w:val="ro-RO"/>
              </w:rPr>
            </w:pPr>
          </w:p>
        </w:tc>
        <w:tc>
          <w:tcPr>
            <w:tcW w:w="18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4D8BE0B" w14:textId="77777777" w:rsidR="00123F4F" w:rsidRPr="006B2701" w:rsidRDefault="00123F4F" w:rsidP="00123F4F">
            <w:pPr>
              <w:keepNext/>
              <w:spacing w:before="120"/>
              <w:jc w:val="center"/>
              <w:rPr>
                <w:rFonts w:ascii="Tahoma" w:hAnsi="Tahoma" w:cs="Tahoma"/>
                <w:b/>
                <w:bCs/>
                <w:lang w:val="ro-RO"/>
              </w:rPr>
            </w:pPr>
            <w:r w:rsidRPr="006B2701">
              <w:rPr>
                <w:rFonts w:ascii="Tahoma" w:hAnsi="Tahoma" w:cs="Tahoma"/>
                <w:b/>
                <w:bCs/>
                <w:lang w:val="ro-RO"/>
              </w:rPr>
              <w:t>Buget  2022</w:t>
            </w:r>
          </w:p>
        </w:tc>
        <w:tc>
          <w:tcPr>
            <w:tcW w:w="18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FF5523" w14:textId="77777777" w:rsidR="00123F4F" w:rsidRPr="006B2701" w:rsidRDefault="00123F4F" w:rsidP="00123F4F">
            <w:pPr>
              <w:keepNext/>
              <w:spacing w:before="120"/>
              <w:jc w:val="center"/>
              <w:rPr>
                <w:rFonts w:ascii="Tahoma" w:hAnsi="Tahoma" w:cs="Tahoma"/>
                <w:b/>
                <w:bCs/>
                <w:lang w:val="ro-RO"/>
              </w:rPr>
            </w:pPr>
            <w:r w:rsidRPr="006B2701">
              <w:rPr>
                <w:rFonts w:ascii="Tahoma" w:hAnsi="Tahoma" w:cs="Tahoma"/>
                <w:b/>
                <w:bCs/>
                <w:lang w:val="ro-RO"/>
              </w:rPr>
              <w:t>Realizări</w:t>
            </w:r>
          </w:p>
        </w:tc>
      </w:tr>
      <w:tr w:rsidR="00123F4F" w:rsidRPr="006B2701" w14:paraId="3F0222F0" w14:textId="77777777" w:rsidTr="00123F4F">
        <w:trPr>
          <w:trHeight w:val="285"/>
          <w:jc w:val="center"/>
        </w:trPr>
        <w:tc>
          <w:tcPr>
            <w:tcW w:w="5627" w:type="dxa"/>
            <w:tcBorders>
              <w:top w:val="nil"/>
              <w:left w:val="single" w:sz="4" w:space="0" w:color="auto"/>
              <w:bottom w:val="nil"/>
              <w:right w:val="single" w:sz="4" w:space="0" w:color="auto"/>
            </w:tcBorders>
            <w:noWrap/>
            <w:vAlign w:val="bottom"/>
          </w:tcPr>
          <w:p w14:paraId="5F24C2F7" w14:textId="77777777" w:rsidR="00123F4F" w:rsidRPr="006B2701" w:rsidRDefault="00123F4F" w:rsidP="00123F4F">
            <w:pPr>
              <w:keepNext/>
              <w:spacing w:before="120"/>
              <w:rPr>
                <w:rFonts w:ascii="Tahoma" w:hAnsi="Tahoma" w:cs="Tahoma"/>
                <w:lang w:val="ro-RO"/>
              </w:rPr>
            </w:pPr>
            <w:r w:rsidRPr="006B2701">
              <w:rPr>
                <w:rFonts w:ascii="Tahoma" w:hAnsi="Tahoma" w:cs="Tahoma"/>
                <w:lang w:val="ro-RO"/>
              </w:rPr>
              <w:t>PIB  - miliarde lei</w:t>
            </w:r>
          </w:p>
        </w:tc>
        <w:tc>
          <w:tcPr>
            <w:tcW w:w="1810" w:type="dxa"/>
            <w:tcBorders>
              <w:top w:val="nil"/>
              <w:left w:val="single" w:sz="4" w:space="0" w:color="auto"/>
              <w:bottom w:val="nil"/>
              <w:right w:val="single" w:sz="4" w:space="0" w:color="auto"/>
            </w:tcBorders>
            <w:noWrap/>
            <w:vAlign w:val="bottom"/>
          </w:tcPr>
          <w:p w14:paraId="205864FC"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1.317,3</w:t>
            </w:r>
          </w:p>
        </w:tc>
        <w:tc>
          <w:tcPr>
            <w:tcW w:w="1830" w:type="dxa"/>
            <w:tcBorders>
              <w:top w:val="nil"/>
              <w:left w:val="single" w:sz="4" w:space="0" w:color="auto"/>
              <w:bottom w:val="nil"/>
              <w:right w:val="single" w:sz="4" w:space="0" w:color="auto"/>
            </w:tcBorders>
            <w:noWrap/>
            <w:vAlign w:val="bottom"/>
          </w:tcPr>
          <w:p w14:paraId="7A26D68F"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1.409,8</w:t>
            </w:r>
          </w:p>
        </w:tc>
      </w:tr>
      <w:tr w:rsidR="00123F4F" w:rsidRPr="006B2701" w14:paraId="01F69128" w14:textId="77777777" w:rsidTr="00123F4F">
        <w:trPr>
          <w:trHeight w:val="285"/>
          <w:jc w:val="center"/>
        </w:trPr>
        <w:tc>
          <w:tcPr>
            <w:tcW w:w="5627" w:type="dxa"/>
            <w:tcBorders>
              <w:top w:val="nil"/>
              <w:left w:val="single" w:sz="4" w:space="0" w:color="auto"/>
              <w:bottom w:val="nil"/>
              <w:right w:val="single" w:sz="4" w:space="0" w:color="auto"/>
            </w:tcBorders>
            <w:noWrap/>
            <w:vAlign w:val="center"/>
          </w:tcPr>
          <w:p w14:paraId="500315BF" w14:textId="77777777" w:rsidR="00123F4F" w:rsidRPr="006B2701" w:rsidRDefault="00123F4F" w:rsidP="00123F4F">
            <w:pPr>
              <w:keepNext/>
              <w:spacing w:before="120"/>
              <w:rPr>
                <w:rFonts w:ascii="Tahoma" w:hAnsi="Tahoma" w:cs="Tahoma"/>
                <w:lang w:val="ro-RO"/>
              </w:rPr>
            </w:pPr>
            <w:proofErr w:type="spellStart"/>
            <w:r w:rsidRPr="006B2701">
              <w:rPr>
                <w:rFonts w:ascii="Tahoma" w:hAnsi="Tahoma" w:cs="Tahoma"/>
                <w:lang w:val="ro-RO"/>
              </w:rPr>
              <w:t>Creştere</w:t>
            </w:r>
            <w:proofErr w:type="spellEnd"/>
            <w:r w:rsidRPr="006B2701">
              <w:rPr>
                <w:rFonts w:ascii="Tahoma" w:hAnsi="Tahoma" w:cs="Tahoma"/>
                <w:lang w:val="ro-RO"/>
              </w:rPr>
              <w:t xml:space="preserve"> economică  -   %</w:t>
            </w:r>
          </w:p>
        </w:tc>
        <w:tc>
          <w:tcPr>
            <w:tcW w:w="1810" w:type="dxa"/>
            <w:tcBorders>
              <w:top w:val="nil"/>
              <w:left w:val="single" w:sz="4" w:space="0" w:color="auto"/>
              <w:bottom w:val="nil"/>
              <w:right w:val="single" w:sz="4" w:space="0" w:color="auto"/>
            </w:tcBorders>
            <w:noWrap/>
            <w:vAlign w:val="center"/>
          </w:tcPr>
          <w:p w14:paraId="216621F2"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4,6</w:t>
            </w:r>
          </w:p>
        </w:tc>
        <w:tc>
          <w:tcPr>
            <w:tcW w:w="1830" w:type="dxa"/>
            <w:tcBorders>
              <w:top w:val="nil"/>
              <w:left w:val="single" w:sz="4" w:space="0" w:color="auto"/>
              <w:bottom w:val="nil"/>
              <w:right w:val="single" w:sz="4" w:space="0" w:color="auto"/>
            </w:tcBorders>
            <w:noWrap/>
            <w:vAlign w:val="center"/>
          </w:tcPr>
          <w:p w14:paraId="6631076B"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4,7</w:t>
            </w:r>
          </w:p>
        </w:tc>
      </w:tr>
      <w:tr w:rsidR="00123F4F" w:rsidRPr="006B2701" w14:paraId="450B6010" w14:textId="77777777" w:rsidTr="00123F4F">
        <w:trPr>
          <w:trHeight w:val="285"/>
          <w:jc w:val="center"/>
        </w:trPr>
        <w:tc>
          <w:tcPr>
            <w:tcW w:w="5627" w:type="dxa"/>
            <w:tcBorders>
              <w:top w:val="nil"/>
              <w:left w:val="single" w:sz="4" w:space="0" w:color="auto"/>
              <w:bottom w:val="nil"/>
              <w:right w:val="single" w:sz="4" w:space="0" w:color="auto"/>
            </w:tcBorders>
            <w:noWrap/>
            <w:vAlign w:val="bottom"/>
          </w:tcPr>
          <w:p w14:paraId="6B2B539E" w14:textId="77777777" w:rsidR="00123F4F" w:rsidRPr="006B2701" w:rsidRDefault="00123F4F" w:rsidP="00123F4F">
            <w:pPr>
              <w:keepNext/>
              <w:spacing w:before="120"/>
              <w:rPr>
                <w:rFonts w:ascii="Tahoma" w:hAnsi="Tahoma" w:cs="Tahoma"/>
                <w:lang w:val="ro-RO"/>
              </w:rPr>
            </w:pPr>
            <w:r w:rsidRPr="006B2701">
              <w:rPr>
                <w:rFonts w:ascii="Tahoma" w:hAnsi="Tahoma" w:cs="Tahoma"/>
                <w:lang w:val="ro-RO"/>
              </w:rPr>
              <w:t>Deflator PIB - %</w:t>
            </w:r>
          </w:p>
        </w:tc>
        <w:tc>
          <w:tcPr>
            <w:tcW w:w="1810" w:type="dxa"/>
            <w:tcBorders>
              <w:top w:val="nil"/>
              <w:left w:val="single" w:sz="4" w:space="0" w:color="auto"/>
              <w:bottom w:val="nil"/>
              <w:right w:val="single" w:sz="4" w:space="0" w:color="auto"/>
            </w:tcBorders>
            <w:noWrap/>
            <w:vAlign w:val="bottom"/>
          </w:tcPr>
          <w:p w14:paraId="7833B50E"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5,8</w:t>
            </w:r>
          </w:p>
        </w:tc>
        <w:tc>
          <w:tcPr>
            <w:tcW w:w="1830" w:type="dxa"/>
            <w:tcBorders>
              <w:top w:val="nil"/>
              <w:left w:val="single" w:sz="4" w:space="0" w:color="auto"/>
              <w:bottom w:val="nil"/>
              <w:right w:val="single" w:sz="4" w:space="0" w:color="auto"/>
            </w:tcBorders>
            <w:noWrap/>
            <w:vAlign w:val="bottom"/>
          </w:tcPr>
          <w:p w14:paraId="72B5D723"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13,4</w:t>
            </w:r>
          </w:p>
        </w:tc>
      </w:tr>
      <w:tr w:rsidR="00123F4F" w:rsidRPr="006B2701" w14:paraId="6D779116" w14:textId="77777777" w:rsidTr="00123F4F">
        <w:trPr>
          <w:trHeight w:val="285"/>
          <w:jc w:val="center"/>
        </w:trPr>
        <w:tc>
          <w:tcPr>
            <w:tcW w:w="5627" w:type="dxa"/>
            <w:tcBorders>
              <w:top w:val="nil"/>
              <w:left w:val="single" w:sz="4" w:space="0" w:color="auto"/>
              <w:bottom w:val="nil"/>
              <w:right w:val="single" w:sz="4" w:space="0" w:color="auto"/>
            </w:tcBorders>
            <w:noWrap/>
            <w:vAlign w:val="bottom"/>
          </w:tcPr>
          <w:p w14:paraId="60711383" w14:textId="77777777" w:rsidR="00123F4F" w:rsidRPr="006B2701" w:rsidRDefault="00123F4F" w:rsidP="00123F4F">
            <w:pPr>
              <w:keepNext/>
              <w:spacing w:before="120"/>
              <w:rPr>
                <w:rFonts w:ascii="Tahoma" w:hAnsi="Tahoma" w:cs="Tahoma"/>
                <w:lang w:val="ro-RO"/>
              </w:rPr>
            </w:pPr>
            <w:proofErr w:type="spellStart"/>
            <w:r w:rsidRPr="006B2701">
              <w:rPr>
                <w:rFonts w:ascii="Tahoma" w:hAnsi="Tahoma" w:cs="Tahoma"/>
                <w:lang w:val="ro-RO"/>
              </w:rPr>
              <w:t>Inflaţia</w:t>
            </w:r>
            <w:proofErr w:type="spellEnd"/>
            <w:r w:rsidRPr="006B2701">
              <w:rPr>
                <w:rFonts w:ascii="Tahoma" w:hAnsi="Tahoma" w:cs="Tahoma"/>
                <w:lang w:val="ro-RO"/>
              </w:rPr>
              <w:t xml:space="preserve"> - medie anuală   -  %</w:t>
            </w:r>
          </w:p>
        </w:tc>
        <w:tc>
          <w:tcPr>
            <w:tcW w:w="1810" w:type="dxa"/>
            <w:tcBorders>
              <w:top w:val="nil"/>
              <w:left w:val="single" w:sz="4" w:space="0" w:color="auto"/>
              <w:bottom w:val="nil"/>
              <w:right w:val="single" w:sz="4" w:space="0" w:color="auto"/>
            </w:tcBorders>
            <w:shd w:val="clear" w:color="auto" w:fill="auto"/>
            <w:noWrap/>
            <w:vAlign w:val="bottom"/>
          </w:tcPr>
          <w:p w14:paraId="6D06704A"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4,7</w:t>
            </w:r>
          </w:p>
        </w:tc>
        <w:tc>
          <w:tcPr>
            <w:tcW w:w="1830" w:type="dxa"/>
            <w:tcBorders>
              <w:top w:val="nil"/>
              <w:left w:val="single" w:sz="4" w:space="0" w:color="auto"/>
              <w:bottom w:val="nil"/>
              <w:right w:val="single" w:sz="4" w:space="0" w:color="auto"/>
            </w:tcBorders>
            <w:shd w:val="clear" w:color="auto" w:fill="auto"/>
            <w:noWrap/>
            <w:vAlign w:val="bottom"/>
          </w:tcPr>
          <w:p w14:paraId="2B0EAFB6"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16,4</w:t>
            </w:r>
          </w:p>
        </w:tc>
      </w:tr>
      <w:tr w:rsidR="00123F4F" w:rsidRPr="006B2701" w14:paraId="21BE8CB7" w14:textId="77777777" w:rsidTr="00123F4F">
        <w:trPr>
          <w:trHeight w:val="285"/>
          <w:jc w:val="center"/>
        </w:trPr>
        <w:tc>
          <w:tcPr>
            <w:tcW w:w="5627" w:type="dxa"/>
            <w:tcBorders>
              <w:top w:val="nil"/>
              <w:left w:val="single" w:sz="4" w:space="0" w:color="auto"/>
              <w:bottom w:val="nil"/>
              <w:right w:val="single" w:sz="4" w:space="0" w:color="auto"/>
            </w:tcBorders>
            <w:noWrap/>
            <w:vAlign w:val="bottom"/>
          </w:tcPr>
          <w:p w14:paraId="1F05ED22" w14:textId="77777777" w:rsidR="00123F4F" w:rsidRPr="006B2701" w:rsidRDefault="00123F4F" w:rsidP="00123F4F">
            <w:pPr>
              <w:pStyle w:val="ListParagraph"/>
              <w:keepNext/>
              <w:numPr>
                <w:ilvl w:val="0"/>
                <w:numId w:val="6"/>
              </w:numPr>
              <w:spacing w:before="120"/>
              <w:ind w:left="557" w:hanging="191"/>
              <w:rPr>
                <w:rFonts w:ascii="Tahoma" w:hAnsi="Tahoma" w:cs="Tahoma"/>
                <w:lang w:val="ro-RO"/>
              </w:rPr>
            </w:pPr>
            <w:proofErr w:type="spellStart"/>
            <w:r w:rsidRPr="006B2701">
              <w:rPr>
                <w:rFonts w:ascii="Tahoma" w:hAnsi="Tahoma" w:cs="Tahoma"/>
                <w:lang w:val="ro-RO"/>
              </w:rPr>
              <w:t>sfârşitul</w:t>
            </w:r>
            <w:proofErr w:type="spellEnd"/>
            <w:r w:rsidRPr="006B2701">
              <w:rPr>
                <w:rFonts w:ascii="Tahoma" w:hAnsi="Tahoma" w:cs="Tahoma"/>
                <w:lang w:val="ro-RO"/>
              </w:rPr>
              <w:t xml:space="preserve"> anului - %</w:t>
            </w:r>
          </w:p>
        </w:tc>
        <w:tc>
          <w:tcPr>
            <w:tcW w:w="1810" w:type="dxa"/>
            <w:tcBorders>
              <w:top w:val="nil"/>
              <w:left w:val="single" w:sz="4" w:space="0" w:color="auto"/>
              <w:bottom w:val="nil"/>
              <w:right w:val="single" w:sz="4" w:space="0" w:color="auto"/>
            </w:tcBorders>
            <w:shd w:val="clear" w:color="auto" w:fill="auto"/>
            <w:noWrap/>
            <w:vAlign w:val="bottom"/>
          </w:tcPr>
          <w:p w14:paraId="4166F9CF"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6,5</w:t>
            </w:r>
          </w:p>
        </w:tc>
        <w:tc>
          <w:tcPr>
            <w:tcW w:w="1830" w:type="dxa"/>
            <w:tcBorders>
              <w:top w:val="nil"/>
              <w:left w:val="single" w:sz="4" w:space="0" w:color="auto"/>
              <w:bottom w:val="nil"/>
              <w:right w:val="single" w:sz="4" w:space="0" w:color="auto"/>
            </w:tcBorders>
            <w:shd w:val="clear" w:color="auto" w:fill="auto"/>
            <w:noWrap/>
            <w:vAlign w:val="bottom"/>
          </w:tcPr>
          <w:p w14:paraId="268A467A"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13,8</w:t>
            </w:r>
          </w:p>
        </w:tc>
      </w:tr>
      <w:tr w:rsidR="00123F4F" w:rsidRPr="006B2701" w14:paraId="19A1CC33" w14:textId="77777777" w:rsidTr="00123F4F">
        <w:trPr>
          <w:trHeight w:val="83"/>
          <w:jc w:val="center"/>
        </w:trPr>
        <w:tc>
          <w:tcPr>
            <w:tcW w:w="5627" w:type="dxa"/>
            <w:tcBorders>
              <w:top w:val="nil"/>
              <w:left w:val="single" w:sz="4" w:space="0" w:color="auto"/>
              <w:bottom w:val="nil"/>
              <w:right w:val="single" w:sz="4" w:space="0" w:color="auto"/>
            </w:tcBorders>
            <w:noWrap/>
            <w:vAlign w:val="bottom"/>
          </w:tcPr>
          <w:p w14:paraId="26290C84" w14:textId="77777777" w:rsidR="00123F4F" w:rsidRPr="006B2701" w:rsidRDefault="00123F4F" w:rsidP="00123F4F">
            <w:pPr>
              <w:keepNext/>
              <w:spacing w:before="120"/>
              <w:rPr>
                <w:rFonts w:ascii="Tahoma" w:hAnsi="Tahoma" w:cs="Tahoma"/>
                <w:lang w:val="ro-RO"/>
              </w:rPr>
            </w:pPr>
            <w:r w:rsidRPr="006B2701">
              <w:rPr>
                <w:rFonts w:ascii="Tahoma" w:hAnsi="Tahoma" w:cs="Tahoma"/>
                <w:lang w:val="ro-RO"/>
              </w:rPr>
              <w:t xml:space="preserve">Număr mediu de </w:t>
            </w:r>
            <w:proofErr w:type="spellStart"/>
            <w:r w:rsidRPr="006B2701">
              <w:rPr>
                <w:rFonts w:ascii="Tahoma" w:hAnsi="Tahoma" w:cs="Tahoma"/>
                <w:lang w:val="ro-RO"/>
              </w:rPr>
              <w:t>salariaţi</w:t>
            </w:r>
            <w:proofErr w:type="spellEnd"/>
            <w:r w:rsidRPr="006B2701">
              <w:rPr>
                <w:rFonts w:ascii="Tahoma" w:hAnsi="Tahoma" w:cs="Tahoma"/>
                <w:lang w:val="ro-RO"/>
              </w:rPr>
              <w:t xml:space="preserve"> – %</w:t>
            </w:r>
          </w:p>
        </w:tc>
        <w:tc>
          <w:tcPr>
            <w:tcW w:w="1810" w:type="dxa"/>
            <w:tcBorders>
              <w:top w:val="nil"/>
              <w:left w:val="single" w:sz="4" w:space="0" w:color="auto"/>
              <w:bottom w:val="nil"/>
              <w:right w:val="single" w:sz="4" w:space="0" w:color="auto"/>
            </w:tcBorders>
            <w:noWrap/>
            <w:vAlign w:val="bottom"/>
          </w:tcPr>
          <w:p w14:paraId="0FD1FB19"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2,0</w:t>
            </w:r>
          </w:p>
        </w:tc>
        <w:tc>
          <w:tcPr>
            <w:tcW w:w="1830" w:type="dxa"/>
            <w:tcBorders>
              <w:top w:val="nil"/>
              <w:left w:val="single" w:sz="4" w:space="0" w:color="auto"/>
              <w:bottom w:val="nil"/>
              <w:right w:val="single" w:sz="4" w:space="0" w:color="auto"/>
            </w:tcBorders>
            <w:noWrap/>
            <w:vAlign w:val="bottom"/>
          </w:tcPr>
          <w:p w14:paraId="059AAB14"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1,5</w:t>
            </w:r>
          </w:p>
        </w:tc>
      </w:tr>
      <w:tr w:rsidR="00123F4F" w:rsidRPr="006B2701" w14:paraId="25189B62" w14:textId="77777777" w:rsidTr="00123F4F">
        <w:trPr>
          <w:trHeight w:val="83"/>
          <w:jc w:val="center"/>
        </w:trPr>
        <w:tc>
          <w:tcPr>
            <w:tcW w:w="5627" w:type="dxa"/>
            <w:tcBorders>
              <w:top w:val="nil"/>
              <w:left w:val="single" w:sz="4" w:space="0" w:color="auto"/>
              <w:bottom w:val="nil"/>
              <w:right w:val="single" w:sz="4" w:space="0" w:color="auto"/>
            </w:tcBorders>
            <w:noWrap/>
            <w:vAlign w:val="bottom"/>
          </w:tcPr>
          <w:p w14:paraId="6F238143" w14:textId="77777777" w:rsidR="00123F4F" w:rsidRPr="006B2701" w:rsidRDefault="00123F4F" w:rsidP="00123F4F">
            <w:pPr>
              <w:keepNext/>
              <w:spacing w:before="120"/>
              <w:rPr>
                <w:rFonts w:ascii="Tahoma" w:hAnsi="Tahoma" w:cs="Tahoma"/>
                <w:lang w:val="ro-RO"/>
              </w:rPr>
            </w:pPr>
            <w:proofErr w:type="spellStart"/>
            <w:r w:rsidRPr="006B2701">
              <w:rPr>
                <w:rFonts w:ascii="Tahoma" w:hAnsi="Tahoma" w:cs="Tahoma"/>
                <w:lang w:val="ro-RO"/>
              </w:rPr>
              <w:t>Şomeri</w:t>
            </w:r>
            <w:proofErr w:type="spellEnd"/>
            <w:r w:rsidRPr="006B2701">
              <w:rPr>
                <w:rFonts w:ascii="Tahoma" w:hAnsi="Tahoma" w:cs="Tahoma"/>
                <w:lang w:val="ro-RO"/>
              </w:rPr>
              <w:t xml:space="preserve"> </w:t>
            </w:r>
            <w:proofErr w:type="spellStart"/>
            <w:r w:rsidRPr="006B2701">
              <w:rPr>
                <w:rFonts w:ascii="Tahoma" w:hAnsi="Tahoma" w:cs="Tahoma"/>
                <w:lang w:val="ro-RO"/>
              </w:rPr>
              <w:t>înregistraţi</w:t>
            </w:r>
            <w:proofErr w:type="spellEnd"/>
            <w:r w:rsidRPr="006B2701">
              <w:rPr>
                <w:rFonts w:ascii="Tahoma" w:hAnsi="Tahoma" w:cs="Tahoma"/>
                <w:lang w:val="ro-RO"/>
              </w:rPr>
              <w:t xml:space="preserve"> la sf. anului  - mii persoane</w:t>
            </w:r>
          </w:p>
        </w:tc>
        <w:tc>
          <w:tcPr>
            <w:tcW w:w="1810" w:type="dxa"/>
            <w:tcBorders>
              <w:top w:val="nil"/>
              <w:left w:val="single" w:sz="4" w:space="0" w:color="auto"/>
              <w:bottom w:val="nil"/>
              <w:right w:val="single" w:sz="4" w:space="0" w:color="auto"/>
            </w:tcBorders>
            <w:noWrap/>
            <w:vAlign w:val="bottom"/>
          </w:tcPr>
          <w:p w14:paraId="4022E525"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258</w:t>
            </w:r>
          </w:p>
        </w:tc>
        <w:tc>
          <w:tcPr>
            <w:tcW w:w="1830" w:type="dxa"/>
            <w:tcBorders>
              <w:top w:val="nil"/>
              <w:left w:val="single" w:sz="4" w:space="0" w:color="auto"/>
              <w:bottom w:val="nil"/>
              <w:right w:val="single" w:sz="4" w:space="0" w:color="auto"/>
            </w:tcBorders>
            <w:noWrap/>
            <w:vAlign w:val="bottom"/>
          </w:tcPr>
          <w:p w14:paraId="15BD9562"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239,1</w:t>
            </w:r>
          </w:p>
        </w:tc>
      </w:tr>
      <w:tr w:rsidR="00123F4F" w:rsidRPr="006B2701" w14:paraId="4061D2DC" w14:textId="77777777" w:rsidTr="00123F4F">
        <w:trPr>
          <w:trHeight w:val="80"/>
          <w:jc w:val="center"/>
        </w:trPr>
        <w:tc>
          <w:tcPr>
            <w:tcW w:w="5627" w:type="dxa"/>
            <w:tcBorders>
              <w:top w:val="nil"/>
              <w:left w:val="single" w:sz="4" w:space="0" w:color="auto"/>
              <w:right w:val="single" w:sz="4" w:space="0" w:color="auto"/>
            </w:tcBorders>
            <w:noWrap/>
            <w:vAlign w:val="bottom"/>
          </w:tcPr>
          <w:p w14:paraId="3C0DBCB8" w14:textId="77777777" w:rsidR="00123F4F" w:rsidRPr="006B2701" w:rsidRDefault="00123F4F" w:rsidP="00123F4F">
            <w:pPr>
              <w:pStyle w:val="ListParagraph"/>
              <w:keepNext/>
              <w:numPr>
                <w:ilvl w:val="0"/>
                <w:numId w:val="6"/>
              </w:numPr>
              <w:spacing w:before="120"/>
              <w:ind w:left="415" w:hanging="191"/>
              <w:rPr>
                <w:rFonts w:ascii="Tahoma" w:hAnsi="Tahoma" w:cs="Tahoma"/>
                <w:lang w:val="ro-RO"/>
              </w:rPr>
            </w:pPr>
            <w:r w:rsidRPr="006B2701">
              <w:rPr>
                <w:rFonts w:ascii="Tahoma" w:hAnsi="Tahoma" w:cs="Tahoma"/>
                <w:lang w:val="ro-RO"/>
              </w:rPr>
              <w:t xml:space="preserve">rata </w:t>
            </w:r>
            <w:proofErr w:type="spellStart"/>
            <w:r w:rsidRPr="006B2701">
              <w:rPr>
                <w:rFonts w:ascii="Tahoma" w:hAnsi="Tahoma" w:cs="Tahoma"/>
                <w:lang w:val="ro-RO"/>
              </w:rPr>
              <w:t>şomajului</w:t>
            </w:r>
            <w:proofErr w:type="spellEnd"/>
            <w:r w:rsidRPr="006B2701">
              <w:rPr>
                <w:rFonts w:ascii="Tahoma" w:hAnsi="Tahoma" w:cs="Tahoma"/>
                <w:lang w:val="ro-RO"/>
              </w:rPr>
              <w:t xml:space="preserve"> - %</w:t>
            </w:r>
          </w:p>
        </w:tc>
        <w:tc>
          <w:tcPr>
            <w:tcW w:w="1810" w:type="dxa"/>
            <w:tcBorders>
              <w:top w:val="nil"/>
              <w:left w:val="single" w:sz="4" w:space="0" w:color="auto"/>
              <w:right w:val="single" w:sz="4" w:space="0" w:color="auto"/>
            </w:tcBorders>
            <w:noWrap/>
            <w:vAlign w:val="bottom"/>
          </w:tcPr>
          <w:p w14:paraId="760DA892"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2,9</w:t>
            </w:r>
          </w:p>
        </w:tc>
        <w:tc>
          <w:tcPr>
            <w:tcW w:w="1830" w:type="dxa"/>
            <w:tcBorders>
              <w:top w:val="nil"/>
              <w:left w:val="single" w:sz="4" w:space="0" w:color="auto"/>
              <w:right w:val="single" w:sz="4" w:space="0" w:color="auto"/>
            </w:tcBorders>
            <w:noWrap/>
            <w:vAlign w:val="bottom"/>
          </w:tcPr>
          <w:p w14:paraId="0508DF0E"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3,1</w:t>
            </w:r>
          </w:p>
        </w:tc>
      </w:tr>
      <w:tr w:rsidR="00123F4F" w:rsidRPr="006B2701" w14:paraId="6856B77E" w14:textId="77777777" w:rsidTr="00123F4F">
        <w:trPr>
          <w:trHeight w:val="80"/>
          <w:jc w:val="center"/>
        </w:trPr>
        <w:tc>
          <w:tcPr>
            <w:tcW w:w="5627" w:type="dxa"/>
            <w:tcBorders>
              <w:top w:val="nil"/>
              <w:left w:val="single" w:sz="4" w:space="0" w:color="auto"/>
              <w:bottom w:val="single" w:sz="4" w:space="0" w:color="auto"/>
              <w:right w:val="single" w:sz="4" w:space="0" w:color="auto"/>
            </w:tcBorders>
            <w:noWrap/>
            <w:vAlign w:val="bottom"/>
          </w:tcPr>
          <w:p w14:paraId="03E3134C" w14:textId="77777777" w:rsidR="00123F4F" w:rsidRPr="006B2701" w:rsidRDefault="00123F4F" w:rsidP="00123F4F">
            <w:pPr>
              <w:keepNext/>
              <w:spacing w:before="120"/>
              <w:rPr>
                <w:rFonts w:ascii="Tahoma" w:hAnsi="Tahoma" w:cs="Tahoma"/>
                <w:lang w:val="ro-RO"/>
              </w:rPr>
            </w:pPr>
            <w:proofErr w:type="spellStart"/>
            <w:r w:rsidRPr="006B2701">
              <w:rPr>
                <w:rFonts w:ascii="Tahoma" w:hAnsi="Tahoma" w:cs="Tahoma"/>
                <w:lang w:val="ro-RO"/>
              </w:rPr>
              <w:t>Câştigul</w:t>
            </w:r>
            <w:proofErr w:type="spellEnd"/>
            <w:r w:rsidRPr="006B2701">
              <w:rPr>
                <w:rFonts w:ascii="Tahoma" w:hAnsi="Tahoma" w:cs="Tahoma"/>
                <w:lang w:val="ro-RO"/>
              </w:rPr>
              <w:t xml:space="preserve"> salarial mediu brut - lei lunar</w:t>
            </w:r>
          </w:p>
        </w:tc>
        <w:tc>
          <w:tcPr>
            <w:tcW w:w="1810" w:type="dxa"/>
            <w:tcBorders>
              <w:top w:val="nil"/>
              <w:left w:val="single" w:sz="4" w:space="0" w:color="auto"/>
              <w:bottom w:val="single" w:sz="4" w:space="0" w:color="auto"/>
              <w:right w:val="single" w:sz="4" w:space="0" w:color="auto"/>
            </w:tcBorders>
            <w:noWrap/>
            <w:vAlign w:val="bottom"/>
          </w:tcPr>
          <w:p w14:paraId="39680820"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6.095</w:t>
            </w:r>
          </w:p>
        </w:tc>
        <w:tc>
          <w:tcPr>
            <w:tcW w:w="1830" w:type="dxa"/>
            <w:tcBorders>
              <w:top w:val="nil"/>
              <w:left w:val="single" w:sz="4" w:space="0" w:color="auto"/>
              <w:bottom w:val="single" w:sz="4" w:space="0" w:color="auto"/>
              <w:right w:val="single" w:sz="4" w:space="0" w:color="auto"/>
            </w:tcBorders>
            <w:noWrap/>
            <w:vAlign w:val="bottom"/>
          </w:tcPr>
          <w:p w14:paraId="670C9255" w14:textId="77777777" w:rsidR="00123F4F" w:rsidRPr="006B2701" w:rsidRDefault="00123F4F" w:rsidP="00123F4F">
            <w:pPr>
              <w:keepNext/>
              <w:spacing w:before="120"/>
              <w:jc w:val="center"/>
              <w:rPr>
                <w:rFonts w:ascii="Tahoma" w:hAnsi="Tahoma" w:cs="Tahoma"/>
                <w:lang w:val="ro-RO"/>
              </w:rPr>
            </w:pPr>
            <w:r w:rsidRPr="006B2701">
              <w:rPr>
                <w:rFonts w:ascii="Tahoma" w:hAnsi="Tahoma" w:cs="Tahoma"/>
                <w:lang w:val="ro-RO"/>
              </w:rPr>
              <w:t xml:space="preserve"> 6.430*</w:t>
            </w:r>
          </w:p>
        </w:tc>
      </w:tr>
    </w:tbl>
    <w:p w14:paraId="61CA5D33" w14:textId="77777777" w:rsidR="00123F4F" w:rsidRPr="006B2701" w:rsidRDefault="00123F4F" w:rsidP="00123F4F">
      <w:pPr>
        <w:keepNext/>
        <w:ind w:left="709"/>
        <w:rPr>
          <w:rFonts w:ascii="Tahoma" w:hAnsi="Tahoma" w:cs="Tahoma"/>
          <w:i/>
          <w:iCs/>
          <w:sz w:val="20"/>
          <w:szCs w:val="20"/>
          <w:lang w:val="ro-RO"/>
        </w:rPr>
      </w:pPr>
      <w:r w:rsidRPr="006B2701">
        <w:rPr>
          <w:rFonts w:ascii="Tahoma" w:hAnsi="Tahoma" w:cs="Tahoma"/>
          <w:i/>
          <w:iCs/>
          <w:sz w:val="20"/>
          <w:szCs w:val="20"/>
          <w:lang w:val="ro-RO"/>
        </w:rPr>
        <w:t>Notă: Datele PIB pentru anul 2022 sunt provizorii</w:t>
      </w:r>
    </w:p>
    <w:p w14:paraId="2B66541B" w14:textId="77777777" w:rsidR="00123F4F" w:rsidRPr="006B2701" w:rsidRDefault="00123F4F" w:rsidP="00123F4F">
      <w:pPr>
        <w:keepNext/>
        <w:ind w:left="709"/>
        <w:rPr>
          <w:rFonts w:ascii="Tahoma" w:hAnsi="Tahoma" w:cs="Tahoma"/>
          <w:i/>
          <w:iCs/>
          <w:sz w:val="20"/>
          <w:szCs w:val="20"/>
          <w:lang w:val="ro-RO"/>
        </w:rPr>
      </w:pPr>
      <w:r w:rsidRPr="006B2701">
        <w:rPr>
          <w:rFonts w:ascii="Tahoma" w:hAnsi="Tahoma" w:cs="Tahoma"/>
          <w:i/>
          <w:iCs/>
          <w:sz w:val="20"/>
          <w:szCs w:val="20"/>
          <w:lang w:val="ro-RO"/>
        </w:rPr>
        <w:t>*) Realizări pe baza datelor lunare</w:t>
      </w:r>
    </w:p>
    <w:p w14:paraId="0FB55CD7" w14:textId="77777777" w:rsidR="00123F4F" w:rsidRPr="006B2701" w:rsidRDefault="00123F4F" w:rsidP="00123F4F">
      <w:pPr>
        <w:keepNext/>
        <w:spacing w:before="120" w:line="276" w:lineRule="auto"/>
        <w:ind w:firstLine="540"/>
        <w:jc w:val="both"/>
        <w:rPr>
          <w:rFonts w:ascii="Tahoma" w:hAnsi="Tahoma" w:cs="Tahoma"/>
          <w:lang w:val="ro-RO"/>
        </w:rPr>
      </w:pPr>
    </w:p>
    <w:p w14:paraId="3BB74D18" w14:textId="77777777" w:rsidR="00123F4F" w:rsidRPr="006B2701" w:rsidRDefault="00123F4F" w:rsidP="00123F4F">
      <w:pPr>
        <w:keepNext/>
        <w:spacing w:before="120" w:line="276" w:lineRule="auto"/>
        <w:ind w:firstLine="540"/>
        <w:jc w:val="both"/>
        <w:rPr>
          <w:rFonts w:ascii="Tahoma" w:hAnsi="Tahoma" w:cs="Tahoma"/>
          <w:sz w:val="24"/>
          <w:szCs w:val="24"/>
          <w:lang w:val="ro-RO"/>
        </w:rPr>
      </w:pPr>
      <w:proofErr w:type="spellStart"/>
      <w:r w:rsidRPr="006B2701">
        <w:rPr>
          <w:rFonts w:ascii="Tahoma" w:hAnsi="Tahoma" w:cs="Tahoma"/>
          <w:sz w:val="24"/>
          <w:szCs w:val="24"/>
          <w:lang w:val="ro-RO"/>
        </w:rPr>
        <w:t>Creşterea</w:t>
      </w:r>
      <w:proofErr w:type="spellEnd"/>
      <w:r w:rsidRPr="006B2701">
        <w:rPr>
          <w:rFonts w:ascii="Tahoma" w:hAnsi="Tahoma" w:cs="Tahoma"/>
          <w:sz w:val="24"/>
          <w:szCs w:val="24"/>
          <w:lang w:val="ro-RO"/>
        </w:rPr>
        <w:t xml:space="preserve"> economică s-a bazat pe </w:t>
      </w:r>
      <w:proofErr w:type="spellStart"/>
      <w:r w:rsidRPr="006B2701">
        <w:rPr>
          <w:rFonts w:ascii="Tahoma" w:hAnsi="Tahoma" w:cs="Tahoma"/>
          <w:sz w:val="24"/>
          <w:szCs w:val="24"/>
          <w:lang w:val="ro-RO"/>
        </w:rPr>
        <w:t>contribuţia</w:t>
      </w:r>
      <w:proofErr w:type="spellEnd"/>
      <w:r w:rsidRPr="006B2701">
        <w:rPr>
          <w:rFonts w:ascii="Tahoma" w:hAnsi="Tahoma" w:cs="Tahoma"/>
          <w:sz w:val="24"/>
          <w:szCs w:val="24"/>
          <w:lang w:val="ro-RO"/>
        </w:rPr>
        <w:t xml:space="preserve"> următorilor factori:</w:t>
      </w:r>
    </w:p>
    <w:p w14:paraId="45E17A66" w14:textId="3ABED846" w:rsidR="00123F4F" w:rsidRPr="006B2701" w:rsidRDefault="00123F4F" w:rsidP="00123F4F">
      <w:pPr>
        <w:pStyle w:val="ListParagraph"/>
        <w:keepNext/>
        <w:numPr>
          <w:ilvl w:val="0"/>
          <w:numId w:val="43"/>
        </w:numPr>
        <w:spacing w:before="120" w:line="276" w:lineRule="auto"/>
        <w:ind w:left="851" w:right="45" w:hanging="284"/>
        <w:jc w:val="both"/>
        <w:rPr>
          <w:rFonts w:ascii="Tahoma" w:hAnsi="Tahoma" w:cs="Tahoma"/>
          <w:sz w:val="24"/>
          <w:szCs w:val="24"/>
          <w:lang w:val="ro-RO"/>
        </w:rPr>
      </w:pPr>
      <w:r w:rsidRPr="006B2701">
        <w:rPr>
          <w:rFonts w:ascii="Tahoma" w:hAnsi="Tahoma" w:cs="Tahoma"/>
          <w:b/>
          <w:sz w:val="24"/>
          <w:szCs w:val="24"/>
          <w:lang w:val="ro-RO"/>
        </w:rPr>
        <w:t>Pe partea cererii</w:t>
      </w:r>
      <w:r w:rsidRPr="006B2701">
        <w:rPr>
          <w:rFonts w:ascii="Tahoma" w:hAnsi="Tahoma" w:cs="Tahoma"/>
          <w:sz w:val="24"/>
          <w:szCs w:val="24"/>
          <w:lang w:val="ro-RO"/>
        </w:rPr>
        <w:t xml:space="preserve">, s-a apreciat faptul că, în anul 2022, formarea brută de capital fix va fi pilonul de </w:t>
      </w:r>
      <w:proofErr w:type="spellStart"/>
      <w:r w:rsidRPr="006B2701">
        <w:rPr>
          <w:rFonts w:ascii="Tahoma" w:hAnsi="Tahoma" w:cs="Tahoma"/>
          <w:sz w:val="24"/>
          <w:szCs w:val="24"/>
          <w:lang w:val="ro-RO"/>
        </w:rPr>
        <w:t>susţinere</w:t>
      </w:r>
      <w:proofErr w:type="spellEnd"/>
      <w:r w:rsidRPr="006B2701">
        <w:rPr>
          <w:rFonts w:ascii="Tahoma" w:hAnsi="Tahoma" w:cs="Tahoma"/>
          <w:sz w:val="24"/>
          <w:szCs w:val="24"/>
          <w:lang w:val="ro-RO"/>
        </w:rPr>
        <w:t xml:space="preserve"> al avansului economic. Prognoza </w:t>
      </w:r>
      <w:proofErr w:type="spellStart"/>
      <w:r w:rsidRPr="006B2701">
        <w:rPr>
          <w:rFonts w:ascii="Tahoma" w:hAnsi="Tahoma" w:cs="Tahoma"/>
          <w:sz w:val="24"/>
          <w:szCs w:val="24"/>
          <w:lang w:val="ro-RO"/>
        </w:rPr>
        <w:t>creşterii</w:t>
      </w:r>
      <w:proofErr w:type="spellEnd"/>
      <w:r w:rsidRPr="006B2701">
        <w:rPr>
          <w:rFonts w:ascii="Tahoma" w:hAnsi="Tahoma" w:cs="Tahoma"/>
          <w:sz w:val="24"/>
          <w:szCs w:val="24"/>
          <w:lang w:val="ro-RO"/>
        </w:rPr>
        <w:t xml:space="preserve"> </w:t>
      </w:r>
      <w:proofErr w:type="spellStart"/>
      <w:r w:rsidRPr="006B2701">
        <w:rPr>
          <w:rFonts w:ascii="Tahoma" w:hAnsi="Tahoma" w:cs="Tahoma"/>
          <w:sz w:val="24"/>
          <w:szCs w:val="24"/>
          <w:lang w:val="ro-RO"/>
        </w:rPr>
        <w:t>investiţiilor</w:t>
      </w:r>
      <w:proofErr w:type="spellEnd"/>
      <w:r w:rsidRPr="006B2701">
        <w:rPr>
          <w:rFonts w:ascii="Tahoma" w:hAnsi="Tahoma" w:cs="Tahoma"/>
          <w:sz w:val="24"/>
          <w:szCs w:val="24"/>
          <w:lang w:val="ro-RO"/>
        </w:rPr>
        <w:t xml:space="preserve"> brute cu 9,3% s-a bazat pe o </w:t>
      </w:r>
      <w:proofErr w:type="spellStart"/>
      <w:r w:rsidRPr="006B2701">
        <w:rPr>
          <w:rFonts w:ascii="Tahoma" w:hAnsi="Tahoma" w:cs="Tahoma"/>
          <w:sz w:val="24"/>
          <w:szCs w:val="24"/>
          <w:lang w:val="ro-RO"/>
        </w:rPr>
        <w:t>absorbţie</w:t>
      </w:r>
      <w:proofErr w:type="spellEnd"/>
      <w:r w:rsidRPr="006B2701">
        <w:rPr>
          <w:rFonts w:ascii="Tahoma" w:hAnsi="Tahoma" w:cs="Tahoma"/>
          <w:sz w:val="24"/>
          <w:szCs w:val="24"/>
          <w:lang w:val="ro-RO"/>
        </w:rPr>
        <w:t xml:space="preserve"> eficientă  a sumelor alocate prin PNRR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a celor disponibile prin Cadrul financiar multianual. Pentru consumul privat, având în vedere </w:t>
      </w:r>
      <w:proofErr w:type="spellStart"/>
      <w:r w:rsidRPr="006B2701">
        <w:rPr>
          <w:rFonts w:ascii="Tahoma" w:hAnsi="Tahoma" w:cs="Tahoma"/>
          <w:sz w:val="24"/>
          <w:szCs w:val="24"/>
          <w:lang w:val="ro-RO"/>
        </w:rPr>
        <w:t>tendinţa</w:t>
      </w:r>
      <w:proofErr w:type="spellEnd"/>
      <w:r w:rsidRPr="006B2701">
        <w:rPr>
          <w:rFonts w:ascii="Tahoma" w:hAnsi="Tahoma" w:cs="Tahoma"/>
          <w:sz w:val="24"/>
          <w:szCs w:val="24"/>
          <w:lang w:val="ro-RO"/>
        </w:rPr>
        <w:t xml:space="preserve"> de majorare a </w:t>
      </w:r>
      <w:proofErr w:type="spellStart"/>
      <w:r w:rsidRPr="006B2701">
        <w:rPr>
          <w:rFonts w:ascii="Tahoma" w:hAnsi="Tahoma" w:cs="Tahoma"/>
          <w:sz w:val="24"/>
          <w:szCs w:val="24"/>
          <w:lang w:val="ro-RO"/>
        </w:rPr>
        <w:t>preţurilor</w:t>
      </w:r>
      <w:proofErr w:type="spellEnd"/>
      <w:r w:rsidRPr="006B2701">
        <w:rPr>
          <w:rFonts w:ascii="Tahoma" w:hAnsi="Tahoma" w:cs="Tahoma"/>
          <w:sz w:val="24"/>
          <w:szCs w:val="24"/>
          <w:lang w:val="ro-RO"/>
        </w:rPr>
        <w:t xml:space="preserve"> de consum începând cu a doua parte a anului 2021, s-a estimat o </w:t>
      </w:r>
      <w:proofErr w:type="spellStart"/>
      <w:r w:rsidRPr="006B2701">
        <w:rPr>
          <w:rFonts w:ascii="Tahoma" w:hAnsi="Tahoma" w:cs="Tahoma"/>
          <w:sz w:val="24"/>
          <w:szCs w:val="24"/>
          <w:lang w:val="ro-RO"/>
        </w:rPr>
        <w:t>creştere</w:t>
      </w:r>
      <w:proofErr w:type="spellEnd"/>
      <w:r w:rsidRPr="006B2701">
        <w:rPr>
          <w:rFonts w:ascii="Tahoma" w:hAnsi="Tahoma" w:cs="Tahoma"/>
          <w:sz w:val="24"/>
          <w:szCs w:val="24"/>
          <w:lang w:val="ro-RO"/>
        </w:rPr>
        <w:t xml:space="preserve"> moderată (4,5%), fiind de </w:t>
      </w:r>
      <w:proofErr w:type="spellStart"/>
      <w:r w:rsidRPr="006B2701">
        <w:rPr>
          <w:rFonts w:ascii="Tahoma" w:hAnsi="Tahoma" w:cs="Tahoma"/>
          <w:sz w:val="24"/>
          <w:szCs w:val="24"/>
          <w:lang w:val="ro-RO"/>
        </w:rPr>
        <w:t>aşteptat</w:t>
      </w:r>
      <w:proofErr w:type="spellEnd"/>
      <w:r w:rsidRPr="006B2701">
        <w:rPr>
          <w:rFonts w:ascii="Tahoma" w:hAnsi="Tahoma" w:cs="Tahoma"/>
          <w:sz w:val="24"/>
          <w:szCs w:val="24"/>
          <w:lang w:val="ro-RO"/>
        </w:rPr>
        <w:t xml:space="preserve"> o încetinire a dinamicii puterii de cumpărare a </w:t>
      </w:r>
      <w:proofErr w:type="spellStart"/>
      <w:r w:rsidRPr="006B2701">
        <w:rPr>
          <w:rFonts w:ascii="Tahoma" w:hAnsi="Tahoma" w:cs="Tahoma"/>
          <w:sz w:val="24"/>
          <w:szCs w:val="24"/>
          <w:lang w:val="ro-RO"/>
        </w:rPr>
        <w:t>populaţiei</w:t>
      </w:r>
      <w:proofErr w:type="spellEnd"/>
      <w:r w:rsidRPr="006B2701">
        <w:rPr>
          <w:rFonts w:ascii="Tahoma" w:hAnsi="Tahoma" w:cs="Tahoma"/>
          <w:sz w:val="24"/>
          <w:szCs w:val="24"/>
          <w:lang w:val="ro-RO"/>
        </w:rPr>
        <w:t xml:space="preserve">. La fundamentarea consumului guvernamental s-a avut în vedere alocarea de resurse bugetare, atât pentru </w:t>
      </w:r>
      <w:r w:rsidRPr="006B2701">
        <w:rPr>
          <w:rFonts w:ascii="Tahoma" w:hAnsi="Tahoma" w:cs="Tahoma"/>
          <w:sz w:val="24"/>
          <w:szCs w:val="24"/>
          <w:lang w:val="ro-RO"/>
        </w:rPr>
        <w:lastRenderedPageBreak/>
        <w:t xml:space="preserve">compensarea </w:t>
      </w:r>
      <w:r w:rsidR="008D1A71" w:rsidRPr="006B2701">
        <w:rPr>
          <w:rFonts w:ascii="Tahoma" w:hAnsi="Tahoma" w:cs="Tahoma"/>
          <w:sz w:val="24"/>
          <w:szCs w:val="24"/>
          <w:lang w:val="ro-RO"/>
        </w:rPr>
        <w:t>prețurilor</w:t>
      </w:r>
      <w:r w:rsidRPr="006B2701">
        <w:rPr>
          <w:rFonts w:ascii="Tahoma" w:hAnsi="Tahoma" w:cs="Tahoma"/>
          <w:sz w:val="24"/>
          <w:szCs w:val="24"/>
          <w:lang w:val="ro-RO"/>
        </w:rPr>
        <w:t xml:space="preserve"> la energie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gaze, cât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în contextul prelungirii crizei pandemice în primul trimestru al anului. Estimarea pentru sectorul extern a luat în considerare o diminuare a volumului de activitate cauzată de </w:t>
      </w:r>
      <w:r w:rsidR="008D1A71" w:rsidRPr="006B2701">
        <w:rPr>
          <w:rFonts w:ascii="Tahoma" w:hAnsi="Tahoma" w:cs="Tahoma"/>
          <w:sz w:val="24"/>
          <w:szCs w:val="24"/>
          <w:lang w:val="ro-RO"/>
        </w:rPr>
        <w:t>dificultățile</w:t>
      </w:r>
      <w:r w:rsidRPr="006B2701">
        <w:rPr>
          <w:rFonts w:ascii="Tahoma" w:hAnsi="Tahoma" w:cs="Tahoma"/>
          <w:sz w:val="24"/>
          <w:szCs w:val="24"/>
          <w:lang w:val="ro-RO"/>
        </w:rPr>
        <w:t xml:space="preserve"> existente în </w:t>
      </w:r>
      <w:r w:rsidR="008D1A71" w:rsidRPr="006B2701">
        <w:rPr>
          <w:rFonts w:ascii="Tahoma" w:hAnsi="Tahoma" w:cs="Tahoma"/>
          <w:sz w:val="24"/>
          <w:szCs w:val="24"/>
          <w:lang w:val="ro-RO"/>
        </w:rPr>
        <w:t>lanțurile</w:t>
      </w:r>
      <w:r w:rsidRPr="006B2701">
        <w:rPr>
          <w:rFonts w:ascii="Tahoma" w:hAnsi="Tahoma" w:cs="Tahoma"/>
          <w:sz w:val="24"/>
          <w:szCs w:val="24"/>
          <w:lang w:val="ro-RO"/>
        </w:rPr>
        <w:t xml:space="preserve"> de aprovizionare. </w:t>
      </w:r>
    </w:p>
    <w:p w14:paraId="76217C1F" w14:textId="1034EBE1" w:rsidR="00123F4F" w:rsidRPr="006B2701" w:rsidRDefault="00123F4F" w:rsidP="00123F4F">
      <w:pPr>
        <w:pStyle w:val="ListParagraph"/>
        <w:keepNext/>
        <w:numPr>
          <w:ilvl w:val="0"/>
          <w:numId w:val="43"/>
        </w:numPr>
        <w:spacing w:before="120" w:line="276" w:lineRule="auto"/>
        <w:ind w:left="851" w:hanging="284"/>
        <w:jc w:val="both"/>
        <w:rPr>
          <w:rFonts w:ascii="Tahoma" w:hAnsi="Tahoma" w:cs="Tahoma"/>
          <w:sz w:val="24"/>
          <w:szCs w:val="24"/>
          <w:lang w:val="ro-RO"/>
        </w:rPr>
      </w:pPr>
      <w:r w:rsidRPr="006B2701">
        <w:rPr>
          <w:rFonts w:ascii="Tahoma" w:hAnsi="Tahoma" w:cs="Tahoma"/>
          <w:b/>
          <w:sz w:val="24"/>
          <w:szCs w:val="24"/>
          <w:lang w:val="ro-RO"/>
        </w:rPr>
        <w:t>Pe latura ofertei</w:t>
      </w:r>
      <w:r w:rsidRPr="006B2701">
        <w:rPr>
          <w:rFonts w:ascii="Tahoma" w:hAnsi="Tahoma" w:cs="Tahoma"/>
          <w:sz w:val="24"/>
          <w:szCs w:val="24"/>
          <w:lang w:val="ro-RO"/>
        </w:rPr>
        <w:t xml:space="preserve"> s-a considerat </w:t>
      </w:r>
      <w:r w:rsidR="008D1A71" w:rsidRPr="006B2701">
        <w:rPr>
          <w:rFonts w:ascii="Tahoma" w:hAnsi="Tahoma" w:cs="Tahoma"/>
          <w:sz w:val="24"/>
          <w:szCs w:val="24"/>
          <w:lang w:val="ro-RO"/>
        </w:rPr>
        <w:t>îmbunătățirea</w:t>
      </w:r>
      <w:r w:rsidRPr="006B2701">
        <w:rPr>
          <w:rFonts w:ascii="Tahoma" w:hAnsi="Tahoma" w:cs="Tahoma"/>
          <w:sz w:val="24"/>
          <w:szCs w:val="24"/>
          <w:lang w:val="ro-RO"/>
        </w:rPr>
        <w:t xml:space="preserve"> </w:t>
      </w:r>
      <w:r w:rsidR="008D1A71" w:rsidRPr="006B2701">
        <w:rPr>
          <w:rFonts w:ascii="Tahoma" w:hAnsi="Tahoma" w:cs="Tahoma"/>
          <w:sz w:val="24"/>
          <w:szCs w:val="24"/>
          <w:lang w:val="ro-RO"/>
        </w:rPr>
        <w:t>activității</w:t>
      </w:r>
      <w:r w:rsidRPr="006B2701">
        <w:rPr>
          <w:rFonts w:ascii="Tahoma" w:hAnsi="Tahoma" w:cs="Tahoma"/>
          <w:sz w:val="24"/>
          <w:szCs w:val="24"/>
          <w:lang w:val="ro-RO"/>
        </w:rPr>
        <w:t xml:space="preserve"> în toate sectoarele economice. Astfel, pentru industrie s-a estimat o </w:t>
      </w:r>
      <w:r w:rsidR="008D1A71" w:rsidRPr="006B2701">
        <w:rPr>
          <w:rFonts w:ascii="Tahoma" w:hAnsi="Tahoma" w:cs="Tahoma"/>
          <w:sz w:val="24"/>
          <w:szCs w:val="24"/>
          <w:lang w:val="ro-RO"/>
        </w:rPr>
        <w:t>creștere</w:t>
      </w:r>
      <w:r w:rsidRPr="006B2701">
        <w:rPr>
          <w:rFonts w:ascii="Tahoma" w:hAnsi="Tahoma" w:cs="Tahoma"/>
          <w:sz w:val="24"/>
          <w:szCs w:val="24"/>
          <w:lang w:val="ro-RO"/>
        </w:rPr>
        <w:t xml:space="preserve"> a VAB cu 4,4%, în </w:t>
      </w:r>
      <w:r w:rsidR="008D1A71" w:rsidRPr="006B2701">
        <w:rPr>
          <w:rFonts w:ascii="Tahoma" w:hAnsi="Tahoma" w:cs="Tahoma"/>
          <w:sz w:val="24"/>
          <w:szCs w:val="24"/>
          <w:lang w:val="ro-RO"/>
        </w:rPr>
        <w:t>condițiile</w:t>
      </w:r>
      <w:r w:rsidRPr="006B2701">
        <w:rPr>
          <w:rFonts w:ascii="Tahoma" w:hAnsi="Tahoma" w:cs="Tahoma"/>
          <w:sz w:val="24"/>
          <w:szCs w:val="24"/>
          <w:lang w:val="ro-RO"/>
        </w:rPr>
        <w:t xml:space="preserve"> în care se preconiza că vor continua întreruperile în </w:t>
      </w:r>
      <w:r w:rsidR="008D1A71" w:rsidRPr="006B2701">
        <w:rPr>
          <w:rFonts w:ascii="Tahoma" w:hAnsi="Tahoma" w:cs="Tahoma"/>
          <w:sz w:val="24"/>
          <w:szCs w:val="24"/>
          <w:lang w:val="ro-RO"/>
        </w:rPr>
        <w:t>lanțurile</w:t>
      </w:r>
      <w:r w:rsidRPr="006B2701">
        <w:rPr>
          <w:rFonts w:ascii="Tahoma" w:hAnsi="Tahoma" w:cs="Tahoma"/>
          <w:sz w:val="24"/>
          <w:szCs w:val="24"/>
          <w:lang w:val="ro-RO"/>
        </w:rPr>
        <w:t xml:space="preserve"> de aprovizionare, cu precădere în prima jumătate a anului. </w:t>
      </w:r>
    </w:p>
    <w:p w14:paraId="7DA3AA58" w14:textId="110B31C4" w:rsidR="00123F4F" w:rsidRPr="006B2701" w:rsidRDefault="00123F4F" w:rsidP="00123F4F">
      <w:pPr>
        <w:pStyle w:val="ListParagraph"/>
        <w:keepNext/>
        <w:numPr>
          <w:ilvl w:val="0"/>
          <w:numId w:val="43"/>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 xml:space="preserve">Pentru </w:t>
      </w:r>
      <w:r w:rsidR="008D1A71" w:rsidRPr="006B2701">
        <w:rPr>
          <w:rFonts w:ascii="Tahoma" w:hAnsi="Tahoma" w:cs="Tahoma"/>
          <w:sz w:val="24"/>
          <w:szCs w:val="24"/>
          <w:lang w:val="ro-RO"/>
        </w:rPr>
        <w:t>construcții</w:t>
      </w:r>
      <w:r w:rsidRPr="006B2701">
        <w:rPr>
          <w:rFonts w:ascii="Tahoma" w:hAnsi="Tahoma" w:cs="Tahoma"/>
          <w:sz w:val="24"/>
          <w:szCs w:val="24"/>
          <w:lang w:val="ro-RO"/>
        </w:rPr>
        <w:t xml:space="preserve"> estimarea a fost una optimistă, respectiv 9,0%, luându-se în considerare că acest sector va beneficia de un impuls venit din proiectele </w:t>
      </w:r>
      <w:r w:rsidR="008D1A71" w:rsidRPr="006B2701">
        <w:rPr>
          <w:rFonts w:ascii="Tahoma" w:hAnsi="Tahoma" w:cs="Tahoma"/>
          <w:sz w:val="24"/>
          <w:szCs w:val="24"/>
          <w:lang w:val="ro-RO"/>
        </w:rPr>
        <w:t>finanțate</w:t>
      </w:r>
      <w:r w:rsidRPr="006B2701">
        <w:rPr>
          <w:rFonts w:ascii="Tahoma" w:hAnsi="Tahoma" w:cs="Tahoma"/>
          <w:sz w:val="24"/>
          <w:szCs w:val="24"/>
          <w:lang w:val="ro-RO"/>
        </w:rPr>
        <w:t xml:space="preserve"> prin fondurile europene. </w:t>
      </w:r>
    </w:p>
    <w:p w14:paraId="0ACAE031" w14:textId="647247C5" w:rsidR="00123F4F" w:rsidRPr="006B2701" w:rsidRDefault="008D1A71" w:rsidP="00123F4F">
      <w:pPr>
        <w:pStyle w:val="ListParagraph"/>
        <w:keepNext/>
        <w:numPr>
          <w:ilvl w:val="0"/>
          <w:numId w:val="43"/>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Proiecția</w:t>
      </w:r>
      <w:r w:rsidR="00123F4F" w:rsidRPr="006B2701">
        <w:rPr>
          <w:rFonts w:ascii="Tahoma" w:hAnsi="Tahoma" w:cs="Tahoma"/>
          <w:sz w:val="24"/>
          <w:szCs w:val="24"/>
          <w:lang w:val="ro-RO"/>
        </w:rPr>
        <w:t xml:space="preserve"> pentru servicii a fost de asemenea pozitivă, cu o dinamică de 4,3%, sectorul </w:t>
      </w:r>
      <w:r w:rsidRPr="006B2701">
        <w:rPr>
          <w:rFonts w:ascii="Tahoma" w:hAnsi="Tahoma" w:cs="Tahoma"/>
          <w:sz w:val="24"/>
          <w:szCs w:val="24"/>
          <w:lang w:val="ro-RO"/>
        </w:rPr>
        <w:t>terțiar</w:t>
      </w:r>
      <w:r w:rsidR="00123F4F" w:rsidRPr="006B2701">
        <w:rPr>
          <w:rFonts w:ascii="Tahoma" w:hAnsi="Tahoma" w:cs="Tahoma"/>
          <w:sz w:val="24"/>
          <w:szCs w:val="24"/>
          <w:lang w:val="ro-RO"/>
        </w:rPr>
        <w:t xml:space="preserve"> în ansamblul său reprezentând principalul </w:t>
      </w:r>
      <w:r w:rsidRPr="006B2701">
        <w:rPr>
          <w:rFonts w:ascii="Tahoma" w:hAnsi="Tahoma" w:cs="Tahoma"/>
          <w:sz w:val="24"/>
          <w:szCs w:val="24"/>
          <w:lang w:val="ro-RO"/>
        </w:rPr>
        <w:t>susținător</w:t>
      </w:r>
      <w:r w:rsidR="00123F4F" w:rsidRPr="006B2701">
        <w:rPr>
          <w:rFonts w:ascii="Tahoma" w:hAnsi="Tahoma" w:cs="Tahoma"/>
          <w:sz w:val="24"/>
          <w:szCs w:val="24"/>
          <w:lang w:val="ro-RO"/>
        </w:rPr>
        <w:t xml:space="preserve"> al </w:t>
      </w:r>
      <w:r w:rsidRPr="006B2701">
        <w:rPr>
          <w:rFonts w:ascii="Tahoma" w:hAnsi="Tahoma" w:cs="Tahoma"/>
          <w:sz w:val="24"/>
          <w:szCs w:val="24"/>
          <w:lang w:val="ro-RO"/>
        </w:rPr>
        <w:t>creșterii</w:t>
      </w:r>
      <w:r w:rsidR="00123F4F" w:rsidRPr="006B2701">
        <w:rPr>
          <w:rFonts w:ascii="Tahoma" w:hAnsi="Tahoma" w:cs="Tahoma"/>
          <w:sz w:val="24"/>
          <w:szCs w:val="24"/>
          <w:lang w:val="ro-RO"/>
        </w:rPr>
        <w:t xml:space="preserve"> economice.</w:t>
      </w:r>
    </w:p>
    <w:p w14:paraId="240772C5" w14:textId="5BF56E1F" w:rsidR="00123F4F" w:rsidRPr="006B2701" w:rsidRDefault="00123F4F" w:rsidP="00123F4F">
      <w:pPr>
        <w:keepNext/>
        <w:spacing w:before="120" w:line="276" w:lineRule="auto"/>
        <w:jc w:val="both"/>
        <w:rPr>
          <w:rFonts w:ascii="Tahoma" w:hAnsi="Tahoma" w:cs="Tahoma"/>
          <w:sz w:val="24"/>
          <w:szCs w:val="24"/>
          <w:lang w:val="ro-RO"/>
        </w:rPr>
      </w:pPr>
      <w:r w:rsidRPr="006B2701">
        <w:rPr>
          <w:rFonts w:ascii="Tahoma" w:hAnsi="Tahoma" w:cs="Tahoma"/>
          <w:sz w:val="24"/>
          <w:szCs w:val="24"/>
          <w:lang w:val="ro-RO"/>
        </w:rPr>
        <w:t xml:space="preserve">Datele statistice publicate de INS au relevat, în anul 2022, o dinamică reală a produsului intern brut de 4,7%, reprezentând un spor de 6,7 puncte procentuale peste nivelul înregistrat în 2019, considerat un an de </w:t>
      </w:r>
      <w:r w:rsidR="008D1A71" w:rsidRPr="006B2701">
        <w:rPr>
          <w:rFonts w:ascii="Tahoma" w:hAnsi="Tahoma" w:cs="Tahoma"/>
          <w:sz w:val="24"/>
          <w:szCs w:val="24"/>
          <w:lang w:val="ro-RO"/>
        </w:rPr>
        <w:t>referință</w:t>
      </w:r>
      <w:r w:rsidRPr="006B2701">
        <w:rPr>
          <w:rFonts w:ascii="Tahoma" w:hAnsi="Tahoma" w:cs="Tahoma"/>
          <w:sz w:val="24"/>
          <w:szCs w:val="24"/>
          <w:lang w:val="ro-RO"/>
        </w:rPr>
        <w:t xml:space="preserve"> normal, ceea ce arată că economia nu numai că a revenit la nivelul dinaintea crizei sanitare, dar a </w:t>
      </w:r>
      <w:r w:rsidR="008D1A71" w:rsidRPr="006B2701">
        <w:rPr>
          <w:rFonts w:ascii="Tahoma" w:hAnsi="Tahoma" w:cs="Tahoma"/>
          <w:sz w:val="24"/>
          <w:szCs w:val="24"/>
          <w:lang w:val="ro-RO"/>
        </w:rPr>
        <w:t>reușit</w:t>
      </w:r>
      <w:r w:rsidRPr="006B2701">
        <w:rPr>
          <w:rFonts w:ascii="Tahoma" w:hAnsi="Tahoma" w:cs="Tahoma"/>
          <w:sz w:val="24"/>
          <w:szCs w:val="24"/>
          <w:lang w:val="ro-RO"/>
        </w:rPr>
        <w:t xml:space="preserve"> să performeze într-un an destul de dificil, dominat de </w:t>
      </w:r>
      <w:r w:rsidR="008D1A71" w:rsidRPr="006B2701">
        <w:rPr>
          <w:rFonts w:ascii="Tahoma" w:hAnsi="Tahoma" w:cs="Tahoma"/>
          <w:sz w:val="24"/>
          <w:szCs w:val="24"/>
          <w:lang w:val="ro-RO"/>
        </w:rPr>
        <w:t>influența</w:t>
      </w:r>
      <w:r w:rsidRPr="006B2701">
        <w:rPr>
          <w:rFonts w:ascii="Tahoma" w:hAnsi="Tahoma" w:cs="Tahoma"/>
          <w:sz w:val="24"/>
          <w:szCs w:val="24"/>
          <w:lang w:val="ro-RO"/>
        </w:rPr>
        <w:t xml:space="preserve"> mai multor crize (energetică, </w:t>
      </w:r>
      <w:r w:rsidR="008D1A71" w:rsidRPr="006B2701">
        <w:rPr>
          <w:rFonts w:ascii="Tahoma" w:hAnsi="Tahoma" w:cs="Tahoma"/>
          <w:sz w:val="24"/>
          <w:szCs w:val="24"/>
          <w:lang w:val="ro-RO"/>
        </w:rPr>
        <w:t>inflaționistă</w:t>
      </w:r>
      <w:r w:rsidRPr="006B2701">
        <w:rPr>
          <w:rFonts w:ascii="Tahoma" w:hAnsi="Tahoma" w:cs="Tahoma"/>
          <w:sz w:val="24"/>
          <w:szCs w:val="24"/>
          <w:lang w:val="ro-RO"/>
        </w:rPr>
        <w:t xml:space="preserve">, a </w:t>
      </w:r>
      <w:r w:rsidR="008D1A71" w:rsidRPr="006B2701">
        <w:rPr>
          <w:rFonts w:ascii="Tahoma" w:hAnsi="Tahoma" w:cs="Tahoma"/>
          <w:sz w:val="24"/>
          <w:szCs w:val="24"/>
          <w:lang w:val="ro-RO"/>
        </w:rPr>
        <w:t>lanțurilor</w:t>
      </w:r>
      <w:r w:rsidRPr="006B2701">
        <w:rPr>
          <w:rFonts w:ascii="Tahoma" w:hAnsi="Tahoma" w:cs="Tahoma"/>
          <w:sz w:val="24"/>
          <w:szCs w:val="24"/>
          <w:lang w:val="ro-RO"/>
        </w:rPr>
        <w:t xml:space="preserve"> de aprovizionare). Comparativ cu scenariul pentru buget, realizările relevă scăderi ale </w:t>
      </w:r>
      <w:r w:rsidR="008D1A71" w:rsidRPr="006B2701">
        <w:rPr>
          <w:rFonts w:ascii="Tahoma" w:hAnsi="Tahoma" w:cs="Tahoma"/>
          <w:sz w:val="24"/>
          <w:szCs w:val="24"/>
          <w:lang w:val="ro-RO"/>
        </w:rPr>
        <w:t>activității</w:t>
      </w:r>
      <w:r w:rsidRPr="006B2701">
        <w:rPr>
          <w:rFonts w:ascii="Tahoma" w:hAnsi="Tahoma" w:cs="Tahoma"/>
          <w:sz w:val="24"/>
          <w:szCs w:val="24"/>
          <w:lang w:val="ro-RO"/>
        </w:rPr>
        <w:t xml:space="preserve"> la industrie </w:t>
      </w:r>
      <w:r w:rsidR="008D1A71" w:rsidRPr="006B2701">
        <w:rPr>
          <w:rFonts w:ascii="Tahoma" w:hAnsi="Tahoma" w:cs="Tahoma"/>
          <w:sz w:val="24"/>
          <w:szCs w:val="24"/>
          <w:lang w:val="ro-RO"/>
        </w:rPr>
        <w:t>și</w:t>
      </w:r>
      <w:r w:rsidRPr="006B2701">
        <w:rPr>
          <w:rFonts w:ascii="Tahoma" w:hAnsi="Tahoma" w:cs="Tahoma"/>
          <w:sz w:val="24"/>
          <w:szCs w:val="24"/>
          <w:lang w:val="ro-RO"/>
        </w:rPr>
        <w:t xml:space="preserve"> agricultură. Pentru industrie la elaborarea prognozei pentru buget s-a avut în vedere prelungirea </w:t>
      </w:r>
      <w:r w:rsidR="008D1A71" w:rsidRPr="006B2701">
        <w:rPr>
          <w:rFonts w:ascii="Tahoma" w:hAnsi="Tahoma" w:cs="Tahoma"/>
          <w:sz w:val="24"/>
          <w:szCs w:val="24"/>
          <w:lang w:val="ro-RO"/>
        </w:rPr>
        <w:t>dificultăților</w:t>
      </w:r>
      <w:r w:rsidRPr="006B2701">
        <w:rPr>
          <w:rFonts w:ascii="Tahoma" w:hAnsi="Tahoma" w:cs="Tahoma"/>
          <w:sz w:val="24"/>
          <w:szCs w:val="24"/>
          <w:lang w:val="ro-RO"/>
        </w:rPr>
        <w:t xml:space="preserve"> legate de aprovizionare, dar la momentul respectiv nu se anticipa </w:t>
      </w:r>
      <w:r w:rsidR="008D1A71" w:rsidRPr="006B2701">
        <w:rPr>
          <w:rFonts w:ascii="Tahoma" w:hAnsi="Tahoma" w:cs="Tahoma"/>
          <w:sz w:val="24"/>
          <w:szCs w:val="24"/>
          <w:lang w:val="ro-RO"/>
        </w:rPr>
        <w:t>declanșarea</w:t>
      </w:r>
      <w:r w:rsidRPr="006B2701">
        <w:rPr>
          <w:rFonts w:ascii="Tahoma" w:hAnsi="Tahoma" w:cs="Tahoma"/>
          <w:sz w:val="24"/>
          <w:szCs w:val="24"/>
          <w:lang w:val="ro-RO"/>
        </w:rPr>
        <w:t xml:space="preserve"> conflictului </w:t>
      </w:r>
      <w:proofErr w:type="spellStart"/>
      <w:r w:rsidRPr="006B2701">
        <w:rPr>
          <w:rFonts w:ascii="Tahoma" w:hAnsi="Tahoma" w:cs="Tahoma"/>
          <w:sz w:val="24"/>
          <w:szCs w:val="24"/>
          <w:lang w:val="ro-RO"/>
        </w:rPr>
        <w:t>ruso</w:t>
      </w:r>
      <w:proofErr w:type="spellEnd"/>
      <w:r w:rsidRPr="006B2701">
        <w:rPr>
          <w:rFonts w:ascii="Tahoma" w:hAnsi="Tahoma" w:cs="Tahoma"/>
          <w:sz w:val="24"/>
          <w:szCs w:val="24"/>
          <w:lang w:val="ro-RO"/>
        </w:rPr>
        <w:t xml:space="preserve"> – ucrainean, care a amplificat aceste fenomene dar a generat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o criză energetică la nivel european, afectând, prin </w:t>
      </w:r>
      <w:r w:rsidR="008D1A71" w:rsidRPr="006B2701">
        <w:rPr>
          <w:rFonts w:ascii="Tahoma" w:hAnsi="Tahoma" w:cs="Tahoma"/>
          <w:sz w:val="24"/>
          <w:szCs w:val="24"/>
          <w:lang w:val="ro-RO"/>
        </w:rPr>
        <w:t>prețurile</w:t>
      </w:r>
      <w:r w:rsidRPr="006B2701">
        <w:rPr>
          <w:rFonts w:ascii="Tahoma" w:hAnsi="Tahoma" w:cs="Tahoma"/>
          <w:sz w:val="24"/>
          <w:szCs w:val="24"/>
          <w:lang w:val="ro-RO"/>
        </w:rPr>
        <w:t xml:space="preserve"> ridicare, în special industriile energofage (chimie, metalurgie). </w:t>
      </w:r>
    </w:p>
    <w:p w14:paraId="4CCAC788" w14:textId="37FC8A5A" w:rsidR="00123F4F" w:rsidRPr="006B2701" w:rsidRDefault="00123F4F" w:rsidP="00123F4F">
      <w:pPr>
        <w:keepNext/>
        <w:spacing w:before="120" w:line="276" w:lineRule="auto"/>
        <w:jc w:val="both"/>
        <w:rPr>
          <w:rFonts w:ascii="Tahoma" w:hAnsi="Tahoma" w:cs="Tahoma"/>
          <w:sz w:val="24"/>
          <w:szCs w:val="24"/>
          <w:lang w:val="ro-RO"/>
        </w:rPr>
      </w:pPr>
      <w:r w:rsidRPr="006B2701">
        <w:rPr>
          <w:rFonts w:ascii="Tahoma" w:hAnsi="Tahoma" w:cs="Tahoma"/>
          <w:sz w:val="24"/>
          <w:szCs w:val="24"/>
          <w:lang w:val="ro-RO"/>
        </w:rPr>
        <w:t xml:space="preserve">În anul 2022, economia României a </w:t>
      </w:r>
      <w:r w:rsidR="00FC6DD3" w:rsidRPr="006B2701">
        <w:rPr>
          <w:rFonts w:ascii="Tahoma" w:hAnsi="Tahoma" w:cs="Tahoma"/>
          <w:sz w:val="24"/>
          <w:szCs w:val="24"/>
          <w:lang w:val="ro-RO"/>
        </w:rPr>
        <w:t>reușit</w:t>
      </w:r>
      <w:r w:rsidRPr="006B2701">
        <w:rPr>
          <w:rFonts w:ascii="Tahoma" w:hAnsi="Tahoma" w:cs="Tahoma"/>
          <w:sz w:val="24"/>
          <w:szCs w:val="24"/>
          <w:lang w:val="ro-RO"/>
        </w:rPr>
        <w:t xml:space="preserve"> să facă </w:t>
      </w:r>
      <w:r w:rsidR="00FC6DD3" w:rsidRPr="006B2701">
        <w:rPr>
          <w:rFonts w:ascii="Tahoma" w:hAnsi="Tahoma" w:cs="Tahoma"/>
          <w:sz w:val="24"/>
          <w:szCs w:val="24"/>
          <w:lang w:val="ro-RO"/>
        </w:rPr>
        <w:t>față</w:t>
      </w:r>
      <w:r w:rsidRPr="006B2701">
        <w:rPr>
          <w:rFonts w:ascii="Tahoma" w:hAnsi="Tahoma" w:cs="Tahoma"/>
          <w:sz w:val="24"/>
          <w:szCs w:val="24"/>
          <w:lang w:val="ro-RO"/>
        </w:rPr>
        <w:t xml:space="preserve"> </w:t>
      </w:r>
      <w:r w:rsidR="00FC6DD3" w:rsidRPr="006B2701">
        <w:rPr>
          <w:rFonts w:ascii="Tahoma" w:hAnsi="Tahoma" w:cs="Tahoma"/>
          <w:sz w:val="24"/>
          <w:szCs w:val="24"/>
          <w:lang w:val="ro-RO"/>
        </w:rPr>
        <w:t>șocurilor</w:t>
      </w:r>
      <w:r w:rsidRPr="006B2701">
        <w:rPr>
          <w:rFonts w:ascii="Tahoma" w:hAnsi="Tahoma" w:cs="Tahoma"/>
          <w:sz w:val="24"/>
          <w:szCs w:val="24"/>
          <w:lang w:val="ro-RO"/>
        </w:rPr>
        <w:t xml:space="preserve">, înregistrând  o valoare nominală a produsului intern brut de 1.409,8 miliarde  lei, cu o </w:t>
      </w:r>
      <w:r w:rsidR="00FC6DD3" w:rsidRPr="006B2701">
        <w:rPr>
          <w:rFonts w:ascii="Tahoma" w:hAnsi="Tahoma" w:cs="Tahoma"/>
          <w:sz w:val="24"/>
          <w:szCs w:val="24"/>
          <w:lang w:val="ro-RO"/>
        </w:rPr>
        <w:t>diferență</w:t>
      </w:r>
      <w:r w:rsidRPr="006B2701">
        <w:rPr>
          <w:rFonts w:ascii="Tahoma" w:hAnsi="Tahoma" w:cs="Tahoma"/>
          <w:sz w:val="24"/>
          <w:szCs w:val="24"/>
          <w:lang w:val="ro-RO"/>
        </w:rPr>
        <w:t xml:space="preserve"> în plus de 92,5 mld. lei </w:t>
      </w:r>
      <w:r w:rsidR="00FC6DD3" w:rsidRPr="006B2701">
        <w:rPr>
          <w:rFonts w:ascii="Tahoma" w:hAnsi="Tahoma" w:cs="Tahoma"/>
          <w:sz w:val="24"/>
          <w:szCs w:val="24"/>
          <w:lang w:val="ro-RO"/>
        </w:rPr>
        <w:t>față</w:t>
      </w:r>
      <w:r w:rsidRPr="006B2701">
        <w:rPr>
          <w:rFonts w:ascii="Tahoma" w:hAnsi="Tahoma" w:cs="Tahoma"/>
          <w:sz w:val="24"/>
          <w:szCs w:val="24"/>
          <w:lang w:val="ro-RO"/>
        </w:rPr>
        <w:t xml:space="preserve"> de estimarea pentru buget. Aceasta s-a datorat în cea mai mare parte unui nivel al </w:t>
      </w:r>
      <w:proofErr w:type="spellStart"/>
      <w:r w:rsidRPr="006B2701">
        <w:rPr>
          <w:rFonts w:ascii="Tahoma" w:hAnsi="Tahoma" w:cs="Tahoma"/>
          <w:sz w:val="24"/>
          <w:szCs w:val="24"/>
          <w:lang w:val="ro-RO"/>
        </w:rPr>
        <w:t>deflatorului</w:t>
      </w:r>
      <w:proofErr w:type="spellEnd"/>
      <w:r w:rsidRPr="006B2701">
        <w:rPr>
          <w:rFonts w:ascii="Tahoma" w:hAnsi="Tahoma" w:cs="Tahoma"/>
          <w:sz w:val="24"/>
          <w:szCs w:val="24"/>
          <w:lang w:val="ro-RO"/>
        </w:rPr>
        <w:t xml:space="preserve"> net superior (cu 7,6 puncte procentuale) celui estimat, rezultat ca urmare a majorărilor semnificative ale </w:t>
      </w:r>
      <w:r w:rsidR="00FC6DD3" w:rsidRPr="006B2701">
        <w:rPr>
          <w:rFonts w:ascii="Tahoma" w:hAnsi="Tahoma" w:cs="Tahoma"/>
          <w:sz w:val="24"/>
          <w:szCs w:val="24"/>
          <w:lang w:val="ro-RO"/>
        </w:rPr>
        <w:t>prețurilor</w:t>
      </w:r>
      <w:r w:rsidRPr="006B2701">
        <w:rPr>
          <w:rFonts w:ascii="Tahoma" w:hAnsi="Tahoma" w:cs="Tahoma"/>
          <w:sz w:val="24"/>
          <w:szCs w:val="24"/>
          <w:lang w:val="ro-RO"/>
        </w:rPr>
        <w:t xml:space="preserve"> </w:t>
      </w:r>
      <w:r w:rsidR="00FC6DD3" w:rsidRPr="006B2701">
        <w:rPr>
          <w:rFonts w:ascii="Tahoma" w:hAnsi="Tahoma" w:cs="Tahoma"/>
          <w:sz w:val="24"/>
          <w:szCs w:val="24"/>
          <w:lang w:val="ro-RO"/>
        </w:rPr>
        <w:t>producției</w:t>
      </w:r>
      <w:r w:rsidRPr="006B2701">
        <w:rPr>
          <w:rFonts w:ascii="Tahoma" w:hAnsi="Tahoma" w:cs="Tahoma"/>
          <w:sz w:val="24"/>
          <w:szCs w:val="24"/>
          <w:lang w:val="ro-RO"/>
        </w:rPr>
        <w:t xml:space="preserve"> industriale, a costului în </w:t>
      </w:r>
      <w:r w:rsidR="00FC6DD3" w:rsidRPr="006B2701">
        <w:rPr>
          <w:rFonts w:ascii="Tahoma" w:hAnsi="Tahoma" w:cs="Tahoma"/>
          <w:sz w:val="24"/>
          <w:szCs w:val="24"/>
          <w:lang w:val="ro-RO"/>
        </w:rPr>
        <w:t>construcții</w:t>
      </w:r>
      <w:r w:rsidRPr="006B2701">
        <w:rPr>
          <w:rFonts w:ascii="Tahoma" w:hAnsi="Tahoma" w:cs="Tahoma"/>
          <w:sz w:val="24"/>
          <w:szCs w:val="24"/>
          <w:lang w:val="ro-RO"/>
        </w:rPr>
        <w:t xml:space="preserve"> cât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a bunurilor de consum.  </w:t>
      </w:r>
    </w:p>
    <w:p w14:paraId="1A558FB0" w14:textId="4F282C8D" w:rsidR="00123F4F" w:rsidRPr="006B2701" w:rsidRDefault="00123F4F" w:rsidP="00123F4F">
      <w:pPr>
        <w:pStyle w:val="ListParagraph"/>
        <w:keepNext/>
        <w:spacing w:before="120" w:line="276" w:lineRule="auto"/>
        <w:ind w:left="0"/>
        <w:jc w:val="both"/>
        <w:rPr>
          <w:rFonts w:ascii="Tahoma" w:hAnsi="Tahoma" w:cs="Tahoma"/>
          <w:sz w:val="24"/>
          <w:szCs w:val="24"/>
          <w:lang w:val="ro-RO"/>
        </w:rPr>
      </w:pPr>
      <w:r w:rsidRPr="006B2701">
        <w:rPr>
          <w:rFonts w:ascii="Tahoma" w:hAnsi="Tahoma" w:cs="Tahoma"/>
          <w:sz w:val="24"/>
          <w:szCs w:val="24"/>
          <w:lang w:val="ro-RO"/>
        </w:rPr>
        <w:t xml:space="preserve">Pe elemente de utilizare, avansul economiei în anul 2022 s-a datorat </w:t>
      </w:r>
      <w:r w:rsidR="00FC6DD3" w:rsidRPr="006B2701">
        <w:rPr>
          <w:rFonts w:ascii="Tahoma" w:hAnsi="Tahoma" w:cs="Tahoma"/>
          <w:sz w:val="24"/>
          <w:szCs w:val="24"/>
          <w:lang w:val="ro-RO"/>
        </w:rPr>
        <w:t>creșterii</w:t>
      </w:r>
      <w:r w:rsidRPr="006B2701">
        <w:rPr>
          <w:rFonts w:ascii="Tahoma" w:hAnsi="Tahoma" w:cs="Tahoma"/>
          <w:sz w:val="24"/>
          <w:szCs w:val="24"/>
          <w:lang w:val="ro-RO"/>
        </w:rPr>
        <w:t xml:space="preserve"> înregistrate de </w:t>
      </w:r>
      <w:r w:rsidRPr="006B2701">
        <w:rPr>
          <w:rFonts w:ascii="Tahoma" w:hAnsi="Tahoma" w:cs="Tahoma"/>
          <w:b/>
          <w:sz w:val="24"/>
          <w:szCs w:val="24"/>
          <w:lang w:val="ro-RO"/>
        </w:rPr>
        <w:t>cererea internă</w:t>
      </w:r>
      <w:r w:rsidRPr="006B2701">
        <w:rPr>
          <w:rFonts w:ascii="Tahoma" w:hAnsi="Tahoma" w:cs="Tahoma"/>
          <w:sz w:val="24"/>
          <w:szCs w:val="24"/>
          <w:lang w:val="ro-RO"/>
        </w:rPr>
        <w:t xml:space="preserve"> (5,2%). Rezultatele deosebite din sectorul </w:t>
      </w:r>
      <w:r w:rsidR="00FC6DD3" w:rsidRPr="006B2701">
        <w:rPr>
          <w:rFonts w:ascii="Tahoma" w:hAnsi="Tahoma" w:cs="Tahoma"/>
          <w:sz w:val="24"/>
          <w:szCs w:val="24"/>
          <w:lang w:val="ro-RO"/>
        </w:rPr>
        <w:t>construcțiilor</w:t>
      </w:r>
      <w:r w:rsidRPr="006B2701">
        <w:rPr>
          <w:rFonts w:ascii="Tahoma" w:hAnsi="Tahoma" w:cs="Tahoma"/>
          <w:sz w:val="24"/>
          <w:szCs w:val="24"/>
          <w:lang w:val="ro-RO"/>
        </w:rPr>
        <w:t xml:space="preserve"> din a doua jumătate a anului s-au reflectat corespunzător în dinamica </w:t>
      </w:r>
      <w:r w:rsidR="00FC6DD3" w:rsidRPr="006B2701">
        <w:rPr>
          <w:rFonts w:ascii="Tahoma" w:hAnsi="Tahoma" w:cs="Tahoma"/>
          <w:sz w:val="24"/>
          <w:szCs w:val="24"/>
          <w:lang w:val="ro-RO"/>
        </w:rPr>
        <w:t>investițiilor</w:t>
      </w:r>
      <w:r w:rsidRPr="006B2701">
        <w:rPr>
          <w:rFonts w:ascii="Tahoma" w:hAnsi="Tahoma" w:cs="Tahoma"/>
          <w:sz w:val="24"/>
          <w:szCs w:val="24"/>
          <w:lang w:val="ro-RO"/>
        </w:rPr>
        <w:t xml:space="preserve"> brute (+8,0% </w:t>
      </w:r>
      <w:r w:rsidR="00FC6DD3" w:rsidRPr="006B2701">
        <w:rPr>
          <w:rFonts w:ascii="Tahoma" w:hAnsi="Tahoma" w:cs="Tahoma"/>
          <w:sz w:val="24"/>
          <w:szCs w:val="24"/>
          <w:lang w:val="ro-RO"/>
        </w:rPr>
        <w:t>față</w:t>
      </w:r>
      <w:r w:rsidRPr="006B2701">
        <w:rPr>
          <w:rFonts w:ascii="Tahoma" w:hAnsi="Tahoma" w:cs="Tahoma"/>
          <w:sz w:val="24"/>
          <w:szCs w:val="24"/>
          <w:lang w:val="ro-RO"/>
        </w:rPr>
        <w:t xml:space="preserve"> de anul 2021), contribuind cu 1,9 puncte procentuale la </w:t>
      </w:r>
      <w:r w:rsidR="00FC6DD3" w:rsidRPr="006B2701">
        <w:rPr>
          <w:rFonts w:ascii="Tahoma" w:hAnsi="Tahoma" w:cs="Tahoma"/>
          <w:sz w:val="24"/>
          <w:szCs w:val="24"/>
          <w:lang w:val="ro-RO"/>
        </w:rPr>
        <w:t>creșterea</w:t>
      </w:r>
      <w:r w:rsidRPr="006B2701">
        <w:rPr>
          <w:rFonts w:ascii="Tahoma" w:hAnsi="Tahoma" w:cs="Tahoma"/>
          <w:sz w:val="24"/>
          <w:szCs w:val="24"/>
          <w:lang w:val="ro-RO"/>
        </w:rPr>
        <w:t xml:space="preserve"> economică. Acest avans s-a datorat alocării atât a fondurilor europene, cât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a celor publice pentru </w:t>
      </w:r>
      <w:r w:rsidR="00FC6DD3" w:rsidRPr="006B2701">
        <w:rPr>
          <w:rFonts w:ascii="Tahoma" w:hAnsi="Tahoma" w:cs="Tahoma"/>
          <w:sz w:val="24"/>
          <w:szCs w:val="24"/>
          <w:lang w:val="ro-RO"/>
        </w:rPr>
        <w:t>finanțarea</w:t>
      </w:r>
      <w:r w:rsidRPr="006B2701">
        <w:rPr>
          <w:rFonts w:ascii="Tahoma" w:hAnsi="Tahoma" w:cs="Tahoma"/>
          <w:sz w:val="24"/>
          <w:szCs w:val="24"/>
          <w:lang w:val="ro-RO"/>
        </w:rPr>
        <w:t xml:space="preserve">, în special, a lucrărilor de infrastructură. Efectul s-a concretizat  într-o </w:t>
      </w:r>
      <w:r w:rsidR="00FC6DD3" w:rsidRPr="006B2701">
        <w:rPr>
          <w:rFonts w:ascii="Tahoma" w:hAnsi="Tahoma" w:cs="Tahoma"/>
          <w:sz w:val="24"/>
          <w:szCs w:val="24"/>
          <w:lang w:val="ro-RO"/>
        </w:rPr>
        <w:t>îmbunătățire</w:t>
      </w:r>
      <w:r w:rsidRPr="006B2701">
        <w:rPr>
          <w:rFonts w:ascii="Tahoma" w:hAnsi="Tahoma" w:cs="Tahoma"/>
          <w:sz w:val="24"/>
          <w:szCs w:val="24"/>
          <w:lang w:val="ro-RO"/>
        </w:rPr>
        <w:t xml:space="preserve"> semnificativă a ratei </w:t>
      </w:r>
      <w:r w:rsidRPr="006B2701">
        <w:rPr>
          <w:rFonts w:ascii="Tahoma" w:hAnsi="Tahoma" w:cs="Tahoma"/>
          <w:sz w:val="24"/>
          <w:szCs w:val="24"/>
          <w:lang w:val="ro-RO"/>
        </w:rPr>
        <w:lastRenderedPageBreak/>
        <w:t xml:space="preserve">de </w:t>
      </w:r>
      <w:r w:rsidR="00FC6DD3" w:rsidRPr="006B2701">
        <w:rPr>
          <w:rFonts w:ascii="Tahoma" w:hAnsi="Tahoma" w:cs="Tahoma"/>
          <w:sz w:val="24"/>
          <w:szCs w:val="24"/>
          <w:lang w:val="ro-RO"/>
        </w:rPr>
        <w:t>investiție</w:t>
      </w:r>
      <w:r w:rsidRPr="006B2701">
        <w:rPr>
          <w:rFonts w:ascii="Tahoma" w:hAnsi="Tahoma" w:cs="Tahoma"/>
          <w:sz w:val="24"/>
          <w:szCs w:val="24"/>
          <w:lang w:val="ro-RO"/>
        </w:rPr>
        <w:t xml:space="preserve"> (circa 25%), asigurându-se se premisele trecerii de la o economie bazată pe consum la una bazată pe </w:t>
      </w:r>
      <w:r w:rsidR="00FC6DD3" w:rsidRPr="006B2701">
        <w:rPr>
          <w:rFonts w:ascii="Tahoma" w:hAnsi="Tahoma" w:cs="Tahoma"/>
          <w:sz w:val="24"/>
          <w:szCs w:val="24"/>
          <w:lang w:val="ro-RO"/>
        </w:rPr>
        <w:t>investiții</w:t>
      </w:r>
      <w:r w:rsidRPr="006B2701">
        <w:rPr>
          <w:rFonts w:ascii="Tahoma" w:hAnsi="Tahoma" w:cs="Tahoma"/>
          <w:sz w:val="24"/>
          <w:szCs w:val="24"/>
          <w:lang w:val="ro-RO"/>
        </w:rPr>
        <w:t xml:space="preserve">. </w:t>
      </w:r>
    </w:p>
    <w:p w14:paraId="26C2A62D" w14:textId="77777777" w:rsidR="00CE7E69" w:rsidRPr="006B2701" w:rsidRDefault="00CE7E69" w:rsidP="00123F4F">
      <w:pPr>
        <w:pStyle w:val="ListParagraph"/>
        <w:keepNext/>
        <w:spacing w:before="120" w:line="276" w:lineRule="auto"/>
        <w:ind w:left="0"/>
        <w:jc w:val="both"/>
        <w:rPr>
          <w:rFonts w:ascii="Tahoma" w:hAnsi="Tahoma" w:cs="Tahoma"/>
          <w:sz w:val="24"/>
          <w:szCs w:val="24"/>
          <w:lang w:val="ro-RO"/>
        </w:rPr>
      </w:pPr>
    </w:p>
    <w:p w14:paraId="5F762043" w14:textId="354C709C" w:rsidR="00123F4F" w:rsidRPr="006B2701" w:rsidRDefault="00123F4F" w:rsidP="00123F4F">
      <w:pPr>
        <w:keepNext/>
        <w:spacing w:before="120" w:line="276" w:lineRule="auto"/>
        <w:jc w:val="right"/>
        <w:rPr>
          <w:rFonts w:ascii="Tahoma" w:hAnsi="Tahoma" w:cs="Tahoma"/>
          <w:i/>
          <w:sz w:val="20"/>
          <w:szCs w:val="20"/>
          <w:lang w:val="ro-RO"/>
        </w:rPr>
      </w:pPr>
      <w:r w:rsidRPr="006B2701">
        <w:rPr>
          <w:rFonts w:ascii="Tahoma" w:hAnsi="Tahoma" w:cs="Tahoma"/>
          <w:lang w:val="ro-RO"/>
        </w:rPr>
        <w:tab/>
      </w:r>
      <w:r w:rsidRPr="006B2701">
        <w:rPr>
          <w:rFonts w:ascii="Tahoma" w:hAnsi="Tahoma" w:cs="Tahoma"/>
          <w:lang w:val="ro-RO"/>
        </w:rPr>
        <w:tab/>
      </w:r>
      <w:r w:rsidRPr="006B2701">
        <w:rPr>
          <w:rFonts w:ascii="Tahoma" w:hAnsi="Tahoma" w:cs="Tahoma"/>
          <w:lang w:val="ro-RO"/>
        </w:rPr>
        <w:tab/>
      </w:r>
      <w:r w:rsidRPr="006B2701">
        <w:rPr>
          <w:rFonts w:ascii="Tahoma" w:hAnsi="Tahoma" w:cs="Tahoma"/>
          <w:lang w:val="ro-RO"/>
        </w:rPr>
        <w:tab/>
        <w:t xml:space="preserve">                      </w:t>
      </w:r>
      <w:r w:rsidRPr="006B2701">
        <w:rPr>
          <w:rFonts w:ascii="Tahoma" w:hAnsi="Tahoma" w:cs="Tahoma"/>
          <w:i/>
          <w:sz w:val="20"/>
          <w:szCs w:val="20"/>
          <w:lang w:val="ro-RO"/>
        </w:rPr>
        <w:t xml:space="preserve">- modificări procentuale </w:t>
      </w:r>
      <w:r w:rsidR="00FC6DD3" w:rsidRPr="006B2701">
        <w:rPr>
          <w:rFonts w:ascii="Tahoma" w:hAnsi="Tahoma" w:cs="Tahoma"/>
          <w:i/>
          <w:sz w:val="20"/>
          <w:szCs w:val="20"/>
          <w:lang w:val="ro-RO"/>
        </w:rPr>
        <w:t>față</w:t>
      </w:r>
      <w:r w:rsidRPr="006B2701">
        <w:rPr>
          <w:rFonts w:ascii="Tahoma" w:hAnsi="Tahoma" w:cs="Tahoma"/>
          <w:i/>
          <w:sz w:val="20"/>
          <w:szCs w:val="20"/>
          <w:lang w:val="ro-RO"/>
        </w:rPr>
        <w:t xml:space="preserve"> de anul precedent -</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2382"/>
        <w:gridCol w:w="1846"/>
      </w:tblGrid>
      <w:tr w:rsidR="00123F4F" w:rsidRPr="006B2701" w14:paraId="4231E7DC" w14:textId="77777777" w:rsidTr="00123F4F">
        <w:trPr>
          <w:tblHeader/>
          <w:jc w:val="center"/>
        </w:trPr>
        <w:tc>
          <w:tcPr>
            <w:tcW w:w="2751" w:type="pct"/>
            <w:shd w:val="clear" w:color="auto" w:fill="E2EFD9" w:themeFill="accent6" w:themeFillTint="33"/>
          </w:tcPr>
          <w:p w14:paraId="51C09590" w14:textId="77777777" w:rsidR="00123F4F" w:rsidRPr="006B2701" w:rsidRDefault="00123F4F" w:rsidP="00123F4F">
            <w:pPr>
              <w:keepNext/>
              <w:spacing w:line="276" w:lineRule="auto"/>
              <w:rPr>
                <w:rFonts w:ascii="Tahoma" w:eastAsia="MS Mincho" w:hAnsi="Tahoma" w:cs="Tahoma"/>
                <w:lang w:val="ro-RO"/>
              </w:rPr>
            </w:pPr>
          </w:p>
        </w:tc>
        <w:tc>
          <w:tcPr>
            <w:tcW w:w="1267" w:type="pct"/>
            <w:shd w:val="clear" w:color="auto" w:fill="E2EFD9" w:themeFill="accent6" w:themeFillTint="33"/>
          </w:tcPr>
          <w:p w14:paraId="64368C61" w14:textId="77777777" w:rsidR="00123F4F" w:rsidRPr="006B2701" w:rsidRDefault="00123F4F" w:rsidP="00123F4F">
            <w:pPr>
              <w:keepNext/>
              <w:spacing w:line="276" w:lineRule="auto"/>
              <w:jc w:val="center"/>
              <w:rPr>
                <w:rFonts w:ascii="Tahoma" w:eastAsia="MS Mincho" w:hAnsi="Tahoma" w:cs="Tahoma"/>
                <w:b/>
                <w:bCs/>
                <w:lang w:val="ro-RO"/>
              </w:rPr>
            </w:pPr>
            <w:r w:rsidRPr="006B2701">
              <w:rPr>
                <w:rFonts w:ascii="Tahoma" w:eastAsia="MS Mincho" w:hAnsi="Tahoma" w:cs="Tahoma"/>
                <w:b/>
                <w:bCs/>
                <w:lang w:val="ro-RO"/>
              </w:rPr>
              <w:t>Cadrul macroeconomic pentru buget 2022</w:t>
            </w:r>
          </w:p>
        </w:tc>
        <w:tc>
          <w:tcPr>
            <w:tcW w:w="982" w:type="pct"/>
            <w:shd w:val="clear" w:color="auto" w:fill="E2EFD9" w:themeFill="accent6" w:themeFillTint="33"/>
            <w:vAlign w:val="center"/>
          </w:tcPr>
          <w:p w14:paraId="1BB441A1" w14:textId="77777777" w:rsidR="00123F4F" w:rsidRPr="006B2701" w:rsidRDefault="00123F4F" w:rsidP="00123F4F">
            <w:pPr>
              <w:keepNext/>
              <w:spacing w:line="276" w:lineRule="auto"/>
              <w:jc w:val="center"/>
              <w:rPr>
                <w:rFonts w:ascii="Tahoma" w:eastAsia="MS Mincho" w:hAnsi="Tahoma" w:cs="Tahoma"/>
                <w:b/>
                <w:bCs/>
                <w:lang w:val="ro-RO"/>
              </w:rPr>
            </w:pPr>
            <w:r w:rsidRPr="006B2701">
              <w:rPr>
                <w:rFonts w:ascii="Tahoma" w:eastAsia="MS Mincho" w:hAnsi="Tahoma" w:cs="Tahoma"/>
                <w:b/>
                <w:bCs/>
                <w:lang w:val="ro-RO"/>
              </w:rPr>
              <w:t>Realizări</w:t>
            </w:r>
          </w:p>
          <w:p w14:paraId="6D466F8A" w14:textId="77777777" w:rsidR="00123F4F" w:rsidRPr="006B2701" w:rsidRDefault="00123F4F" w:rsidP="00123F4F">
            <w:pPr>
              <w:keepNext/>
              <w:spacing w:line="276" w:lineRule="auto"/>
              <w:jc w:val="center"/>
              <w:rPr>
                <w:rFonts w:ascii="Tahoma" w:eastAsia="MS Mincho" w:hAnsi="Tahoma" w:cs="Tahoma"/>
                <w:b/>
                <w:bCs/>
                <w:lang w:val="ro-RO"/>
              </w:rPr>
            </w:pPr>
            <w:r w:rsidRPr="006B2701">
              <w:rPr>
                <w:rFonts w:ascii="Tahoma" w:eastAsia="MS Mincho" w:hAnsi="Tahoma" w:cs="Tahoma"/>
                <w:b/>
                <w:bCs/>
                <w:lang w:val="ro-RO"/>
              </w:rPr>
              <w:t>2022</w:t>
            </w:r>
          </w:p>
        </w:tc>
      </w:tr>
      <w:tr w:rsidR="00123F4F" w:rsidRPr="006B2701" w14:paraId="651F46BA" w14:textId="77777777" w:rsidTr="00123F4F">
        <w:trPr>
          <w:jc w:val="center"/>
        </w:trPr>
        <w:tc>
          <w:tcPr>
            <w:tcW w:w="2751" w:type="pct"/>
            <w:tcBorders>
              <w:bottom w:val="nil"/>
            </w:tcBorders>
          </w:tcPr>
          <w:p w14:paraId="0F98BDF7" w14:textId="77777777" w:rsidR="00123F4F" w:rsidRPr="006B2701" w:rsidRDefault="00123F4F" w:rsidP="00123F4F">
            <w:pPr>
              <w:keepNext/>
              <w:spacing w:before="60"/>
              <w:rPr>
                <w:rFonts w:ascii="Tahoma" w:eastAsia="MS Mincho" w:hAnsi="Tahoma" w:cs="Tahoma"/>
                <w:lang w:val="ro-RO"/>
              </w:rPr>
            </w:pPr>
            <w:r w:rsidRPr="006B2701">
              <w:rPr>
                <w:rFonts w:ascii="Tahoma" w:eastAsia="MS Mincho" w:hAnsi="Tahoma" w:cs="Tahoma"/>
                <w:lang w:val="ro-RO"/>
              </w:rPr>
              <w:t>Cererea internă</w:t>
            </w:r>
          </w:p>
        </w:tc>
        <w:tc>
          <w:tcPr>
            <w:tcW w:w="1267" w:type="pct"/>
            <w:tcBorders>
              <w:bottom w:val="nil"/>
            </w:tcBorders>
            <w:vAlign w:val="center"/>
          </w:tcPr>
          <w:p w14:paraId="71BC5471" w14:textId="77777777" w:rsidR="00123F4F" w:rsidRPr="006B2701" w:rsidRDefault="00123F4F" w:rsidP="00123F4F">
            <w:pPr>
              <w:keepNext/>
              <w:spacing w:before="60"/>
              <w:jc w:val="center"/>
              <w:rPr>
                <w:rFonts w:ascii="Tahoma" w:eastAsia="MS Mincho" w:hAnsi="Tahoma" w:cs="Tahoma"/>
                <w:lang w:val="ro-RO"/>
              </w:rPr>
            </w:pPr>
            <w:r w:rsidRPr="006B2701">
              <w:rPr>
                <w:rFonts w:ascii="Tahoma" w:eastAsia="MS Mincho" w:hAnsi="Tahoma" w:cs="Tahoma"/>
                <w:lang w:val="ro-RO"/>
              </w:rPr>
              <w:t>5,4</w:t>
            </w:r>
          </w:p>
        </w:tc>
        <w:tc>
          <w:tcPr>
            <w:tcW w:w="982" w:type="pct"/>
            <w:tcBorders>
              <w:bottom w:val="nil"/>
            </w:tcBorders>
            <w:vAlign w:val="center"/>
          </w:tcPr>
          <w:p w14:paraId="6100573A" w14:textId="77777777" w:rsidR="00123F4F" w:rsidRPr="006B2701" w:rsidRDefault="00123F4F" w:rsidP="00123F4F">
            <w:pPr>
              <w:keepNext/>
              <w:spacing w:before="60"/>
              <w:jc w:val="center"/>
              <w:rPr>
                <w:rFonts w:ascii="Tahoma" w:eastAsia="MS Mincho" w:hAnsi="Tahoma" w:cs="Tahoma"/>
                <w:lang w:val="ro-RO"/>
              </w:rPr>
            </w:pPr>
            <w:r w:rsidRPr="006B2701">
              <w:rPr>
                <w:rFonts w:ascii="Tahoma" w:eastAsia="MS Mincho" w:hAnsi="Tahoma" w:cs="Tahoma"/>
                <w:lang w:val="ro-RO"/>
              </w:rPr>
              <w:t>5,2</w:t>
            </w:r>
          </w:p>
        </w:tc>
      </w:tr>
      <w:tr w:rsidR="00123F4F" w:rsidRPr="006B2701" w14:paraId="17D65C6A" w14:textId="77777777" w:rsidTr="00123F4F">
        <w:trPr>
          <w:jc w:val="center"/>
        </w:trPr>
        <w:tc>
          <w:tcPr>
            <w:tcW w:w="2751" w:type="pct"/>
            <w:tcBorders>
              <w:top w:val="nil"/>
              <w:bottom w:val="nil"/>
            </w:tcBorders>
          </w:tcPr>
          <w:p w14:paraId="7BE934AB" w14:textId="77777777" w:rsidR="00123F4F" w:rsidRPr="006B2701" w:rsidRDefault="00123F4F" w:rsidP="00123F4F">
            <w:pPr>
              <w:keepNext/>
              <w:spacing w:before="60"/>
              <w:rPr>
                <w:rFonts w:ascii="Tahoma" w:eastAsia="MS Mincho" w:hAnsi="Tahoma" w:cs="Tahoma"/>
                <w:lang w:val="ro-RO"/>
              </w:rPr>
            </w:pPr>
            <w:r w:rsidRPr="006B2701">
              <w:rPr>
                <w:rFonts w:ascii="Tahoma" w:hAnsi="Tahoma" w:cs="Tahoma"/>
                <w:lang w:val="ro-RO"/>
              </w:rPr>
              <w:t xml:space="preserve">     Consum final</w:t>
            </w:r>
          </w:p>
        </w:tc>
        <w:tc>
          <w:tcPr>
            <w:tcW w:w="1267" w:type="pct"/>
            <w:tcBorders>
              <w:top w:val="nil"/>
              <w:bottom w:val="nil"/>
            </w:tcBorders>
            <w:vAlign w:val="center"/>
          </w:tcPr>
          <w:p w14:paraId="3C9681ED" w14:textId="77777777" w:rsidR="00123F4F" w:rsidRPr="006B2701" w:rsidRDefault="00123F4F" w:rsidP="00123F4F">
            <w:pPr>
              <w:keepNext/>
              <w:spacing w:before="60"/>
              <w:jc w:val="center"/>
              <w:rPr>
                <w:rFonts w:ascii="Tahoma" w:eastAsia="MS Mincho" w:hAnsi="Tahoma" w:cs="Tahoma"/>
                <w:lang w:val="ro-RO"/>
              </w:rPr>
            </w:pPr>
            <w:r w:rsidRPr="006B2701">
              <w:rPr>
                <w:rFonts w:ascii="Tahoma" w:eastAsia="MS Mincho" w:hAnsi="Tahoma" w:cs="Tahoma"/>
                <w:lang w:val="ro-RO"/>
              </w:rPr>
              <w:t>4,1</w:t>
            </w:r>
          </w:p>
        </w:tc>
        <w:tc>
          <w:tcPr>
            <w:tcW w:w="982" w:type="pct"/>
            <w:tcBorders>
              <w:top w:val="nil"/>
              <w:bottom w:val="nil"/>
            </w:tcBorders>
            <w:vAlign w:val="center"/>
          </w:tcPr>
          <w:p w14:paraId="75033A09" w14:textId="77777777" w:rsidR="00123F4F" w:rsidRPr="006B2701" w:rsidRDefault="00123F4F" w:rsidP="00123F4F">
            <w:pPr>
              <w:keepNext/>
              <w:spacing w:before="60"/>
              <w:jc w:val="center"/>
              <w:rPr>
                <w:rFonts w:ascii="Tahoma" w:eastAsia="MS Mincho" w:hAnsi="Tahoma" w:cs="Tahoma"/>
                <w:lang w:val="ro-RO"/>
              </w:rPr>
            </w:pPr>
            <w:r w:rsidRPr="006B2701">
              <w:rPr>
                <w:rFonts w:ascii="Tahoma" w:eastAsia="MS Mincho" w:hAnsi="Tahoma" w:cs="Tahoma"/>
                <w:lang w:val="ro-RO"/>
              </w:rPr>
              <w:t>5,2</w:t>
            </w:r>
          </w:p>
        </w:tc>
      </w:tr>
      <w:tr w:rsidR="00123F4F" w:rsidRPr="006B2701" w14:paraId="318F42B9" w14:textId="77777777" w:rsidTr="00123F4F">
        <w:trPr>
          <w:jc w:val="center"/>
        </w:trPr>
        <w:tc>
          <w:tcPr>
            <w:tcW w:w="2751" w:type="pct"/>
            <w:tcBorders>
              <w:top w:val="nil"/>
              <w:bottom w:val="nil"/>
            </w:tcBorders>
          </w:tcPr>
          <w:p w14:paraId="15A40CC7" w14:textId="77777777" w:rsidR="00123F4F" w:rsidRPr="006B2701" w:rsidRDefault="00123F4F" w:rsidP="00123F4F">
            <w:pPr>
              <w:keepNext/>
              <w:spacing w:before="60"/>
              <w:rPr>
                <w:rFonts w:ascii="Tahoma" w:eastAsia="MS Mincho" w:hAnsi="Tahoma" w:cs="Tahoma"/>
                <w:lang w:val="ro-RO"/>
              </w:rPr>
            </w:pPr>
            <w:r w:rsidRPr="006B2701">
              <w:rPr>
                <w:rFonts w:ascii="Tahoma" w:eastAsia="MS Mincho" w:hAnsi="Tahoma" w:cs="Tahoma"/>
                <w:lang w:val="ro-RO"/>
              </w:rPr>
              <w:t xml:space="preserve">      - Consum privat, din care:</w:t>
            </w:r>
          </w:p>
        </w:tc>
        <w:tc>
          <w:tcPr>
            <w:tcW w:w="1267" w:type="pct"/>
            <w:tcBorders>
              <w:top w:val="nil"/>
              <w:bottom w:val="nil"/>
            </w:tcBorders>
            <w:vAlign w:val="center"/>
          </w:tcPr>
          <w:p w14:paraId="518ADF98" w14:textId="77777777" w:rsidR="00123F4F" w:rsidRPr="006B2701" w:rsidRDefault="00123F4F" w:rsidP="00123F4F">
            <w:pPr>
              <w:keepNext/>
              <w:spacing w:before="60"/>
              <w:jc w:val="center"/>
              <w:rPr>
                <w:rFonts w:ascii="Tahoma" w:eastAsia="MS Mincho" w:hAnsi="Tahoma" w:cs="Tahoma"/>
                <w:lang w:val="ro-RO"/>
              </w:rPr>
            </w:pPr>
            <w:r w:rsidRPr="006B2701">
              <w:rPr>
                <w:rFonts w:ascii="Tahoma" w:eastAsia="MS Mincho" w:hAnsi="Tahoma" w:cs="Tahoma"/>
                <w:lang w:val="ro-RO"/>
              </w:rPr>
              <w:t>4,5</w:t>
            </w:r>
          </w:p>
        </w:tc>
        <w:tc>
          <w:tcPr>
            <w:tcW w:w="982" w:type="pct"/>
            <w:tcBorders>
              <w:top w:val="nil"/>
              <w:bottom w:val="nil"/>
            </w:tcBorders>
            <w:vAlign w:val="center"/>
          </w:tcPr>
          <w:p w14:paraId="57B0B7FD" w14:textId="77777777" w:rsidR="00123F4F" w:rsidRPr="006B2701" w:rsidRDefault="00123F4F" w:rsidP="00123F4F">
            <w:pPr>
              <w:keepNext/>
              <w:spacing w:before="60"/>
              <w:jc w:val="center"/>
              <w:rPr>
                <w:rFonts w:ascii="Tahoma" w:eastAsia="MS Mincho" w:hAnsi="Tahoma" w:cs="Tahoma"/>
                <w:lang w:val="ro-RO"/>
              </w:rPr>
            </w:pPr>
            <w:r w:rsidRPr="006B2701">
              <w:rPr>
                <w:rFonts w:ascii="Tahoma" w:eastAsia="MS Mincho" w:hAnsi="Tahoma" w:cs="Tahoma"/>
                <w:lang w:val="ro-RO"/>
              </w:rPr>
              <w:t>5,5</w:t>
            </w:r>
          </w:p>
        </w:tc>
      </w:tr>
      <w:tr w:rsidR="00123F4F" w:rsidRPr="006B2701" w14:paraId="4FD26001" w14:textId="77777777" w:rsidTr="00123F4F">
        <w:trPr>
          <w:jc w:val="center"/>
        </w:trPr>
        <w:tc>
          <w:tcPr>
            <w:tcW w:w="2751" w:type="pct"/>
            <w:tcBorders>
              <w:top w:val="nil"/>
              <w:bottom w:val="nil"/>
            </w:tcBorders>
          </w:tcPr>
          <w:p w14:paraId="5FFF7691" w14:textId="77777777" w:rsidR="00123F4F" w:rsidRPr="006B2701" w:rsidRDefault="00123F4F" w:rsidP="00123F4F">
            <w:pPr>
              <w:keepNext/>
              <w:numPr>
                <w:ilvl w:val="0"/>
                <w:numId w:val="6"/>
              </w:numPr>
              <w:spacing w:before="60"/>
              <w:rPr>
                <w:rFonts w:ascii="Tahoma" w:eastAsia="MS Mincho" w:hAnsi="Tahoma" w:cs="Tahoma"/>
                <w:lang w:val="ro-RO"/>
              </w:rPr>
            </w:pPr>
            <w:r w:rsidRPr="006B2701">
              <w:rPr>
                <w:rFonts w:ascii="Tahoma" w:eastAsia="MS Mincho" w:hAnsi="Tahoma" w:cs="Tahoma"/>
                <w:lang w:val="ro-RO"/>
              </w:rPr>
              <w:t xml:space="preserve">Cheltuiala pentru consum final al </w:t>
            </w:r>
            <w:proofErr w:type="spellStart"/>
            <w:r w:rsidRPr="006B2701">
              <w:rPr>
                <w:rFonts w:ascii="Tahoma" w:eastAsia="MS Mincho" w:hAnsi="Tahoma" w:cs="Tahoma"/>
                <w:lang w:val="ro-RO"/>
              </w:rPr>
              <w:t>populaţiei</w:t>
            </w:r>
            <w:proofErr w:type="spellEnd"/>
          </w:p>
        </w:tc>
        <w:tc>
          <w:tcPr>
            <w:tcW w:w="1267" w:type="pct"/>
            <w:tcBorders>
              <w:top w:val="nil"/>
              <w:bottom w:val="nil"/>
            </w:tcBorders>
            <w:vAlign w:val="center"/>
          </w:tcPr>
          <w:p w14:paraId="66747DD4" w14:textId="77777777" w:rsidR="00123F4F" w:rsidRPr="006B2701" w:rsidRDefault="00123F4F" w:rsidP="00123F4F">
            <w:pPr>
              <w:keepNext/>
              <w:spacing w:before="60"/>
              <w:jc w:val="center"/>
              <w:rPr>
                <w:rFonts w:ascii="Tahoma" w:eastAsia="MS Mincho" w:hAnsi="Tahoma" w:cs="Tahoma"/>
                <w:lang w:val="ro-RO"/>
              </w:rPr>
            </w:pPr>
            <w:r w:rsidRPr="006B2701">
              <w:rPr>
                <w:rFonts w:ascii="Tahoma" w:eastAsia="MS Mincho" w:hAnsi="Tahoma" w:cs="Tahoma"/>
                <w:lang w:val="ro-RO"/>
              </w:rPr>
              <w:t>4,5</w:t>
            </w:r>
          </w:p>
        </w:tc>
        <w:tc>
          <w:tcPr>
            <w:tcW w:w="982" w:type="pct"/>
            <w:tcBorders>
              <w:top w:val="nil"/>
              <w:bottom w:val="nil"/>
            </w:tcBorders>
            <w:vAlign w:val="center"/>
          </w:tcPr>
          <w:p w14:paraId="1E0C1019" w14:textId="77777777" w:rsidR="00123F4F" w:rsidRPr="006B2701" w:rsidRDefault="00123F4F" w:rsidP="00123F4F">
            <w:pPr>
              <w:keepNext/>
              <w:spacing w:before="60"/>
              <w:jc w:val="center"/>
              <w:rPr>
                <w:rFonts w:ascii="Tahoma" w:eastAsia="MS Mincho" w:hAnsi="Tahoma" w:cs="Tahoma"/>
                <w:lang w:val="ro-RO"/>
              </w:rPr>
            </w:pPr>
            <w:r w:rsidRPr="006B2701">
              <w:rPr>
                <w:rFonts w:ascii="Tahoma" w:eastAsia="MS Mincho" w:hAnsi="Tahoma" w:cs="Tahoma"/>
                <w:lang w:val="ro-RO"/>
              </w:rPr>
              <w:t>5,5</w:t>
            </w:r>
          </w:p>
        </w:tc>
      </w:tr>
      <w:tr w:rsidR="00123F4F" w:rsidRPr="006B2701" w14:paraId="120ECE8A" w14:textId="77777777" w:rsidTr="00123F4F">
        <w:trPr>
          <w:jc w:val="center"/>
        </w:trPr>
        <w:tc>
          <w:tcPr>
            <w:tcW w:w="2751" w:type="pct"/>
            <w:tcBorders>
              <w:top w:val="nil"/>
              <w:bottom w:val="nil"/>
            </w:tcBorders>
          </w:tcPr>
          <w:p w14:paraId="54B9E6CC" w14:textId="77777777" w:rsidR="00123F4F" w:rsidRPr="006B2701" w:rsidRDefault="00123F4F" w:rsidP="00123F4F">
            <w:pPr>
              <w:keepNext/>
              <w:spacing w:before="60"/>
              <w:rPr>
                <w:rFonts w:ascii="Tahoma" w:eastAsia="MS Mincho" w:hAnsi="Tahoma" w:cs="Tahoma"/>
                <w:lang w:val="ro-RO"/>
              </w:rPr>
            </w:pPr>
            <w:r w:rsidRPr="006B2701">
              <w:rPr>
                <w:rFonts w:ascii="Tahoma" w:eastAsia="MS Mincho" w:hAnsi="Tahoma" w:cs="Tahoma"/>
                <w:lang w:val="ro-RO"/>
              </w:rPr>
              <w:t xml:space="preserve">      - Consum guvernamental</w:t>
            </w:r>
          </w:p>
        </w:tc>
        <w:tc>
          <w:tcPr>
            <w:tcW w:w="1267" w:type="pct"/>
            <w:tcBorders>
              <w:top w:val="nil"/>
              <w:bottom w:val="nil"/>
            </w:tcBorders>
            <w:vAlign w:val="center"/>
          </w:tcPr>
          <w:p w14:paraId="7AD7F12E" w14:textId="77777777" w:rsidR="00123F4F" w:rsidRPr="006B2701" w:rsidRDefault="00123F4F" w:rsidP="00123F4F">
            <w:pPr>
              <w:keepNext/>
              <w:spacing w:before="60"/>
              <w:jc w:val="center"/>
              <w:rPr>
                <w:rFonts w:ascii="Tahoma" w:eastAsia="MS Mincho" w:hAnsi="Tahoma" w:cs="Tahoma"/>
                <w:lang w:val="ro-RO"/>
              </w:rPr>
            </w:pPr>
            <w:r w:rsidRPr="006B2701">
              <w:rPr>
                <w:rFonts w:ascii="Tahoma" w:eastAsia="MS Mincho" w:hAnsi="Tahoma" w:cs="Tahoma"/>
                <w:lang w:val="ro-RO"/>
              </w:rPr>
              <w:t>2,7</w:t>
            </w:r>
          </w:p>
        </w:tc>
        <w:tc>
          <w:tcPr>
            <w:tcW w:w="982" w:type="pct"/>
            <w:tcBorders>
              <w:top w:val="nil"/>
              <w:bottom w:val="nil"/>
            </w:tcBorders>
            <w:vAlign w:val="center"/>
          </w:tcPr>
          <w:p w14:paraId="494C6014" w14:textId="77777777" w:rsidR="00123F4F" w:rsidRPr="006B2701" w:rsidRDefault="00123F4F" w:rsidP="00123F4F">
            <w:pPr>
              <w:keepNext/>
              <w:spacing w:before="60"/>
              <w:jc w:val="center"/>
              <w:rPr>
                <w:rFonts w:ascii="Tahoma" w:eastAsia="MS Mincho" w:hAnsi="Tahoma" w:cs="Tahoma"/>
                <w:lang w:val="ro-RO"/>
              </w:rPr>
            </w:pPr>
            <w:r w:rsidRPr="006B2701">
              <w:rPr>
                <w:rFonts w:ascii="Tahoma" w:eastAsia="MS Mincho" w:hAnsi="Tahoma" w:cs="Tahoma"/>
                <w:lang w:val="ro-RO"/>
              </w:rPr>
              <w:t>4,3</w:t>
            </w:r>
          </w:p>
        </w:tc>
      </w:tr>
      <w:tr w:rsidR="00123F4F" w:rsidRPr="006B2701" w14:paraId="6B63E645" w14:textId="77777777" w:rsidTr="00123F4F">
        <w:trPr>
          <w:jc w:val="center"/>
        </w:trPr>
        <w:tc>
          <w:tcPr>
            <w:tcW w:w="2751" w:type="pct"/>
            <w:tcBorders>
              <w:top w:val="nil"/>
            </w:tcBorders>
          </w:tcPr>
          <w:p w14:paraId="5D162D7E" w14:textId="77777777" w:rsidR="00123F4F" w:rsidRPr="006B2701" w:rsidRDefault="00123F4F" w:rsidP="00123F4F">
            <w:pPr>
              <w:keepNext/>
              <w:spacing w:before="60"/>
              <w:rPr>
                <w:rFonts w:ascii="Tahoma" w:eastAsia="MS Mincho" w:hAnsi="Tahoma" w:cs="Tahoma"/>
                <w:lang w:val="ro-RO"/>
              </w:rPr>
            </w:pPr>
            <w:r w:rsidRPr="006B2701">
              <w:rPr>
                <w:rFonts w:ascii="Tahoma" w:eastAsia="MS Mincho" w:hAnsi="Tahoma" w:cs="Tahoma"/>
                <w:lang w:val="ro-RO"/>
              </w:rPr>
              <w:t xml:space="preserve">    Formarea brută de capital fix (FBCF)</w:t>
            </w:r>
          </w:p>
        </w:tc>
        <w:tc>
          <w:tcPr>
            <w:tcW w:w="1267" w:type="pct"/>
            <w:tcBorders>
              <w:top w:val="nil"/>
            </w:tcBorders>
            <w:vAlign w:val="center"/>
          </w:tcPr>
          <w:p w14:paraId="36DC1ECE" w14:textId="77777777" w:rsidR="00123F4F" w:rsidRPr="006B2701" w:rsidRDefault="00123F4F" w:rsidP="00123F4F">
            <w:pPr>
              <w:keepNext/>
              <w:spacing w:before="60"/>
              <w:jc w:val="center"/>
              <w:rPr>
                <w:rFonts w:ascii="Tahoma" w:eastAsia="MS Mincho" w:hAnsi="Tahoma" w:cs="Tahoma"/>
                <w:lang w:val="ro-RO"/>
              </w:rPr>
            </w:pPr>
            <w:r w:rsidRPr="006B2701">
              <w:rPr>
                <w:rFonts w:ascii="Tahoma" w:eastAsia="MS Mincho" w:hAnsi="Tahoma" w:cs="Tahoma"/>
                <w:lang w:val="ro-RO"/>
              </w:rPr>
              <w:t>9,3</w:t>
            </w:r>
          </w:p>
        </w:tc>
        <w:tc>
          <w:tcPr>
            <w:tcW w:w="982" w:type="pct"/>
            <w:tcBorders>
              <w:top w:val="nil"/>
            </w:tcBorders>
            <w:vAlign w:val="center"/>
          </w:tcPr>
          <w:p w14:paraId="35968B1F" w14:textId="77777777" w:rsidR="00123F4F" w:rsidRPr="006B2701" w:rsidRDefault="00123F4F" w:rsidP="00123F4F">
            <w:pPr>
              <w:keepNext/>
              <w:spacing w:before="60"/>
              <w:jc w:val="center"/>
              <w:rPr>
                <w:rFonts w:ascii="Tahoma" w:eastAsia="MS Mincho" w:hAnsi="Tahoma" w:cs="Tahoma"/>
                <w:lang w:val="ro-RO"/>
              </w:rPr>
            </w:pPr>
            <w:r w:rsidRPr="006B2701">
              <w:rPr>
                <w:rFonts w:ascii="Tahoma" w:eastAsia="MS Mincho" w:hAnsi="Tahoma" w:cs="Tahoma"/>
                <w:lang w:val="ro-RO"/>
              </w:rPr>
              <w:t>8,0</w:t>
            </w:r>
          </w:p>
        </w:tc>
      </w:tr>
      <w:tr w:rsidR="00123F4F" w:rsidRPr="006B2701" w14:paraId="0CAA9075" w14:textId="77777777" w:rsidTr="00123F4F">
        <w:trPr>
          <w:jc w:val="center"/>
        </w:trPr>
        <w:tc>
          <w:tcPr>
            <w:tcW w:w="2751" w:type="pct"/>
            <w:tcBorders>
              <w:bottom w:val="nil"/>
            </w:tcBorders>
            <w:vAlign w:val="center"/>
          </w:tcPr>
          <w:p w14:paraId="7285E63D" w14:textId="77777777" w:rsidR="00123F4F" w:rsidRPr="006B2701" w:rsidRDefault="00123F4F" w:rsidP="00123F4F">
            <w:pPr>
              <w:keepNext/>
              <w:spacing w:before="60"/>
              <w:rPr>
                <w:rFonts w:ascii="Tahoma" w:hAnsi="Tahoma" w:cs="Tahoma"/>
                <w:lang w:val="ro-RO"/>
              </w:rPr>
            </w:pPr>
            <w:r w:rsidRPr="006B2701">
              <w:rPr>
                <w:rFonts w:ascii="Tahoma" w:hAnsi="Tahoma" w:cs="Tahoma"/>
                <w:lang w:val="ro-RO"/>
              </w:rPr>
              <w:t xml:space="preserve">Exportul de bunuri </w:t>
            </w:r>
            <w:proofErr w:type="spellStart"/>
            <w:r w:rsidRPr="006B2701">
              <w:rPr>
                <w:rFonts w:ascii="Tahoma" w:hAnsi="Tahoma" w:cs="Tahoma"/>
                <w:lang w:val="ro-RO"/>
              </w:rPr>
              <w:t>şi</w:t>
            </w:r>
            <w:proofErr w:type="spellEnd"/>
            <w:r w:rsidRPr="006B2701">
              <w:rPr>
                <w:rFonts w:ascii="Tahoma" w:hAnsi="Tahoma" w:cs="Tahoma"/>
                <w:lang w:val="ro-RO"/>
              </w:rPr>
              <w:t xml:space="preserve"> servicii</w:t>
            </w:r>
          </w:p>
        </w:tc>
        <w:tc>
          <w:tcPr>
            <w:tcW w:w="1267" w:type="pct"/>
            <w:tcBorders>
              <w:bottom w:val="nil"/>
            </w:tcBorders>
            <w:vAlign w:val="center"/>
          </w:tcPr>
          <w:p w14:paraId="15DEB80F" w14:textId="77777777" w:rsidR="00123F4F" w:rsidRPr="006B2701" w:rsidRDefault="00123F4F" w:rsidP="00123F4F">
            <w:pPr>
              <w:keepNext/>
              <w:spacing w:before="60"/>
              <w:jc w:val="center"/>
              <w:rPr>
                <w:rFonts w:ascii="Tahoma" w:eastAsia="MS Mincho" w:hAnsi="Tahoma" w:cs="Tahoma"/>
                <w:lang w:val="ro-RO"/>
              </w:rPr>
            </w:pPr>
            <w:r w:rsidRPr="006B2701">
              <w:rPr>
                <w:rFonts w:ascii="Tahoma" w:eastAsia="MS Mincho" w:hAnsi="Tahoma" w:cs="Tahoma"/>
                <w:lang w:val="ro-RO"/>
              </w:rPr>
              <w:t>5,4</w:t>
            </w:r>
          </w:p>
        </w:tc>
        <w:tc>
          <w:tcPr>
            <w:tcW w:w="982" w:type="pct"/>
            <w:tcBorders>
              <w:bottom w:val="nil"/>
            </w:tcBorders>
            <w:vAlign w:val="center"/>
          </w:tcPr>
          <w:p w14:paraId="1C47E1B5" w14:textId="77777777" w:rsidR="00123F4F" w:rsidRPr="006B2701" w:rsidRDefault="00123F4F" w:rsidP="00123F4F">
            <w:pPr>
              <w:keepNext/>
              <w:spacing w:before="60"/>
              <w:jc w:val="center"/>
              <w:rPr>
                <w:rFonts w:ascii="Tahoma" w:eastAsia="MS Mincho" w:hAnsi="Tahoma" w:cs="Tahoma"/>
                <w:lang w:val="ro-RO"/>
              </w:rPr>
            </w:pPr>
            <w:r w:rsidRPr="006B2701">
              <w:rPr>
                <w:rFonts w:ascii="Tahoma" w:eastAsia="MS Mincho" w:hAnsi="Tahoma" w:cs="Tahoma"/>
                <w:lang w:val="ro-RO"/>
              </w:rPr>
              <w:t>9,6</w:t>
            </w:r>
          </w:p>
        </w:tc>
      </w:tr>
      <w:tr w:rsidR="00123F4F" w:rsidRPr="006B2701" w14:paraId="585E51F9" w14:textId="77777777" w:rsidTr="00123F4F">
        <w:trPr>
          <w:jc w:val="center"/>
        </w:trPr>
        <w:tc>
          <w:tcPr>
            <w:tcW w:w="2751" w:type="pct"/>
            <w:tcBorders>
              <w:top w:val="nil"/>
            </w:tcBorders>
            <w:vAlign w:val="center"/>
          </w:tcPr>
          <w:p w14:paraId="067498B9" w14:textId="77777777" w:rsidR="00123F4F" w:rsidRPr="006B2701" w:rsidRDefault="00123F4F" w:rsidP="00123F4F">
            <w:pPr>
              <w:keepNext/>
              <w:spacing w:before="60"/>
              <w:rPr>
                <w:rFonts w:ascii="Tahoma" w:hAnsi="Tahoma" w:cs="Tahoma"/>
                <w:lang w:val="ro-RO"/>
              </w:rPr>
            </w:pPr>
            <w:r w:rsidRPr="006B2701">
              <w:rPr>
                <w:rFonts w:ascii="Tahoma" w:hAnsi="Tahoma" w:cs="Tahoma"/>
                <w:lang w:val="ro-RO"/>
              </w:rPr>
              <w:t xml:space="preserve">Importul de bunuri </w:t>
            </w:r>
            <w:proofErr w:type="spellStart"/>
            <w:r w:rsidRPr="006B2701">
              <w:rPr>
                <w:rFonts w:ascii="Tahoma" w:hAnsi="Tahoma" w:cs="Tahoma"/>
                <w:lang w:val="ro-RO"/>
              </w:rPr>
              <w:t>şi</w:t>
            </w:r>
            <w:proofErr w:type="spellEnd"/>
            <w:r w:rsidRPr="006B2701">
              <w:rPr>
                <w:rFonts w:ascii="Tahoma" w:hAnsi="Tahoma" w:cs="Tahoma"/>
                <w:lang w:val="ro-RO"/>
              </w:rPr>
              <w:t xml:space="preserve"> servicii</w:t>
            </w:r>
          </w:p>
        </w:tc>
        <w:tc>
          <w:tcPr>
            <w:tcW w:w="1267" w:type="pct"/>
            <w:tcBorders>
              <w:top w:val="nil"/>
            </w:tcBorders>
            <w:vAlign w:val="center"/>
          </w:tcPr>
          <w:p w14:paraId="421397DF" w14:textId="77777777" w:rsidR="00123F4F" w:rsidRPr="006B2701" w:rsidRDefault="00123F4F" w:rsidP="00123F4F">
            <w:pPr>
              <w:keepNext/>
              <w:spacing w:before="60"/>
              <w:jc w:val="center"/>
              <w:rPr>
                <w:rFonts w:ascii="Tahoma" w:eastAsia="MS Mincho" w:hAnsi="Tahoma" w:cs="Tahoma"/>
                <w:lang w:val="ro-RO"/>
              </w:rPr>
            </w:pPr>
            <w:r w:rsidRPr="006B2701">
              <w:rPr>
                <w:rFonts w:ascii="Tahoma" w:eastAsia="MS Mincho" w:hAnsi="Tahoma" w:cs="Tahoma"/>
                <w:lang w:val="ro-RO"/>
              </w:rPr>
              <w:t>7,2</w:t>
            </w:r>
          </w:p>
        </w:tc>
        <w:tc>
          <w:tcPr>
            <w:tcW w:w="982" w:type="pct"/>
            <w:tcBorders>
              <w:top w:val="nil"/>
            </w:tcBorders>
            <w:vAlign w:val="center"/>
          </w:tcPr>
          <w:p w14:paraId="04B6155D" w14:textId="77777777" w:rsidR="00123F4F" w:rsidRPr="006B2701" w:rsidRDefault="00123F4F" w:rsidP="00123F4F">
            <w:pPr>
              <w:keepNext/>
              <w:spacing w:before="60"/>
              <w:jc w:val="center"/>
              <w:rPr>
                <w:rFonts w:ascii="Tahoma" w:eastAsia="MS Mincho" w:hAnsi="Tahoma" w:cs="Tahoma"/>
                <w:lang w:val="ro-RO"/>
              </w:rPr>
            </w:pPr>
            <w:r w:rsidRPr="006B2701">
              <w:rPr>
                <w:rFonts w:ascii="Tahoma" w:eastAsia="MS Mincho" w:hAnsi="Tahoma" w:cs="Tahoma"/>
                <w:lang w:val="ro-RO"/>
              </w:rPr>
              <w:t>9,9</w:t>
            </w:r>
          </w:p>
        </w:tc>
      </w:tr>
      <w:tr w:rsidR="00123F4F" w:rsidRPr="006B2701" w14:paraId="619AF2EC" w14:textId="77777777" w:rsidTr="00123F4F">
        <w:trPr>
          <w:jc w:val="center"/>
        </w:trPr>
        <w:tc>
          <w:tcPr>
            <w:tcW w:w="2751" w:type="pct"/>
          </w:tcPr>
          <w:p w14:paraId="357B9859" w14:textId="77777777" w:rsidR="00123F4F" w:rsidRPr="006B2701" w:rsidRDefault="00123F4F" w:rsidP="00123F4F">
            <w:pPr>
              <w:keepNext/>
              <w:spacing w:before="60"/>
              <w:rPr>
                <w:rFonts w:ascii="Tahoma" w:eastAsia="MS Mincho" w:hAnsi="Tahoma" w:cs="Tahoma"/>
                <w:b/>
                <w:bCs/>
                <w:lang w:val="ro-RO"/>
              </w:rPr>
            </w:pPr>
            <w:r w:rsidRPr="006B2701">
              <w:rPr>
                <w:rFonts w:ascii="Tahoma" w:eastAsia="MS Mincho" w:hAnsi="Tahoma" w:cs="Tahoma"/>
                <w:b/>
                <w:bCs/>
                <w:lang w:val="ro-RO"/>
              </w:rPr>
              <w:t xml:space="preserve">PRODUSUL INTERN BRUT </w:t>
            </w:r>
          </w:p>
        </w:tc>
        <w:tc>
          <w:tcPr>
            <w:tcW w:w="1267" w:type="pct"/>
            <w:vAlign w:val="center"/>
          </w:tcPr>
          <w:p w14:paraId="61904E78" w14:textId="77777777" w:rsidR="00123F4F" w:rsidRPr="006B2701" w:rsidRDefault="00123F4F" w:rsidP="00123F4F">
            <w:pPr>
              <w:keepNext/>
              <w:spacing w:before="60"/>
              <w:jc w:val="center"/>
              <w:rPr>
                <w:rFonts w:ascii="Tahoma" w:eastAsia="MS Mincho" w:hAnsi="Tahoma" w:cs="Tahoma"/>
                <w:b/>
                <w:bCs/>
                <w:lang w:val="ro-RO"/>
              </w:rPr>
            </w:pPr>
            <w:r w:rsidRPr="006B2701">
              <w:rPr>
                <w:rFonts w:ascii="Tahoma" w:eastAsia="MS Mincho" w:hAnsi="Tahoma" w:cs="Tahoma"/>
                <w:b/>
                <w:bCs/>
                <w:lang w:val="ro-RO"/>
              </w:rPr>
              <w:t>4,6</w:t>
            </w:r>
          </w:p>
        </w:tc>
        <w:tc>
          <w:tcPr>
            <w:tcW w:w="982" w:type="pct"/>
            <w:vAlign w:val="center"/>
          </w:tcPr>
          <w:p w14:paraId="781F3E03" w14:textId="77777777" w:rsidR="00123F4F" w:rsidRPr="006B2701" w:rsidRDefault="00123F4F" w:rsidP="00123F4F">
            <w:pPr>
              <w:keepNext/>
              <w:spacing w:before="60"/>
              <w:jc w:val="center"/>
              <w:rPr>
                <w:rFonts w:ascii="Tahoma" w:eastAsia="MS Mincho" w:hAnsi="Tahoma" w:cs="Tahoma"/>
                <w:b/>
                <w:bCs/>
                <w:lang w:val="ro-RO"/>
              </w:rPr>
            </w:pPr>
            <w:r w:rsidRPr="006B2701">
              <w:rPr>
                <w:rFonts w:ascii="Tahoma" w:eastAsia="MS Mincho" w:hAnsi="Tahoma" w:cs="Tahoma"/>
                <w:b/>
                <w:bCs/>
                <w:lang w:val="ro-RO"/>
              </w:rPr>
              <w:t>4,7</w:t>
            </w:r>
          </w:p>
        </w:tc>
      </w:tr>
      <w:tr w:rsidR="00123F4F" w:rsidRPr="006B2701" w14:paraId="54381FF8" w14:textId="77777777" w:rsidTr="00123F4F">
        <w:trPr>
          <w:jc w:val="center"/>
        </w:trPr>
        <w:tc>
          <w:tcPr>
            <w:tcW w:w="2751" w:type="pct"/>
            <w:tcBorders>
              <w:bottom w:val="nil"/>
            </w:tcBorders>
            <w:vAlign w:val="bottom"/>
          </w:tcPr>
          <w:p w14:paraId="10662F10" w14:textId="77777777" w:rsidR="00123F4F" w:rsidRPr="006B2701" w:rsidRDefault="00123F4F" w:rsidP="00123F4F">
            <w:pPr>
              <w:keepNext/>
              <w:spacing w:before="60"/>
              <w:rPr>
                <w:rFonts w:ascii="Tahoma" w:hAnsi="Tahoma" w:cs="Tahoma"/>
                <w:lang w:val="ro-RO"/>
              </w:rPr>
            </w:pPr>
            <w:r w:rsidRPr="006B2701">
              <w:rPr>
                <w:rFonts w:ascii="Tahoma" w:hAnsi="Tahoma" w:cs="Tahoma"/>
                <w:lang w:val="ro-RO"/>
              </w:rPr>
              <w:t>Industrie</w:t>
            </w:r>
          </w:p>
        </w:tc>
        <w:tc>
          <w:tcPr>
            <w:tcW w:w="1267" w:type="pct"/>
            <w:tcBorders>
              <w:bottom w:val="nil"/>
            </w:tcBorders>
            <w:vAlign w:val="bottom"/>
          </w:tcPr>
          <w:p w14:paraId="3B283ECC" w14:textId="77777777" w:rsidR="00123F4F" w:rsidRPr="006B2701" w:rsidRDefault="00123F4F" w:rsidP="00123F4F">
            <w:pPr>
              <w:keepNext/>
              <w:spacing w:before="60"/>
              <w:jc w:val="center"/>
              <w:rPr>
                <w:rFonts w:ascii="Tahoma" w:eastAsia="MS Mincho" w:hAnsi="Tahoma" w:cs="Tahoma"/>
                <w:bCs/>
                <w:lang w:val="ro-RO"/>
              </w:rPr>
            </w:pPr>
            <w:r w:rsidRPr="006B2701">
              <w:rPr>
                <w:rFonts w:ascii="Tahoma" w:eastAsia="MS Mincho" w:hAnsi="Tahoma" w:cs="Tahoma"/>
                <w:bCs/>
                <w:lang w:val="ro-RO"/>
              </w:rPr>
              <w:t>4,4</w:t>
            </w:r>
          </w:p>
        </w:tc>
        <w:tc>
          <w:tcPr>
            <w:tcW w:w="982" w:type="pct"/>
            <w:tcBorders>
              <w:bottom w:val="nil"/>
            </w:tcBorders>
            <w:vAlign w:val="bottom"/>
          </w:tcPr>
          <w:p w14:paraId="11FDE49D" w14:textId="77777777" w:rsidR="00123F4F" w:rsidRPr="006B2701" w:rsidRDefault="00123F4F" w:rsidP="00123F4F">
            <w:pPr>
              <w:keepNext/>
              <w:spacing w:before="60"/>
              <w:jc w:val="center"/>
              <w:rPr>
                <w:rFonts w:ascii="Tahoma" w:eastAsia="MS Mincho" w:hAnsi="Tahoma" w:cs="Tahoma"/>
                <w:bCs/>
                <w:lang w:val="ro-RO"/>
              </w:rPr>
            </w:pPr>
            <w:r w:rsidRPr="006B2701">
              <w:rPr>
                <w:rFonts w:ascii="Tahoma" w:eastAsia="MS Mincho" w:hAnsi="Tahoma" w:cs="Tahoma"/>
                <w:bCs/>
                <w:lang w:val="ro-RO"/>
              </w:rPr>
              <w:t>-2,3</w:t>
            </w:r>
          </w:p>
        </w:tc>
      </w:tr>
      <w:tr w:rsidR="00123F4F" w:rsidRPr="006B2701" w14:paraId="5232E19F" w14:textId="77777777" w:rsidTr="00123F4F">
        <w:trPr>
          <w:jc w:val="center"/>
        </w:trPr>
        <w:tc>
          <w:tcPr>
            <w:tcW w:w="2751" w:type="pct"/>
            <w:tcBorders>
              <w:top w:val="nil"/>
              <w:bottom w:val="nil"/>
            </w:tcBorders>
            <w:vAlign w:val="bottom"/>
          </w:tcPr>
          <w:p w14:paraId="082F4B22" w14:textId="77777777" w:rsidR="00123F4F" w:rsidRPr="006B2701" w:rsidRDefault="00123F4F" w:rsidP="00123F4F">
            <w:pPr>
              <w:keepNext/>
              <w:spacing w:before="60"/>
              <w:rPr>
                <w:rFonts w:ascii="Tahoma" w:hAnsi="Tahoma" w:cs="Tahoma"/>
                <w:lang w:val="ro-RO"/>
              </w:rPr>
            </w:pPr>
            <w:r w:rsidRPr="006B2701">
              <w:rPr>
                <w:rFonts w:ascii="Tahoma" w:hAnsi="Tahoma" w:cs="Tahoma"/>
                <w:lang w:val="ro-RO"/>
              </w:rPr>
              <w:t>Agricultură, silvicultură, pescuit</w:t>
            </w:r>
          </w:p>
        </w:tc>
        <w:tc>
          <w:tcPr>
            <w:tcW w:w="1267" w:type="pct"/>
            <w:tcBorders>
              <w:top w:val="nil"/>
              <w:bottom w:val="nil"/>
            </w:tcBorders>
            <w:vAlign w:val="bottom"/>
          </w:tcPr>
          <w:p w14:paraId="19620942" w14:textId="77777777" w:rsidR="00123F4F" w:rsidRPr="006B2701" w:rsidRDefault="00123F4F" w:rsidP="00123F4F">
            <w:pPr>
              <w:keepNext/>
              <w:spacing w:before="60"/>
              <w:jc w:val="center"/>
              <w:rPr>
                <w:rFonts w:ascii="Tahoma" w:eastAsia="MS Mincho" w:hAnsi="Tahoma" w:cs="Tahoma"/>
                <w:bCs/>
                <w:lang w:val="ro-RO"/>
              </w:rPr>
            </w:pPr>
            <w:r w:rsidRPr="006B2701">
              <w:rPr>
                <w:rFonts w:ascii="Tahoma" w:eastAsia="MS Mincho" w:hAnsi="Tahoma" w:cs="Tahoma"/>
                <w:bCs/>
                <w:lang w:val="ro-RO"/>
              </w:rPr>
              <w:t>3,1</w:t>
            </w:r>
          </w:p>
        </w:tc>
        <w:tc>
          <w:tcPr>
            <w:tcW w:w="982" w:type="pct"/>
            <w:tcBorders>
              <w:top w:val="nil"/>
              <w:bottom w:val="nil"/>
            </w:tcBorders>
            <w:vAlign w:val="bottom"/>
          </w:tcPr>
          <w:p w14:paraId="6109DB67" w14:textId="77777777" w:rsidR="00123F4F" w:rsidRPr="006B2701" w:rsidRDefault="00123F4F" w:rsidP="00123F4F">
            <w:pPr>
              <w:keepNext/>
              <w:spacing w:before="60"/>
              <w:jc w:val="center"/>
              <w:rPr>
                <w:rFonts w:ascii="Tahoma" w:eastAsia="MS Mincho" w:hAnsi="Tahoma" w:cs="Tahoma"/>
                <w:bCs/>
                <w:lang w:val="ro-RO"/>
              </w:rPr>
            </w:pPr>
            <w:r w:rsidRPr="006B2701">
              <w:rPr>
                <w:rFonts w:ascii="Tahoma" w:eastAsia="MS Mincho" w:hAnsi="Tahoma" w:cs="Tahoma"/>
                <w:bCs/>
                <w:lang w:val="ro-RO"/>
              </w:rPr>
              <w:t>-11,6</w:t>
            </w:r>
          </w:p>
        </w:tc>
      </w:tr>
      <w:tr w:rsidR="00123F4F" w:rsidRPr="006B2701" w14:paraId="46A293B4" w14:textId="77777777" w:rsidTr="00123F4F">
        <w:trPr>
          <w:jc w:val="center"/>
        </w:trPr>
        <w:tc>
          <w:tcPr>
            <w:tcW w:w="2751" w:type="pct"/>
            <w:tcBorders>
              <w:top w:val="nil"/>
              <w:bottom w:val="nil"/>
            </w:tcBorders>
            <w:vAlign w:val="bottom"/>
          </w:tcPr>
          <w:p w14:paraId="05067D7D" w14:textId="77777777" w:rsidR="00123F4F" w:rsidRPr="006B2701" w:rsidRDefault="00123F4F" w:rsidP="00123F4F">
            <w:pPr>
              <w:keepNext/>
              <w:spacing w:before="60"/>
              <w:rPr>
                <w:rFonts w:ascii="Tahoma" w:hAnsi="Tahoma" w:cs="Tahoma"/>
                <w:lang w:val="ro-RO"/>
              </w:rPr>
            </w:pPr>
            <w:proofErr w:type="spellStart"/>
            <w:r w:rsidRPr="006B2701">
              <w:rPr>
                <w:rFonts w:ascii="Tahoma" w:hAnsi="Tahoma" w:cs="Tahoma"/>
                <w:lang w:val="ro-RO"/>
              </w:rPr>
              <w:t>Construcţii</w:t>
            </w:r>
            <w:proofErr w:type="spellEnd"/>
          </w:p>
        </w:tc>
        <w:tc>
          <w:tcPr>
            <w:tcW w:w="1267" w:type="pct"/>
            <w:tcBorders>
              <w:top w:val="nil"/>
              <w:bottom w:val="nil"/>
            </w:tcBorders>
            <w:vAlign w:val="bottom"/>
          </w:tcPr>
          <w:p w14:paraId="6508C706" w14:textId="77777777" w:rsidR="00123F4F" w:rsidRPr="006B2701" w:rsidRDefault="00123F4F" w:rsidP="00123F4F">
            <w:pPr>
              <w:keepNext/>
              <w:spacing w:before="60"/>
              <w:jc w:val="center"/>
              <w:rPr>
                <w:rFonts w:ascii="Tahoma" w:eastAsia="MS Mincho" w:hAnsi="Tahoma" w:cs="Tahoma"/>
                <w:bCs/>
                <w:lang w:val="ro-RO"/>
              </w:rPr>
            </w:pPr>
            <w:r w:rsidRPr="006B2701">
              <w:rPr>
                <w:rFonts w:ascii="Tahoma" w:eastAsia="MS Mincho" w:hAnsi="Tahoma" w:cs="Tahoma"/>
                <w:bCs/>
                <w:lang w:val="ro-RO"/>
              </w:rPr>
              <w:t>9,0</w:t>
            </w:r>
          </w:p>
        </w:tc>
        <w:tc>
          <w:tcPr>
            <w:tcW w:w="982" w:type="pct"/>
            <w:tcBorders>
              <w:top w:val="nil"/>
              <w:bottom w:val="nil"/>
            </w:tcBorders>
            <w:vAlign w:val="bottom"/>
          </w:tcPr>
          <w:p w14:paraId="1CC82E3D" w14:textId="77777777" w:rsidR="00123F4F" w:rsidRPr="006B2701" w:rsidRDefault="00123F4F" w:rsidP="00123F4F">
            <w:pPr>
              <w:keepNext/>
              <w:spacing w:before="60"/>
              <w:jc w:val="center"/>
              <w:rPr>
                <w:rFonts w:ascii="Tahoma" w:eastAsia="MS Mincho" w:hAnsi="Tahoma" w:cs="Tahoma"/>
                <w:bCs/>
                <w:lang w:val="ro-RO"/>
              </w:rPr>
            </w:pPr>
            <w:r w:rsidRPr="006B2701">
              <w:rPr>
                <w:rFonts w:ascii="Tahoma" w:eastAsia="MS Mincho" w:hAnsi="Tahoma" w:cs="Tahoma"/>
                <w:bCs/>
                <w:lang w:val="ro-RO"/>
              </w:rPr>
              <w:t>11,2</w:t>
            </w:r>
          </w:p>
        </w:tc>
      </w:tr>
      <w:tr w:rsidR="00123F4F" w:rsidRPr="006B2701" w14:paraId="18CAAAAA" w14:textId="77777777" w:rsidTr="00123F4F">
        <w:trPr>
          <w:jc w:val="center"/>
        </w:trPr>
        <w:tc>
          <w:tcPr>
            <w:tcW w:w="2751" w:type="pct"/>
            <w:tcBorders>
              <w:top w:val="nil"/>
              <w:bottom w:val="nil"/>
            </w:tcBorders>
            <w:vAlign w:val="bottom"/>
          </w:tcPr>
          <w:p w14:paraId="66094D69" w14:textId="77777777" w:rsidR="00123F4F" w:rsidRPr="006B2701" w:rsidRDefault="00123F4F" w:rsidP="00123F4F">
            <w:pPr>
              <w:keepNext/>
              <w:spacing w:before="60"/>
              <w:rPr>
                <w:rFonts w:ascii="Tahoma" w:hAnsi="Tahoma" w:cs="Tahoma"/>
                <w:lang w:val="ro-RO"/>
              </w:rPr>
            </w:pPr>
            <w:r w:rsidRPr="006B2701">
              <w:rPr>
                <w:rFonts w:ascii="Tahoma" w:hAnsi="Tahoma" w:cs="Tahoma"/>
                <w:lang w:val="ro-RO"/>
              </w:rPr>
              <w:t>Total servicii</w:t>
            </w:r>
          </w:p>
        </w:tc>
        <w:tc>
          <w:tcPr>
            <w:tcW w:w="1267" w:type="pct"/>
            <w:tcBorders>
              <w:top w:val="nil"/>
              <w:bottom w:val="nil"/>
            </w:tcBorders>
            <w:vAlign w:val="bottom"/>
          </w:tcPr>
          <w:p w14:paraId="0DEB9A00" w14:textId="77777777" w:rsidR="00123F4F" w:rsidRPr="006B2701" w:rsidRDefault="00123F4F" w:rsidP="00123F4F">
            <w:pPr>
              <w:keepNext/>
              <w:spacing w:before="60"/>
              <w:jc w:val="center"/>
              <w:rPr>
                <w:rFonts w:ascii="Tahoma" w:eastAsia="MS Mincho" w:hAnsi="Tahoma" w:cs="Tahoma"/>
                <w:bCs/>
                <w:lang w:val="ro-RO"/>
              </w:rPr>
            </w:pPr>
            <w:r w:rsidRPr="006B2701">
              <w:rPr>
                <w:rFonts w:ascii="Tahoma" w:eastAsia="MS Mincho" w:hAnsi="Tahoma" w:cs="Tahoma"/>
                <w:bCs/>
                <w:lang w:val="ro-RO"/>
              </w:rPr>
              <w:t>4,3</w:t>
            </w:r>
          </w:p>
        </w:tc>
        <w:tc>
          <w:tcPr>
            <w:tcW w:w="982" w:type="pct"/>
            <w:tcBorders>
              <w:top w:val="nil"/>
              <w:bottom w:val="nil"/>
            </w:tcBorders>
            <w:vAlign w:val="bottom"/>
          </w:tcPr>
          <w:p w14:paraId="227FB836" w14:textId="77777777" w:rsidR="00123F4F" w:rsidRPr="006B2701" w:rsidRDefault="00123F4F" w:rsidP="00123F4F">
            <w:pPr>
              <w:keepNext/>
              <w:spacing w:before="60"/>
              <w:jc w:val="center"/>
              <w:rPr>
                <w:rFonts w:ascii="Tahoma" w:eastAsia="MS Mincho" w:hAnsi="Tahoma" w:cs="Tahoma"/>
                <w:bCs/>
                <w:lang w:val="ro-RO"/>
              </w:rPr>
            </w:pPr>
            <w:r w:rsidRPr="006B2701">
              <w:rPr>
                <w:rFonts w:ascii="Tahoma" w:eastAsia="MS Mincho" w:hAnsi="Tahoma" w:cs="Tahoma"/>
                <w:bCs/>
                <w:lang w:val="ro-RO"/>
              </w:rPr>
              <w:t>7,7</w:t>
            </w:r>
          </w:p>
        </w:tc>
      </w:tr>
      <w:tr w:rsidR="00123F4F" w:rsidRPr="006B2701" w14:paraId="31D71590" w14:textId="77777777" w:rsidTr="00123F4F">
        <w:trPr>
          <w:jc w:val="center"/>
        </w:trPr>
        <w:tc>
          <w:tcPr>
            <w:tcW w:w="2751" w:type="pct"/>
            <w:tcBorders>
              <w:top w:val="nil"/>
            </w:tcBorders>
            <w:vAlign w:val="bottom"/>
          </w:tcPr>
          <w:p w14:paraId="3201F454" w14:textId="77777777" w:rsidR="00123F4F" w:rsidRPr="006B2701" w:rsidRDefault="00123F4F" w:rsidP="00123F4F">
            <w:pPr>
              <w:keepNext/>
              <w:spacing w:before="60"/>
              <w:rPr>
                <w:rFonts w:ascii="Tahoma" w:hAnsi="Tahoma" w:cs="Tahoma"/>
                <w:lang w:val="ro-RO"/>
              </w:rPr>
            </w:pPr>
            <w:r w:rsidRPr="006B2701">
              <w:rPr>
                <w:rFonts w:ascii="Tahoma" w:hAnsi="Tahoma" w:cs="Tahoma"/>
                <w:lang w:val="ro-RO"/>
              </w:rPr>
              <w:t>Impozite nete pe produs</w:t>
            </w:r>
          </w:p>
        </w:tc>
        <w:tc>
          <w:tcPr>
            <w:tcW w:w="1267" w:type="pct"/>
            <w:tcBorders>
              <w:top w:val="nil"/>
            </w:tcBorders>
            <w:vAlign w:val="bottom"/>
          </w:tcPr>
          <w:p w14:paraId="100719AE" w14:textId="77777777" w:rsidR="00123F4F" w:rsidRPr="006B2701" w:rsidRDefault="00123F4F" w:rsidP="00123F4F">
            <w:pPr>
              <w:keepNext/>
              <w:spacing w:before="60"/>
              <w:jc w:val="center"/>
              <w:rPr>
                <w:rFonts w:ascii="Tahoma" w:eastAsia="MS Mincho" w:hAnsi="Tahoma" w:cs="Tahoma"/>
                <w:bCs/>
                <w:lang w:val="ro-RO"/>
              </w:rPr>
            </w:pPr>
            <w:r w:rsidRPr="006B2701">
              <w:rPr>
                <w:rFonts w:ascii="Tahoma" w:eastAsia="MS Mincho" w:hAnsi="Tahoma" w:cs="Tahoma"/>
                <w:bCs/>
                <w:lang w:val="ro-RO"/>
              </w:rPr>
              <w:t>4,7</w:t>
            </w:r>
          </w:p>
        </w:tc>
        <w:tc>
          <w:tcPr>
            <w:tcW w:w="982" w:type="pct"/>
            <w:tcBorders>
              <w:top w:val="nil"/>
            </w:tcBorders>
            <w:vAlign w:val="center"/>
          </w:tcPr>
          <w:p w14:paraId="7B70CF8C" w14:textId="77777777" w:rsidR="00123F4F" w:rsidRPr="006B2701" w:rsidRDefault="00123F4F" w:rsidP="00123F4F">
            <w:pPr>
              <w:keepNext/>
              <w:spacing w:before="60"/>
              <w:jc w:val="center"/>
              <w:rPr>
                <w:rFonts w:ascii="Tahoma" w:eastAsia="MS Mincho" w:hAnsi="Tahoma" w:cs="Tahoma"/>
                <w:bCs/>
                <w:lang w:val="ro-RO"/>
              </w:rPr>
            </w:pPr>
            <w:r w:rsidRPr="006B2701">
              <w:rPr>
                <w:rFonts w:ascii="Tahoma" w:eastAsia="MS Mincho" w:hAnsi="Tahoma" w:cs="Tahoma"/>
                <w:bCs/>
                <w:lang w:val="ro-RO"/>
              </w:rPr>
              <w:t>5,3</w:t>
            </w:r>
          </w:p>
        </w:tc>
      </w:tr>
    </w:tbl>
    <w:p w14:paraId="2362F7C7" w14:textId="77777777" w:rsidR="00123F4F" w:rsidRPr="006B2701" w:rsidRDefault="00123F4F" w:rsidP="00123F4F">
      <w:pPr>
        <w:keepNext/>
        <w:spacing w:line="276" w:lineRule="auto"/>
        <w:ind w:firstLine="567"/>
        <w:jc w:val="both"/>
        <w:rPr>
          <w:rFonts w:ascii="Tahoma" w:hAnsi="Tahoma" w:cs="Tahoma"/>
          <w:i/>
          <w:iCs/>
          <w:sz w:val="20"/>
          <w:szCs w:val="20"/>
          <w:lang w:val="ro-RO"/>
        </w:rPr>
      </w:pPr>
      <w:r w:rsidRPr="006B2701">
        <w:rPr>
          <w:rFonts w:ascii="Tahoma" w:hAnsi="Tahoma" w:cs="Tahoma"/>
          <w:i/>
          <w:iCs/>
          <w:sz w:val="20"/>
          <w:szCs w:val="20"/>
          <w:lang w:val="ro-RO"/>
        </w:rPr>
        <w:t>Notă: Datele pentru anul 2021 sunt provizorii</w:t>
      </w:r>
    </w:p>
    <w:p w14:paraId="26C84531" w14:textId="3C96ADD4" w:rsidR="00123F4F" w:rsidRPr="006B2701" w:rsidRDefault="00123F4F" w:rsidP="00123F4F">
      <w:pPr>
        <w:pStyle w:val="ListParagraph"/>
        <w:keepNext/>
        <w:spacing w:before="120" w:line="276" w:lineRule="auto"/>
        <w:ind w:left="0" w:firstLine="567"/>
        <w:jc w:val="both"/>
        <w:rPr>
          <w:rFonts w:ascii="Tahoma" w:hAnsi="Tahoma" w:cs="Tahoma"/>
          <w:lang w:val="ro-RO"/>
        </w:rPr>
      </w:pPr>
    </w:p>
    <w:p w14:paraId="7B977FF2" w14:textId="77777777" w:rsidR="00853F30" w:rsidRPr="006B2701" w:rsidRDefault="00853F30" w:rsidP="00123F4F">
      <w:pPr>
        <w:pStyle w:val="ListParagraph"/>
        <w:keepNext/>
        <w:spacing w:before="120" w:line="276" w:lineRule="auto"/>
        <w:ind w:left="0" w:firstLine="567"/>
        <w:jc w:val="both"/>
        <w:rPr>
          <w:rFonts w:ascii="Tahoma" w:hAnsi="Tahoma" w:cs="Tahoma"/>
          <w:lang w:val="ro-RO"/>
        </w:rPr>
      </w:pPr>
    </w:p>
    <w:p w14:paraId="6C132F9B" w14:textId="4DC5CD09" w:rsidR="00123F4F" w:rsidRPr="006B2701" w:rsidRDefault="00123F4F" w:rsidP="00123F4F">
      <w:pPr>
        <w:pStyle w:val="ListParagraph"/>
        <w:keepNext/>
        <w:spacing w:before="120" w:line="276" w:lineRule="auto"/>
        <w:ind w:left="0"/>
        <w:jc w:val="both"/>
        <w:rPr>
          <w:rFonts w:ascii="Tahoma" w:hAnsi="Tahoma" w:cs="Tahoma"/>
          <w:sz w:val="24"/>
          <w:szCs w:val="24"/>
          <w:lang w:val="ro-RO"/>
        </w:rPr>
      </w:pPr>
      <w:r w:rsidRPr="006B2701">
        <w:rPr>
          <w:rFonts w:ascii="Tahoma" w:hAnsi="Tahoma" w:cs="Tahoma"/>
          <w:b/>
          <w:sz w:val="24"/>
          <w:szCs w:val="24"/>
          <w:lang w:val="ro-RO"/>
        </w:rPr>
        <w:t>Consumul privat</w:t>
      </w:r>
      <w:r w:rsidRPr="006B2701">
        <w:rPr>
          <w:rFonts w:ascii="Tahoma" w:hAnsi="Tahoma" w:cs="Tahoma"/>
          <w:sz w:val="24"/>
          <w:szCs w:val="24"/>
          <w:lang w:val="ro-RO"/>
        </w:rPr>
        <w:t xml:space="preserve">, cu o dinamică robustă (+5,5%) a avut o </w:t>
      </w:r>
      <w:r w:rsidR="00D30141" w:rsidRPr="006B2701">
        <w:rPr>
          <w:rFonts w:ascii="Tahoma" w:hAnsi="Tahoma" w:cs="Tahoma"/>
          <w:sz w:val="24"/>
          <w:szCs w:val="24"/>
          <w:lang w:val="ro-RO"/>
        </w:rPr>
        <w:t>contribuție</w:t>
      </w:r>
      <w:r w:rsidRPr="006B2701">
        <w:rPr>
          <w:rFonts w:ascii="Tahoma" w:hAnsi="Tahoma" w:cs="Tahoma"/>
          <w:sz w:val="24"/>
          <w:szCs w:val="24"/>
          <w:lang w:val="ro-RO"/>
        </w:rPr>
        <w:t xml:space="preserve"> importantă la </w:t>
      </w:r>
      <w:r w:rsidR="00D30141" w:rsidRPr="006B2701">
        <w:rPr>
          <w:rFonts w:ascii="Tahoma" w:hAnsi="Tahoma" w:cs="Tahoma"/>
          <w:sz w:val="24"/>
          <w:szCs w:val="24"/>
          <w:lang w:val="ro-RO"/>
        </w:rPr>
        <w:t>creșterea</w:t>
      </w:r>
      <w:r w:rsidRPr="006B2701">
        <w:rPr>
          <w:rFonts w:ascii="Tahoma" w:hAnsi="Tahoma" w:cs="Tahoma"/>
          <w:sz w:val="24"/>
          <w:szCs w:val="24"/>
          <w:lang w:val="ro-RO"/>
        </w:rPr>
        <w:t xml:space="preserve"> economică (+3,4 puncte procentuale). Ca urmare a </w:t>
      </w:r>
      <w:r w:rsidR="00D30141" w:rsidRPr="006B2701">
        <w:rPr>
          <w:rFonts w:ascii="Tahoma" w:hAnsi="Tahoma" w:cs="Tahoma"/>
          <w:sz w:val="24"/>
          <w:szCs w:val="24"/>
          <w:lang w:val="ro-RO"/>
        </w:rPr>
        <w:t>situației</w:t>
      </w:r>
      <w:r w:rsidRPr="006B2701">
        <w:rPr>
          <w:rFonts w:ascii="Tahoma" w:hAnsi="Tahoma" w:cs="Tahoma"/>
          <w:sz w:val="24"/>
          <w:szCs w:val="24"/>
          <w:lang w:val="ro-RO"/>
        </w:rPr>
        <w:t xml:space="preserve"> economice interne (majorarea </w:t>
      </w:r>
      <w:r w:rsidR="00D30141" w:rsidRPr="006B2701">
        <w:rPr>
          <w:rFonts w:ascii="Tahoma" w:hAnsi="Tahoma" w:cs="Tahoma"/>
          <w:sz w:val="24"/>
          <w:szCs w:val="24"/>
          <w:lang w:val="ro-RO"/>
        </w:rPr>
        <w:t>prețurilor</w:t>
      </w:r>
      <w:r w:rsidRPr="006B2701">
        <w:rPr>
          <w:rFonts w:ascii="Tahoma" w:hAnsi="Tahoma" w:cs="Tahoma"/>
          <w:sz w:val="24"/>
          <w:szCs w:val="24"/>
          <w:lang w:val="ro-RO"/>
        </w:rPr>
        <w:t xml:space="preserve"> la produsele energetice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la bunurile de consum) care a necesitat luarea unor măsuri de sprijin a </w:t>
      </w:r>
      <w:r w:rsidR="00D30141" w:rsidRPr="006B2701">
        <w:rPr>
          <w:rFonts w:ascii="Tahoma" w:hAnsi="Tahoma" w:cs="Tahoma"/>
          <w:sz w:val="24"/>
          <w:szCs w:val="24"/>
          <w:lang w:val="ro-RO"/>
        </w:rPr>
        <w:t>populației</w:t>
      </w:r>
      <w:r w:rsidRPr="006B2701">
        <w:rPr>
          <w:rFonts w:ascii="Tahoma" w:hAnsi="Tahoma" w:cs="Tahoma"/>
          <w:sz w:val="24"/>
          <w:szCs w:val="24"/>
          <w:lang w:val="ro-RO"/>
        </w:rPr>
        <w:t xml:space="preserve"> vulnerabile, dar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al crizei externe provocate de conflictul de la </w:t>
      </w:r>
      <w:r w:rsidR="00D30141" w:rsidRPr="006B2701">
        <w:rPr>
          <w:rFonts w:ascii="Tahoma" w:hAnsi="Tahoma" w:cs="Tahoma"/>
          <w:sz w:val="24"/>
          <w:szCs w:val="24"/>
          <w:lang w:val="ro-RO"/>
        </w:rPr>
        <w:t>granița</w:t>
      </w:r>
      <w:r w:rsidRPr="006B2701">
        <w:rPr>
          <w:rFonts w:ascii="Tahoma" w:hAnsi="Tahoma" w:cs="Tahoma"/>
          <w:sz w:val="24"/>
          <w:szCs w:val="24"/>
          <w:lang w:val="ro-RO"/>
        </w:rPr>
        <w:t xml:space="preserve"> </w:t>
      </w:r>
      <w:r w:rsidR="00D30141" w:rsidRPr="006B2701">
        <w:rPr>
          <w:rFonts w:ascii="Tahoma" w:hAnsi="Tahoma" w:cs="Tahoma"/>
          <w:sz w:val="24"/>
          <w:szCs w:val="24"/>
          <w:lang w:val="ro-RO"/>
        </w:rPr>
        <w:t>țării</w:t>
      </w:r>
      <w:r w:rsidRPr="006B2701">
        <w:rPr>
          <w:rFonts w:ascii="Tahoma" w:hAnsi="Tahoma" w:cs="Tahoma"/>
          <w:sz w:val="24"/>
          <w:szCs w:val="24"/>
          <w:lang w:val="ro-RO"/>
        </w:rPr>
        <w:t xml:space="preserve"> (acordarea de sprijin </w:t>
      </w:r>
      <w:r w:rsidR="00D30141" w:rsidRPr="006B2701">
        <w:rPr>
          <w:rFonts w:ascii="Tahoma" w:hAnsi="Tahoma" w:cs="Tahoma"/>
          <w:sz w:val="24"/>
          <w:szCs w:val="24"/>
          <w:lang w:val="ro-RO"/>
        </w:rPr>
        <w:t>cetățenilor</w:t>
      </w:r>
      <w:r w:rsidRPr="006B2701">
        <w:rPr>
          <w:rFonts w:ascii="Tahoma" w:hAnsi="Tahoma" w:cs="Tahoma"/>
          <w:sz w:val="24"/>
          <w:szCs w:val="24"/>
          <w:lang w:val="ro-RO"/>
        </w:rPr>
        <w:t xml:space="preserve"> ucraineni </w:t>
      </w:r>
      <w:r w:rsidR="00D30141" w:rsidRPr="006B2701">
        <w:rPr>
          <w:rFonts w:ascii="Tahoma" w:hAnsi="Tahoma" w:cs="Tahoma"/>
          <w:sz w:val="24"/>
          <w:szCs w:val="24"/>
          <w:lang w:val="ro-RO"/>
        </w:rPr>
        <w:t>refugiați</w:t>
      </w:r>
      <w:r w:rsidRPr="006B2701">
        <w:rPr>
          <w:rFonts w:ascii="Tahoma" w:hAnsi="Tahoma" w:cs="Tahoma"/>
          <w:sz w:val="24"/>
          <w:szCs w:val="24"/>
          <w:lang w:val="ro-RO"/>
        </w:rPr>
        <w:t xml:space="preserve">), consumul guvernamental s-a majorat cu 4,3%, contribuind cu 0,8 puncte procentuale la </w:t>
      </w:r>
      <w:r w:rsidR="00D30141" w:rsidRPr="006B2701">
        <w:rPr>
          <w:rFonts w:ascii="Tahoma" w:hAnsi="Tahoma" w:cs="Tahoma"/>
          <w:sz w:val="24"/>
          <w:szCs w:val="24"/>
          <w:lang w:val="ro-RO"/>
        </w:rPr>
        <w:t>creșterea</w:t>
      </w:r>
      <w:r w:rsidRPr="006B2701">
        <w:rPr>
          <w:rFonts w:ascii="Tahoma" w:hAnsi="Tahoma" w:cs="Tahoma"/>
          <w:sz w:val="24"/>
          <w:szCs w:val="24"/>
          <w:lang w:val="ro-RO"/>
        </w:rPr>
        <w:t xml:space="preserve"> economică.</w:t>
      </w:r>
    </w:p>
    <w:p w14:paraId="0BC10557" w14:textId="41D9876F" w:rsidR="00123F4F" w:rsidRPr="006B2701" w:rsidRDefault="00123F4F" w:rsidP="00CE7E69">
      <w:pPr>
        <w:keepLines/>
        <w:widowControl w:val="0"/>
        <w:spacing w:before="120" w:line="276" w:lineRule="auto"/>
        <w:jc w:val="both"/>
        <w:rPr>
          <w:rFonts w:ascii="Tahoma" w:hAnsi="Tahoma" w:cs="Tahoma"/>
          <w:sz w:val="24"/>
          <w:szCs w:val="24"/>
          <w:lang w:val="ro-RO"/>
        </w:rPr>
      </w:pPr>
      <w:r w:rsidRPr="006B2701">
        <w:rPr>
          <w:rFonts w:ascii="Tahoma" w:hAnsi="Tahoma" w:cs="Tahoma"/>
          <w:sz w:val="24"/>
          <w:szCs w:val="24"/>
          <w:lang w:val="ro-RO"/>
        </w:rPr>
        <w:t xml:space="preserve">Pe latura externă, satisfacerea cererii ridicate de </w:t>
      </w:r>
      <w:r w:rsidR="00D30141" w:rsidRPr="006B2701">
        <w:rPr>
          <w:rFonts w:ascii="Tahoma" w:hAnsi="Tahoma" w:cs="Tahoma"/>
          <w:sz w:val="24"/>
          <w:szCs w:val="24"/>
          <w:lang w:val="ro-RO"/>
        </w:rPr>
        <w:t>investiții</w:t>
      </w:r>
      <w:r w:rsidRPr="006B2701">
        <w:rPr>
          <w:rFonts w:ascii="Tahoma" w:hAnsi="Tahoma" w:cs="Tahoma"/>
          <w:sz w:val="24"/>
          <w:szCs w:val="24"/>
          <w:lang w:val="ro-RO"/>
        </w:rPr>
        <w:t xml:space="preserve">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consum a necesitat importuri de bunuri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servicii suplimentare, acestea avansând în anul 2022 cu 9,9%, în timp ce exporturile de bunuri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servicii au înregistrat, în termeni reali, o </w:t>
      </w:r>
      <w:r w:rsidR="00D30141" w:rsidRPr="006B2701">
        <w:rPr>
          <w:rFonts w:ascii="Tahoma" w:hAnsi="Tahoma" w:cs="Tahoma"/>
          <w:sz w:val="24"/>
          <w:szCs w:val="24"/>
          <w:lang w:val="ro-RO"/>
        </w:rPr>
        <w:t>creștere</w:t>
      </w:r>
      <w:r w:rsidRPr="006B2701">
        <w:rPr>
          <w:rFonts w:ascii="Tahoma" w:hAnsi="Tahoma" w:cs="Tahoma"/>
          <w:sz w:val="24"/>
          <w:szCs w:val="24"/>
          <w:lang w:val="ro-RO"/>
        </w:rPr>
        <w:t xml:space="preserve"> </w:t>
      </w:r>
      <w:r w:rsidR="00D30141" w:rsidRPr="006B2701">
        <w:rPr>
          <w:rFonts w:ascii="Tahoma" w:hAnsi="Tahoma" w:cs="Tahoma"/>
          <w:sz w:val="24"/>
          <w:szCs w:val="24"/>
          <w:lang w:val="ro-RO"/>
        </w:rPr>
        <w:t>ușor</w:t>
      </w:r>
      <w:r w:rsidRPr="006B2701">
        <w:rPr>
          <w:rFonts w:ascii="Tahoma" w:hAnsi="Tahoma" w:cs="Tahoma"/>
          <w:sz w:val="24"/>
          <w:szCs w:val="24"/>
          <w:lang w:val="ro-RO"/>
        </w:rPr>
        <w:t xml:space="preserve"> inferioară 9,6%). Efectul celor două componente s-a concretizat într-o </w:t>
      </w:r>
      <w:r w:rsidR="00D30141" w:rsidRPr="006B2701">
        <w:rPr>
          <w:rFonts w:ascii="Tahoma" w:hAnsi="Tahoma" w:cs="Tahoma"/>
          <w:sz w:val="24"/>
          <w:szCs w:val="24"/>
          <w:lang w:val="ro-RO"/>
        </w:rPr>
        <w:t>contribuție</w:t>
      </w:r>
      <w:r w:rsidRPr="006B2701">
        <w:rPr>
          <w:rFonts w:ascii="Tahoma" w:hAnsi="Tahoma" w:cs="Tahoma"/>
          <w:sz w:val="24"/>
          <w:szCs w:val="24"/>
          <w:lang w:val="ro-RO"/>
        </w:rPr>
        <w:t xml:space="preserve"> negativă a exportului net la </w:t>
      </w:r>
      <w:r w:rsidR="00D30141" w:rsidRPr="006B2701">
        <w:rPr>
          <w:rFonts w:ascii="Tahoma" w:hAnsi="Tahoma" w:cs="Tahoma"/>
          <w:sz w:val="24"/>
          <w:szCs w:val="24"/>
          <w:lang w:val="ro-RO"/>
        </w:rPr>
        <w:t>creșterea</w:t>
      </w:r>
      <w:r w:rsidRPr="006B2701">
        <w:rPr>
          <w:rFonts w:ascii="Tahoma" w:hAnsi="Tahoma" w:cs="Tahoma"/>
          <w:sz w:val="24"/>
          <w:szCs w:val="24"/>
          <w:lang w:val="ro-RO"/>
        </w:rPr>
        <w:t xml:space="preserve"> produsului intern brut de 0,7 puncte procentuale. </w:t>
      </w:r>
    </w:p>
    <w:p w14:paraId="3CF1BF13" w14:textId="15365FE3" w:rsidR="00123F4F" w:rsidRPr="006B2701" w:rsidRDefault="00D30141" w:rsidP="00123F4F">
      <w:pPr>
        <w:keepNext/>
        <w:spacing w:before="120" w:line="276" w:lineRule="auto"/>
        <w:jc w:val="center"/>
        <w:outlineLvl w:val="0"/>
        <w:rPr>
          <w:rFonts w:ascii="Tahoma" w:hAnsi="Tahoma" w:cs="Tahoma"/>
          <w:b/>
          <w:bCs/>
          <w:lang w:val="ro-RO"/>
        </w:rPr>
      </w:pPr>
      <w:r w:rsidRPr="006B2701">
        <w:rPr>
          <w:rFonts w:ascii="Tahoma" w:hAnsi="Tahoma" w:cs="Tahoma"/>
          <w:b/>
          <w:bCs/>
          <w:lang w:val="ro-RO"/>
        </w:rPr>
        <w:lastRenderedPageBreak/>
        <w:t>Contribuția</w:t>
      </w:r>
      <w:r w:rsidR="00123F4F" w:rsidRPr="006B2701">
        <w:rPr>
          <w:rFonts w:ascii="Tahoma" w:hAnsi="Tahoma" w:cs="Tahoma"/>
          <w:b/>
          <w:bCs/>
          <w:lang w:val="ro-RO"/>
        </w:rPr>
        <w:t xml:space="preserve"> elementelor de creare </w:t>
      </w:r>
      <w:proofErr w:type="spellStart"/>
      <w:r w:rsidR="00123F4F" w:rsidRPr="006B2701">
        <w:rPr>
          <w:rFonts w:ascii="Tahoma" w:hAnsi="Tahoma" w:cs="Tahoma"/>
          <w:b/>
          <w:bCs/>
          <w:lang w:val="ro-RO"/>
        </w:rPr>
        <w:t>şi</w:t>
      </w:r>
      <w:proofErr w:type="spellEnd"/>
      <w:r w:rsidR="00123F4F" w:rsidRPr="006B2701">
        <w:rPr>
          <w:rFonts w:ascii="Tahoma" w:hAnsi="Tahoma" w:cs="Tahoma"/>
          <w:b/>
          <w:bCs/>
          <w:lang w:val="ro-RO"/>
        </w:rPr>
        <w:t xml:space="preserve"> utilizare la </w:t>
      </w:r>
      <w:r w:rsidRPr="006B2701">
        <w:rPr>
          <w:rFonts w:ascii="Tahoma" w:hAnsi="Tahoma" w:cs="Tahoma"/>
          <w:b/>
          <w:bCs/>
          <w:lang w:val="ro-RO"/>
        </w:rPr>
        <w:t>creșterea</w:t>
      </w:r>
      <w:r w:rsidR="00123F4F" w:rsidRPr="006B2701">
        <w:rPr>
          <w:rFonts w:ascii="Tahoma" w:hAnsi="Tahoma" w:cs="Tahoma"/>
          <w:b/>
          <w:bCs/>
          <w:lang w:val="ro-RO"/>
        </w:rPr>
        <w:t xml:space="preserve"> reală a PIB</w:t>
      </w:r>
    </w:p>
    <w:p w14:paraId="213C1C56" w14:textId="77777777" w:rsidR="00123F4F" w:rsidRPr="006B2701" w:rsidRDefault="00123F4F" w:rsidP="00123F4F">
      <w:pPr>
        <w:keepNext/>
        <w:spacing w:before="120" w:line="276" w:lineRule="auto"/>
        <w:ind w:left="7201" w:firstLine="596"/>
        <w:rPr>
          <w:rFonts w:ascii="Tahoma" w:hAnsi="Tahoma" w:cs="Tahoma"/>
          <w:i/>
          <w:sz w:val="20"/>
          <w:szCs w:val="20"/>
          <w:lang w:val="ro-RO"/>
        </w:rPr>
      </w:pPr>
      <w:r w:rsidRPr="006B2701">
        <w:rPr>
          <w:rFonts w:ascii="Tahoma" w:hAnsi="Tahoma" w:cs="Tahoma"/>
          <w:i/>
          <w:sz w:val="20"/>
          <w:szCs w:val="20"/>
          <w:lang w:val="ro-RO"/>
        </w:rPr>
        <w:t xml:space="preserve">         - procente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1957"/>
        <w:gridCol w:w="1183"/>
        <w:gridCol w:w="1957"/>
        <w:gridCol w:w="1190"/>
      </w:tblGrid>
      <w:tr w:rsidR="00123F4F" w:rsidRPr="006B2701" w14:paraId="1D2B894A" w14:textId="77777777" w:rsidTr="00E6574D">
        <w:trPr>
          <w:trHeight w:val="403"/>
          <w:tblHeader/>
          <w:jc w:val="center"/>
        </w:trPr>
        <w:tc>
          <w:tcPr>
            <w:tcW w:w="1736" w:type="pct"/>
            <w:shd w:val="clear" w:color="auto" w:fill="E2EFD9" w:themeFill="accent6" w:themeFillTint="33"/>
          </w:tcPr>
          <w:p w14:paraId="1A17E051" w14:textId="77777777" w:rsidR="00123F4F" w:rsidRPr="006B2701" w:rsidRDefault="00123F4F" w:rsidP="00123F4F">
            <w:pPr>
              <w:keepNext/>
              <w:spacing w:before="120"/>
              <w:rPr>
                <w:rFonts w:ascii="Tahoma" w:hAnsi="Tahoma" w:cs="Tahoma"/>
                <w:lang w:val="ro-RO"/>
              </w:rPr>
            </w:pPr>
          </w:p>
        </w:tc>
        <w:tc>
          <w:tcPr>
            <w:tcW w:w="1630" w:type="pct"/>
            <w:gridSpan w:val="2"/>
            <w:shd w:val="clear" w:color="auto" w:fill="E2EFD9" w:themeFill="accent6" w:themeFillTint="33"/>
            <w:vAlign w:val="center"/>
          </w:tcPr>
          <w:p w14:paraId="21054B6F" w14:textId="77777777" w:rsidR="00123F4F" w:rsidRPr="006B2701" w:rsidRDefault="00123F4F" w:rsidP="00123F4F">
            <w:pPr>
              <w:keepNext/>
              <w:spacing w:before="120"/>
              <w:jc w:val="center"/>
              <w:rPr>
                <w:rFonts w:ascii="Tahoma" w:hAnsi="Tahoma" w:cs="Tahoma"/>
                <w:b/>
                <w:bCs/>
                <w:lang w:val="ro-RO"/>
              </w:rPr>
            </w:pPr>
            <w:r w:rsidRPr="006B2701">
              <w:rPr>
                <w:rFonts w:ascii="Tahoma" w:hAnsi="Tahoma" w:cs="Tahoma"/>
                <w:b/>
                <w:bCs/>
                <w:lang w:val="ro-RO"/>
              </w:rPr>
              <w:t>2021</w:t>
            </w:r>
          </w:p>
        </w:tc>
        <w:tc>
          <w:tcPr>
            <w:tcW w:w="1634" w:type="pct"/>
            <w:gridSpan w:val="2"/>
            <w:shd w:val="clear" w:color="auto" w:fill="E2EFD9" w:themeFill="accent6" w:themeFillTint="33"/>
            <w:vAlign w:val="center"/>
          </w:tcPr>
          <w:p w14:paraId="632BAA27" w14:textId="77777777" w:rsidR="00123F4F" w:rsidRPr="006B2701" w:rsidRDefault="00123F4F" w:rsidP="00123F4F">
            <w:pPr>
              <w:keepNext/>
              <w:spacing w:before="120"/>
              <w:jc w:val="center"/>
              <w:rPr>
                <w:rFonts w:ascii="Tahoma" w:hAnsi="Tahoma" w:cs="Tahoma"/>
                <w:b/>
                <w:bCs/>
                <w:lang w:val="ro-RO"/>
              </w:rPr>
            </w:pPr>
            <w:r w:rsidRPr="006B2701">
              <w:rPr>
                <w:rFonts w:ascii="Tahoma" w:hAnsi="Tahoma" w:cs="Tahoma"/>
                <w:b/>
                <w:bCs/>
                <w:lang w:val="ro-RO"/>
              </w:rPr>
              <w:t>2022</w:t>
            </w:r>
          </w:p>
        </w:tc>
      </w:tr>
      <w:tr w:rsidR="00123F4F" w:rsidRPr="006B2701" w14:paraId="3B622875" w14:textId="77777777" w:rsidTr="00E6574D">
        <w:trPr>
          <w:trHeight w:val="403"/>
          <w:tblHeader/>
          <w:jc w:val="center"/>
        </w:trPr>
        <w:tc>
          <w:tcPr>
            <w:tcW w:w="1736" w:type="pct"/>
            <w:shd w:val="clear" w:color="auto" w:fill="E2EFD9" w:themeFill="accent6" w:themeFillTint="33"/>
          </w:tcPr>
          <w:p w14:paraId="2A3E9DAC" w14:textId="77777777" w:rsidR="00123F4F" w:rsidRPr="006B2701" w:rsidRDefault="00123F4F" w:rsidP="00123F4F">
            <w:pPr>
              <w:keepNext/>
              <w:spacing w:before="120"/>
              <w:rPr>
                <w:rFonts w:ascii="Tahoma" w:hAnsi="Tahoma" w:cs="Tahoma"/>
                <w:b/>
                <w:bCs/>
                <w:lang w:val="ro-RO"/>
              </w:rPr>
            </w:pPr>
          </w:p>
        </w:tc>
        <w:tc>
          <w:tcPr>
            <w:tcW w:w="1016" w:type="pct"/>
            <w:shd w:val="clear" w:color="auto" w:fill="E2EFD9" w:themeFill="accent6" w:themeFillTint="33"/>
            <w:vAlign w:val="center"/>
          </w:tcPr>
          <w:p w14:paraId="3F339565" w14:textId="77777777" w:rsidR="00123F4F" w:rsidRPr="006B2701" w:rsidRDefault="00123F4F" w:rsidP="00123F4F">
            <w:pPr>
              <w:keepNext/>
              <w:spacing w:before="120"/>
              <w:jc w:val="center"/>
              <w:rPr>
                <w:rFonts w:ascii="Tahoma" w:hAnsi="Tahoma" w:cs="Tahoma"/>
                <w:b/>
                <w:bCs/>
                <w:highlight w:val="yellow"/>
                <w:lang w:val="ro-RO"/>
              </w:rPr>
            </w:pPr>
            <w:r w:rsidRPr="006B2701">
              <w:rPr>
                <w:rFonts w:ascii="Tahoma" w:hAnsi="Tahoma" w:cs="Tahoma"/>
                <w:b/>
                <w:bCs/>
                <w:lang w:val="ro-RO"/>
              </w:rPr>
              <w:t>Cadrul macroeconomic pentru buget 2022</w:t>
            </w:r>
          </w:p>
        </w:tc>
        <w:tc>
          <w:tcPr>
            <w:tcW w:w="614" w:type="pct"/>
            <w:shd w:val="clear" w:color="auto" w:fill="E2EFD9" w:themeFill="accent6" w:themeFillTint="33"/>
            <w:vAlign w:val="center"/>
          </w:tcPr>
          <w:p w14:paraId="38F7093A" w14:textId="77777777" w:rsidR="00123F4F" w:rsidRPr="006B2701" w:rsidRDefault="00123F4F" w:rsidP="00123F4F">
            <w:pPr>
              <w:keepNext/>
              <w:spacing w:before="120"/>
              <w:jc w:val="center"/>
              <w:rPr>
                <w:rFonts w:ascii="Tahoma" w:hAnsi="Tahoma" w:cs="Tahoma"/>
                <w:b/>
                <w:bCs/>
                <w:lang w:val="ro-RO"/>
              </w:rPr>
            </w:pPr>
            <w:r w:rsidRPr="006B2701">
              <w:rPr>
                <w:rFonts w:ascii="Tahoma" w:hAnsi="Tahoma" w:cs="Tahoma"/>
                <w:b/>
                <w:bCs/>
                <w:lang w:val="ro-RO"/>
              </w:rPr>
              <w:t>Realizări</w:t>
            </w:r>
          </w:p>
        </w:tc>
        <w:tc>
          <w:tcPr>
            <w:tcW w:w="1016" w:type="pct"/>
            <w:shd w:val="clear" w:color="auto" w:fill="E2EFD9" w:themeFill="accent6" w:themeFillTint="33"/>
            <w:vAlign w:val="center"/>
          </w:tcPr>
          <w:p w14:paraId="7829BF1F" w14:textId="77777777" w:rsidR="00123F4F" w:rsidRPr="006B2701" w:rsidRDefault="00123F4F" w:rsidP="00123F4F">
            <w:pPr>
              <w:keepNext/>
              <w:spacing w:before="120"/>
              <w:jc w:val="center"/>
              <w:rPr>
                <w:rFonts w:ascii="Tahoma" w:hAnsi="Tahoma" w:cs="Tahoma"/>
                <w:b/>
                <w:bCs/>
                <w:lang w:val="ro-RO"/>
              </w:rPr>
            </w:pPr>
            <w:r w:rsidRPr="006B2701">
              <w:rPr>
                <w:rFonts w:ascii="Tahoma" w:hAnsi="Tahoma" w:cs="Tahoma"/>
                <w:b/>
                <w:bCs/>
                <w:lang w:val="ro-RO"/>
              </w:rPr>
              <w:t>Cadrul macroeconomic pentru buget 2022</w:t>
            </w:r>
          </w:p>
        </w:tc>
        <w:tc>
          <w:tcPr>
            <w:tcW w:w="619" w:type="pct"/>
            <w:shd w:val="clear" w:color="auto" w:fill="E2EFD9" w:themeFill="accent6" w:themeFillTint="33"/>
            <w:vAlign w:val="center"/>
          </w:tcPr>
          <w:p w14:paraId="74960C48" w14:textId="77777777" w:rsidR="00123F4F" w:rsidRPr="006B2701" w:rsidRDefault="00123F4F" w:rsidP="00123F4F">
            <w:pPr>
              <w:keepNext/>
              <w:spacing w:before="120"/>
              <w:jc w:val="center"/>
              <w:rPr>
                <w:rFonts w:ascii="Tahoma" w:hAnsi="Tahoma" w:cs="Tahoma"/>
                <w:b/>
                <w:bCs/>
                <w:lang w:val="ro-RO"/>
              </w:rPr>
            </w:pPr>
            <w:r w:rsidRPr="006B2701">
              <w:rPr>
                <w:rFonts w:ascii="Tahoma" w:hAnsi="Tahoma" w:cs="Tahoma"/>
                <w:b/>
                <w:bCs/>
                <w:lang w:val="ro-RO"/>
              </w:rPr>
              <w:t>Realizări</w:t>
            </w:r>
          </w:p>
        </w:tc>
      </w:tr>
      <w:tr w:rsidR="00123F4F" w:rsidRPr="006B2701" w14:paraId="340ACE8A" w14:textId="77777777" w:rsidTr="00E6574D">
        <w:trPr>
          <w:trHeight w:val="347"/>
          <w:jc w:val="center"/>
        </w:trPr>
        <w:tc>
          <w:tcPr>
            <w:tcW w:w="1736" w:type="pct"/>
            <w:vAlign w:val="center"/>
          </w:tcPr>
          <w:p w14:paraId="3FB6E58C" w14:textId="77777777" w:rsidR="00123F4F" w:rsidRPr="006B2701" w:rsidRDefault="00123F4F" w:rsidP="00123F4F">
            <w:pPr>
              <w:keepNext/>
              <w:spacing w:before="60"/>
              <w:rPr>
                <w:rFonts w:ascii="Tahoma" w:hAnsi="Tahoma" w:cs="Tahoma"/>
                <w:b/>
                <w:bCs/>
                <w:lang w:val="ro-RO"/>
              </w:rPr>
            </w:pPr>
            <w:r w:rsidRPr="006B2701">
              <w:rPr>
                <w:rFonts w:ascii="Tahoma" w:hAnsi="Tahoma" w:cs="Tahoma"/>
                <w:b/>
                <w:bCs/>
                <w:lang w:val="ro-RO"/>
              </w:rPr>
              <w:t xml:space="preserve">Cererea internă </w:t>
            </w:r>
          </w:p>
        </w:tc>
        <w:tc>
          <w:tcPr>
            <w:tcW w:w="1016" w:type="pct"/>
            <w:vAlign w:val="center"/>
          </w:tcPr>
          <w:p w14:paraId="66910BEA" w14:textId="77777777" w:rsidR="00123F4F" w:rsidRPr="006B2701" w:rsidRDefault="00123F4F" w:rsidP="00123F4F">
            <w:pPr>
              <w:keepNext/>
              <w:spacing w:before="60"/>
              <w:jc w:val="center"/>
              <w:rPr>
                <w:rFonts w:ascii="Tahoma" w:hAnsi="Tahoma" w:cs="Tahoma"/>
                <w:b/>
                <w:bCs/>
                <w:lang w:val="ro-RO"/>
              </w:rPr>
            </w:pPr>
            <w:r w:rsidRPr="006B2701">
              <w:rPr>
                <w:rFonts w:ascii="Tahoma" w:hAnsi="Tahoma" w:cs="Tahoma"/>
                <w:b/>
                <w:bCs/>
                <w:lang w:val="ro-RO"/>
              </w:rPr>
              <w:t>8,6</w:t>
            </w:r>
          </w:p>
        </w:tc>
        <w:tc>
          <w:tcPr>
            <w:tcW w:w="614" w:type="pct"/>
            <w:vAlign w:val="center"/>
          </w:tcPr>
          <w:p w14:paraId="65830AF7" w14:textId="77777777" w:rsidR="00123F4F" w:rsidRPr="006B2701" w:rsidRDefault="00123F4F" w:rsidP="00123F4F">
            <w:pPr>
              <w:keepNext/>
              <w:spacing w:before="60"/>
              <w:jc w:val="center"/>
              <w:rPr>
                <w:rFonts w:ascii="Tahoma" w:hAnsi="Tahoma" w:cs="Tahoma"/>
                <w:b/>
                <w:bCs/>
                <w:lang w:val="ro-RO"/>
              </w:rPr>
            </w:pPr>
            <w:r w:rsidRPr="006B2701">
              <w:rPr>
                <w:rFonts w:ascii="Tahoma" w:hAnsi="Tahoma" w:cs="Tahoma"/>
                <w:b/>
                <w:bCs/>
                <w:lang w:val="ro-RO"/>
              </w:rPr>
              <w:t>7,3</w:t>
            </w:r>
          </w:p>
        </w:tc>
        <w:tc>
          <w:tcPr>
            <w:tcW w:w="1016" w:type="pct"/>
            <w:vAlign w:val="center"/>
          </w:tcPr>
          <w:p w14:paraId="6F488257" w14:textId="77777777" w:rsidR="00123F4F" w:rsidRPr="006B2701" w:rsidRDefault="00123F4F" w:rsidP="00123F4F">
            <w:pPr>
              <w:keepNext/>
              <w:spacing w:before="60"/>
              <w:jc w:val="center"/>
              <w:rPr>
                <w:rFonts w:ascii="Tahoma" w:hAnsi="Tahoma" w:cs="Tahoma"/>
                <w:b/>
                <w:bCs/>
                <w:lang w:val="ro-RO"/>
              </w:rPr>
            </w:pPr>
            <w:r w:rsidRPr="006B2701">
              <w:rPr>
                <w:rFonts w:ascii="Tahoma" w:hAnsi="Tahoma" w:cs="Tahoma"/>
                <w:b/>
                <w:bCs/>
                <w:lang w:val="ro-RO"/>
              </w:rPr>
              <w:t>5,7</w:t>
            </w:r>
          </w:p>
        </w:tc>
        <w:tc>
          <w:tcPr>
            <w:tcW w:w="619" w:type="pct"/>
            <w:vAlign w:val="center"/>
          </w:tcPr>
          <w:p w14:paraId="4BBD30ED" w14:textId="77777777" w:rsidR="00123F4F" w:rsidRPr="006B2701" w:rsidRDefault="00123F4F" w:rsidP="00123F4F">
            <w:pPr>
              <w:keepNext/>
              <w:spacing w:before="60"/>
              <w:jc w:val="center"/>
              <w:rPr>
                <w:rFonts w:ascii="Tahoma" w:hAnsi="Tahoma" w:cs="Tahoma"/>
                <w:b/>
                <w:bCs/>
                <w:lang w:val="ro-RO"/>
              </w:rPr>
            </w:pPr>
            <w:r w:rsidRPr="006B2701">
              <w:rPr>
                <w:rFonts w:ascii="Tahoma" w:hAnsi="Tahoma" w:cs="Tahoma"/>
                <w:b/>
                <w:bCs/>
                <w:lang w:val="ro-RO"/>
              </w:rPr>
              <w:t>5,4</w:t>
            </w:r>
          </w:p>
        </w:tc>
      </w:tr>
      <w:tr w:rsidR="00123F4F" w:rsidRPr="006B2701" w14:paraId="1E8A25EC" w14:textId="77777777" w:rsidTr="00E6574D">
        <w:trPr>
          <w:jc w:val="center"/>
        </w:trPr>
        <w:tc>
          <w:tcPr>
            <w:tcW w:w="1736" w:type="pct"/>
            <w:tcBorders>
              <w:bottom w:val="nil"/>
            </w:tcBorders>
            <w:vAlign w:val="center"/>
          </w:tcPr>
          <w:p w14:paraId="1DA240D4" w14:textId="77777777" w:rsidR="00123F4F" w:rsidRPr="006B2701" w:rsidRDefault="00123F4F" w:rsidP="00123F4F">
            <w:pPr>
              <w:keepNext/>
              <w:spacing w:before="60"/>
              <w:rPr>
                <w:rFonts w:ascii="Tahoma" w:hAnsi="Tahoma" w:cs="Tahoma"/>
                <w:lang w:val="ro-RO"/>
              </w:rPr>
            </w:pPr>
            <w:r w:rsidRPr="006B2701">
              <w:rPr>
                <w:rFonts w:ascii="Tahoma" w:hAnsi="Tahoma" w:cs="Tahoma"/>
                <w:lang w:val="ro-RO"/>
              </w:rPr>
              <w:t xml:space="preserve">  - Consum final</w:t>
            </w:r>
          </w:p>
        </w:tc>
        <w:tc>
          <w:tcPr>
            <w:tcW w:w="1016" w:type="pct"/>
            <w:tcBorders>
              <w:bottom w:val="nil"/>
            </w:tcBorders>
            <w:vAlign w:val="center"/>
          </w:tcPr>
          <w:p w14:paraId="749DBD6F"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5,2</w:t>
            </w:r>
          </w:p>
        </w:tc>
        <w:tc>
          <w:tcPr>
            <w:tcW w:w="614" w:type="pct"/>
            <w:tcBorders>
              <w:bottom w:val="nil"/>
            </w:tcBorders>
            <w:vAlign w:val="center"/>
          </w:tcPr>
          <w:p w14:paraId="627942E8"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5,2</w:t>
            </w:r>
          </w:p>
        </w:tc>
        <w:tc>
          <w:tcPr>
            <w:tcW w:w="1016" w:type="pct"/>
            <w:tcBorders>
              <w:bottom w:val="nil"/>
            </w:tcBorders>
            <w:vAlign w:val="center"/>
          </w:tcPr>
          <w:p w14:paraId="6108BA96"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3,3</w:t>
            </w:r>
          </w:p>
        </w:tc>
        <w:tc>
          <w:tcPr>
            <w:tcW w:w="619" w:type="pct"/>
            <w:tcBorders>
              <w:bottom w:val="nil"/>
            </w:tcBorders>
            <w:vAlign w:val="center"/>
          </w:tcPr>
          <w:p w14:paraId="26EAF372"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4,2</w:t>
            </w:r>
          </w:p>
        </w:tc>
      </w:tr>
      <w:tr w:rsidR="00123F4F" w:rsidRPr="006B2701" w14:paraId="1F8082ED" w14:textId="77777777" w:rsidTr="00E6574D">
        <w:trPr>
          <w:jc w:val="center"/>
        </w:trPr>
        <w:tc>
          <w:tcPr>
            <w:tcW w:w="1736" w:type="pct"/>
            <w:tcBorders>
              <w:top w:val="nil"/>
              <w:bottom w:val="nil"/>
            </w:tcBorders>
            <w:vAlign w:val="center"/>
          </w:tcPr>
          <w:p w14:paraId="34DD897B" w14:textId="77777777" w:rsidR="00123F4F" w:rsidRPr="006B2701" w:rsidRDefault="00123F4F" w:rsidP="00123F4F">
            <w:pPr>
              <w:pStyle w:val="ListParagraph"/>
              <w:keepNext/>
              <w:numPr>
                <w:ilvl w:val="0"/>
                <w:numId w:val="41"/>
              </w:numPr>
              <w:spacing w:before="60"/>
              <w:rPr>
                <w:rFonts w:ascii="Tahoma" w:hAnsi="Tahoma" w:cs="Tahoma"/>
                <w:lang w:val="ro-RO"/>
              </w:rPr>
            </w:pPr>
            <w:r w:rsidRPr="006B2701">
              <w:rPr>
                <w:rFonts w:ascii="Tahoma" w:hAnsi="Tahoma" w:cs="Tahoma"/>
                <w:lang w:val="ro-RO"/>
              </w:rPr>
              <w:t>Consum privat</w:t>
            </w:r>
          </w:p>
        </w:tc>
        <w:tc>
          <w:tcPr>
            <w:tcW w:w="1016" w:type="pct"/>
            <w:tcBorders>
              <w:top w:val="nil"/>
              <w:bottom w:val="nil"/>
            </w:tcBorders>
            <w:vAlign w:val="center"/>
          </w:tcPr>
          <w:p w14:paraId="31EFF6BF"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4,9</w:t>
            </w:r>
          </w:p>
        </w:tc>
        <w:tc>
          <w:tcPr>
            <w:tcW w:w="614" w:type="pct"/>
            <w:tcBorders>
              <w:top w:val="nil"/>
              <w:bottom w:val="nil"/>
            </w:tcBorders>
            <w:vAlign w:val="center"/>
          </w:tcPr>
          <w:p w14:paraId="5DD9C6AA"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4,9</w:t>
            </w:r>
          </w:p>
        </w:tc>
        <w:tc>
          <w:tcPr>
            <w:tcW w:w="1016" w:type="pct"/>
            <w:tcBorders>
              <w:top w:val="nil"/>
              <w:bottom w:val="nil"/>
            </w:tcBorders>
            <w:vAlign w:val="center"/>
          </w:tcPr>
          <w:p w14:paraId="06A75A54"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2,8</w:t>
            </w:r>
          </w:p>
        </w:tc>
        <w:tc>
          <w:tcPr>
            <w:tcW w:w="619" w:type="pct"/>
            <w:tcBorders>
              <w:top w:val="nil"/>
              <w:bottom w:val="nil"/>
            </w:tcBorders>
            <w:vAlign w:val="center"/>
          </w:tcPr>
          <w:p w14:paraId="5D40F193"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3,4</w:t>
            </w:r>
          </w:p>
        </w:tc>
      </w:tr>
      <w:tr w:rsidR="00123F4F" w:rsidRPr="006B2701" w14:paraId="798556ED" w14:textId="77777777" w:rsidTr="00E6574D">
        <w:trPr>
          <w:jc w:val="center"/>
        </w:trPr>
        <w:tc>
          <w:tcPr>
            <w:tcW w:w="1736" w:type="pct"/>
            <w:tcBorders>
              <w:top w:val="nil"/>
            </w:tcBorders>
            <w:vAlign w:val="center"/>
          </w:tcPr>
          <w:p w14:paraId="202B6E81" w14:textId="77777777" w:rsidR="00123F4F" w:rsidRPr="006B2701" w:rsidRDefault="00123F4F" w:rsidP="00123F4F">
            <w:pPr>
              <w:pStyle w:val="ListParagraph"/>
              <w:keepNext/>
              <w:numPr>
                <w:ilvl w:val="0"/>
                <w:numId w:val="41"/>
              </w:numPr>
              <w:spacing w:before="60"/>
              <w:rPr>
                <w:rFonts w:ascii="Tahoma" w:hAnsi="Tahoma" w:cs="Tahoma"/>
                <w:lang w:val="ro-RO"/>
              </w:rPr>
            </w:pPr>
            <w:r w:rsidRPr="006B2701">
              <w:rPr>
                <w:rFonts w:ascii="Tahoma" w:hAnsi="Tahoma" w:cs="Tahoma"/>
                <w:lang w:val="ro-RO"/>
              </w:rPr>
              <w:t>Consum guvernamental</w:t>
            </w:r>
          </w:p>
        </w:tc>
        <w:tc>
          <w:tcPr>
            <w:tcW w:w="1016" w:type="pct"/>
            <w:tcBorders>
              <w:top w:val="nil"/>
            </w:tcBorders>
            <w:vAlign w:val="center"/>
          </w:tcPr>
          <w:p w14:paraId="3D3B0B61"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0,2</w:t>
            </w:r>
          </w:p>
        </w:tc>
        <w:tc>
          <w:tcPr>
            <w:tcW w:w="614" w:type="pct"/>
            <w:tcBorders>
              <w:top w:val="nil"/>
            </w:tcBorders>
            <w:vAlign w:val="center"/>
          </w:tcPr>
          <w:p w14:paraId="1D304AC7"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0,2</w:t>
            </w:r>
          </w:p>
        </w:tc>
        <w:tc>
          <w:tcPr>
            <w:tcW w:w="1016" w:type="pct"/>
            <w:tcBorders>
              <w:top w:val="nil"/>
            </w:tcBorders>
            <w:vAlign w:val="center"/>
          </w:tcPr>
          <w:p w14:paraId="60B17328"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0,5</w:t>
            </w:r>
          </w:p>
        </w:tc>
        <w:tc>
          <w:tcPr>
            <w:tcW w:w="619" w:type="pct"/>
            <w:tcBorders>
              <w:top w:val="nil"/>
            </w:tcBorders>
            <w:vAlign w:val="center"/>
          </w:tcPr>
          <w:p w14:paraId="129BAE95"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0,8</w:t>
            </w:r>
          </w:p>
        </w:tc>
      </w:tr>
      <w:tr w:rsidR="00123F4F" w:rsidRPr="006B2701" w14:paraId="52D0B097" w14:textId="77777777" w:rsidTr="00E6574D">
        <w:trPr>
          <w:jc w:val="center"/>
        </w:trPr>
        <w:tc>
          <w:tcPr>
            <w:tcW w:w="1736" w:type="pct"/>
            <w:tcBorders>
              <w:bottom w:val="nil"/>
            </w:tcBorders>
            <w:vAlign w:val="center"/>
          </w:tcPr>
          <w:p w14:paraId="0B64C946" w14:textId="77777777" w:rsidR="00123F4F" w:rsidRPr="006B2701" w:rsidRDefault="00123F4F" w:rsidP="00123F4F">
            <w:pPr>
              <w:keepNext/>
              <w:spacing w:before="60"/>
              <w:rPr>
                <w:rFonts w:ascii="Tahoma" w:hAnsi="Tahoma" w:cs="Tahoma"/>
                <w:lang w:val="ro-RO"/>
              </w:rPr>
            </w:pPr>
            <w:r w:rsidRPr="006B2701">
              <w:rPr>
                <w:rFonts w:ascii="Tahoma" w:hAnsi="Tahoma" w:cs="Tahoma"/>
                <w:lang w:val="ro-RO"/>
              </w:rPr>
              <w:t xml:space="preserve">  - Formarea brută de capital</w:t>
            </w:r>
          </w:p>
        </w:tc>
        <w:tc>
          <w:tcPr>
            <w:tcW w:w="1016" w:type="pct"/>
            <w:tcBorders>
              <w:bottom w:val="nil"/>
            </w:tcBorders>
            <w:vAlign w:val="center"/>
          </w:tcPr>
          <w:p w14:paraId="348A299E"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3,5</w:t>
            </w:r>
          </w:p>
        </w:tc>
        <w:tc>
          <w:tcPr>
            <w:tcW w:w="614" w:type="pct"/>
            <w:tcBorders>
              <w:bottom w:val="nil"/>
            </w:tcBorders>
            <w:vAlign w:val="center"/>
          </w:tcPr>
          <w:p w14:paraId="336B6C2A"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2,1</w:t>
            </w:r>
          </w:p>
        </w:tc>
        <w:tc>
          <w:tcPr>
            <w:tcW w:w="1016" w:type="pct"/>
            <w:tcBorders>
              <w:bottom w:val="nil"/>
            </w:tcBorders>
            <w:vAlign w:val="center"/>
          </w:tcPr>
          <w:p w14:paraId="3B2151F6"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2,4</w:t>
            </w:r>
          </w:p>
        </w:tc>
        <w:tc>
          <w:tcPr>
            <w:tcW w:w="619" w:type="pct"/>
            <w:tcBorders>
              <w:bottom w:val="nil"/>
            </w:tcBorders>
            <w:vAlign w:val="center"/>
          </w:tcPr>
          <w:p w14:paraId="085227E2"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1,3</w:t>
            </w:r>
          </w:p>
        </w:tc>
      </w:tr>
      <w:tr w:rsidR="00123F4F" w:rsidRPr="006B2701" w14:paraId="575999FC" w14:textId="77777777" w:rsidTr="00E6574D">
        <w:trPr>
          <w:jc w:val="center"/>
        </w:trPr>
        <w:tc>
          <w:tcPr>
            <w:tcW w:w="1736" w:type="pct"/>
            <w:tcBorders>
              <w:top w:val="nil"/>
              <w:bottom w:val="nil"/>
            </w:tcBorders>
            <w:vAlign w:val="center"/>
          </w:tcPr>
          <w:p w14:paraId="2B136022" w14:textId="77777777" w:rsidR="00123F4F" w:rsidRPr="006B2701" w:rsidRDefault="00123F4F" w:rsidP="00123F4F">
            <w:pPr>
              <w:pStyle w:val="ListParagraph"/>
              <w:keepNext/>
              <w:numPr>
                <w:ilvl w:val="0"/>
                <w:numId w:val="42"/>
              </w:numPr>
              <w:spacing w:before="60"/>
              <w:rPr>
                <w:rFonts w:ascii="Tahoma" w:hAnsi="Tahoma" w:cs="Tahoma"/>
                <w:lang w:val="ro-RO"/>
              </w:rPr>
            </w:pPr>
            <w:r w:rsidRPr="006B2701">
              <w:rPr>
                <w:rFonts w:ascii="Tahoma" w:hAnsi="Tahoma" w:cs="Tahoma"/>
                <w:lang w:val="ro-RO"/>
              </w:rPr>
              <w:t>Formarea brută de capital fix</w:t>
            </w:r>
          </w:p>
        </w:tc>
        <w:tc>
          <w:tcPr>
            <w:tcW w:w="1016" w:type="pct"/>
            <w:tcBorders>
              <w:top w:val="nil"/>
              <w:bottom w:val="nil"/>
            </w:tcBorders>
            <w:vAlign w:val="center"/>
          </w:tcPr>
          <w:p w14:paraId="215BB293"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2,0</w:t>
            </w:r>
          </w:p>
        </w:tc>
        <w:tc>
          <w:tcPr>
            <w:tcW w:w="614" w:type="pct"/>
            <w:tcBorders>
              <w:top w:val="nil"/>
              <w:bottom w:val="nil"/>
            </w:tcBorders>
            <w:vAlign w:val="center"/>
          </w:tcPr>
          <w:p w14:paraId="55DE6A0C"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0,4</w:t>
            </w:r>
          </w:p>
        </w:tc>
        <w:tc>
          <w:tcPr>
            <w:tcW w:w="1016" w:type="pct"/>
            <w:tcBorders>
              <w:top w:val="nil"/>
              <w:bottom w:val="nil"/>
            </w:tcBorders>
            <w:vAlign w:val="center"/>
          </w:tcPr>
          <w:p w14:paraId="5097347C"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2,4</w:t>
            </w:r>
          </w:p>
        </w:tc>
        <w:tc>
          <w:tcPr>
            <w:tcW w:w="619" w:type="pct"/>
            <w:tcBorders>
              <w:top w:val="nil"/>
              <w:bottom w:val="nil"/>
            </w:tcBorders>
            <w:vAlign w:val="center"/>
          </w:tcPr>
          <w:p w14:paraId="53C568FD"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1,9</w:t>
            </w:r>
          </w:p>
        </w:tc>
      </w:tr>
      <w:tr w:rsidR="00123F4F" w:rsidRPr="006B2701" w14:paraId="69444B57" w14:textId="77777777" w:rsidTr="00E6574D">
        <w:trPr>
          <w:jc w:val="center"/>
        </w:trPr>
        <w:tc>
          <w:tcPr>
            <w:tcW w:w="1736" w:type="pct"/>
            <w:tcBorders>
              <w:top w:val="nil"/>
            </w:tcBorders>
            <w:vAlign w:val="center"/>
          </w:tcPr>
          <w:p w14:paraId="23753DDA" w14:textId="77777777" w:rsidR="00123F4F" w:rsidRPr="006B2701" w:rsidRDefault="00123F4F" w:rsidP="00123F4F">
            <w:pPr>
              <w:pStyle w:val="ListParagraph"/>
              <w:keepNext/>
              <w:numPr>
                <w:ilvl w:val="0"/>
                <w:numId w:val="42"/>
              </w:numPr>
              <w:spacing w:before="60"/>
              <w:rPr>
                <w:rFonts w:ascii="Tahoma" w:hAnsi="Tahoma" w:cs="Tahoma"/>
                <w:lang w:val="ro-RO"/>
              </w:rPr>
            </w:pPr>
            <w:r w:rsidRPr="006B2701">
              <w:rPr>
                <w:rFonts w:ascii="Tahoma" w:hAnsi="Tahoma" w:cs="Tahoma"/>
                <w:lang w:val="ro-RO"/>
              </w:rPr>
              <w:t xml:space="preserve">Modificarea stocurilor </w:t>
            </w:r>
          </w:p>
        </w:tc>
        <w:tc>
          <w:tcPr>
            <w:tcW w:w="1016" w:type="pct"/>
            <w:tcBorders>
              <w:top w:val="nil"/>
            </w:tcBorders>
            <w:vAlign w:val="center"/>
          </w:tcPr>
          <w:p w14:paraId="63D29DD9"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1,4</w:t>
            </w:r>
          </w:p>
        </w:tc>
        <w:tc>
          <w:tcPr>
            <w:tcW w:w="614" w:type="pct"/>
            <w:tcBorders>
              <w:top w:val="nil"/>
            </w:tcBorders>
            <w:vAlign w:val="center"/>
          </w:tcPr>
          <w:p w14:paraId="21FE7CE1"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1,7</w:t>
            </w:r>
          </w:p>
        </w:tc>
        <w:tc>
          <w:tcPr>
            <w:tcW w:w="1016" w:type="pct"/>
            <w:tcBorders>
              <w:top w:val="nil"/>
            </w:tcBorders>
            <w:vAlign w:val="center"/>
          </w:tcPr>
          <w:p w14:paraId="3B097E8F"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0,0</w:t>
            </w:r>
          </w:p>
        </w:tc>
        <w:tc>
          <w:tcPr>
            <w:tcW w:w="619" w:type="pct"/>
            <w:tcBorders>
              <w:top w:val="nil"/>
            </w:tcBorders>
            <w:vAlign w:val="center"/>
          </w:tcPr>
          <w:p w14:paraId="7648FDFA"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-0,6</w:t>
            </w:r>
          </w:p>
        </w:tc>
      </w:tr>
      <w:tr w:rsidR="00123F4F" w:rsidRPr="006B2701" w14:paraId="49430183" w14:textId="77777777" w:rsidTr="00E6574D">
        <w:trPr>
          <w:jc w:val="center"/>
        </w:trPr>
        <w:tc>
          <w:tcPr>
            <w:tcW w:w="1736" w:type="pct"/>
            <w:tcBorders>
              <w:bottom w:val="nil"/>
            </w:tcBorders>
            <w:vAlign w:val="center"/>
          </w:tcPr>
          <w:p w14:paraId="7C0B3B9E" w14:textId="77777777" w:rsidR="00123F4F" w:rsidRPr="006B2701" w:rsidRDefault="00123F4F" w:rsidP="00123F4F">
            <w:pPr>
              <w:keepNext/>
              <w:spacing w:before="60"/>
              <w:rPr>
                <w:rFonts w:ascii="Tahoma" w:hAnsi="Tahoma" w:cs="Tahoma"/>
                <w:b/>
                <w:bCs/>
                <w:lang w:val="ro-RO"/>
              </w:rPr>
            </w:pPr>
            <w:r w:rsidRPr="006B2701">
              <w:rPr>
                <w:rFonts w:ascii="Tahoma" w:hAnsi="Tahoma" w:cs="Tahoma"/>
                <w:b/>
                <w:bCs/>
                <w:lang w:val="ro-RO"/>
              </w:rPr>
              <w:t xml:space="preserve">Exportul net </w:t>
            </w:r>
          </w:p>
        </w:tc>
        <w:tc>
          <w:tcPr>
            <w:tcW w:w="1016" w:type="pct"/>
            <w:tcBorders>
              <w:bottom w:val="nil"/>
            </w:tcBorders>
            <w:vAlign w:val="center"/>
          </w:tcPr>
          <w:p w14:paraId="55FB15A2" w14:textId="77777777" w:rsidR="00123F4F" w:rsidRPr="006B2701" w:rsidRDefault="00123F4F" w:rsidP="00123F4F">
            <w:pPr>
              <w:keepNext/>
              <w:spacing w:before="60"/>
              <w:jc w:val="center"/>
              <w:rPr>
                <w:rFonts w:ascii="Tahoma" w:hAnsi="Tahoma" w:cs="Tahoma"/>
                <w:b/>
                <w:bCs/>
                <w:lang w:val="ro-RO"/>
              </w:rPr>
            </w:pPr>
            <w:r w:rsidRPr="006B2701">
              <w:rPr>
                <w:rFonts w:ascii="Tahoma" w:hAnsi="Tahoma" w:cs="Tahoma"/>
                <w:b/>
                <w:bCs/>
                <w:lang w:val="ro-RO"/>
              </w:rPr>
              <w:t>-1,7</w:t>
            </w:r>
          </w:p>
        </w:tc>
        <w:tc>
          <w:tcPr>
            <w:tcW w:w="614" w:type="pct"/>
            <w:tcBorders>
              <w:bottom w:val="nil"/>
            </w:tcBorders>
            <w:vAlign w:val="center"/>
          </w:tcPr>
          <w:p w14:paraId="1C79BDCC" w14:textId="77777777" w:rsidR="00123F4F" w:rsidRPr="006B2701" w:rsidRDefault="00123F4F" w:rsidP="00123F4F">
            <w:pPr>
              <w:keepNext/>
              <w:spacing w:before="60"/>
              <w:jc w:val="center"/>
              <w:rPr>
                <w:rFonts w:ascii="Tahoma" w:hAnsi="Tahoma" w:cs="Tahoma"/>
                <w:b/>
                <w:bCs/>
                <w:lang w:val="ro-RO"/>
              </w:rPr>
            </w:pPr>
            <w:r w:rsidRPr="006B2701">
              <w:rPr>
                <w:rFonts w:ascii="Tahoma" w:hAnsi="Tahoma" w:cs="Tahoma"/>
                <w:b/>
                <w:bCs/>
                <w:lang w:val="ro-RO"/>
              </w:rPr>
              <w:t>-1,5</w:t>
            </w:r>
          </w:p>
        </w:tc>
        <w:tc>
          <w:tcPr>
            <w:tcW w:w="1016" w:type="pct"/>
            <w:tcBorders>
              <w:bottom w:val="nil"/>
            </w:tcBorders>
            <w:vAlign w:val="center"/>
          </w:tcPr>
          <w:p w14:paraId="0572FBB4" w14:textId="77777777" w:rsidR="00123F4F" w:rsidRPr="006B2701" w:rsidRDefault="00123F4F" w:rsidP="00123F4F">
            <w:pPr>
              <w:keepNext/>
              <w:spacing w:before="60"/>
              <w:jc w:val="center"/>
              <w:rPr>
                <w:rFonts w:ascii="Tahoma" w:hAnsi="Tahoma" w:cs="Tahoma"/>
                <w:b/>
                <w:bCs/>
                <w:lang w:val="ro-RO"/>
              </w:rPr>
            </w:pPr>
            <w:r w:rsidRPr="006B2701">
              <w:rPr>
                <w:rFonts w:ascii="Tahoma" w:hAnsi="Tahoma" w:cs="Tahoma"/>
                <w:b/>
                <w:bCs/>
                <w:lang w:val="ro-RO"/>
              </w:rPr>
              <w:t>-1,1</w:t>
            </w:r>
          </w:p>
        </w:tc>
        <w:tc>
          <w:tcPr>
            <w:tcW w:w="619" w:type="pct"/>
            <w:tcBorders>
              <w:bottom w:val="nil"/>
            </w:tcBorders>
            <w:vAlign w:val="center"/>
          </w:tcPr>
          <w:p w14:paraId="272ECB89" w14:textId="77777777" w:rsidR="00123F4F" w:rsidRPr="006B2701" w:rsidRDefault="00123F4F" w:rsidP="00123F4F">
            <w:pPr>
              <w:keepNext/>
              <w:spacing w:before="60"/>
              <w:jc w:val="center"/>
              <w:rPr>
                <w:rFonts w:ascii="Tahoma" w:hAnsi="Tahoma" w:cs="Tahoma"/>
                <w:b/>
                <w:bCs/>
                <w:lang w:val="ro-RO"/>
              </w:rPr>
            </w:pPr>
            <w:r w:rsidRPr="006B2701">
              <w:rPr>
                <w:rFonts w:ascii="Tahoma" w:hAnsi="Tahoma" w:cs="Tahoma"/>
                <w:b/>
                <w:bCs/>
                <w:lang w:val="ro-RO"/>
              </w:rPr>
              <w:t>-0,7</w:t>
            </w:r>
          </w:p>
        </w:tc>
      </w:tr>
      <w:tr w:rsidR="00123F4F" w:rsidRPr="006B2701" w14:paraId="18487762" w14:textId="77777777" w:rsidTr="00E6574D">
        <w:trPr>
          <w:jc w:val="center"/>
        </w:trPr>
        <w:tc>
          <w:tcPr>
            <w:tcW w:w="1736" w:type="pct"/>
            <w:tcBorders>
              <w:top w:val="nil"/>
              <w:bottom w:val="nil"/>
            </w:tcBorders>
            <w:vAlign w:val="center"/>
          </w:tcPr>
          <w:p w14:paraId="2A9DE804" w14:textId="77777777" w:rsidR="00123F4F" w:rsidRPr="006B2701" w:rsidRDefault="00123F4F" w:rsidP="00123F4F">
            <w:pPr>
              <w:keepNext/>
              <w:spacing w:before="60"/>
              <w:rPr>
                <w:rFonts w:ascii="Tahoma" w:hAnsi="Tahoma" w:cs="Tahoma"/>
                <w:lang w:val="ro-RO"/>
              </w:rPr>
            </w:pPr>
            <w:r w:rsidRPr="006B2701">
              <w:rPr>
                <w:rFonts w:ascii="Tahoma" w:hAnsi="Tahoma" w:cs="Tahoma"/>
                <w:lang w:val="ro-RO"/>
              </w:rPr>
              <w:t xml:space="preserve">  - Exportul de bunuri </w:t>
            </w:r>
            <w:proofErr w:type="spellStart"/>
            <w:r w:rsidRPr="006B2701">
              <w:rPr>
                <w:rFonts w:ascii="Tahoma" w:hAnsi="Tahoma" w:cs="Tahoma"/>
                <w:lang w:val="ro-RO"/>
              </w:rPr>
              <w:t>şi</w:t>
            </w:r>
            <w:proofErr w:type="spellEnd"/>
            <w:r w:rsidRPr="006B2701">
              <w:rPr>
                <w:rFonts w:ascii="Tahoma" w:hAnsi="Tahoma" w:cs="Tahoma"/>
                <w:lang w:val="ro-RO"/>
              </w:rPr>
              <w:t xml:space="preserve"> servicii</w:t>
            </w:r>
          </w:p>
        </w:tc>
        <w:tc>
          <w:tcPr>
            <w:tcW w:w="1016" w:type="pct"/>
            <w:tcBorders>
              <w:top w:val="nil"/>
              <w:bottom w:val="nil"/>
            </w:tcBorders>
            <w:vAlign w:val="center"/>
          </w:tcPr>
          <w:p w14:paraId="06DAAABD"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3,5</w:t>
            </w:r>
          </w:p>
        </w:tc>
        <w:tc>
          <w:tcPr>
            <w:tcW w:w="614" w:type="pct"/>
            <w:tcBorders>
              <w:top w:val="nil"/>
              <w:bottom w:val="nil"/>
            </w:tcBorders>
            <w:vAlign w:val="center"/>
          </w:tcPr>
          <w:p w14:paraId="0DD4BA81"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4,6</w:t>
            </w:r>
          </w:p>
        </w:tc>
        <w:tc>
          <w:tcPr>
            <w:tcW w:w="1016" w:type="pct"/>
            <w:tcBorders>
              <w:top w:val="nil"/>
              <w:bottom w:val="nil"/>
            </w:tcBorders>
            <w:vAlign w:val="center"/>
          </w:tcPr>
          <w:p w14:paraId="35038FED"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2,1</w:t>
            </w:r>
          </w:p>
        </w:tc>
        <w:tc>
          <w:tcPr>
            <w:tcW w:w="619" w:type="pct"/>
            <w:tcBorders>
              <w:top w:val="nil"/>
              <w:bottom w:val="nil"/>
            </w:tcBorders>
            <w:vAlign w:val="center"/>
          </w:tcPr>
          <w:p w14:paraId="64B53F40"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3,9</w:t>
            </w:r>
          </w:p>
        </w:tc>
      </w:tr>
      <w:tr w:rsidR="00123F4F" w:rsidRPr="006B2701" w14:paraId="46567751" w14:textId="77777777" w:rsidTr="00E6574D">
        <w:trPr>
          <w:jc w:val="center"/>
        </w:trPr>
        <w:tc>
          <w:tcPr>
            <w:tcW w:w="1736" w:type="pct"/>
            <w:tcBorders>
              <w:top w:val="nil"/>
            </w:tcBorders>
            <w:vAlign w:val="center"/>
          </w:tcPr>
          <w:p w14:paraId="2F18AB1E" w14:textId="77777777" w:rsidR="00123F4F" w:rsidRPr="006B2701" w:rsidRDefault="00123F4F" w:rsidP="00123F4F">
            <w:pPr>
              <w:keepNext/>
              <w:spacing w:before="60"/>
              <w:rPr>
                <w:rFonts w:ascii="Tahoma" w:hAnsi="Tahoma" w:cs="Tahoma"/>
                <w:lang w:val="ro-RO"/>
              </w:rPr>
            </w:pPr>
            <w:r w:rsidRPr="006B2701">
              <w:rPr>
                <w:rFonts w:ascii="Tahoma" w:hAnsi="Tahoma" w:cs="Tahoma"/>
                <w:lang w:val="ro-RO"/>
              </w:rPr>
              <w:t xml:space="preserve">  - Importul de bunuri </w:t>
            </w:r>
            <w:proofErr w:type="spellStart"/>
            <w:r w:rsidRPr="006B2701">
              <w:rPr>
                <w:rFonts w:ascii="Tahoma" w:hAnsi="Tahoma" w:cs="Tahoma"/>
                <w:lang w:val="ro-RO"/>
              </w:rPr>
              <w:t>şi</w:t>
            </w:r>
            <w:proofErr w:type="spellEnd"/>
            <w:r w:rsidRPr="006B2701">
              <w:rPr>
                <w:rFonts w:ascii="Tahoma" w:hAnsi="Tahoma" w:cs="Tahoma"/>
                <w:lang w:val="ro-RO"/>
              </w:rPr>
              <w:t xml:space="preserve"> servicii</w:t>
            </w:r>
          </w:p>
        </w:tc>
        <w:tc>
          <w:tcPr>
            <w:tcW w:w="1016" w:type="pct"/>
            <w:tcBorders>
              <w:top w:val="nil"/>
            </w:tcBorders>
            <w:vAlign w:val="center"/>
          </w:tcPr>
          <w:p w14:paraId="6069606F"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5,2</w:t>
            </w:r>
          </w:p>
        </w:tc>
        <w:tc>
          <w:tcPr>
            <w:tcW w:w="614" w:type="pct"/>
            <w:tcBorders>
              <w:top w:val="nil"/>
            </w:tcBorders>
            <w:vAlign w:val="center"/>
          </w:tcPr>
          <w:p w14:paraId="45A5678D"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6,2</w:t>
            </w:r>
          </w:p>
        </w:tc>
        <w:tc>
          <w:tcPr>
            <w:tcW w:w="1016" w:type="pct"/>
            <w:tcBorders>
              <w:top w:val="nil"/>
            </w:tcBorders>
            <w:vAlign w:val="center"/>
          </w:tcPr>
          <w:p w14:paraId="75827545"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3,2</w:t>
            </w:r>
          </w:p>
        </w:tc>
        <w:tc>
          <w:tcPr>
            <w:tcW w:w="619" w:type="pct"/>
            <w:tcBorders>
              <w:top w:val="nil"/>
            </w:tcBorders>
            <w:vAlign w:val="center"/>
          </w:tcPr>
          <w:p w14:paraId="28D9CB3C"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4,6</w:t>
            </w:r>
          </w:p>
        </w:tc>
      </w:tr>
      <w:tr w:rsidR="00123F4F" w:rsidRPr="006B2701" w14:paraId="187D8A2B" w14:textId="77777777" w:rsidTr="00E6574D">
        <w:trPr>
          <w:jc w:val="center"/>
        </w:trPr>
        <w:tc>
          <w:tcPr>
            <w:tcW w:w="1736" w:type="pct"/>
            <w:vAlign w:val="center"/>
          </w:tcPr>
          <w:p w14:paraId="7E2C32F1" w14:textId="77777777" w:rsidR="00123F4F" w:rsidRPr="006B2701" w:rsidRDefault="00123F4F" w:rsidP="00123F4F">
            <w:pPr>
              <w:keepNext/>
              <w:spacing w:before="60"/>
              <w:rPr>
                <w:rFonts w:ascii="Tahoma" w:hAnsi="Tahoma" w:cs="Tahoma"/>
                <w:b/>
                <w:bCs/>
                <w:lang w:val="ro-RO"/>
              </w:rPr>
            </w:pPr>
            <w:r w:rsidRPr="006B2701">
              <w:rPr>
                <w:rFonts w:ascii="Tahoma" w:hAnsi="Tahoma" w:cs="Tahoma"/>
                <w:b/>
                <w:bCs/>
                <w:lang w:val="ro-RO"/>
              </w:rPr>
              <w:t>PRODUSUL INTERN BRUT</w:t>
            </w:r>
          </w:p>
        </w:tc>
        <w:tc>
          <w:tcPr>
            <w:tcW w:w="1016" w:type="pct"/>
            <w:vAlign w:val="center"/>
          </w:tcPr>
          <w:p w14:paraId="00AB4390" w14:textId="77777777" w:rsidR="00123F4F" w:rsidRPr="006B2701" w:rsidRDefault="00123F4F" w:rsidP="00123F4F">
            <w:pPr>
              <w:keepNext/>
              <w:spacing w:before="60"/>
              <w:jc w:val="center"/>
              <w:rPr>
                <w:rFonts w:ascii="Tahoma" w:hAnsi="Tahoma" w:cs="Tahoma"/>
                <w:b/>
                <w:bCs/>
                <w:lang w:val="ro-RO"/>
              </w:rPr>
            </w:pPr>
            <w:r w:rsidRPr="006B2701">
              <w:rPr>
                <w:rFonts w:ascii="Tahoma" w:hAnsi="Tahoma" w:cs="Tahoma"/>
                <w:b/>
                <w:bCs/>
                <w:lang w:val="ro-RO"/>
              </w:rPr>
              <w:t>7,0</w:t>
            </w:r>
          </w:p>
        </w:tc>
        <w:tc>
          <w:tcPr>
            <w:tcW w:w="614" w:type="pct"/>
            <w:vAlign w:val="center"/>
          </w:tcPr>
          <w:p w14:paraId="454B901A" w14:textId="77777777" w:rsidR="00123F4F" w:rsidRPr="006B2701" w:rsidRDefault="00123F4F" w:rsidP="00123F4F">
            <w:pPr>
              <w:keepNext/>
              <w:spacing w:before="60"/>
              <w:jc w:val="center"/>
              <w:rPr>
                <w:rFonts w:ascii="Tahoma" w:hAnsi="Tahoma" w:cs="Tahoma"/>
                <w:b/>
                <w:bCs/>
                <w:lang w:val="ro-RO"/>
              </w:rPr>
            </w:pPr>
            <w:r w:rsidRPr="006B2701">
              <w:rPr>
                <w:rFonts w:ascii="Tahoma" w:hAnsi="Tahoma" w:cs="Tahoma"/>
                <w:b/>
                <w:bCs/>
                <w:lang w:val="ro-RO"/>
              </w:rPr>
              <w:t>5,8</w:t>
            </w:r>
          </w:p>
        </w:tc>
        <w:tc>
          <w:tcPr>
            <w:tcW w:w="1016" w:type="pct"/>
            <w:vAlign w:val="center"/>
          </w:tcPr>
          <w:p w14:paraId="7EE41666" w14:textId="77777777" w:rsidR="00123F4F" w:rsidRPr="006B2701" w:rsidRDefault="00123F4F" w:rsidP="00123F4F">
            <w:pPr>
              <w:keepNext/>
              <w:spacing w:before="60"/>
              <w:jc w:val="center"/>
              <w:rPr>
                <w:rFonts w:ascii="Tahoma" w:hAnsi="Tahoma" w:cs="Tahoma"/>
                <w:b/>
                <w:bCs/>
                <w:lang w:val="ro-RO"/>
              </w:rPr>
            </w:pPr>
            <w:r w:rsidRPr="006B2701">
              <w:rPr>
                <w:rFonts w:ascii="Tahoma" w:hAnsi="Tahoma" w:cs="Tahoma"/>
                <w:b/>
                <w:bCs/>
                <w:lang w:val="ro-RO"/>
              </w:rPr>
              <w:t>4,6</w:t>
            </w:r>
          </w:p>
        </w:tc>
        <w:tc>
          <w:tcPr>
            <w:tcW w:w="619" w:type="pct"/>
            <w:vAlign w:val="center"/>
          </w:tcPr>
          <w:p w14:paraId="0F3C545F" w14:textId="77777777" w:rsidR="00123F4F" w:rsidRPr="006B2701" w:rsidRDefault="00123F4F" w:rsidP="00123F4F">
            <w:pPr>
              <w:keepNext/>
              <w:spacing w:before="60"/>
              <w:jc w:val="center"/>
              <w:rPr>
                <w:rFonts w:ascii="Tahoma" w:hAnsi="Tahoma" w:cs="Tahoma"/>
                <w:b/>
                <w:bCs/>
                <w:lang w:val="ro-RO"/>
              </w:rPr>
            </w:pPr>
            <w:r w:rsidRPr="006B2701">
              <w:rPr>
                <w:rFonts w:ascii="Tahoma" w:hAnsi="Tahoma" w:cs="Tahoma"/>
                <w:b/>
                <w:bCs/>
                <w:lang w:val="ro-RO"/>
              </w:rPr>
              <w:t>4,7</w:t>
            </w:r>
          </w:p>
        </w:tc>
      </w:tr>
      <w:tr w:rsidR="00123F4F" w:rsidRPr="006B2701" w14:paraId="2CC019D3" w14:textId="77777777" w:rsidTr="00E6574D">
        <w:trPr>
          <w:jc w:val="center"/>
        </w:trPr>
        <w:tc>
          <w:tcPr>
            <w:tcW w:w="1736" w:type="pct"/>
            <w:tcBorders>
              <w:bottom w:val="nil"/>
            </w:tcBorders>
            <w:vAlign w:val="bottom"/>
          </w:tcPr>
          <w:p w14:paraId="232A5C4E" w14:textId="77777777" w:rsidR="00123F4F" w:rsidRPr="006B2701" w:rsidRDefault="00123F4F" w:rsidP="00123F4F">
            <w:pPr>
              <w:keepNext/>
              <w:spacing w:before="60"/>
              <w:rPr>
                <w:rFonts w:ascii="Tahoma" w:hAnsi="Tahoma" w:cs="Tahoma"/>
                <w:lang w:val="ro-RO"/>
              </w:rPr>
            </w:pPr>
            <w:r w:rsidRPr="006B2701">
              <w:rPr>
                <w:rFonts w:ascii="Tahoma" w:hAnsi="Tahoma" w:cs="Tahoma"/>
                <w:lang w:val="ro-RO"/>
              </w:rPr>
              <w:t>- Industrie</w:t>
            </w:r>
          </w:p>
        </w:tc>
        <w:tc>
          <w:tcPr>
            <w:tcW w:w="1016" w:type="pct"/>
            <w:tcBorders>
              <w:bottom w:val="nil"/>
            </w:tcBorders>
            <w:vAlign w:val="bottom"/>
          </w:tcPr>
          <w:p w14:paraId="2B23D728" w14:textId="77777777" w:rsidR="00123F4F" w:rsidRPr="006B2701" w:rsidRDefault="00123F4F" w:rsidP="00123F4F">
            <w:pPr>
              <w:keepNext/>
              <w:spacing w:before="60"/>
              <w:jc w:val="center"/>
              <w:rPr>
                <w:rFonts w:ascii="Tahoma" w:hAnsi="Tahoma" w:cs="Tahoma"/>
                <w:bCs/>
                <w:lang w:val="ro-RO"/>
              </w:rPr>
            </w:pPr>
            <w:r w:rsidRPr="006B2701">
              <w:rPr>
                <w:rFonts w:ascii="Tahoma" w:hAnsi="Tahoma" w:cs="Tahoma"/>
                <w:bCs/>
                <w:lang w:val="ro-RO"/>
              </w:rPr>
              <w:t>1,2</w:t>
            </w:r>
          </w:p>
        </w:tc>
        <w:tc>
          <w:tcPr>
            <w:tcW w:w="614" w:type="pct"/>
            <w:tcBorders>
              <w:bottom w:val="nil"/>
            </w:tcBorders>
            <w:vAlign w:val="bottom"/>
          </w:tcPr>
          <w:p w14:paraId="1901E390" w14:textId="77777777" w:rsidR="00123F4F" w:rsidRPr="006B2701" w:rsidRDefault="00123F4F" w:rsidP="00123F4F">
            <w:pPr>
              <w:keepNext/>
              <w:jc w:val="center"/>
              <w:rPr>
                <w:rFonts w:ascii="Tahoma" w:hAnsi="Tahoma" w:cs="Tahoma"/>
                <w:lang w:val="ro-RO"/>
              </w:rPr>
            </w:pPr>
            <w:r w:rsidRPr="006B2701">
              <w:rPr>
                <w:rFonts w:ascii="Tahoma" w:hAnsi="Tahoma" w:cs="Tahoma"/>
                <w:lang w:val="ro-RO"/>
              </w:rPr>
              <w:t>1,3</w:t>
            </w:r>
          </w:p>
        </w:tc>
        <w:tc>
          <w:tcPr>
            <w:tcW w:w="1016" w:type="pct"/>
            <w:tcBorders>
              <w:bottom w:val="nil"/>
            </w:tcBorders>
            <w:vAlign w:val="bottom"/>
          </w:tcPr>
          <w:p w14:paraId="7883D078" w14:textId="77777777" w:rsidR="00123F4F" w:rsidRPr="006B2701" w:rsidRDefault="00123F4F" w:rsidP="00123F4F">
            <w:pPr>
              <w:keepNext/>
              <w:spacing w:before="60"/>
              <w:jc w:val="center"/>
              <w:rPr>
                <w:rFonts w:ascii="Tahoma" w:hAnsi="Tahoma" w:cs="Tahoma"/>
                <w:bCs/>
                <w:lang w:val="ro-RO"/>
              </w:rPr>
            </w:pPr>
            <w:r w:rsidRPr="006B2701">
              <w:rPr>
                <w:rFonts w:ascii="Tahoma" w:hAnsi="Tahoma" w:cs="Tahoma"/>
                <w:bCs/>
                <w:lang w:val="ro-RO"/>
              </w:rPr>
              <w:t>0,9</w:t>
            </w:r>
          </w:p>
        </w:tc>
        <w:tc>
          <w:tcPr>
            <w:tcW w:w="619" w:type="pct"/>
            <w:tcBorders>
              <w:bottom w:val="nil"/>
            </w:tcBorders>
            <w:vAlign w:val="bottom"/>
          </w:tcPr>
          <w:p w14:paraId="73E17E88" w14:textId="77777777" w:rsidR="00123F4F" w:rsidRPr="006B2701" w:rsidRDefault="00123F4F" w:rsidP="00123F4F">
            <w:pPr>
              <w:keepNext/>
              <w:spacing w:before="60"/>
              <w:jc w:val="center"/>
              <w:rPr>
                <w:rFonts w:ascii="Tahoma" w:hAnsi="Tahoma" w:cs="Tahoma"/>
                <w:bCs/>
                <w:lang w:val="ro-RO"/>
              </w:rPr>
            </w:pPr>
            <w:r w:rsidRPr="006B2701">
              <w:rPr>
                <w:rFonts w:ascii="Tahoma" w:hAnsi="Tahoma" w:cs="Tahoma"/>
                <w:bCs/>
                <w:lang w:val="ro-RO"/>
              </w:rPr>
              <w:t>-0,5</w:t>
            </w:r>
          </w:p>
        </w:tc>
      </w:tr>
      <w:tr w:rsidR="00123F4F" w:rsidRPr="006B2701" w14:paraId="604DCCF7" w14:textId="77777777" w:rsidTr="00E6574D">
        <w:trPr>
          <w:jc w:val="center"/>
        </w:trPr>
        <w:tc>
          <w:tcPr>
            <w:tcW w:w="1736" w:type="pct"/>
            <w:tcBorders>
              <w:top w:val="nil"/>
              <w:bottom w:val="nil"/>
            </w:tcBorders>
            <w:vAlign w:val="bottom"/>
          </w:tcPr>
          <w:p w14:paraId="60AB7537" w14:textId="77777777" w:rsidR="00123F4F" w:rsidRPr="006B2701" w:rsidRDefault="00123F4F" w:rsidP="00123F4F">
            <w:pPr>
              <w:keepNext/>
              <w:spacing w:before="60"/>
              <w:rPr>
                <w:rFonts w:ascii="Tahoma" w:hAnsi="Tahoma" w:cs="Tahoma"/>
                <w:lang w:val="ro-RO"/>
              </w:rPr>
            </w:pPr>
            <w:r w:rsidRPr="006B2701">
              <w:rPr>
                <w:rFonts w:ascii="Tahoma" w:hAnsi="Tahoma" w:cs="Tahoma"/>
                <w:lang w:val="ro-RO"/>
              </w:rPr>
              <w:t>- Agricultură, silvicultură, pescuit</w:t>
            </w:r>
          </w:p>
        </w:tc>
        <w:tc>
          <w:tcPr>
            <w:tcW w:w="1016" w:type="pct"/>
            <w:tcBorders>
              <w:top w:val="nil"/>
              <w:bottom w:val="nil"/>
            </w:tcBorders>
            <w:vAlign w:val="bottom"/>
          </w:tcPr>
          <w:p w14:paraId="2CBC9659" w14:textId="77777777" w:rsidR="00123F4F" w:rsidRPr="006B2701" w:rsidRDefault="00123F4F" w:rsidP="00123F4F">
            <w:pPr>
              <w:keepNext/>
              <w:spacing w:before="60"/>
              <w:jc w:val="center"/>
              <w:rPr>
                <w:rFonts w:ascii="Tahoma" w:hAnsi="Tahoma" w:cs="Tahoma"/>
                <w:bCs/>
                <w:lang w:val="ro-RO"/>
              </w:rPr>
            </w:pPr>
            <w:r w:rsidRPr="006B2701">
              <w:rPr>
                <w:rFonts w:ascii="Tahoma" w:hAnsi="Tahoma" w:cs="Tahoma"/>
                <w:bCs/>
                <w:lang w:val="ro-RO"/>
              </w:rPr>
              <w:t>0,8</w:t>
            </w:r>
          </w:p>
        </w:tc>
        <w:tc>
          <w:tcPr>
            <w:tcW w:w="614" w:type="pct"/>
            <w:tcBorders>
              <w:top w:val="nil"/>
              <w:bottom w:val="nil"/>
            </w:tcBorders>
            <w:vAlign w:val="bottom"/>
          </w:tcPr>
          <w:p w14:paraId="59E0A63A" w14:textId="77777777" w:rsidR="00123F4F" w:rsidRPr="006B2701" w:rsidRDefault="00123F4F" w:rsidP="00123F4F">
            <w:pPr>
              <w:keepNext/>
              <w:jc w:val="center"/>
              <w:rPr>
                <w:rFonts w:ascii="Tahoma" w:hAnsi="Tahoma" w:cs="Tahoma"/>
                <w:lang w:val="ro-RO"/>
              </w:rPr>
            </w:pPr>
            <w:r w:rsidRPr="006B2701">
              <w:rPr>
                <w:rFonts w:ascii="Tahoma" w:hAnsi="Tahoma" w:cs="Tahoma"/>
                <w:lang w:val="ro-RO"/>
              </w:rPr>
              <w:t>0,2</w:t>
            </w:r>
          </w:p>
        </w:tc>
        <w:tc>
          <w:tcPr>
            <w:tcW w:w="1016" w:type="pct"/>
            <w:tcBorders>
              <w:top w:val="nil"/>
              <w:bottom w:val="nil"/>
            </w:tcBorders>
            <w:vAlign w:val="bottom"/>
          </w:tcPr>
          <w:p w14:paraId="1A55ED5E" w14:textId="77777777" w:rsidR="00123F4F" w:rsidRPr="006B2701" w:rsidRDefault="00123F4F" w:rsidP="00123F4F">
            <w:pPr>
              <w:keepNext/>
              <w:spacing w:before="60"/>
              <w:jc w:val="center"/>
              <w:rPr>
                <w:rFonts w:ascii="Tahoma" w:hAnsi="Tahoma" w:cs="Tahoma"/>
                <w:bCs/>
                <w:lang w:val="ro-RO"/>
              </w:rPr>
            </w:pPr>
            <w:r w:rsidRPr="006B2701">
              <w:rPr>
                <w:rFonts w:ascii="Tahoma" w:hAnsi="Tahoma" w:cs="Tahoma"/>
                <w:bCs/>
                <w:lang w:val="ro-RO"/>
              </w:rPr>
              <w:t>0,1</w:t>
            </w:r>
          </w:p>
        </w:tc>
        <w:tc>
          <w:tcPr>
            <w:tcW w:w="619" w:type="pct"/>
            <w:tcBorders>
              <w:top w:val="nil"/>
              <w:bottom w:val="nil"/>
            </w:tcBorders>
            <w:vAlign w:val="bottom"/>
          </w:tcPr>
          <w:p w14:paraId="6D7FF102" w14:textId="77777777" w:rsidR="00123F4F" w:rsidRPr="006B2701" w:rsidRDefault="00123F4F" w:rsidP="00123F4F">
            <w:pPr>
              <w:keepNext/>
              <w:spacing w:before="60"/>
              <w:jc w:val="center"/>
              <w:rPr>
                <w:rFonts w:ascii="Tahoma" w:hAnsi="Tahoma" w:cs="Tahoma"/>
                <w:bCs/>
                <w:lang w:val="ro-RO"/>
              </w:rPr>
            </w:pPr>
            <w:r w:rsidRPr="006B2701">
              <w:rPr>
                <w:rFonts w:ascii="Tahoma" w:hAnsi="Tahoma" w:cs="Tahoma"/>
                <w:bCs/>
                <w:lang w:val="ro-RO"/>
              </w:rPr>
              <w:t>-0,5</w:t>
            </w:r>
          </w:p>
        </w:tc>
      </w:tr>
      <w:tr w:rsidR="00123F4F" w:rsidRPr="006B2701" w14:paraId="18EB5B95" w14:textId="77777777" w:rsidTr="00E6574D">
        <w:trPr>
          <w:jc w:val="center"/>
        </w:trPr>
        <w:tc>
          <w:tcPr>
            <w:tcW w:w="1736" w:type="pct"/>
            <w:tcBorders>
              <w:top w:val="nil"/>
              <w:bottom w:val="nil"/>
            </w:tcBorders>
            <w:vAlign w:val="bottom"/>
          </w:tcPr>
          <w:p w14:paraId="23BD07A8" w14:textId="77777777" w:rsidR="00123F4F" w:rsidRPr="006B2701" w:rsidRDefault="00123F4F" w:rsidP="00123F4F">
            <w:pPr>
              <w:keepNext/>
              <w:spacing w:before="60"/>
              <w:rPr>
                <w:rFonts w:ascii="Tahoma" w:hAnsi="Tahoma" w:cs="Tahoma"/>
                <w:lang w:val="ro-RO"/>
              </w:rPr>
            </w:pPr>
            <w:r w:rsidRPr="006B2701">
              <w:rPr>
                <w:rFonts w:ascii="Tahoma" w:hAnsi="Tahoma" w:cs="Tahoma"/>
                <w:lang w:val="ro-RO"/>
              </w:rPr>
              <w:t xml:space="preserve">- </w:t>
            </w:r>
            <w:proofErr w:type="spellStart"/>
            <w:r w:rsidRPr="006B2701">
              <w:rPr>
                <w:rFonts w:ascii="Tahoma" w:hAnsi="Tahoma" w:cs="Tahoma"/>
                <w:lang w:val="ro-RO"/>
              </w:rPr>
              <w:t>Construcţii</w:t>
            </w:r>
            <w:proofErr w:type="spellEnd"/>
          </w:p>
        </w:tc>
        <w:tc>
          <w:tcPr>
            <w:tcW w:w="1016" w:type="pct"/>
            <w:tcBorders>
              <w:top w:val="nil"/>
              <w:bottom w:val="nil"/>
            </w:tcBorders>
            <w:vAlign w:val="bottom"/>
          </w:tcPr>
          <w:p w14:paraId="25DB8F66" w14:textId="77777777" w:rsidR="00123F4F" w:rsidRPr="006B2701" w:rsidRDefault="00123F4F" w:rsidP="00123F4F">
            <w:pPr>
              <w:keepNext/>
              <w:spacing w:before="60"/>
              <w:jc w:val="center"/>
              <w:rPr>
                <w:rFonts w:ascii="Tahoma" w:hAnsi="Tahoma" w:cs="Tahoma"/>
                <w:bCs/>
                <w:lang w:val="ro-RO"/>
              </w:rPr>
            </w:pPr>
            <w:r w:rsidRPr="006B2701">
              <w:rPr>
                <w:rFonts w:ascii="Tahoma" w:hAnsi="Tahoma" w:cs="Tahoma"/>
                <w:bCs/>
                <w:lang w:val="ro-RO"/>
              </w:rPr>
              <w:t>0,0</w:t>
            </w:r>
          </w:p>
        </w:tc>
        <w:tc>
          <w:tcPr>
            <w:tcW w:w="614" w:type="pct"/>
            <w:tcBorders>
              <w:top w:val="nil"/>
              <w:bottom w:val="nil"/>
            </w:tcBorders>
            <w:vAlign w:val="bottom"/>
          </w:tcPr>
          <w:p w14:paraId="73190DF3" w14:textId="77777777" w:rsidR="00123F4F" w:rsidRPr="006B2701" w:rsidRDefault="00123F4F" w:rsidP="00123F4F">
            <w:pPr>
              <w:keepNext/>
              <w:jc w:val="center"/>
              <w:rPr>
                <w:rFonts w:ascii="Tahoma" w:hAnsi="Tahoma" w:cs="Tahoma"/>
                <w:lang w:val="ro-RO"/>
              </w:rPr>
            </w:pPr>
            <w:r w:rsidRPr="006B2701">
              <w:rPr>
                <w:rFonts w:ascii="Tahoma" w:hAnsi="Tahoma" w:cs="Tahoma"/>
                <w:lang w:val="ro-RO"/>
              </w:rPr>
              <w:t>-0,5</w:t>
            </w:r>
          </w:p>
        </w:tc>
        <w:tc>
          <w:tcPr>
            <w:tcW w:w="1016" w:type="pct"/>
            <w:tcBorders>
              <w:top w:val="nil"/>
              <w:bottom w:val="nil"/>
            </w:tcBorders>
            <w:vAlign w:val="bottom"/>
          </w:tcPr>
          <w:p w14:paraId="23391193" w14:textId="77777777" w:rsidR="00123F4F" w:rsidRPr="006B2701" w:rsidRDefault="00123F4F" w:rsidP="00123F4F">
            <w:pPr>
              <w:keepNext/>
              <w:spacing w:before="60"/>
              <w:jc w:val="center"/>
              <w:rPr>
                <w:rFonts w:ascii="Tahoma" w:hAnsi="Tahoma" w:cs="Tahoma"/>
                <w:bCs/>
                <w:lang w:val="ro-RO"/>
              </w:rPr>
            </w:pPr>
            <w:r w:rsidRPr="006B2701">
              <w:rPr>
                <w:rFonts w:ascii="Tahoma" w:hAnsi="Tahoma" w:cs="Tahoma"/>
                <w:bCs/>
                <w:lang w:val="ro-RO"/>
              </w:rPr>
              <w:t>0,6</w:t>
            </w:r>
          </w:p>
        </w:tc>
        <w:tc>
          <w:tcPr>
            <w:tcW w:w="619" w:type="pct"/>
            <w:tcBorders>
              <w:top w:val="nil"/>
              <w:bottom w:val="nil"/>
            </w:tcBorders>
            <w:vAlign w:val="bottom"/>
          </w:tcPr>
          <w:p w14:paraId="5F63F643" w14:textId="77777777" w:rsidR="00123F4F" w:rsidRPr="006B2701" w:rsidRDefault="00123F4F" w:rsidP="00123F4F">
            <w:pPr>
              <w:keepNext/>
              <w:spacing w:before="60"/>
              <w:jc w:val="center"/>
              <w:rPr>
                <w:rFonts w:ascii="Tahoma" w:hAnsi="Tahoma" w:cs="Tahoma"/>
                <w:bCs/>
                <w:lang w:val="ro-RO"/>
              </w:rPr>
            </w:pPr>
            <w:r w:rsidRPr="006B2701">
              <w:rPr>
                <w:rFonts w:ascii="Tahoma" w:hAnsi="Tahoma" w:cs="Tahoma"/>
                <w:bCs/>
                <w:lang w:val="ro-RO"/>
              </w:rPr>
              <w:t>0,7</w:t>
            </w:r>
          </w:p>
        </w:tc>
      </w:tr>
      <w:tr w:rsidR="00123F4F" w:rsidRPr="006B2701" w14:paraId="46F25319" w14:textId="77777777" w:rsidTr="00E6574D">
        <w:trPr>
          <w:jc w:val="center"/>
        </w:trPr>
        <w:tc>
          <w:tcPr>
            <w:tcW w:w="1736" w:type="pct"/>
            <w:tcBorders>
              <w:top w:val="nil"/>
              <w:bottom w:val="nil"/>
            </w:tcBorders>
            <w:vAlign w:val="bottom"/>
          </w:tcPr>
          <w:p w14:paraId="1825248B" w14:textId="77777777" w:rsidR="00123F4F" w:rsidRPr="006B2701" w:rsidRDefault="00123F4F" w:rsidP="00123F4F">
            <w:pPr>
              <w:keepNext/>
              <w:spacing w:before="60"/>
              <w:rPr>
                <w:rFonts w:ascii="Tahoma" w:hAnsi="Tahoma" w:cs="Tahoma"/>
                <w:lang w:val="ro-RO"/>
              </w:rPr>
            </w:pPr>
            <w:r w:rsidRPr="006B2701">
              <w:rPr>
                <w:rFonts w:ascii="Tahoma" w:hAnsi="Tahoma" w:cs="Tahoma"/>
                <w:lang w:val="ro-RO"/>
              </w:rPr>
              <w:t>- Total servicii</w:t>
            </w:r>
          </w:p>
        </w:tc>
        <w:tc>
          <w:tcPr>
            <w:tcW w:w="1016" w:type="pct"/>
            <w:tcBorders>
              <w:top w:val="nil"/>
              <w:bottom w:val="nil"/>
            </w:tcBorders>
            <w:vAlign w:val="bottom"/>
          </w:tcPr>
          <w:p w14:paraId="63F7B1ED" w14:textId="77777777" w:rsidR="00123F4F" w:rsidRPr="006B2701" w:rsidRDefault="00123F4F" w:rsidP="00123F4F">
            <w:pPr>
              <w:keepNext/>
              <w:spacing w:before="60"/>
              <w:jc w:val="center"/>
              <w:rPr>
                <w:rFonts w:ascii="Tahoma" w:hAnsi="Tahoma" w:cs="Tahoma"/>
                <w:bCs/>
                <w:lang w:val="ro-RO"/>
              </w:rPr>
            </w:pPr>
            <w:r w:rsidRPr="006B2701">
              <w:rPr>
                <w:rFonts w:ascii="Tahoma" w:hAnsi="Tahoma" w:cs="Tahoma"/>
                <w:bCs/>
                <w:lang w:val="ro-RO"/>
              </w:rPr>
              <w:t>4,1</w:t>
            </w:r>
          </w:p>
        </w:tc>
        <w:tc>
          <w:tcPr>
            <w:tcW w:w="614" w:type="pct"/>
            <w:tcBorders>
              <w:top w:val="nil"/>
              <w:bottom w:val="nil"/>
            </w:tcBorders>
            <w:vAlign w:val="bottom"/>
          </w:tcPr>
          <w:p w14:paraId="3071AB3D" w14:textId="77777777" w:rsidR="00123F4F" w:rsidRPr="006B2701" w:rsidRDefault="00123F4F" w:rsidP="00123F4F">
            <w:pPr>
              <w:keepNext/>
              <w:jc w:val="center"/>
              <w:rPr>
                <w:rFonts w:ascii="Tahoma" w:hAnsi="Tahoma" w:cs="Tahoma"/>
                <w:lang w:val="ro-RO"/>
              </w:rPr>
            </w:pPr>
            <w:r w:rsidRPr="006B2701">
              <w:rPr>
                <w:rFonts w:ascii="Tahoma" w:hAnsi="Tahoma" w:cs="Tahoma"/>
                <w:lang w:val="ro-RO"/>
              </w:rPr>
              <w:t>3,9</w:t>
            </w:r>
          </w:p>
        </w:tc>
        <w:tc>
          <w:tcPr>
            <w:tcW w:w="1016" w:type="pct"/>
            <w:tcBorders>
              <w:top w:val="nil"/>
              <w:bottom w:val="nil"/>
            </w:tcBorders>
            <w:vAlign w:val="bottom"/>
          </w:tcPr>
          <w:p w14:paraId="13C30A58" w14:textId="77777777" w:rsidR="00123F4F" w:rsidRPr="006B2701" w:rsidRDefault="00123F4F" w:rsidP="00123F4F">
            <w:pPr>
              <w:keepNext/>
              <w:spacing w:before="60"/>
              <w:jc w:val="center"/>
              <w:rPr>
                <w:rFonts w:ascii="Tahoma" w:hAnsi="Tahoma" w:cs="Tahoma"/>
                <w:bCs/>
                <w:lang w:val="ro-RO"/>
              </w:rPr>
            </w:pPr>
            <w:r w:rsidRPr="006B2701">
              <w:rPr>
                <w:rFonts w:ascii="Tahoma" w:hAnsi="Tahoma" w:cs="Tahoma"/>
                <w:bCs/>
                <w:lang w:val="ro-RO"/>
              </w:rPr>
              <w:t>2,5</w:t>
            </w:r>
          </w:p>
        </w:tc>
        <w:tc>
          <w:tcPr>
            <w:tcW w:w="619" w:type="pct"/>
            <w:tcBorders>
              <w:top w:val="nil"/>
              <w:bottom w:val="nil"/>
            </w:tcBorders>
            <w:vAlign w:val="bottom"/>
          </w:tcPr>
          <w:p w14:paraId="3C709AE0" w14:textId="77777777" w:rsidR="00123F4F" w:rsidRPr="006B2701" w:rsidRDefault="00123F4F" w:rsidP="00123F4F">
            <w:pPr>
              <w:keepNext/>
              <w:spacing w:before="60"/>
              <w:jc w:val="center"/>
              <w:rPr>
                <w:rFonts w:ascii="Tahoma" w:hAnsi="Tahoma" w:cs="Tahoma"/>
                <w:bCs/>
                <w:lang w:val="ro-RO"/>
              </w:rPr>
            </w:pPr>
            <w:r w:rsidRPr="006B2701">
              <w:rPr>
                <w:rFonts w:ascii="Tahoma" w:hAnsi="Tahoma" w:cs="Tahoma"/>
                <w:bCs/>
                <w:lang w:val="ro-RO"/>
              </w:rPr>
              <w:t>4,5</w:t>
            </w:r>
          </w:p>
        </w:tc>
      </w:tr>
      <w:tr w:rsidR="00123F4F" w:rsidRPr="006B2701" w14:paraId="4D22E7A8" w14:textId="77777777" w:rsidTr="00E6574D">
        <w:trPr>
          <w:jc w:val="center"/>
        </w:trPr>
        <w:tc>
          <w:tcPr>
            <w:tcW w:w="1736" w:type="pct"/>
            <w:tcBorders>
              <w:top w:val="nil"/>
            </w:tcBorders>
            <w:vAlign w:val="bottom"/>
          </w:tcPr>
          <w:p w14:paraId="596ACA1C" w14:textId="77777777" w:rsidR="00123F4F" w:rsidRPr="006B2701" w:rsidRDefault="00123F4F" w:rsidP="00123F4F">
            <w:pPr>
              <w:keepNext/>
              <w:spacing w:before="60"/>
              <w:rPr>
                <w:rFonts w:ascii="Tahoma" w:hAnsi="Tahoma" w:cs="Tahoma"/>
                <w:lang w:val="ro-RO"/>
              </w:rPr>
            </w:pPr>
            <w:r w:rsidRPr="006B2701">
              <w:rPr>
                <w:rFonts w:ascii="Tahoma" w:hAnsi="Tahoma" w:cs="Tahoma"/>
                <w:lang w:val="ro-RO"/>
              </w:rPr>
              <w:t>- Impozite nete pe produs</w:t>
            </w:r>
          </w:p>
        </w:tc>
        <w:tc>
          <w:tcPr>
            <w:tcW w:w="1016" w:type="pct"/>
            <w:tcBorders>
              <w:top w:val="nil"/>
            </w:tcBorders>
            <w:vAlign w:val="bottom"/>
          </w:tcPr>
          <w:p w14:paraId="70D880D1" w14:textId="77777777" w:rsidR="00123F4F" w:rsidRPr="006B2701" w:rsidRDefault="00123F4F" w:rsidP="00123F4F">
            <w:pPr>
              <w:keepNext/>
              <w:spacing w:before="60"/>
              <w:jc w:val="center"/>
              <w:rPr>
                <w:rFonts w:ascii="Tahoma" w:hAnsi="Tahoma" w:cs="Tahoma"/>
                <w:bCs/>
                <w:lang w:val="ro-RO"/>
              </w:rPr>
            </w:pPr>
            <w:r w:rsidRPr="006B2701">
              <w:rPr>
                <w:rFonts w:ascii="Tahoma" w:hAnsi="Tahoma" w:cs="Tahoma"/>
                <w:bCs/>
                <w:lang w:val="ro-RO"/>
              </w:rPr>
              <w:t>0,9</w:t>
            </w:r>
          </w:p>
        </w:tc>
        <w:tc>
          <w:tcPr>
            <w:tcW w:w="614" w:type="pct"/>
            <w:tcBorders>
              <w:top w:val="nil"/>
            </w:tcBorders>
            <w:vAlign w:val="center"/>
          </w:tcPr>
          <w:p w14:paraId="3CD2BA4D" w14:textId="77777777" w:rsidR="00123F4F" w:rsidRPr="006B2701" w:rsidRDefault="00123F4F" w:rsidP="00123F4F">
            <w:pPr>
              <w:keepNext/>
              <w:spacing w:before="60"/>
              <w:jc w:val="center"/>
              <w:rPr>
                <w:rFonts w:ascii="Tahoma" w:hAnsi="Tahoma" w:cs="Tahoma"/>
                <w:lang w:val="ro-RO"/>
              </w:rPr>
            </w:pPr>
            <w:r w:rsidRPr="006B2701">
              <w:rPr>
                <w:rFonts w:ascii="Tahoma" w:hAnsi="Tahoma" w:cs="Tahoma"/>
                <w:lang w:val="ro-RO"/>
              </w:rPr>
              <w:t>0,9</w:t>
            </w:r>
          </w:p>
        </w:tc>
        <w:tc>
          <w:tcPr>
            <w:tcW w:w="1016" w:type="pct"/>
            <w:tcBorders>
              <w:top w:val="nil"/>
            </w:tcBorders>
            <w:vAlign w:val="bottom"/>
          </w:tcPr>
          <w:p w14:paraId="7B41F6DB" w14:textId="77777777" w:rsidR="00123F4F" w:rsidRPr="006B2701" w:rsidRDefault="00123F4F" w:rsidP="00123F4F">
            <w:pPr>
              <w:keepNext/>
              <w:spacing w:before="60"/>
              <w:jc w:val="center"/>
              <w:rPr>
                <w:rFonts w:ascii="Tahoma" w:hAnsi="Tahoma" w:cs="Tahoma"/>
                <w:bCs/>
                <w:lang w:val="ro-RO"/>
              </w:rPr>
            </w:pPr>
            <w:r w:rsidRPr="006B2701">
              <w:rPr>
                <w:rFonts w:ascii="Tahoma" w:hAnsi="Tahoma" w:cs="Tahoma"/>
                <w:bCs/>
                <w:lang w:val="ro-RO"/>
              </w:rPr>
              <w:t>0,4</w:t>
            </w:r>
          </w:p>
        </w:tc>
        <w:tc>
          <w:tcPr>
            <w:tcW w:w="619" w:type="pct"/>
            <w:tcBorders>
              <w:top w:val="nil"/>
            </w:tcBorders>
            <w:vAlign w:val="center"/>
          </w:tcPr>
          <w:p w14:paraId="2CA83C6D" w14:textId="77777777" w:rsidR="00123F4F" w:rsidRPr="006B2701" w:rsidRDefault="00123F4F" w:rsidP="00123F4F">
            <w:pPr>
              <w:keepNext/>
              <w:spacing w:before="60"/>
              <w:jc w:val="center"/>
              <w:rPr>
                <w:rFonts w:ascii="Tahoma" w:hAnsi="Tahoma" w:cs="Tahoma"/>
                <w:bCs/>
                <w:lang w:val="ro-RO"/>
              </w:rPr>
            </w:pPr>
            <w:r w:rsidRPr="006B2701">
              <w:rPr>
                <w:rFonts w:ascii="Tahoma" w:hAnsi="Tahoma" w:cs="Tahoma"/>
                <w:bCs/>
                <w:lang w:val="ro-RO"/>
              </w:rPr>
              <w:t>0,5</w:t>
            </w:r>
          </w:p>
        </w:tc>
      </w:tr>
    </w:tbl>
    <w:p w14:paraId="4F1DEB80" w14:textId="77777777" w:rsidR="00123F4F" w:rsidRPr="006B2701" w:rsidRDefault="00123F4F" w:rsidP="00123F4F">
      <w:pPr>
        <w:keepNext/>
        <w:spacing w:before="120" w:after="120"/>
        <w:jc w:val="both"/>
        <w:rPr>
          <w:rFonts w:ascii="Tahoma" w:hAnsi="Tahoma" w:cs="Tahoma"/>
          <w:i/>
          <w:iCs/>
          <w:lang w:val="ro-RO"/>
        </w:rPr>
      </w:pPr>
      <w:r w:rsidRPr="006B2701">
        <w:rPr>
          <w:rFonts w:ascii="Tahoma" w:hAnsi="Tahoma" w:cs="Tahoma"/>
          <w:i/>
          <w:iCs/>
          <w:sz w:val="20"/>
          <w:szCs w:val="20"/>
          <w:lang w:val="ro-RO"/>
        </w:rPr>
        <w:t xml:space="preserve">Notă: Datele pentru 2021 sunt </w:t>
      </w:r>
      <w:proofErr w:type="spellStart"/>
      <w:r w:rsidRPr="006B2701">
        <w:rPr>
          <w:rFonts w:ascii="Tahoma" w:hAnsi="Tahoma" w:cs="Tahoma"/>
          <w:i/>
          <w:iCs/>
          <w:sz w:val="20"/>
          <w:szCs w:val="20"/>
          <w:lang w:val="ro-RO"/>
        </w:rPr>
        <w:t>semidefinitive</w:t>
      </w:r>
      <w:proofErr w:type="spellEnd"/>
      <w:r w:rsidRPr="006B2701">
        <w:rPr>
          <w:rFonts w:ascii="Tahoma" w:hAnsi="Tahoma" w:cs="Tahoma"/>
          <w:i/>
          <w:iCs/>
          <w:sz w:val="20"/>
          <w:szCs w:val="20"/>
          <w:lang w:val="ro-RO"/>
        </w:rPr>
        <w:t>, iar cele din 2022 sunt provizorii.</w:t>
      </w:r>
    </w:p>
    <w:p w14:paraId="49E074AD" w14:textId="381FCDFD" w:rsidR="00123F4F" w:rsidRPr="006B2701" w:rsidRDefault="00123F4F" w:rsidP="00A3236A">
      <w:pPr>
        <w:keepNext/>
        <w:spacing w:before="240" w:line="276" w:lineRule="auto"/>
        <w:jc w:val="both"/>
        <w:rPr>
          <w:rFonts w:ascii="Tahoma" w:hAnsi="Tahoma" w:cs="Tahoma"/>
          <w:sz w:val="24"/>
          <w:szCs w:val="24"/>
          <w:lang w:val="ro-RO"/>
        </w:rPr>
      </w:pPr>
      <w:bookmarkStart w:id="5" w:name="_Toc451248500"/>
      <w:r w:rsidRPr="006B2701">
        <w:rPr>
          <w:rFonts w:ascii="Tahoma" w:hAnsi="Tahoma" w:cs="Tahoma"/>
          <w:sz w:val="24"/>
          <w:szCs w:val="24"/>
          <w:lang w:val="ro-RO"/>
        </w:rPr>
        <w:t xml:space="preserve">Pe </w:t>
      </w:r>
      <w:r w:rsidRPr="006B2701">
        <w:rPr>
          <w:rFonts w:ascii="Tahoma" w:hAnsi="Tahoma" w:cs="Tahoma"/>
          <w:b/>
          <w:sz w:val="24"/>
          <w:szCs w:val="24"/>
          <w:lang w:val="ro-RO"/>
        </w:rPr>
        <w:t>partea ofertei</w:t>
      </w:r>
      <w:r w:rsidRPr="006B2701">
        <w:rPr>
          <w:rFonts w:ascii="Tahoma" w:hAnsi="Tahoma" w:cs="Tahoma"/>
          <w:sz w:val="24"/>
          <w:szCs w:val="24"/>
          <w:lang w:val="ro-RO"/>
        </w:rPr>
        <w:t xml:space="preserve">, se remarcă </w:t>
      </w:r>
      <w:r w:rsidR="00D30141" w:rsidRPr="006B2701">
        <w:rPr>
          <w:rFonts w:ascii="Tahoma" w:hAnsi="Tahoma" w:cs="Tahoma"/>
          <w:sz w:val="24"/>
          <w:szCs w:val="24"/>
          <w:lang w:val="ro-RO"/>
        </w:rPr>
        <w:t>evoluția</w:t>
      </w:r>
      <w:r w:rsidRPr="006B2701">
        <w:rPr>
          <w:rFonts w:ascii="Tahoma" w:hAnsi="Tahoma" w:cs="Tahoma"/>
          <w:sz w:val="24"/>
          <w:szCs w:val="24"/>
          <w:lang w:val="ro-RO"/>
        </w:rPr>
        <w:t xml:space="preserve"> </w:t>
      </w:r>
      <w:r w:rsidR="00D30141" w:rsidRPr="006B2701">
        <w:rPr>
          <w:rFonts w:ascii="Tahoma" w:hAnsi="Tahoma" w:cs="Tahoma"/>
          <w:sz w:val="24"/>
          <w:szCs w:val="24"/>
          <w:lang w:val="ro-RO"/>
        </w:rPr>
        <w:t>construcțiilor</w:t>
      </w:r>
      <w:r w:rsidRPr="006B2701">
        <w:rPr>
          <w:rFonts w:ascii="Tahoma" w:hAnsi="Tahoma" w:cs="Tahoma"/>
          <w:sz w:val="24"/>
          <w:szCs w:val="24"/>
          <w:lang w:val="ro-RO"/>
        </w:rPr>
        <w:t xml:space="preserve"> care, pe fondul accelerării din trimestrul III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IV ca urmare a dezvoltării lucrărilor de infrastructură, au înregistrat o majorare a valorii adăugate brute cu 11,2% </w:t>
      </w:r>
      <w:r w:rsidR="00D30141" w:rsidRPr="006B2701">
        <w:rPr>
          <w:rFonts w:ascii="Tahoma" w:hAnsi="Tahoma" w:cs="Tahoma"/>
          <w:sz w:val="24"/>
          <w:szCs w:val="24"/>
          <w:lang w:val="ro-RO"/>
        </w:rPr>
        <w:t>susținând</w:t>
      </w:r>
      <w:r w:rsidRPr="006B2701">
        <w:rPr>
          <w:rFonts w:ascii="Tahoma" w:hAnsi="Tahoma" w:cs="Tahoma"/>
          <w:sz w:val="24"/>
          <w:szCs w:val="24"/>
          <w:lang w:val="ro-RO"/>
        </w:rPr>
        <w:t xml:space="preserve"> avansul economic cu 0,7 puncte procentuale.  Un rol </w:t>
      </w:r>
      <w:r w:rsidR="00D30141" w:rsidRPr="006B2701">
        <w:rPr>
          <w:rFonts w:ascii="Tahoma" w:hAnsi="Tahoma" w:cs="Tahoma"/>
          <w:sz w:val="24"/>
          <w:szCs w:val="24"/>
          <w:lang w:val="ro-RO"/>
        </w:rPr>
        <w:t>esențial</w:t>
      </w:r>
      <w:r w:rsidRPr="006B2701">
        <w:rPr>
          <w:rFonts w:ascii="Tahoma" w:hAnsi="Tahoma" w:cs="Tahoma"/>
          <w:sz w:val="24"/>
          <w:szCs w:val="24"/>
          <w:lang w:val="ro-RO"/>
        </w:rPr>
        <w:t xml:space="preserve"> în extinderea </w:t>
      </w:r>
      <w:r w:rsidR="00D30141" w:rsidRPr="006B2701">
        <w:rPr>
          <w:rFonts w:ascii="Tahoma" w:hAnsi="Tahoma" w:cs="Tahoma"/>
          <w:sz w:val="24"/>
          <w:szCs w:val="24"/>
          <w:lang w:val="ro-RO"/>
        </w:rPr>
        <w:t>activității</w:t>
      </w:r>
      <w:r w:rsidRPr="006B2701">
        <w:rPr>
          <w:rFonts w:ascii="Tahoma" w:hAnsi="Tahoma" w:cs="Tahoma"/>
          <w:sz w:val="24"/>
          <w:szCs w:val="24"/>
          <w:lang w:val="ro-RO"/>
        </w:rPr>
        <w:t xml:space="preserve"> în </w:t>
      </w:r>
      <w:r w:rsidR="00D30141" w:rsidRPr="006B2701">
        <w:rPr>
          <w:rFonts w:ascii="Tahoma" w:hAnsi="Tahoma" w:cs="Tahoma"/>
          <w:sz w:val="24"/>
          <w:szCs w:val="24"/>
          <w:lang w:val="ro-RO"/>
        </w:rPr>
        <w:t>construcții</w:t>
      </w:r>
      <w:r w:rsidRPr="006B2701">
        <w:rPr>
          <w:rFonts w:ascii="Tahoma" w:hAnsi="Tahoma" w:cs="Tahoma"/>
          <w:sz w:val="24"/>
          <w:szCs w:val="24"/>
          <w:lang w:val="ro-RO"/>
        </w:rPr>
        <w:t xml:space="preserve"> l-a avut utilizarea fondurilor europene în </w:t>
      </w:r>
      <w:r w:rsidR="00D30141" w:rsidRPr="006B2701">
        <w:rPr>
          <w:rFonts w:ascii="Tahoma" w:hAnsi="Tahoma" w:cs="Tahoma"/>
          <w:sz w:val="24"/>
          <w:szCs w:val="24"/>
          <w:lang w:val="ro-RO"/>
        </w:rPr>
        <w:t>finanțarea</w:t>
      </w:r>
      <w:r w:rsidRPr="006B2701">
        <w:rPr>
          <w:rFonts w:ascii="Tahoma" w:hAnsi="Tahoma" w:cs="Tahoma"/>
          <w:sz w:val="24"/>
          <w:szCs w:val="24"/>
          <w:lang w:val="ro-RO"/>
        </w:rPr>
        <w:t xml:space="preserve"> proiectelor de </w:t>
      </w:r>
      <w:r w:rsidR="00D30141" w:rsidRPr="006B2701">
        <w:rPr>
          <w:rFonts w:ascii="Tahoma" w:hAnsi="Tahoma" w:cs="Tahoma"/>
          <w:sz w:val="24"/>
          <w:szCs w:val="24"/>
          <w:lang w:val="ro-RO"/>
        </w:rPr>
        <w:t>investiții</w:t>
      </w:r>
      <w:r w:rsidRPr="006B2701">
        <w:rPr>
          <w:rFonts w:ascii="Tahoma" w:hAnsi="Tahoma" w:cs="Tahoma"/>
          <w:sz w:val="24"/>
          <w:szCs w:val="24"/>
          <w:lang w:val="ro-RO"/>
        </w:rPr>
        <w:t>.</w:t>
      </w:r>
    </w:p>
    <w:p w14:paraId="42E8EF42" w14:textId="76B7CAFC" w:rsidR="00123F4F" w:rsidRPr="006B2701" w:rsidRDefault="00123F4F" w:rsidP="00123F4F">
      <w:pPr>
        <w:keepNext/>
        <w:spacing w:before="120" w:line="276" w:lineRule="auto"/>
        <w:jc w:val="both"/>
        <w:rPr>
          <w:rFonts w:ascii="Tahoma" w:hAnsi="Tahoma" w:cs="Tahoma"/>
          <w:sz w:val="24"/>
          <w:szCs w:val="24"/>
          <w:lang w:val="ro-RO"/>
        </w:rPr>
      </w:pPr>
      <w:r w:rsidRPr="006B2701">
        <w:rPr>
          <w:rFonts w:ascii="Tahoma" w:hAnsi="Tahoma" w:cs="Tahoma"/>
          <w:sz w:val="24"/>
          <w:szCs w:val="24"/>
          <w:lang w:val="ro-RO"/>
        </w:rPr>
        <w:t xml:space="preserve">Sectorul serviciilor a reprezentat în anul 2022 principalul generator al </w:t>
      </w:r>
      <w:r w:rsidR="00D30141" w:rsidRPr="006B2701">
        <w:rPr>
          <w:rFonts w:ascii="Tahoma" w:hAnsi="Tahoma" w:cs="Tahoma"/>
          <w:sz w:val="24"/>
          <w:szCs w:val="24"/>
          <w:lang w:val="ro-RO"/>
        </w:rPr>
        <w:t>creșterii</w:t>
      </w:r>
      <w:r w:rsidRPr="006B2701">
        <w:rPr>
          <w:rFonts w:ascii="Tahoma" w:hAnsi="Tahoma" w:cs="Tahoma"/>
          <w:sz w:val="24"/>
          <w:szCs w:val="24"/>
          <w:lang w:val="ro-RO"/>
        </w:rPr>
        <w:t xml:space="preserve"> produsului intern brut cu o </w:t>
      </w:r>
      <w:r w:rsidR="00D30141" w:rsidRPr="006B2701">
        <w:rPr>
          <w:rFonts w:ascii="Tahoma" w:hAnsi="Tahoma" w:cs="Tahoma"/>
          <w:sz w:val="24"/>
          <w:szCs w:val="24"/>
          <w:lang w:val="ro-RO"/>
        </w:rPr>
        <w:t>contribuție</w:t>
      </w:r>
      <w:r w:rsidRPr="006B2701">
        <w:rPr>
          <w:rFonts w:ascii="Tahoma" w:hAnsi="Tahoma" w:cs="Tahoma"/>
          <w:sz w:val="24"/>
          <w:szCs w:val="24"/>
          <w:lang w:val="ro-RO"/>
        </w:rPr>
        <w:t xml:space="preserve"> de 4,5 puncte procentuale. În dinamică, sectorul </w:t>
      </w:r>
      <w:proofErr w:type="spellStart"/>
      <w:r w:rsidRPr="006B2701">
        <w:rPr>
          <w:rFonts w:ascii="Tahoma" w:hAnsi="Tahoma" w:cs="Tahoma"/>
          <w:sz w:val="24"/>
          <w:szCs w:val="24"/>
          <w:lang w:val="ro-RO"/>
        </w:rPr>
        <w:t>terţiar</w:t>
      </w:r>
      <w:proofErr w:type="spellEnd"/>
      <w:r w:rsidRPr="006B2701">
        <w:rPr>
          <w:rFonts w:ascii="Tahoma" w:hAnsi="Tahoma" w:cs="Tahoma"/>
          <w:sz w:val="24"/>
          <w:szCs w:val="24"/>
          <w:lang w:val="ro-RO"/>
        </w:rPr>
        <w:t xml:space="preserve"> s-a majorat cu 7,7%, atât ca urmare a </w:t>
      </w:r>
      <w:r w:rsidR="00D30141" w:rsidRPr="006B2701">
        <w:rPr>
          <w:rFonts w:ascii="Tahoma" w:hAnsi="Tahoma" w:cs="Tahoma"/>
          <w:sz w:val="24"/>
          <w:szCs w:val="24"/>
          <w:lang w:val="ro-RO"/>
        </w:rPr>
        <w:t>performanțelor</w:t>
      </w:r>
      <w:r w:rsidRPr="006B2701">
        <w:rPr>
          <w:rFonts w:ascii="Tahoma" w:hAnsi="Tahoma" w:cs="Tahoma"/>
          <w:sz w:val="24"/>
          <w:szCs w:val="24"/>
          <w:lang w:val="ro-RO"/>
        </w:rPr>
        <w:t xml:space="preserve"> înregistrate de serviciile moderne, dar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a </w:t>
      </w:r>
      <w:r w:rsidR="00D30141" w:rsidRPr="006B2701">
        <w:rPr>
          <w:rFonts w:ascii="Tahoma" w:hAnsi="Tahoma" w:cs="Tahoma"/>
          <w:sz w:val="24"/>
          <w:szCs w:val="24"/>
          <w:lang w:val="ro-RO"/>
        </w:rPr>
        <w:t>evoluțiilor</w:t>
      </w:r>
      <w:r w:rsidRPr="006B2701">
        <w:rPr>
          <w:rFonts w:ascii="Tahoma" w:hAnsi="Tahoma" w:cs="Tahoma"/>
          <w:sz w:val="24"/>
          <w:szCs w:val="24"/>
          <w:lang w:val="ro-RO"/>
        </w:rPr>
        <w:t xml:space="preserve"> însemnate a </w:t>
      </w:r>
      <w:r w:rsidR="00D30141" w:rsidRPr="006B2701">
        <w:rPr>
          <w:rFonts w:ascii="Tahoma" w:hAnsi="Tahoma" w:cs="Tahoma"/>
          <w:sz w:val="24"/>
          <w:szCs w:val="24"/>
          <w:lang w:val="ro-RO"/>
        </w:rPr>
        <w:t>activităților</w:t>
      </w:r>
      <w:r w:rsidRPr="006B2701">
        <w:rPr>
          <w:rFonts w:ascii="Tahoma" w:hAnsi="Tahoma" w:cs="Tahoma"/>
          <w:sz w:val="24"/>
          <w:szCs w:val="24"/>
          <w:lang w:val="ro-RO"/>
        </w:rPr>
        <w:t xml:space="preserve"> din </w:t>
      </w:r>
      <w:r w:rsidR="00D30141" w:rsidRPr="006B2701">
        <w:rPr>
          <w:rFonts w:ascii="Tahoma" w:hAnsi="Tahoma" w:cs="Tahoma"/>
          <w:sz w:val="24"/>
          <w:szCs w:val="24"/>
          <w:lang w:val="ro-RO"/>
        </w:rPr>
        <w:t>comerț</w:t>
      </w:r>
      <w:r w:rsidRPr="006B2701">
        <w:rPr>
          <w:rFonts w:ascii="Tahoma" w:hAnsi="Tahoma" w:cs="Tahoma"/>
          <w:sz w:val="24"/>
          <w:szCs w:val="24"/>
          <w:lang w:val="ro-RO"/>
        </w:rPr>
        <w:t xml:space="preserve">, HORECA, culturale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recreative. </w:t>
      </w:r>
    </w:p>
    <w:p w14:paraId="7D2F8BB8" w14:textId="43392BDE" w:rsidR="00123F4F" w:rsidRPr="006B2701" w:rsidRDefault="00123F4F" w:rsidP="00123F4F">
      <w:pPr>
        <w:keepNext/>
        <w:spacing w:before="120" w:line="276" w:lineRule="auto"/>
        <w:jc w:val="both"/>
        <w:rPr>
          <w:rFonts w:ascii="Tahoma" w:hAnsi="Tahoma" w:cs="Tahoma"/>
          <w:sz w:val="24"/>
          <w:szCs w:val="24"/>
          <w:lang w:val="ro-RO"/>
        </w:rPr>
      </w:pPr>
      <w:r w:rsidRPr="006B2701">
        <w:rPr>
          <w:rFonts w:ascii="Tahoma" w:hAnsi="Tahoma" w:cs="Tahoma"/>
          <w:sz w:val="24"/>
          <w:szCs w:val="24"/>
          <w:lang w:val="ro-RO"/>
        </w:rPr>
        <w:t xml:space="preserve">În cadrul serviciilor, se </w:t>
      </w:r>
      <w:r w:rsidR="00D30141" w:rsidRPr="006B2701">
        <w:rPr>
          <w:rFonts w:ascii="Tahoma" w:hAnsi="Tahoma" w:cs="Tahoma"/>
          <w:sz w:val="24"/>
          <w:szCs w:val="24"/>
          <w:lang w:val="ro-RO"/>
        </w:rPr>
        <w:t>evidențiază</w:t>
      </w:r>
      <w:r w:rsidRPr="006B2701">
        <w:rPr>
          <w:rFonts w:ascii="Tahoma" w:hAnsi="Tahoma" w:cs="Tahoma"/>
          <w:sz w:val="24"/>
          <w:szCs w:val="24"/>
          <w:lang w:val="ro-RO"/>
        </w:rPr>
        <w:t xml:space="preserve"> ramura „</w:t>
      </w:r>
      <w:r w:rsidR="00D30141" w:rsidRPr="006B2701">
        <w:rPr>
          <w:rFonts w:ascii="Tahoma" w:hAnsi="Tahoma" w:cs="Tahoma"/>
          <w:sz w:val="24"/>
          <w:szCs w:val="24"/>
          <w:lang w:val="ro-RO"/>
        </w:rPr>
        <w:t>informații</w:t>
      </w:r>
      <w:r w:rsidRPr="006B2701">
        <w:rPr>
          <w:rFonts w:ascii="Tahoma" w:hAnsi="Tahoma" w:cs="Tahoma"/>
          <w:sz w:val="24"/>
          <w:szCs w:val="24"/>
          <w:lang w:val="ro-RO"/>
        </w:rPr>
        <w:t xml:space="preserve">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w:t>
      </w:r>
      <w:r w:rsidR="00D30141" w:rsidRPr="006B2701">
        <w:rPr>
          <w:rFonts w:ascii="Tahoma" w:hAnsi="Tahoma" w:cs="Tahoma"/>
          <w:sz w:val="24"/>
          <w:szCs w:val="24"/>
          <w:lang w:val="ro-RO"/>
        </w:rPr>
        <w:t>comunicații</w:t>
      </w:r>
      <w:r w:rsidRPr="006B2701">
        <w:rPr>
          <w:rFonts w:ascii="Tahoma" w:hAnsi="Tahoma" w:cs="Tahoma"/>
          <w:sz w:val="24"/>
          <w:szCs w:val="24"/>
          <w:lang w:val="ro-RO"/>
        </w:rPr>
        <w:t xml:space="preserve">” care a </w:t>
      </w:r>
      <w:r w:rsidR="00D30141" w:rsidRPr="006B2701">
        <w:rPr>
          <w:rFonts w:ascii="Tahoma" w:hAnsi="Tahoma" w:cs="Tahoma"/>
          <w:sz w:val="24"/>
          <w:szCs w:val="24"/>
          <w:lang w:val="ro-RO"/>
        </w:rPr>
        <w:t>menținut</w:t>
      </w:r>
      <w:r w:rsidRPr="006B2701">
        <w:rPr>
          <w:rFonts w:ascii="Tahoma" w:hAnsi="Tahoma" w:cs="Tahoma"/>
          <w:sz w:val="24"/>
          <w:szCs w:val="24"/>
          <w:lang w:val="ro-RO"/>
        </w:rPr>
        <w:t xml:space="preserve"> </w:t>
      </w:r>
      <w:r w:rsidR="00D30141" w:rsidRPr="006B2701">
        <w:rPr>
          <w:rFonts w:ascii="Tahoma" w:hAnsi="Tahoma" w:cs="Tahoma"/>
          <w:sz w:val="24"/>
          <w:szCs w:val="24"/>
          <w:lang w:val="ro-RO"/>
        </w:rPr>
        <w:t>evoluțiile</w:t>
      </w:r>
      <w:r w:rsidRPr="006B2701">
        <w:rPr>
          <w:rFonts w:ascii="Tahoma" w:hAnsi="Tahoma" w:cs="Tahoma"/>
          <w:sz w:val="24"/>
          <w:szCs w:val="24"/>
          <w:lang w:val="ro-RO"/>
        </w:rPr>
        <w:t xml:space="preserve"> bune din ultima perioadă, realizând o majorare cu 20%, aceasta reprezentând cel mai ridicat nivel din economie. Participarea acestora la </w:t>
      </w:r>
      <w:r w:rsidR="00D30141" w:rsidRPr="006B2701">
        <w:rPr>
          <w:rFonts w:ascii="Tahoma" w:hAnsi="Tahoma" w:cs="Tahoma"/>
          <w:sz w:val="24"/>
          <w:szCs w:val="24"/>
          <w:lang w:val="ro-RO"/>
        </w:rPr>
        <w:t>creșterea</w:t>
      </w:r>
      <w:r w:rsidRPr="006B2701">
        <w:rPr>
          <w:rFonts w:ascii="Tahoma" w:hAnsi="Tahoma" w:cs="Tahoma"/>
          <w:sz w:val="24"/>
          <w:szCs w:val="24"/>
          <w:lang w:val="ro-RO"/>
        </w:rPr>
        <w:t xml:space="preserve"> produsului intern brut a fost de 1,3 puncte procentuale. Un alt domeniu performant, cu o </w:t>
      </w:r>
      <w:r w:rsidR="00D30141" w:rsidRPr="006B2701">
        <w:rPr>
          <w:rFonts w:ascii="Tahoma" w:hAnsi="Tahoma" w:cs="Tahoma"/>
          <w:sz w:val="24"/>
          <w:szCs w:val="24"/>
          <w:lang w:val="ro-RO"/>
        </w:rPr>
        <w:t>evoluție</w:t>
      </w:r>
      <w:r w:rsidRPr="006B2701">
        <w:rPr>
          <w:rFonts w:ascii="Tahoma" w:hAnsi="Tahoma" w:cs="Tahoma"/>
          <w:sz w:val="24"/>
          <w:szCs w:val="24"/>
          <w:lang w:val="ro-RO"/>
        </w:rPr>
        <w:t xml:space="preserve"> importantă a fost cea a „serviciilor suport, profesionale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administrative” cu un ritm anual de 13,1%, în </w:t>
      </w:r>
      <w:r w:rsidR="00D30141" w:rsidRPr="006B2701">
        <w:rPr>
          <w:rFonts w:ascii="Tahoma" w:hAnsi="Tahoma" w:cs="Tahoma"/>
          <w:sz w:val="24"/>
          <w:szCs w:val="24"/>
          <w:lang w:val="ro-RO"/>
        </w:rPr>
        <w:lastRenderedPageBreak/>
        <w:t>condițiile</w:t>
      </w:r>
      <w:r w:rsidRPr="006B2701">
        <w:rPr>
          <w:rFonts w:ascii="Tahoma" w:hAnsi="Tahoma" w:cs="Tahoma"/>
          <w:sz w:val="24"/>
          <w:szCs w:val="24"/>
          <w:lang w:val="ro-RO"/>
        </w:rPr>
        <w:t xml:space="preserve"> în care </w:t>
      </w:r>
      <w:r w:rsidR="00D30141" w:rsidRPr="006B2701">
        <w:rPr>
          <w:rFonts w:ascii="Tahoma" w:hAnsi="Tahoma" w:cs="Tahoma"/>
          <w:sz w:val="24"/>
          <w:szCs w:val="24"/>
          <w:lang w:val="ro-RO"/>
        </w:rPr>
        <w:t>desfășurarea</w:t>
      </w:r>
      <w:r w:rsidRPr="006B2701">
        <w:rPr>
          <w:rFonts w:ascii="Tahoma" w:hAnsi="Tahoma" w:cs="Tahoma"/>
          <w:sz w:val="24"/>
          <w:szCs w:val="24"/>
          <w:lang w:val="ro-RO"/>
        </w:rPr>
        <w:t xml:space="preserve"> acestor </w:t>
      </w:r>
      <w:r w:rsidR="00D30141" w:rsidRPr="006B2701">
        <w:rPr>
          <w:rFonts w:ascii="Tahoma" w:hAnsi="Tahoma" w:cs="Tahoma"/>
          <w:sz w:val="24"/>
          <w:szCs w:val="24"/>
          <w:lang w:val="ro-RO"/>
        </w:rPr>
        <w:t>activități</w:t>
      </w:r>
      <w:r w:rsidRPr="006B2701">
        <w:rPr>
          <w:rFonts w:ascii="Tahoma" w:hAnsi="Tahoma" w:cs="Tahoma"/>
          <w:sz w:val="24"/>
          <w:szCs w:val="24"/>
          <w:lang w:val="ro-RO"/>
        </w:rPr>
        <w:t xml:space="preserve"> a revenit la normal odată cu ridicarea stării de alertă.</w:t>
      </w:r>
    </w:p>
    <w:p w14:paraId="240FFC65" w14:textId="19963B81" w:rsidR="00123F4F" w:rsidRPr="006B2701" w:rsidRDefault="00D30141" w:rsidP="00123F4F">
      <w:pPr>
        <w:keepNext/>
        <w:spacing w:before="120" w:line="276" w:lineRule="auto"/>
        <w:jc w:val="both"/>
        <w:rPr>
          <w:rFonts w:ascii="Tahoma" w:hAnsi="Tahoma" w:cs="Tahoma"/>
          <w:sz w:val="24"/>
          <w:szCs w:val="24"/>
          <w:lang w:val="ro-RO"/>
        </w:rPr>
      </w:pPr>
      <w:r w:rsidRPr="006B2701">
        <w:rPr>
          <w:rFonts w:ascii="Tahoma" w:hAnsi="Tahoma" w:cs="Tahoma"/>
          <w:sz w:val="24"/>
          <w:szCs w:val="24"/>
          <w:lang w:val="ro-RO"/>
        </w:rPr>
        <w:t>Disfuncționalitățile</w:t>
      </w:r>
      <w:r w:rsidR="00123F4F" w:rsidRPr="006B2701">
        <w:rPr>
          <w:rFonts w:ascii="Tahoma" w:hAnsi="Tahoma" w:cs="Tahoma"/>
          <w:sz w:val="24"/>
          <w:szCs w:val="24"/>
          <w:lang w:val="ro-RO"/>
        </w:rPr>
        <w:t xml:space="preserve"> în procesele de aprovizionare </w:t>
      </w:r>
      <w:proofErr w:type="spellStart"/>
      <w:r w:rsidR="00123F4F" w:rsidRPr="006B2701">
        <w:rPr>
          <w:rFonts w:ascii="Tahoma" w:hAnsi="Tahoma" w:cs="Tahoma"/>
          <w:sz w:val="24"/>
          <w:szCs w:val="24"/>
          <w:lang w:val="ro-RO"/>
        </w:rPr>
        <w:t>şi</w:t>
      </w:r>
      <w:proofErr w:type="spellEnd"/>
      <w:r w:rsidR="00123F4F" w:rsidRPr="006B2701">
        <w:rPr>
          <w:rFonts w:ascii="Tahoma" w:hAnsi="Tahoma" w:cs="Tahoma"/>
          <w:sz w:val="24"/>
          <w:szCs w:val="24"/>
          <w:lang w:val="ro-RO"/>
        </w:rPr>
        <w:t xml:space="preserve"> </w:t>
      </w:r>
      <w:r w:rsidRPr="006B2701">
        <w:rPr>
          <w:rFonts w:ascii="Tahoma" w:hAnsi="Tahoma" w:cs="Tahoma"/>
          <w:sz w:val="24"/>
          <w:szCs w:val="24"/>
          <w:lang w:val="ro-RO"/>
        </w:rPr>
        <w:t>prețurile</w:t>
      </w:r>
      <w:r w:rsidR="00123F4F" w:rsidRPr="006B2701">
        <w:rPr>
          <w:rFonts w:ascii="Tahoma" w:hAnsi="Tahoma" w:cs="Tahoma"/>
          <w:sz w:val="24"/>
          <w:szCs w:val="24"/>
          <w:lang w:val="ro-RO"/>
        </w:rPr>
        <w:t xml:space="preserve"> ridicate la energie au făcut ca activitatea în industrie să se restrângă, valoarea adăugată diminuându-se astfel cu 2,3%, reducând avansul economic cu 0,5 puncte procentuale. </w:t>
      </w:r>
    </w:p>
    <w:p w14:paraId="14526D8F" w14:textId="6D8D28EF" w:rsidR="00123F4F" w:rsidRPr="006B2701" w:rsidRDefault="00123F4F" w:rsidP="00123F4F">
      <w:pPr>
        <w:keepNext/>
        <w:spacing w:before="120" w:line="276" w:lineRule="auto"/>
        <w:jc w:val="both"/>
        <w:rPr>
          <w:rFonts w:ascii="Tahoma" w:hAnsi="Tahoma" w:cs="Tahoma"/>
          <w:sz w:val="24"/>
          <w:szCs w:val="24"/>
          <w:lang w:val="ro-RO"/>
        </w:rPr>
      </w:pPr>
      <w:r w:rsidRPr="006B2701">
        <w:rPr>
          <w:rFonts w:ascii="Tahoma" w:hAnsi="Tahoma" w:cs="Tahoma"/>
          <w:sz w:val="24"/>
          <w:szCs w:val="24"/>
          <w:lang w:val="ro-RO"/>
        </w:rPr>
        <w:t xml:space="preserve">Agricultura pe fondul unor </w:t>
      </w:r>
      <w:r w:rsidR="00D30141" w:rsidRPr="006B2701">
        <w:rPr>
          <w:rFonts w:ascii="Tahoma" w:hAnsi="Tahoma" w:cs="Tahoma"/>
          <w:sz w:val="24"/>
          <w:szCs w:val="24"/>
          <w:lang w:val="ro-RO"/>
        </w:rPr>
        <w:t>condiții</w:t>
      </w:r>
      <w:r w:rsidRPr="006B2701">
        <w:rPr>
          <w:rFonts w:ascii="Tahoma" w:hAnsi="Tahoma" w:cs="Tahoma"/>
          <w:sz w:val="24"/>
          <w:szCs w:val="24"/>
          <w:lang w:val="ro-RO"/>
        </w:rPr>
        <w:t xml:space="preserve"> climatice nefavorabile, dar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a </w:t>
      </w:r>
      <w:r w:rsidR="00D30141" w:rsidRPr="006B2701">
        <w:rPr>
          <w:rFonts w:ascii="Tahoma" w:hAnsi="Tahoma" w:cs="Tahoma"/>
          <w:sz w:val="24"/>
          <w:szCs w:val="24"/>
          <w:lang w:val="ro-RO"/>
        </w:rPr>
        <w:t>prețurilor</w:t>
      </w:r>
      <w:r w:rsidRPr="006B2701">
        <w:rPr>
          <w:rFonts w:ascii="Tahoma" w:hAnsi="Tahoma" w:cs="Tahoma"/>
          <w:sz w:val="24"/>
          <w:szCs w:val="24"/>
          <w:lang w:val="ro-RO"/>
        </w:rPr>
        <w:t xml:space="preserve"> ridicate la inputurile utilizate, a înregistrat o scădere a valorii adăugate brute cu 11,6%, ceea ce s-a concretizat într-o </w:t>
      </w:r>
      <w:r w:rsidR="00D30141" w:rsidRPr="006B2701">
        <w:rPr>
          <w:rFonts w:ascii="Tahoma" w:hAnsi="Tahoma" w:cs="Tahoma"/>
          <w:sz w:val="24"/>
          <w:szCs w:val="24"/>
          <w:lang w:val="ro-RO"/>
        </w:rPr>
        <w:t>contribuție</w:t>
      </w:r>
      <w:r w:rsidRPr="006B2701">
        <w:rPr>
          <w:rFonts w:ascii="Tahoma" w:hAnsi="Tahoma" w:cs="Tahoma"/>
          <w:sz w:val="24"/>
          <w:szCs w:val="24"/>
          <w:lang w:val="ro-RO"/>
        </w:rPr>
        <w:t xml:space="preserve"> negativă, de 0,5 puncte procentuale, la </w:t>
      </w:r>
      <w:r w:rsidR="00D30141" w:rsidRPr="006B2701">
        <w:rPr>
          <w:rFonts w:ascii="Tahoma" w:hAnsi="Tahoma" w:cs="Tahoma"/>
          <w:sz w:val="24"/>
          <w:szCs w:val="24"/>
          <w:lang w:val="ro-RO"/>
        </w:rPr>
        <w:t>creșterea</w:t>
      </w:r>
      <w:r w:rsidRPr="006B2701">
        <w:rPr>
          <w:rFonts w:ascii="Tahoma" w:hAnsi="Tahoma" w:cs="Tahoma"/>
          <w:sz w:val="24"/>
          <w:szCs w:val="24"/>
          <w:lang w:val="ro-RO"/>
        </w:rPr>
        <w:t xml:space="preserve"> reală a PIB. </w:t>
      </w:r>
    </w:p>
    <w:p w14:paraId="3941C9A3" w14:textId="039F1135" w:rsidR="00123F4F" w:rsidRPr="006B2701" w:rsidRDefault="00D30141" w:rsidP="00123F4F">
      <w:pPr>
        <w:keepNext/>
        <w:spacing w:before="120" w:line="276" w:lineRule="auto"/>
        <w:jc w:val="both"/>
        <w:rPr>
          <w:rFonts w:ascii="Tahoma" w:hAnsi="Tahoma" w:cs="Tahoma"/>
          <w:sz w:val="24"/>
          <w:szCs w:val="24"/>
          <w:lang w:val="ro-RO"/>
        </w:rPr>
      </w:pPr>
      <w:r w:rsidRPr="006B2701">
        <w:rPr>
          <w:rFonts w:ascii="Tahoma" w:hAnsi="Tahoma" w:cs="Tahoma"/>
          <w:b/>
          <w:sz w:val="24"/>
          <w:szCs w:val="24"/>
          <w:lang w:val="ro-RO"/>
        </w:rPr>
        <w:t>Inflația</w:t>
      </w:r>
      <w:r w:rsidR="00123F4F" w:rsidRPr="006B2701">
        <w:rPr>
          <w:rFonts w:ascii="Tahoma" w:hAnsi="Tahoma" w:cs="Tahoma"/>
          <w:b/>
          <w:sz w:val="24"/>
          <w:szCs w:val="24"/>
          <w:lang w:val="ro-RO"/>
        </w:rPr>
        <w:t xml:space="preserve"> anuală</w:t>
      </w:r>
      <w:r w:rsidR="00123F4F" w:rsidRPr="006B2701">
        <w:rPr>
          <w:rFonts w:ascii="Tahoma" w:hAnsi="Tahoma" w:cs="Tahoma"/>
          <w:sz w:val="24"/>
          <w:szCs w:val="24"/>
          <w:lang w:val="ro-RO"/>
        </w:rPr>
        <w:t xml:space="preserve"> a urmat o traiectorie ascendentă pe parcursul anului 2022, în contextul </w:t>
      </w:r>
      <w:r w:rsidRPr="006B2701">
        <w:rPr>
          <w:rFonts w:ascii="Tahoma" w:hAnsi="Tahoma" w:cs="Tahoma"/>
          <w:sz w:val="24"/>
          <w:szCs w:val="24"/>
          <w:lang w:val="ro-RO"/>
        </w:rPr>
        <w:t>creșterii</w:t>
      </w:r>
      <w:r w:rsidR="00123F4F" w:rsidRPr="006B2701">
        <w:rPr>
          <w:rFonts w:ascii="Tahoma" w:hAnsi="Tahoma" w:cs="Tahoma"/>
          <w:sz w:val="24"/>
          <w:szCs w:val="24"/>
          <w:lang w:val="ro-RO"/>
        </w:rPr>
        <w:t xml:space="preserve"> generalizate a </w:t>
      </w:r>
      <w:r w:rsidRPr="006B2701">
        <w:rPr>
          <w:rFonts w:ascii="Tahoma" w:hAnsi="Tahoma" w:cs="Tahoma"/>
          <w:sz w:val="24"/>
          <w:szCs w:val="24"/>
          <w:lang w:val="ro-RO"/>
        </w:rPr>
        <w:t>prețurilor</w:t>
      </w:r>
      <w:r w:rsidR="00123F4F" w:rsidRPr="006B2701">
        <w:rPr>
          <w:rFonts w:ascii="Tahoma" w:hAnsi="Tahoma" w:cs="Tahoma"/>
          <w:sz w:val="24"/>
          <w:szCs w:val="24"/>
          <w:lang w:val="ro-RO"/>
        </w:rPr>
        <w:t xml:space="preserve"> produselor energetice </w:t>
      </w:r>
      <w:proofErr w:type="spellStart"/>
      <w:r w:rsidR="00123F4F" w:rsidRPr="006B2701">
        <w:rPr>
          <w:rFonts w:ascii="Tahoma" w:hAnsi="Tahoma" w:cs="Tahoma"/>
          <w:sz w:val="24"/>
          <w:szCs w:val="24"/>
          <w:lang w:val="ro-RO"/>
        </w:rPr>
        <w:t>şi</w:t>
      </w:r>
      <w:proofErr w:type="spellEnd"/>
      <w:r w:rsidR="00123F4F" w:rsidRPr="006B2701">
        <w:rPr>
          <w:rFonts w:ascii="Tahoma" w:hAnsi="Tahoma" w:cs="Tahoma"/>
          <w:sz w:val="24"/>
          <w:szCs w:val="24"/>
          <w:lang w:val="ro-RO"/>
        </w:rPr>
        <w:t xml:space="preserve"> materiilor prime </w:t>
      </w:r>
      <w:proofErr w:type="spellStart"/>
      <w:r w:rsidR="00123F4F" w:rsidRPr="006B2701">
        <w:rPr>
          <w:rFonts w:ascii="Tahoma" w:hAnsi="Tahoma" w:cs="Tahoma"/>
          <w:sz w:val="24"/>
          <w:szCs w:val="24"/>
          <w:lang w:val="ro-RO"/>
        </w:rPr>
        <w:t>şi</w:t>
      </w:r>
      <w:proofErr w:type="spellEnd"/>
      <w:r w:rsidR="00123F4F" w:rsidRPr="006B2701">
        <w:rPr>
          <w:rFonts w:ascii="Tahoma" w:hAnsi="Tahoma" w:cs="Tahoma"/>
          <w:sz w:val="24"/>
          <w:szCs w:val="24"/>
          <w:lang w:val="ro-RO"/>
        </w:rPr>
        <w:t xml:space="preserve"> al incertitudinilor determinate de războiul </w:t>
      </w:r>
      <w:r w:rsidRPr="006B2701">
        <w:rPr>
          <w:rFonts w:ascii="Tahoma" w:hAnsi="Tahoma" w:cs="Tahoma"/>
          <w:sz w:val="24"/>
          <w:szCs w:val="24"/>
          <w:lang w:val="ro-RO"/>
        </w:rPr>
        <w:t>declanșat</w:t>
      </w:r>
      <w:r w:rsidR="00123F4F" w:rsidRPr="006B2701">
        <w:rPr>
          <w:rFonts w:ascii="Tahoma" w:hAnsi="Tahoma" w:cs="Tahoma"/>
          <w:sz w:val="24"/>
          <w:szCs w:val="24"/>
          <w:lang w:val="ro-RO"/>
        </w:rPr>
        <w:t xml:space="preserve"> la </w:t>
      </w:r>
      <w:r w:rsidRPr="006B2701">
        <w:rPr>
          <w:rFonts w:ascii="Tahoma" w:hAnsi="Tahoma" w:cs="Tahoma"/>
          <w:sz w:val="24"/>
          <w:szCs w:val="24"/>
          <w:lang w:val="ro-RO"/>
        </w:rPr>
        <w:t>granițele</w:t>
      </w:r>
      <w:r w:rsidR="00123F4F" w:rsidRPr="006B2701">
        <w:rPr>
          <w:rFonts w:ascii="Tahoma" w:hAnsi="Tahoma" w:cs="Tahoma"/>
          <w:sz w:val="24"/>
          <w:szCs w:val="24"/>
          <w:lang w:val="ro-RO"/>
        </w:rPr>
        <w:t xml:space="preserve"> </w:t>
      </w:r>
      <w:r w:rsidRPr="006B2701">
        <w:rPr>
          <w:rFonts w:ascii="Tahoma" w:hAnsi="Tahoma" w:cs="Tahoma"/>
          <w:sz w:val="24"/>
          <w:szCs w:val="24"/>
          <w:lang w:val="ro-RO"/>
        </w:rPr>
        <w:t>naționale</w:t>
      </w:r>
      <w:r w:rsidR="00123F4F" w:rsidRPr="006B2701">
        <w:rPr>
          <w:rFonts w:ascii="Tahoma" w:hAnsi="Tahoma" w:cs="Tahoma"/>
          <w:sz w:val="24"/>
          <w:szCs w:val="24"/>
          <w:lang w:val="ro-RO"/>
        </w:rPr>
        <w:t xml:space="preserve">. Efectele acestor crize suprapuse s-au concretizat în presiuni asupra </w:t>
      </w:r>
      <w:r w:rsidRPr="006B2701">
        <w:rPr>
          <w:rFonts w:ascii="Tahoma" w:hAnsi="Tahoma" w:cs="Tahoma"/>
          <w:sz w:val="24"/>
          <w:szCs w:val="24"/>
          <w:lang w:val="ro-RO"/>
        </w:rPr>
        <w:t>prețurilor</w:t>
      </w:r>
      <w:r w:rsidR="00123F4F" w:rsidRPr="006B2701">
        <w:rPr>
          <w:rFonts w:ascii="Tahoma" w:hAnsi="Tahoma" w:cs="Tahoma"/>
          <w:sz w:val="24"/>
          <w:szCs w:val="24"/>
          <w:lang w:val="ro-RO"/>
        </w:rPr>
        <w:t xml:space="preserve"> </w:t>
      </w:r>
      <w:proofErr w:type="spellStart"/>
      <w:r w:rsidR="00123F4F" w:rsidRPr="006B2701">
        <w:rPr>
          <w:rFonts w:ascii="Tahoma" w:hAnsi="Tahoma" w:cs="Tahoma"/>
          <w:sz w:val="24"/>
          <w:szCs w:val="24"/>
          <w:lang w:val="ro-RO"/>
        </w:rPr>
        <w:t>şi</w:t>
      </w:r>
      <w:proofErr w:type="spellEnd"/>
      <w:r w:rsidR="00123F4F" w:rsidRPr="006B2701">
        <w:rPr>
          <w:rFonts w:ascii="Tahoma" w:hAnsi="Tahoma" w:cs="Tahoma"/>
          <w:sz w:val="24"/>
          <w:szCs w:val="24"/>
          <w:lang w:val="ro-RO"/>
        </w:rPr>
        <w:t xml:space="preserve"> erodarea puterii de cumpărare a </w:t>
      </w:r>
      <w:r w:rsidRPr="006B2701">
        <w:rPr>
          <w:rFonts w:ascii="Tahoma" w:hAnsi="Tahoma" w:cs="Tahoma"/>
          <w:sz w:val="24"/>
          <w:szCs w:val="24"/>
          <w:lang w:val="ro-RO"/>
        </w:rPr>
        <w:t>populației</w:t>
      </w:r>
      <w:r w:rsidR="00123F4F" w:rsidRPr="006B2701">
        <w:rPr>
          <w:rFonts w:ascii="Tahoma" w:hAnsi="Tahoma" w:cs="Tahoma"/>
          <w:sz w:val="24"/>
          <w:szCs w:val="24"/>
          <w:lang w:val="ro-RO"/>
        </w:rPr>
        <w:t xml:space="preserve">, astfel încât în luna decembrie a fost înregistrată o rată anuală a </w:t>
      </w:r>
      <w:r w:rsidRPr="006B2701">
        <w:rPr>
          <w:rFonts w:ascii="Tahoma" w:hAnsi="Tahoma" w:cs="Tahoma"/>
          <w:sz w:val="24"/>
          <w:szCs w:val="24"/>
          <w:lang w:val="ro-RO"/>
        </w:rPr>
        <w:t>inflației</w:t>
      </w:r>
      <w:r w:rsidR="00123F4F" w:rsidRPr="006B2701">
        <w:rPr>
          <w:rFonts w:ascii="Tahoma" w:hAnsi="Tahoma" w:cs="Tahoma"/>
          <w:sz w:val="24"/>
          <w:szCs w:val="24"/>
          <w:lang w:val="ro-RO"/>
        </w:rPr>
        <w:t xml:space="preserve"> de 16,4%, fiind cea mai mare </w:t>
      </w:r>
      <w:r w:rsidRPr="006B2701">
        <w:rPr>
          <w:rFonts w:ascii="Tahoma" w:hAnsi="Tahoma" w:cs="Tahoma"/>
          <w:sz w:val="24"/>
          <w:szCs w:val="24"/>
          <w:lang w:val="ro-RO"/>
        </w:rPr>
        <w:t>creștere</w:t>
      </w:r>
      <w:r w:rsidR="00123F4F" w:rsidRPr="006B2701">
        <w:rPr>
          <w:rFonts w:ascii="Tahoma" w:hAnsi="Tahoma" w:cs="Tahoma"/>
          <w:sz w:val="24"/>
          <w:szCs w:val="24"/>
          <w:lang w:val="ro-RO"/>
        </w:rPr>
        <w:t xml:space="preserve"> din ultimii 20 de ani. </w:t>
      </w:r>
    </w:p>
    <w:p w14:paraId="2BE13F05" w14:textId="5CEB60B3" w:rsidR="00123F4F" w:rsidRPr="006B2701" w:rsidRDefault="00123F4F" w:rsidP="00123F4F">
      <w:pPr>
        <w:keepNext/>
        <w:spacing w:before="120" w:line="276" w:lineRule="auto"/>
        <w:jc w:val="both"/>
        <w:rPr>
          <w:rFonts w:ascii="Tahoma" w:hAnsi="Tahoma" w:cs="Tahoma"/>
          <w:sz w:val="24"/>
          <w:szCs w:val="24"/>
          <w:lang w:val="ro-RO"/>
        </w:rPr>
      </w:pPr>
      <w:r w:rsidRPr="006B2701">
        <w:rPr>
          <w:rFonts w:ascii="Tahoma" w:hAnsi="Tahoma" w:cs="Tahoma"/>
          <w:sz w:val="24"/>
          <w:szCs w:val="24"/>
          <w:lang w:val="ro-RO"/>
        </w:rPr>
        <w:t xml:space="preserve">Cauza presiunilor </w:t>
      </w:r>
      <w:r w:rsidR="00D30141" w:rsidRPr="006B2701">
        <w:rPr>
          <w:rFonts w:ascii="Tahoma" w:hAnsi="Tahoma" w:cs="Tahoma"/>
          <w:sz w:val="24"/>
          <w:szCs w:val="24"/>
          <w:lang w:val="ro-RO"/>
        </w:rPr>
        <w:t>inflaționiste</w:t>
      </w:r>
      <w:r w:rsidRPr="006B2701">
        <w:rPr>
          <w:rFonts w:ascii="Tahoma" w:hAnsi="Tahoma" w:cs="Tahoma"/>
          <w:sz w:val="24"/>
          <w:szCs w:val="24"/>
          <w:lang w:val="ro-RO"/>
        </w:rPr>
        <w:t xml:space="preserve"> a provenit, în principal, din partea componentei energetice, inclusiv combustibili, creșterile de </w:t>
      </w:r>
      <w:r w:rsidR="00D30141" w:rsidRPr="006B2701">
        <w:rPr>
          <w:rFonts w:ascii="Tahoma" w:hAnsi="Tahoma" w:cs="Tahoma"/>
          <w:sz w:val="24"/>
          <w:szCs w:val="24"/>
          <w:lang w:val="ro-RO"/>
        </w:rPr>
        <w:t>preț</w:t>
      </w:r>
      <w:r w:rsidRPr="006B2701">
        <w:rPr>
          <w:rFonts w:ascii="Tahoma" w:hAnsi="Tahoma" w:cs="Tahoma"/>
          <w:sz w:val="24"/>
          <w:szCs w:val="24"/>
          <w:lang w:val="ro-RO"/>
        </w:rPr>
        <w:t xml:space="preserve"> survenite fiind preluate ulterior, în costurile de </w:t>
      </w:r>
      <w:r w:rsidR="00D30141" w:rsidRPr="006B2701">
        <w:rPr>
          <w:rFonts w:ascii="Tahoma" w:hAnsi="Tahoma" w:cs="Tahoma"/>
          <w:sz w:val="24"/>
          <w:szCs w:val="24"/>
          <w:lang w:val="ro-RO"/>
        </w:rPr>
        <w:t>producție</w:t>
      </w:r>
      <w:r w:rsidRPr="006B2701">
        <w:rPr>
          <w:rFonts w:ascii="Tahoma" w:hAnsi="Tahoma" w:cs="Tahoma"/>
          <w:sz w:val="24"/>
          <w:szCs w:val="24"/>
          <w:lang w:val="ro-RO"/>
        </w:rPr>
        <w:t xml:space="preserve">. Dinamica </w:t>
      </w:r>
      <w:r w:rsidR="00D30141" w:rsidRPr="006B2701">
        <w:rPr>
          <w:rFonts w:ascii="Tahoma" w:hAnsi="Tahoma" w:cs="Tahoma"/>
          <w:sz w:val="24"/>
          <w:szCs w:val="24"/>
          <w:lang w:val="ro-RO"/>
        </w:rPr>
        <w:t>prețurilor</w:t>
      </w:r>
      <w:r w:rsidRPr="006B2701">
        <w:rPr>
          <w:rFonts w:ascii="Tahoma" w:hAnsi="Tahoma" w:cs="Tahoma"/>
          <w:sz w:val="24"/>
          <w:szCs w:val="24"/>
          <w:lang w:val="ro-RO"/>
        </w:rPr>
        <w:t xml:space="preserve"> la bunurile energetice s-a situat, în lunile de vară, la un nivel ridicat, dar au înregistrat o temperare spre finalul anului, determinată de reglementarea privind reducerea cu 50 bani/litru a </w:t>
      </w:r>
      <w:r w:rsidR="00D30141" w:rsidRPr="006B2701">
        <w:rPr>
          <w:rFonts w:ascii="Tahoma" w:hAnsi="Tahoma" w:cs="Tahoma"/>
          <w:sz w:val="24"/>
          <w:szCs w:val="24"/>
          <w:lang w:val="ro-RO"/>
        </w:rPr>
        <w:t>prețurilor</w:t>
      </w:r>
      <w:r w:rsidRPr="006B2701">
        <w:rPr>
          <w:rFonts w:ascii="Tahoma" w:hAnsi="Tahoma" w:cs="Tahoma"/>
          <w:sz w:val="24"/>
          <w:szCs w:val="24"/>
          <w:lang w:val="ro-RO"/>
        </w:rPr>
        <w:t xml:space="preserve"> </w:t>
      </w:r>
      <w:r w:rsidR="00D30141" w:rsidRPr="006B2701">
        <w:rPr>
          <w:rFonts w:ascii="Tahoma" w:hAnsi="Tahoma" w:cs="Tahoma"/>
          <w:sz w:val="24"/>
          <w:szCs w:val="24"/>
          <w:lang w:val="ro-RO"/>
        </w:rPr>
        <w:t>carburanților</w:t>
      </w:r>
      <w:r w:rsidRPr="006B2701">
        <w:rPr>
          <w:rFonts w:ascii="Tahoma" w:hAnsi="Tahoma" w:cs="Tahoma"/>
          <w:sz w:val="24"/>
          <w:szCs w:val="24"/>
          <w:lang w:val="ro-RO"/>
        </w:rPr>
        <w:t xml:space="preserve"> la pompă, precum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de schema de plafonare OUG 27/2022 a </w:t>
      </w:r>
      <w:r w:rsidR="00D30141" w:rsidRPr="006B2701">
        <w:rPr>
          <w:rFonts w:ascii="Tahoma" w:hAnsi="Tahoma" w:cs="Tahoma"/>
          <w:sz w:val="24"/>
          <w:szCs w:val="24"/>
          <w:lang w:val="ro-RO"/>
        </w:rPr>
        <w:t>prețurilor</w:t>
      </w:r>
      <w:r w:rsidRPr="006B2701">
        <w:rPr>
          <w:rFonts w:ascii="Tahoma" w:hAnsi="Tahoma" w:cs="Tahoma"/>
          <w:sz w:val="24"/>
          <w:szCs w:val="24"/>
          <w:lang w:val="ro-RO"/>
        </w:rPr>
        <w:t xml:space="preserve"> la energie electrică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la gaze naturale pentru </w:t>
      </w:r>
      <w:r w:rsidR="00D30141" w:rsidRPr="006B2701">
        <w:rPr>
          <w:rFonts w:ascii="Tahoma" w:hAnsi="Tahoma" w:cs="Tahoma"/>
          <w:sz w:val="24"/>
          <w:szCs w:val="24"/>
          <w:lang w:val="ro-RO"/>
        </w:rPr>
        <w:t>populație</w:t>
      </w:r>
      <w:r w:rsidRPr="006B2701">
        <w:rPr>
          <w:rFonts w:ascii="Tahoma" w:hAnsi="Tahoma" w:cs="Tahoma"/>
          <w:sz w:val="24"/>
          <w:szCs w:val="24"/>
          <w:lang w:val="ro-RO"/>
        </w:rPr>
        <w:t xml:space="preserve">. Astfel, rata anuală înregistrată pentru prețurile produselor energetice a fost de 39,7% (decembrie 2022/decembrie 2021). </w:t>
      </w:r>
    </w:p>
    <w:p w14:paraId="7B3B5D42" w14:textId="2C980BD6" w:rsidR="00123F4F" w:rsidRPr="006B2701" w:rsidRDefault="00123F4F" w:rsidP="00123F4F">
      <w:pPr>
        <w:keepNext/>
        <w:spacing w:before="120" w:line="276" w:lineRule="auto"/>
        <w:jc w:val="both"/>
        <w:rPr>
          <w:rFonts w:ascii="Tahoma" w:hAnsi="Tahoma" w:cs="Tahoma"/>
          <w:sz w:val="24"/>
          <w:szCs w:val="24"/>
          <w:lang w:val="ro-RO"/>
        </w:rPr>
      </w:pPr>
      <w:r w:rsidRPr="006B2701">
        <w:rPr>
          <w:rFonts w:ascii="Tahoma" w:hAnsi="Tahoma" w:cs="Tahoma"/>
          <w:sz w:val="24"/>
          <w:szCs w:val="24"/>
          <w:lang w:val="ro-RO"/>
        </w:rPr>
        <w:t xml:space="preserve">Presiuni suplimentare s-au manifestat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din partea mărfurilor alimentare, sub impactul majorării costurilor de </w:t>
      </w:r>
      <w:r w:rsidR="00D30141" w:rsidRPr="006B2701">
        <w:rPr>
          <w:rFonts w:ascii="Tahoma" w:hAnsi="Tahoma" w:cs="Tahoma"/>
          <w:sz w:val="24"/>
          <w:szCs w:val="24"/>
          <w:lang w:val="ro-RO"/>
        </w:rPr>
        <w:t>producție</w:t>
      </w:r>
      <w:r w:rsidRPr="006B2701">
        <w:rPr>
          <w:rFonts w:ascii="Tahoma" w:hAnsi="Tahoma" w:cs="Tahoma"/>
          <w:sz w:val="24"/>
          <w:szCs w:val="24"/>
          <w:lang w:val="ro-RO"/>
        </w:rPr>
        <w:t xml:space="preserve">, în special cu energia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materiile prime agroalimentare, la care s-a adăugat dinamica în creștere a mărfurilor din import.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în ceea ce </w:t>
      </w:r>
      <w:r w:rsidR="00D30141" w:rsidRPr="006B2701">
        <w:rPr>
          <w:rFonts w:ascii="Tahoma" w:hAnsi="Tahoma" w:cs="Tahoma"/>
          <w:sz w:val="24"/>
          <w:szCs w:val="24"/>
          <w:lang w:val="ro-RO"/>
        </w:rPr>
        <w:t>privește</w:t>
      </w:r>
      <w:r w:rsidRPr="006B2701">
        <w:rPr>
          <w:rFonts w:ascii="Tahoma" w:hAnsi="Tahoma" w:cs="Tahoma"/>
          <w:sz w:val="24"/>
          <w:szCs w:val="24"/>
          <w:lang w:val="ro-RO"/>
        </w:rPr>
        <w:t xml:space="preserve"> </w:t>
      </w:r>
      <w:r w:rsidR="00D30141" w:rsidRPr="006B2701">
        <w:rPr>
          <w:rFonts w:ascii="Tahoma" w:hAnsi="Tahoma" w:cs="Tahoma"/>
          <w:sz w:val="24"/>
          <w:szCs w:val="24"/>
          <w:lang w:val="ro-RO"/>
        </w:rPr>
        <w:t>prețurile</w:t>
      </w:r>
      <w:r w:rsidRPr="006B2701">
        <w:rPr>
          <w:rFonts w:ascii="Tahoma" w:hAnsi="Tahoma" w:cs="Tahoma"/>
          <w:sz w:val="24"/>
          <w:szCs w:val="24"/>
          <w:lang w:val="ro-RO"/>
        </w:rPr>
        <w:t xml:space="preserve"> alimentelor neprocesate, a fost înregistrată o </w:t>
      </w:r>
      <w:r w:rsidR="00D30141" w:rsidRPr="006B2701">
        <w:rPr>
          <w:rFonts w:ascii="Tahoma" w:hAnsi="Tahoma" w:cs="Tahoma"/>
          <w:sz w:val="24"/>
          <w:szCs w:val="24"/>
          <w:lang w:val="ro-RO"/>
        </w:rPr>
        <w:t>tendință</w:t>
      </w:r>
      <w:r w:rsidRPr="006B2701">
        <w:rPr>
          <w:rFonts w:ascii="Tahoma" w:hAnsi="Tahoma" w:cs="Tahoma"/>
          <w:sz w:val="24"/>
          <w:szCs w:val="24"/>
          <w:lang w:val="ro-RO"/>
        </w:rPr>
        <w:t xml:space="preserve"> ascendentă, pe fondul </w:t>
      </w:r>
      <w:r w:rsidR="00D30141" w:rsidRPr="006B2701">
        <w:rPr>
          <w:rFonts w:ascii="Tahoma" w:hAnsi="Tahoma" w:cs="Tahoma"/>
          <w:sz w:val="24"/>
          <w:szCs w:val="24"/>
          <w:lang w:val="ro-RO"/>
        </w:rPr>
        <w:t>condițiilor</w:t>
      </w:r>
      <w:r w:rsidRPr="006B2701">
        <w:rPr>
          <w:rFonts w:ascii="Tahoma" w:hAnsi="Tahoma" w:cs="Tahoma"/>
          <w:sz w:val="24"/>
          <w:szCs w:val="24"/>
          <w:lang w:val="ro-RO"/>
        </w:rPr>
        <w:t xml:space="preserve"> meteorologice din lunile de vară, nefavorabile culturilor de legume-fructe. Astfel, în ultima lună a anului 2022, a fost consemnată o </w:t>
      </w:r>
      <w:r w:rsidR="00D30141" w:rsidRPr="006B2701">
        <w:rPr>
          <w:rFonts w:ascii="Tahoma" w:hAnsi="Tahoma" w:cs="Tahoma"/>
          <w:sz w:val="24"/>
          <w:szCs w:val="24"/>
          <w:lang w:val="ro-RO"/>
        </w:rPr>
        <w:t>inflație</w:t>
      </w:r>
      <w:r w:rsidRPr="006B2701">
        <w:rPr>
          <w:rFonts w:ascii="Tahoma" w:hAnsi="Tahoma" w:cs="Tahoma"/>
          <w:sz w:val="24"/>
          <w:szCs w:val="24"/>
          <w:lang w:val="ro-RO"/>
        </w:rPr>
        <w:t xml:space="preserve"> anuală de 22,1%, grupa mărfurilor alimentare depășind cu 5,7 puncte procentuale indicele total al prețurilor de consum. </w:t>
      </w:r>
    </w:p>
    <w:p w14:paraId="2F75A0E4" w14:textId="00FC0C39" w:rsidR="00123F4F" w:rsidRPr="006B2701" w:rsidRDefault="00123F4F" w:rsidP="00123F4F">
      <w:pPr>
        <w:keepNext/>
        <w:spacing w:before="120" w:line="276" w:lineRule="auto"/>
        <w:jc w:val="both"/>
        <w:rPr>
          <w:rFonts w:ascii="Tahoma" w:hAnsi="Tahoma" w:cs="Tahoma"/>
          <w:sz w:val="24"/>
          <w:szCs w:val="24"/>
          <w:lang w:val="ro-RO"/>
        </w:rPr>
      </w:pPr>
      <w:r w:rsidRPr="006B2701">
        <w:rPr>
          <w:rFonts w:ascii="Tahoma" w:hAnsi="Tahoma" w:cs="Tahoma"/>
          <w:sz w:val="24"/>
          <w:szCs w:val="24"/>
          <w:lang w:val="ro-RO"/>
        </w:rPr>
        <w:t xml:space="preserve">Ca medie anuală, </w:t>
      </w:r>
      <w:r w:rsidR="00D30141" w:rsidRPr="006B2701">
        <w:rPr>
          <w:rFonts w:ascii="Tahoma" w:hAnsi="Tahoma" w:cs="Tahoma"/>
          <w:sz w:val="24"/>
          <w:szCs w:val="24"/>
          <w:lang w:val="ro-RO"/>
        </w:rPr>
        <w:t>inflația</w:t>
      </w:r>
      <w:r w:rsidRPr="006B2701">
        <w:rPr>
          <w:rFonts w:ascii="Tahoma" w:hAnsi="Tahoma" w:cs="Tahoma"/>
          <w:sz w:val="24"/>
          <w:szCs w:val="24"/>
          <w:lang w:val="ro-RO"/>
        </w:rPr>
        <w:t xml:space="preserve"> s-a situat pe un platou înalt al valorilor, rata anuală fiind de 13,8%. S-au înregistrat </w:t>
      </w:r>
      <w:r w:rsidR="00D30141" w:rsidRPr="006B2701">
        <w:rPr>
          <w:rFonts w:ascii="Tahoma" w:hAnsi="Tahoma" w:cs="Tahoma"/>
          <w:sz w:val="24"/>
          <w:szCs w:val="24"/>
          <w:lang w:val="ro-RO"/>
        </w:rPr>
        <w:t>creșteri</w:t>
      </w:r>
      <w:r w:rsidRPr="006B2701">
        <w:rPr>
          <w:rFonts w:ascii="Tahoma" w:hAnsi="Tahoma" w:cs="Tahoma"/>
          <w:sz w:val="24"/>
          <w:szCs w:val="24"/>
          <w:lang w:val="ro-RO"/>
        </w:rPr>
        <w:t xml:space="preserve"> peste medie la </w:t>
      </w:r>
      <w:r w:rsidR="00D30141" w:rsidRPr="006B2701">
        <w:rPr>
          <w:rFonts w:ascii="Tahoma" w:hAnsi="Tahoma" w:cs="Tahoma"/>
          <w:sz w:val="24"/>
          <w:szCs w:val="24"/>
          <w:lang w:val="ro-RO"/>
        </w:rPr>
        <w:t>prețurile</w:t>
      </w:r>
      <w:r w:rsidRPr="006B2701">
        <w:rPr>
          <w:rFonts w:ascii="Tahoma" w:hAnsi="Tahoma" w:cs="Tahoma"/>
          <w:sz w:val="24"/>
          <w:szCs w:val="24"/>
          <w:lang w:val="ro-RO"/>
        </w:rPr>
        <w:t xml:space="preserve"> mărfurilor alimentare (15,7%)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celor nealimentare (14,7%), în timp ce tarifele pentru servicii s-au majorat într-un ritm mai lent, cu doar 7,8%.</w:t>
      </w:r>
    </w:p>
    <w:p w14:paraId="6E005D79" w14:textId="2C033502" w:rsidR="00FE6AC3" w:rsidRPr="006B2701" w:rsidRDefault="00FE6AC3">
      <w:pPr>
        <w:rPr>
          <w:rFonts w:ascii="Tahoma" w:hAnsi="Tahoma" w:cs="Tahoma"/>
          <w:sz w:val="24"/>
          <w:szCs w:val="24"/>
          <w:lang w:val="ro-RO"/>
        </w:rPr>
      </w:pPr>
      <w:r w:rsidRPr="006B2701">
        <w:rPr>
          <w:rFonts w:ascii="Tahoma" w:hAnsi="Tahoma" w:cs="Tahoma"/>
          <w:sz w:val="24"/>
          <w:szCs w:val="24"/>
          <w:lang w:val="ro-RO"/>
        </w:rPr>
        <w:br w:type="page"/>
      </w:r>
    </w:p>
    <w:p w14:paraId="386228FD" w14:textId="13753F3A" w:rsidR="00061865" w:rsidRPr="006B2701" w:rsidRDefault="00061865" w:rsidP="006F30AE">
      <w:pPr>
        <w:pStyle w:val="Heading1"/>
        <w:keepLines w:val="0"/>
        <w:pageBreakBefore/>
        <w:spacing w:after="240"/>
        <w:rPr>
          <w:rFonts w:ascii="Arial" w:hAnsi="Arial" w:cs="Arial"/>
          <w:b/>
          <w:bCs/>
          <w:color w:val="auto"/>
          <w:sz w:val="24"/>
          <w:szCs w:val="24"/>
          <w:lang w:val="ro-RO"/>
        </w:rPr>
      </w:pPr>
      <w:bookmarkStart w:id="6" w:name="_Toc516046456"/>
      <w:bookmarkEnd w:id="5"/>
      <w:r w:rsidRPr="006B2701">
        <w:rPr>
          <w:rFonts w:ascii="Arial" w:hAnsi="Arial" w:cs="Arial"/>
          <w:b/>
          <w:bCs/>
          <w:color w:val="auto"/>
          <w:sz w:val="24"/>
          <w:szCs w:val="24"/>
          <w:lang w:val="ro-RO"/>
        </w:rPr>
        <w:lastRenderedPageBreak/>
        <w:t xml:space="preserve">II. Deficitul ESA </w:t>
      </w:r>
      <w:r w:rsidR="004B07C5" w:rsidRPr="006B2701">
        <w:rPr>
          <w:rFonts w:ascii="Arial" w:hAnsi="Arial" w:cs="Arial"/>
          <w:b/>
          <w:bCs/>
          <w:color w:val="auto"/>
          <w:sz w:val="24"/>
          <w:szCs w:val="24"/>
          <w:lang w:val="ro-RO"/>
        </w:rPr>
        <w:t>și</w:t>
      </w:r>
      <w:r w:rsidRPr="006B2701">
        <w:rPr>
          <w:rFonts w:ascii="Arial" w:hAnsi="Arial" w:cs="Arial"/>
          <w:b/>
          <w:bCs/>
          <w:color w:val="auto"/>
          <w:sz w:val="24"/>
          <w:szCs w:val="24"/>
          <w:lang w:val="ro-RO"/>
        </w:rPr>
        <w:t xml:space="preserve"> deficitul structural</w:t>
      </w:r>
      <w:bookmarkEnd w:id="6"/>
    </w:p>
    <w:p w14:paraId="09A424EB" w14:textId="77777777" w:rsidR="00BA5E33" w:rsidRPr="006B2701" w:rsidRDefault="00BA5E33" w:rsidP="00104228">
      <w:pPr>
        <w:keepNext/>
        <w:keepLines/>
        <w:spacing w:after="120" w:line="276" w:lineRule="auto"/>
        <w:ind w:firstLine="288"/>
        <w:rPr>
          <w:rFonts w:ascii="Arial" w:hAnsi="Arial" w:cs="Arial"/>
          <w:b/>
          <w:bCs/>
          <w:sz w:val="24"/>
          <w:szCs w:val="24"/>
          <w:lang w:val="ro-RO"/>
        </w:rPr>
      </w:pPr>
      <w:r w:rsidRPr="006B2701">
        <w:rPr>
          <w:rFonts w:ascii="Arial" w:hAnsi="Arial" w:cs="Arial"/>
          <w:b/>
          <w:bCs/>
          <w:sz w:val="24"/>
          <w:szCs w:val="24"/>
          <w:lang w:val="ro-RO"/>
        </w:rPr>
        <w:t xml:space="preserve">II.1 Deficitul ESA </w:t>
      </w:r>
    </w:p>
    <w:p w14:paraId="062D24D9" w14:textId="4B87FBC7" w:rsidR="00BA5E33" w:rsidRPr="006B2701" w:rsidRDefault="00BA5E33" w:rsidP="00350347">
      <w:pPr>
        <w:keepNext/>
        <w:keepLines/>
        <w:spacing w:line="276" w:lineRule="auto"/>
        <w:jc w:val="both"/>
        <w:rPr>
          <w:rFonts w:ascii="Tahoma" w:hAnsi="Tahoma" w:cs="Tahoma"/>
          <w:color w:val="000000"/>
          <w:sz w:val="24"/>
          <w:szCs w:val="24"/>
          <w:lang w:val="ro-RO"/>
        </w:rPr>
      </w:pPr>
      <w:r w:rsidRPr="006B2701">
        <w:rPr>
          <w:rFonts w:ascii="Tahoma" w:hAnsi="Tahoma" w:cs="Tahoma"/>
          <w:color w:val="000000"/>
          <w:sz w:val="24"/>
          <w:szCs w:val="24"/>
          <w:lang w:val="ro-RO"/>
        </w:rPr>
        <w:t xml:space="preserve">Pentru anul </w:t>
      </w:r>
      <w:r w:rsidR="0060546F" w:rsidRPr="006B2701">
        <w:rPr>
          <w:rFonts w:ascii="Tahoma" w:hAnsi="Tahoma" w:cs="Tahoma"/>
          <w:color w:val="000000"/>
          <w:sz w:val="24"/>
          <w:szCs w:val="24"/>
          <w:lang w:val="ro-RO"/>
        </w:rPr>
        <w:t>20</w:t>
      </w:r>
      <w:r w:rsidR="008E425E" w:rsidRPr="006B2701">
        <w:rPr>
          <w:rFonts w:ascii="Tahoma" w:hAnsi="Tahoma" w:cs="Tahoma"/>
          <w:color w:val="000000"/>
          <w:sz w:val="24"/>
          <w:szCs w:val="24"/>
          <w:lang w:val="ro-RO"/>
        </w:rPr>
        <w:t>2</w:t>
      </w:r>
      <w:r w:rsidR="00F75E56" w:rsidRPr="006B2701">
        <w:rPr>
          <w:rFonts w:ascii="Tahoma" w:hAnsi="Tahoma" w:cs="Tahoma"/>
          <w:color w:val="000000"/>
          <w:sz w:val="24"/>
          <w:szCs w:val="24"/>
          <w:lang w:val="ro-RO"/>
        </w:rPr>
        <w:t>2</w:t>
      </w:r>
      <w:r w:rsidRPr="006B2701">
        <w:rPr>
          <w:rFonts w:ascii="Tahoma" w:hAnsi="Tahoma" w:cs="Tahoma"/>
          <w:color w:val="000000"/>
          <w:sz w:val="24"/>
          <w:szCs w:val="24"/>
          <w:lang w:val="ro-RO"/>
        </w:rPr>
        <w:t xml:space="preserve">, deficitul administrației publice generale s-a calculat pe baza datelor transmise de instituțiile publice </w:t>
      </w:r>
      <w:r w:rsidR="00C61FEE" w:rsidRPr="006B2701">
        <w:rPr>
          <w:rFonts w:ascii="Tahoma" w:hAnsi="Tahoma" w:cs="Tahoma"/>
          <w:color w:val="000000"/>
          <w:sz w:val="24"/>
          <w:szCs w:val="24"/>
          <w:lang w:val="ro-RO"/>
        </w:rPr>
        <w:t>și</w:t>
      </w:r>
      <w:r w:rsidRPr="006B2701">
        <w:rPr>
          <w:rFonts w:ascii="Tahoma" w:hAnsi="Tahoma" w:cs="Tahoma"/>
          <w:color w:val="000000"/>
          <w:sz w:val="24"/>
          <w:szCs w:val="24"/>
          <w:lang w:val="ro-RO"/>
        </w:rPr>
        <w:t xml:space="preserve"> a celor provizorii ale companiilor de stat clasificate în administrația publică, deficitul rezultat (date semifinale) conform metodologiei ESA 2010 fiind de </w:t>
      </w:r>
      <w:r w:rsidR="003B4BAF" w:rsidRPr="006B2701">
        <w:rPr>
          <w:rFonts w:ascii="Tahoma" w:hAnsi="Tahoma" w:cs="Tahoma"/>
          <w:color w:val="000000"/>
          <w:sz w:val="24"/>
          <w:szCs w:val="24"/>
          <w:lang w:val="ro-RO"/>
        </w:rPr>
        <w:t>6,2</w:t>
      </w:r>
      <w:r w:rsidRPr="006B2701">
        <w:rPr>
          <w:rFonts w:ascii="Tahoma" w:hAnsi="Tahoma" w:cs="Tahoma"/>
          <w:color w:val="000000"/>
          <w:sz w:val="24"/>
          <w:szCs w:val="24"/>
          <w:lang w:val="ro-RO"/>
        </w:rPr>
        <w:t>% din PIB</w:t>
      </w:r>
      <w:r w:rsidR="00C506BB" w:rsidRPr="006B2701">
        <w:rPr>
          <w:rFonts w:ascii="Tahoma" w:hAnsi="Tahoma" w:cs="Tahoma"/>
          <w:color w:val="000000"/>
          <w:sz w:val="24"/>
          <w:szCs w:val="24"/>
          <w:lang w:val="ro-RO"/>
        </w:rPr>
        <w:t>.</w:t>
      </w:r>
      <w:r w:rsidRPr="006B2701">
        <w:rPr>
          <w:rFonts w:ascii="Tahoma" w:hAnsi="Tahoma" w:cs="Tahoma"/>
          <w:color w:val="000000"/>
          <w:sz w:val="24"/>
          <w:szCs w:val="24"/>
          <w:lang w:val="ro-RO"/>
        </w:rPr>
        <w:t xml:space="preserve"> </w:t>
      </w:r>
    </w:p>
    <w:p w14:paraId="0C1648B5" w14:textId="49223752" w:rsidR="000F5753" w:rsidRPr="006B2701" w:rsidRDefault="00BA5E33" w:rsidP="00350347">
      <w:pPr>
        <w:keepNext/>
        <w:keepLines/>
        <w:spacing w:after="240" w:line="276" w:lineRule="auto"/>
        <w:jc w:val="both"/>
        <w:rPr>
          <w:rFonts w:ascii="Tahoma" w:hAnsi="Tahoma" w:cs="Tahoma"/>
          <w:color w:val="000000"/>
          <w:sz w:val="24"/>
          <w:szCs w:val="24"/>
          <w:lang w:val="ro-RO"/>
        </w:rPr>
      </w:pPr>
      <w:r w:rsidRPr="006B2701">
        <w:rPr>
          <w:rFonts w:ascii="Tahoma" w:hAnsi="Tahoma" w:cs="Tahoma"/>
          <w:color w:val="000000"/>
          <w:sz w:val="24"/>
          <w:szCs w:val="24"/>
          <w:lang w:val="ro-RO"/>
        </w:rPr>
        <w:t xml:space="preserve">Comparativ cu anul </w:t>
      </w:r>
      <w:r w:rsidR="0060546F" w:rsidRPr="006B2701">
        <w:rPr>
          <w:rFonts w:ascii="Tahoma" w:hAnsi="Tahoma" w:cs="Tahoma"/>
          <w:color w:val="000000"/>
          <w:sz w:val="24"/>
          <w:szCs w:val="24"/>
          <w:lang w:val="ro-RO"/>
        </w:rPr>
        <w:t>20</w:t>
      </w:r>
      <w:r w:rsidR="005C6831" w:rsidRPr="006B2701">
        <w:rPr>
          <w:rFonts w:ascii="Tahoma" w:hAnsi="Tahoma" w:cs="Tahoma"/>
          <w:color w:val="000000"/>
          <w:sz w:val="24"/>
          <w:szCs w:val="24"/>
          <w:lang w:val="ro-RO"/>
        </w:rPr>
        <w:t>2</w:t>
      </w:r>
      <w:r w:rsidR="003B4BAF" w:rsidRPr="006B2701">
        <w:rPr>
          <w:rFonts w:ascii="Tahoma" w:hAnsi="Tahoma" w:cs="Tahoma"/>
          <w:color w:val="000000"/>
          <w:sz w:val="24"/>
          <w:szCs w:val="24"/>
          <w:lang w:val="ro-RO"/>
        </w:rPr>
        <w:t>1</w:t>
      </w:r>
      <w:r w:rsidR="0060546F" w:rsidRPr="006B2701">
        <w:rPr>
          <w:rFonts w:ascii="Tahoma" w:hAnsi="Tahoma" w:cs="Tahoma"/>
          <w:color w:val="000000"/>
          <w:sz w:val="24"/>
          <w:szCs w:val="24"/>
          <w:lang w:val="ro-RO"/>
        </w:rPr>
        <w:t xml:space="preserve"> </w:t>
      </w:r>
      <w:r w:rsidRPr="006B2701">
        <w:rPr>
          <w:rFonts w:ascii="Tahoma" w:hAnsi="Tahoma" w:cs="Tahoma"/>
          <w:color w:val="000000"/>
          <w:sz w:val="24"/>
          <w:szCs w:val="24"/>
          <w:lang w:val="ro-RO"/>
        </w:rPr>
        <w:t xml:space="preserve">deficitul calculat conform metodologiei ESA 2010 în anul </w:t>
      </w:r>
      <w:r w:rsidR="005C6831" w:rsidRPr="006B2701">
        <w:rPr>
          <w:rFonts w:ascii="Tahoma" w:hAnsi="Tahoma" w:cs="Tahoma"/>
          <w:color w:val="000000"/>
          <w:sz w:val="24"/>
          <w:szCs w:val="24"/>
          <w:lang w:val="ro-RO"/>
        </w:rPr>
        <w:t>202</w:t>
      </w:r>
      <w:r w:rsidR="003B4BAF" w:rsidRPr="006B2701">
        <w:rPr>
          <w:rFonts w:ascii="Tahoma" w:hAnsi="Tahoma" w:cs="Tahoma"/>
          <w:color w:val="000000"/>
          <w:sz w:val="24"/>
          <w:szCs w:val="24"/>
          <w:lang w:val="ro-RO"/>
        </w:rPr>
        <w:t>2</w:t>
      </w:r>
      <w:r w:rsidR="005C6831" w:rsidRPr="006B2701">
        <w:rPr>
          <w:rFonts w:ascii="Tahoma" w:hAnsi="Tahoma" w:cs="Tahoma"/>
          <w:color w:val="000000"/>
          <w:sz w:val="24"/>
          <w:szCs w:val="24"/>
          <w:lang w:val="ro-RO"/>
        </w:rPr>
        <w:t xml:space="preserve"> </w:t>
      </w:r>
      <w:r w:rsidR="0029694E" w:rsidRPr="006B2701">
        <w:rPr>
          <w:rFonts w:ascii="Tahoma" w:hAnsi="Tahoma" w:cs="Tahoma"/>
          <w:color w:val="000000"/>
          <w:sz w:val="24"/>
          <w:szCs w:val="24"/>
          <w:lang w:val="ro-RO"/>
        </w:rPr>
        <w:t xml:space="preserve">s-a redus </w:t>
      </w:r>
      <w:r w:rsidR="009539B5" w:rsidRPr="006B2701">
        <w:rPr>
          <w:rFonts w:ascii="Tahoma" w:hAnsi="Tahoma" w:cs="Tahoma"/>
          <w:color w:val="000000"/>
          <w:sz w:val="24"/>
          <w:szCs w:val="24"/>
          <w:lang w:val="ro-RO"/>
        </w:rPr>
        <w:t xml:space="preserve">cu </w:t>
      </w:r>
      <w:r w:rsidR="003B4BAF" w:rsidRPr="006B2701">
        <w:rPr>
          <w:rFonts w:ascii="Tahoma" w:hAnsi="Tahoma" w:cs="Tahoma"/>
          <w:color w:val="000000"/>
          <w:sz w:val="24"/>
          <w:szCs w:val="24"/>
          <w:lang w:val="ro-RO"/>
        </w:rPr>
        <w:t>0,9</w:t>
      </w:r>
      <w:r w:rsidR="00FE36A2" w:rsidRPr="006B2701">
        <w:rPr>
          <w:rFonts w:ascii="Tahoma" w:hAnsi="Tahoma" w:cs="Tahoma"/>
          <w:color w:val="000000"/>
          <w:sz w:val="24"/>
          <w:szCs w:val="24"/>
          <w:lang w:val="ro-RO"/>
        </w:rPr>
        <w:t xml:space="preserve"> puncte procentuale </w:t>
      </w:r>
      <w:r w:rsidRPr="006B2701">
        <w:rPr>
          <w:rFonts w:ascii="Tahoma" w:hAnsi="Tahoma" w:cs="Tahoma"/>
          <w:color w:val="000000"/>
          <w:sz w:val="24"/>
          <w:szCs w:val="24"/>
          <w:lang w:val="ro-RO"/>
        </w:rPr>
        <w:t xml:space="preserve">de la </w:t>
      </w:r>
      <w:r w:rsidR="003B4BAF" w:rsidRPr="006B2701">
        <w:rPr>
          <w:rFonts w:ascii="Tahoma" w:hAnsi="Tahoma" w:cs="Tahoma"/>
          <w:color w:val="000000"/>
          <w:sz w:val="24"/>
          <w:szCs w:val="24"/>
          <w:lang w:val="ro-RO"/>
        </w:rPr>
        <w:t>7,1</w:t>
      </w:r>
      <w:r w:rsidRPr="006B2701">
        <w:rPr>
          <w:rFonts w:ascii="Tahoma" w:hAnsi="Tahoma" w:cs="Tahoma"/>
          <w:color w:val="000000"/>
          <w:sz w:val="24"/>
          <w:szCs w:val="24"/>
          <w:lang w:val="ro-RO"/>
        </w:rPr>
        <w:t xml:space="preserve">% din PIB în </w:t>
      </w:r>
      <w:r w:rsidR="0029694E" w:rsidRPr="006B2701">
        <w:rPr>
          <w:rFonts w:ascii="Tahoma" w:hAnsi="Tahoma" w:cs="Tahoma"/>
          <w:color w:val="000000"/>
          <w:sz w:val="24"/>
          <w:szCs w:val="24"/>
          <w:lang w:val="ro-RO"/>
        </w:rPr>
        <w:t>202</w:t>
      </w:r>
      <w:r w:rsidR="003B4BAF" w:rsidRPr="006B2701">
        <w:rPr>
          <w:rFonts w:ascii="Tahoma" w:hAnsi="Tahoma" w:cs="Tahoma"/>
          <w:color w:val="000000"/>
          <w:sz w:val="24"/>
          <w:szCs w:val="24"/>
          <w:lang w:val="ro-RO"/>
        </w:rPr>
        <w:t>1</w:t>
      </w:r>
      <w:r w:rsidR="0029694E" w:rsidRPr="006B2701">
        <w:rPr>
          <w:rFonts w:ascii="Tahoma" w:hAnsi="Tahoma" w:cs="Tahoma"/>
          <w:color w:val="000000"/>
          <w:sz w:val="24"/>
          <w:szCs w:val="24"/>
          <w:lang w:val="ro-RO"/>
        </w:rPr>
        <w:t xml:space="preserve"> </w:t>
      </w:r>
      <w:r w:rsidRPr="006B2701">
        <w:rPr>
          <w:rFonts w:ascii="Tahoma" w:hAnsi="Tahoma" w:cs="Tahoma"/>
          <w:color w:val="000000"/>
          <w:sz w:val="24"/>
          <w:szCs w:val="24"/>
          <w:lang w:val="ro-RO"/>
        </w:rPr>
        <w:t xml:space="preserve">la </w:t>
      </w:r>
      <w:r w:rsidR="003B4BAF" w:rsidRPr="006B2701">
        <w:rPr>
          <w:rFonts w:ascii="Tahoma" w:hAnsi="Tahoma" w:cs="Tahoma"/>
          <w:color w:val="000000"/>
          <w:sz w:val="24"/>
          <w:szCs w:val="24"/>
          <w:lang w:val="ro-RO"/>
        </w:rPr>
        <w:t>6,2</w:t>
      </w:r>
      <w:r w:rsidR="00A83E86" w:rsidRPr="006B2701">
        <w:rPr>
          <w:rFonts w:ascii="Tahoma" w:hAnsi="Tahoma" w:cs="Tahoma"/>
          <w:color w:val="000000"/>
          <w:sz w:val="24"/>
          <w:szCs w:val="24"/>
          <w:lang w:val="ro-RO"/>
        </w:rPr>
        <w:t>%</w:t>
      </w:r>
      <w:r w:rsidRPr="006B2701">
        <w:rPr>
          <w:rFonts w:ascii="Tahoma" w:hAnsi="Tahoma" w:cs="Tahoma"/>
          <w:color w:val="000000"/>
          <w:sz w:val="24"/>
          <w:szCs w:val="24"/>
          <w:lang w:val="ro-RO"/>
        </w:rPr>
        <w:t xml:space="preserve"> din PIB în </w:t>
      </w:r>
      <w:r w:rsidR="0029694E" w:rsidRPr="006B2701">
        <w:rPr>
          <w:rFonts w:ascii="Tahoma" w:hAnsi="Tahoma" w:cs="Tahoma"/>
          <w:color w:val="000000"/>
          <w:sz w:val="24"/>
          <w:szCs w:val="24"/>
          <w:lang w:val="ro-RO"/>
        </w:rPr>
        <w:t>202</w:t>
      </w:r>
      <w:r w:rsidR="003B4BAF" w:rsidRPr="006B2701">
        <w:rPr>
          <w:rFonts w:ascii="Tahoma" w:hAnsi="Tahoma" w:cs="Tahoma"/>
          <w:color w:val="000000"/>
          <w:sz w:val="24"/>
          <w:szCs w:val="24"/>
          <w:lang w:val="ro-RO"/>
        </w:rPr>
        <w:t>2</w:t>
      </w:r>
      <w:r w:rsidR="00A83E86" w:rsidRPr="006B2701">
        <w:rPr>
          <w:rFonts w:ascii="Tahoma" w:hAnsi="Tahoma" w:cs="Tahoma"/>
          <w:color w:val="000000"/>
          <w:sz w:val="24"/>
          <w:szCs w:val="24"/>
          <w:lang w:val="ro-RO"/>
        </w:rPr>
        <w:t>.</w:t>
      </w:r>
    </w:p>
    <w:p w14:paraId="4DEFFD54" w14:textId="3CF51359" w:rsidR="00BA5E33" w:rsidRPr="006B2701" w:rsidRDefault="00BA5E33" w:rsidP="00104228">
      <w:pPr>
        <w:keepNext/>
        <w:keepLines/>
        <w:spacing w:line="276" w:lineRule="auto"/>
        <w:jc w:val="center"/>
        <w:rPr>
          <w:rFonts w:ascii="Tahoma" w:hAnsi="Tahoma" w:cs="Tahoma"/>
          <w:b/>
          <w:bCs/>
          <w:sz w:val="24"/>
          <w:szCs w:val="24"/>
          <w:lang w:val="ro-RO"/>
        </w:rPr>
      </w:pPr>
      <w:r w:rsidRPr="006B2701">
        <w:rPr>
          <w:rFonts w:ascii="Tahoma" w:hAnsi="Tahoma" w:cs="Tahoma"/>
          <w:b/>
          <w:bCs/>
          <w:sz w:val="24"/>
          <w:szCs w:val="24"/>
          <w:lang w:val="ro-RO"/>
        </w:rPr>
        <w:t>Deficitul administrației publice generale conform ESA 2010</w:t>
      </w:r>
    </w:p>
    <w:p w14:paraId="20F3FEE6" w14:textId="77777777" w:rsidR="003B4BAF" w:rsidRPr="006B2701" w:rsidRDefault="003B4BAF" w:rsidP="00104228">
      <w:pPr>
        <w:keepNext/>
        <w:keepLines/>
        <w:spacing w:line="276" w:lineRule="auto"/>
        <w:jc w:val="center"/>
        <w:rPr>
          <w:rFonts w:ascii="Tahoma" w:hAnsi="Tahoma" w:cs="Tahoma"/>
          <w:b/>
          <w:bCs/>
          <w:sz w:val="24"/>
          <w:szCs w:val="24"/>
          <w:lang w:val="ro-RO"/>
        </w:rPr>
      </w:pPr>
    </w:p>
    <w:p w14:paraId="1C8E080E" w14:textId="2670723B" w:rsidR="00BB25B4" w:rsidRPr="006B2701" w:rsidRDefault="0073616C" w:rsidP="003B4BAF">
      <w:pPr>
        <w:keepNext/>
        <w:keepLines/>
        <w:spacing w:line="276" w:lineRule="auto"/>
        <w:rPr>
          <w:rFonts w:ascii="Tahoma" w:hAnsi="Tahoma" w:cs="Tahoma"/>
          <w:b/>
          <w:bCs/>
          <w:sz w:val="24"/>
          <w:szCs w:val="24"/>
          <w:lang w:val="ro-RO"/>
        </w:rPr>
      </w:pPr>
      <w:r>
        <w:rPr>
          <w:rFonts w:ascii="Tahoma" w:hAnsi="Tahoma" w:cs="Tahoma"/>
          <w:b/>
          <w:bCs/>
          <w:sz w:val="24"/>
          <w:szCs w:val="24"/>
          <w:lang w:val="ro-RO"/>
        </w:rPr>
        <w:pict w14:anchorId="037479C7">
          <v:shape id="_x0000_i1027" type="#_x0000_t75" style="width:481.6pt;height:78.1pt">
            <v:imagedata r:id="rId9" o:title=""/>
          </v:shape>
        </w:pict>
      </w:r>
    </w:p>
    <w:p w14:paraId="54BE4258" w14:textId="54388560" w:rsidR="00DC18DB" w:rsidRPr="006B2701" w:rsidRDefault="00E60C59" w:rsidP="00104228">
      <w:pPr>
        <w:keepNext/>
        <w:keepLines/>
        <w:spacing w:line="276" w:lineRule="auto"/>
        <w:jc w:val="center"/>
        <w:rPr>
          <w:rFonts w:ascii="Tahoma" w:hAnsi="Tahoma" w:cs="Tahoma"/>
          <w:b/>
          <w:bCs/>
          <w:sz w:val="24"/>
          <w:szCs w:val="24"/>
          <w:lang w:val="ro-RO"/>
        </w:rPr>
      </w:pPr>
      <w:r w:rsidRPr="006B2701">
        <w:rPr>
          <w:rFonts w:ascii="Tahoma" w:hAnsi="Tahoma" w:cs="Tahoma"/>
          <w:lang w:val="ro-RO"/>
        </w:rPr>
        <w:t xml:space="preserve"> </w:t>
      </w:r>
    </w:p>
    <w:p w14:paraId="69503001" w14:textId="4759BB16" w:rsidR="0005167E" w:rsidRPr="006B2701" w:rsidRDefault="002C084E" w:rsidP="00E260F9">
      <w:pPr>
        <w:keepNext/>
        <w:keepLines/>
        <w:spacing w:after="120" w:line="276" w:lineRule="auto"/>
        <w:jc w:val="both"/>
        <w:rPr>
          <w:rFonts w:ascii="Tahoma" w:hAnsi="Tahoma" w:cs="Tahoma"/>
          <w:bCs/>
          <w:sz w:val="24"/>
          <w:szCs w:val="24"/>
          <w:lang w:val="ro-RO"/>
        </w:rPr>
      </w:pPr>
      <w:r w:rsidRPr="006B2701">
        <w:rPr>
          <w:rFonts w:ascii="Tahoma" w:hAnsi="Tahoma" w:cs="Tahoma"/>
          <w:bCs/>
          <w:sz w:val="24"/>
          <w:szCs w:val="24"/>
          <w:lang w:val="ro-RO"/>
        </w:rPr>
        <w:t xml:space="preserve">Deficitul bugetar calculat conform metodologiei europene s-a situat </w:t>
      </w:r>
      <w:r w:rsidR="00E60C59" w:rsidRPr="006B2701">
        <w:rPr>
          <w:rFonts w:ascii="Tahoma" w:hAnsi="Tahoma" w:cs="Tahoma"/>
          <w:bCs/>
          <w:sz w:val="24"/>
          <w:szCs w:val="24"/>
          <w:lang w:val="ro-RO"/>
        </w:rPr>
        <w:t>peste</w:t>
      </w:r>
      <w:r w:rsidR="0060546F" w:rsidRPr="006B2701">
        <w:rPr>
          <w:rFonts w:ascii="Tahoma" w:hAnsi="Tahoma" w:cs="Tahoma"/>
          <w:bCs/>
          <w:sz w:val="24"/>
          <w:szCs w:val="24"/>
          <w:lang w:val="ro-RO"/>
        </w:rPr>
        <w:t xml:space="preserve"> </w:t>
      </w:r>
      <w:r w:rsidRPr="006B2701">
        <w:rPr>
          <w:rFonts w:ascii="Tahoma" w:hAnsi="Tahoma" w:cs="Tahoma"/>
          <w:bCs/>
          <w:sz w:val="24"/>
          <w:szCs w:val="24"/>
          <w:lang w:val="ro-RO"/>
        </w:rPr>
        <w:t xml:space="preserve">limita nivelului de referință a Pactului de Stabilitate și Creștere, înregistrând un nivelul de </w:t>
      </w:r>
      <w:r w:rsidR="003B4BAF" w:rsidRPr="006B2701">
        <w:rPr>
          <w:rFonts w:ascii="Tahoma" w:hAnsi="Tahoma" w:cs="Tahoma"/>
          <w:bCs/>
          <w:sz w:val="24"/>
          <w:szCs w:val="24"/>
          <w:lang w:val="ro-RO"/>
        </w:rPr>
        <w:t>6,2</w:t>
      </w:r>
      <w:r w:rsidRPr="006B2701">
        <w:rPr>
          <w:rFonts w:ascii="Tahoma" w:hAnsi="Tahoma" w:cs="Tahoma"/>
          <w:bCs/>
          <w:sz w:val="24"/>
          <w:szCs w:val="24"/>
          <w:lang w:val="ro-RO"/>
        </w:rPr>
        <w:t xml:space="preserve">% din PIB în anul </w:t>
      </w:r>
      <w:r w:rsidR="0029694E" w:rsidRPr="006B2701">
        <w:rPr>
          <w:rFonts w:ascii="Tahoma" w:hAnsi="Tahoma" w:cs="Tahoma"/>
          <w:bCs/>
          <w:sz w:val="24"/>
          <w:szCs w:val="24"/>
          <w:lang w:val="ro-RO"/>
        </w:rPr>
        <w:t>202</w:t>
      </w:r>
      <w:r w:rsidR="003B4BAF" w:rsidRPr="006B2701">
        <w:rPr>
          <w:rFonts w:ascii="Tahoma" w:hAnsi="Tahoma" w:cs="Tahoma"/>
          <w:bCs/>
          <w:sz w:val="24"/>
          <w:szCs w:val="24"/>
          <w:lang w:val="ro-RO"/>
        </w:rPr>
        <w:t>2</w:t>
      </w:r>
      <w:r w:rsidRPr="006B2701">
        <w:rPr>
          <w:rFonts w:ascii="Tahoma" w:hAnsi="Tahoma" w:cs="Tahoma"/>
          <w:bCs/>
          <w:sz w:val="24"/>
          <w:szCs w:val="24"/>
          <w:lang w:val="ro-RO"/>
        </w:rPr>
        <w:t xml:space="preserve">. </w:t>
      </w:r>
    </w:p>
    <w:p w14:paraId="5C67BA9F" w14:textId="011FA56B" w:rsidR="005A5FEC" w:rsidRPr="006B2701" w:rsidRDefault="005A5FEC" w:rsidP="00E260F9">
      <w:pPr>
        <w:keepNext/>
        <w:keepLines/>
        <w:spacing w:after="120" w:line="276" w:lineRule="auto"/>
        <w:jc w:val="both"/>
        <w:rPr>
          <w:rFonts w:ascii="Tahoma" w:hAnsi="Tahoma" w:cs="Tahoma"/>
          <w:color w:val="000000"/>
          <w:sz w:val="24"/>
          <w:szCs w:val="24"/>
          <w:lang w:val="ro-RO"/>
        </w:rPr>
      </w:pPr>
      <w:r w:rsidRPr="006B2701">
        <w:rPr>
          <w:rFonts w:ascii="Tahoma" w:hAnsi="Tahoma" w:cs="Tahoma"/>
          <w:color w:val="000000"/>
          <w:sz w:val="24"/>
          <w:szCs w:val="24"/>
          <w:lang w:val="ro-RO"/>
        </w:rPr>
        <w:t xml:space="preserve">Deficitul bugetar aferent anului </w:t>
      </w:r>
      <w:r w:rsidR="0029694E" w:rsidRPr="006B2701">
        <w:rPr>
          <w:rFonts w:ascii="Tahoma" w:hAnsi="Tahoma" w:cs="Tahoma"/>
          <w:color w:val="000000"/>
          <w:sz w:val="24"/>
          <w:szCs w:val="24"/>
          <w:lang w:val="ro-RO"/>
        </w:rPr>
        <w:t>202</w:t>
      </w:r>
      <w:r w:rsidR="003B4BAF" w:rsidRPr="006B2701">
        <w:rPr>
          <w:rFonts w:ascii="Tahoma" w:hAnsi="Tahoma" w:cs="Tahoma"/>
          <w:color w:val="000000"/>
          <w:sz w:val="24"/>
          <w:szCs w:val="24"/>
          <w:lang w:val="ro-RO"/>
        </w:rPr>
        <w:t>2</w:t>
      </w:r>
      <w:r w:rsidR="0029694E" w:rsidRPr="006B2701">
        <w:rPr>
          <w:rFonts w:ascii="Tahoma" w:hAnsi="Tahoma" w:cs="Tahoma"/>
          <w:color w:val="000000"/>
          <w:sz w:val="24"/>
          <w:szCs w:val="24"/>
          <w:lang w:val="ro-RO"/>
        </w:rPr>
        <w:t xml:space="preserve"> </w:t>
      </w:r>
      <w:r w:rsidRPr="006B2701">
        <w:rPr>
          <w:rFonts w:ascii="Tahoma" w:hAnsi="Tahoma" w:cs="Tahoma"/>
          <w:color w:val="000000"/>
          <w:sz w:val="24"/>
          <w:szCs w:val="24"/>
          <w:lang w:val="ro-RO"/>
        </w:rPr>
        <w:t xml:space="preserve">s-a situat peste media deficitului bugetar pentru zona euro de </w:t>
      </w:r>
      <w:r w:rsidR="003B4BAF" w:rsidRPr="006B2701">
        <w:rPr>
          <w:rFonts w:ascii="Tahoma" w:hAnsi="Tahoma" w:cs="Tahoma"/>
          <w:color w:val="000000"/>
          <w:sz w:val="24"/>
          <w:szCs w:val="24"/>
          <w:lang w:val="ro-RO"/>
        </w:rPr>
        <w:t>3,6</w:t>
      </w:r>
      <w:r w:rsidRPr="006B2701">
        <w:rPr>
          <w:rFonts w:ascii="Tahoma" w:hAnsi="Tahoma" w:cs="Tahoma"/>
          <w:color w:val="000000"/>
          <w:sz w:val="24"/>
          <w:szCs w:val="24"/>
          <w:lang w:val="ro-RO"/>
        </w:rPr>
        <w:t xml:space="preserve">% din PIB </w:t>
      </w:r>
      <w:r w:rsidR="004B07C5" w:rsidRPr="006B2701">
        <w:rPr>
          <w:rFonts w:ascii="Tahoma" w:hAnsi="Tahoma" w:cs="Tahoma"/>
          <w:color w:val="000000"/>
          <w:sz w:val="24"/>
          <w:szCs w:val="24"/>
          <w:lang w:val="ro-RO"/>
        </w:rPr>
        <w:t>și</w:t>
      </w:r>
      <w:r w:rsidRPr="006B2701">
        <w:rPr>
          <w:rFonts w:ascii="Tahoma" w:hAnsi="Tahoma" w:cs="Tahoma"/>
          <w:color w:val="000000"/>
          <w:sz w:val="24"/>
          <w:szCs w:val="24"/>
          <w:lang w:val="ro-RO"/>
        </w:rPr>
        <w:t xml:space="preserve"> pentru UE2</w:t>
      </w:r>
      <w:r w:rsidR="00E60C59" w:rsidRPr="006B2701">
        <w:rPr>
          <w:rFonts w:ascii="Tahoma" w:hAnsi="Tahoma" w:cs="Tahoma"/>
          <w:color w:val="000000"/>
          <w:sz w:val="24"/>
          <w:szCs w:val="24"/>
          <w:lang w:val="ro-RO"/>
        </w:rPr>
        <w:t>7</w:t>
      </w:r>
      <w:r w:rsidRPr="006B2701">
        <w:rPr>
          <w:rFonts w:ascii="Tahoma" w:hAnsi="Tahoma" w:cs="Tahoma"/>
          <w:color w:val="000000"/>
          <w:sz w:val="24"/>
          <w:szCs w:val="24"/>
          <w:lang w:val="ro-RO"/>
        </w:rPr>
        <w:t xml:space="preserve"> de </w:t>
      </w:r>
      <w:r w:rsidR="003B4BAF" w:rsidRPr="006B2701">
        <w:rPr>
          <w:rFonts w:ascii="Tahoma" w:hAnsi="Tahoma" w:cs="Tahoma"/>
          <w:color w:val="000000"/>
          <w:sz w:val="24"/>
          <w:szCs w:val="24"/>
          <w:lang w:val="ro-RO"/>
        </w:rPr>
        <w:t>3,4</w:t>
      </w:r>
      <w:r w:rsidRPr="006B2701">
        <w:rPr>
          <w:rFonts w:ascii="Tahoma" w:hAnsi="Tahoma" w:cs="Tahoma"/>
          <w:color w:val="000000"/>
          <w:sz w:val="24"/>
          <w:szCs w:val="24"/>
          <w:lang w:val="ro-RO"/>
        </w:rPr>
        <w:t>% din PIB.</w:t>
      </w:r>
    </w:p>
    <w:p w14:paraId="14E53CD1" w14:textId="3B75EC92" w:rsidR="00D52D53" w:rsidRPr="006B2701" w:rsidRDefault="005A5FEC" w:rsidP="00E260F9">
      <w:pPr>
        <w:keepNext/>
        <w:keepLines/>
        <w:spacing w:after="120" w:line="276" w:lineRule="auto"/>
        <w:jc w:val="both"/>
        <w:rPr>
          <w:rFonts w:ascii="Tahoma" w:hAnsi="Tahoma" w:cs="Tahoma"/>
          <w:bCs/>
          <w:color w:val="000000"/>
          <w:sz w:val="24"/>
          <w:szCs w:val="24"/>
          <w:lang w:val="ro-RO"/>
        </w:rPr>
      </w:pPr>
      <w:r w:rsidRPr="006B2701">
        <w:rPr>
          <w:rFonts w:ascii="Tahoma" w:hAnsi="Tahoma" w:cs="Tahoma"/>
          <w:bCs/>
          <w:color w:val="000000"/>
          <w:sz w:val="24"/>
          <w:szCs w:val="24"/>
          <w:lang w:val="ro-RO"/>
        </w:rPr>
        <w:t>Conform datelor publicate de EUROSTAT</w:t>
      </w:r>
      <w:r w:rsidRPr="006B2701">
        <w:rPr>
          <w:rStyle w:val="FootnoteReference"/>
          <w:rFonts w:ascii="Tahoma" w:hAnsi="Tahoma" w:cs="Tahoma"/>
          <w:bCs/>
          <w:color w:val="000000"/>
          <w:sz w:val="24"/>
          <w:szCs w:val="24"/>
          <w:lang w:val="ro-RO"/>
        </w:rPr>
        <w:footnoteReference w:id="1"/>
      </w:r>
      <w:r w:rsidRPr="006B2701">
        <w:rPr>
          <w:rFonts w:ascii="Tahoma" w:hAnsi="Tahoma" w:cs="Tahoma"/>
          <w:bCs/>
          <w:color w:val="000000"/>
          <w:sz w:val="24"/>
          <w:szCs w:val="24"/>
          <w:lang w:val="ro-RO"/>
        </w:rPr>
        <w:t xml:space="preserve"> </w:t>
      </w:r>
      <w:r w:rsidR="003B4BAF" w:rsidRPr="006B2701">
        <w:rPr>
          <w:rFonts w:ascii="Tahoma" w:hAnsi="Tahoma" w:cs="Tahoma"/>
          <w:bCs/>
          <w:color w:val="000000"/>
          <w:sz w:val="24"/>
          <w:szCs w:val="24"/>
          <w:lang w:val="ro-RO"/>
        </w:rPr>
        <w:t>dou</w:t>
      </w:r>
      <w:r w:rsidR="00E260F9" w:rsidRPr="006B2701">
        <w:rPr>
          <w:rFonts w:ascii="Tahoma" w:hAnsi="Tahoma" w:cs="Tahoma"/>
          <w:bCs/>
          <w:color w:val="000000"/>
          <w:sz w:val="24"/>
          <w:szCs w:val="24"/>
          <w:lang w:val="ro-RO"/>
        </w:rPr>
        <w:t>ă</w:t>
      </w:r>
      <w:r w:rsidR="003B4BAF" w:rsidRPr="006B2701">
        <w:rPr>
          <w:rFonts w:ascii="Tahoma" w:hAnsi="Tahoma" w:cs="Tahoma"/>
          <w:bCs/>
          <w:color w:val="000000"/>
          <w:sz w:val="24"/>
          <w:szCs w:val="24"/>
          <w:lang w:val="ro-RO"/>
        </w:rPr>
        <w:t>zeci de state membre</w:t>
      </w:r>
      <w:r w:rsidR="00F925FA" w:rsidRPr="006B2701">
        <w:rPr>
          <w:rFonts w:ascii="Tahoma" w:hAnsi="Tahoma" w:cs="Tahoma"/>
          <w:bCs/>
          <w:color w:val="000000"/>
          <w:sz w:val="24"/>
          <w:szCs w:val="24"/>
          <w:lang w:val="ro-RO"/>
        </w:rPr>
        <w:t xml:space="preserve"> au înregistrat în anul </w:t>
      </w:r>
      <w:r w:rsidR="0029694E" w:rsidRPr="006B2701">
        <w:rPr>
          <w:rFonts w:ascii="Tahoma" w:hAnsi="Tahoma" w:cs="Tahoma"/>
          <w:bCs/>
          <w:color w:val="000000"/>
          <w:sz w:val="24"/>
          <w:szCs w:val="24"/>
          <w:lang w:val="ro-RO"/>
        </w:rPr>
        <w:t>202</w:t>
      </w:r>
      <w:r w:rsidR="003B4BAF" w:rsidRPr="006B2701">
        <w:rPr>
          <w:rFonts w:ascii="Tahoma" w:hAnsi="Tahoma" w:cs="Tahoma"/>
          <w:bCs/>
          <w:color w:val="000000"/>
          <w:sz w:val="24"/>
          <w:szCs w:val="24"/>
          <w:lang w:val="ro-RO"/>
        </w:rPr>
        <w:t>2</w:t>
      </w:r>
      <w:r w:rsidR="0029694E" w:rsidRPr="006B2701">
        <w:rPr>
          <w:rFonts w:ascii="Tahoma" w:hAnsi="Tahoma" w:cs="Tahoma"/>
          <w:bCs/>
          <w:color w:val="000000"/>
          <w:sz w:val="24"/>
          <w:szCs w:val="24"/>
          <w:lang w:val="ro-RO"/>
        </w:rPr>
        <w:t xml:space="preserve"> </w:t>
      </w:r>
      <w:r w:rsidR="00F925FA" w:rsidRPr="006B2701">
        <w:rPr>
          <w:rFonts w:ascii="Tahoma" w:hAnsi="Tahoma" w:cs="Tahoma"/>
          <w:bCs/>
          <w:color w:val="000000"/>
          <w:sz w:val="24"/>
          <w:szCs w:val="24"/>
          <w:lang w:val="ro-RO"/>
        </w:rPr>
        <w:t>deficit bugetar</w:t>
      </w:r>
      <w:r w:rsidR="0029694E" w:rsidRPr="006B2701">
        <w:rPr>
          <w:rFonts w:ascii="Tahoma" w:hAnsi="Tahoma" w:cs="Tahoma"/>
          <w:bCs/>
          <w:color w:val="000000"/>
          <w:sz w:val="24"/>
          <w:szCs w:val="24"/>
          <w:lang w:val="ro-RO"/>
        </w:rPr>
        <w:t xml:space="preserve"> </w:t>
      </w:r>
      <w:r w:rsidR="00D63A88" w:rsidRPr="006B2701">
        <w:rPr>
          <w:rFonts w:ascii="Tahoma" w:hAnsi="Tahoma" w:cs="Tahoma"/>
          <w:bCs/>
          <w:color w:val="000000"/>
          <w:sz w:val="24"/>
          <w:szCs w:val="24"/>
          <w:lang w:val="ro-RO"/>
        </w:rPr>
        <w:t xml:space="preserve">dintre care unsprezece au raportat deficite de peste 3 % din PIB în timp ce șase state membre au raportat excedent bugetar și unul a raportat echilibru bugetar. </w:t>
      </w:r>
    </w:p>
    <w:p w14:paraId="52C34601" w14:textId="41971097" w:rsidR="00E607DD" w:rsidRPr="006B2701" w:rsidRDefault="00E607DD" w:rsidP="00A3236A">
      <w:pPr>
        <w:keepNext/>
        <w:keepLines/>
        <w:spacing w:after="240" w:line="276" w:lineRule="auto"/>
        <w:jc w:val="both"/>
        <w:rPr>
          <w:rFonts w:ascii="Tahoma" w:hAnsi="Tahoma" w:cs="Tahoma"/>
          <w:bCs/>
          <w:color w:val="000000"/>
          <w:sz w:val="24"/>
          <w:szCs w:val="24"/>
          <w:lang w:val="ro-RO"/>
        </w:rPr>
      </w:pPr>
      <w:r w:rsidRPr="006B2701">
        <w:rPr>
          <w:rFonts w:ascii="Tahoma" w:hAnsi="Tahoma" w:cs="Tahoma"/>
          <w:bCs/>
          <w:sz w:val="24"/>
          <w:szCs w:val="24"/>
          <w:lang w:val="ro-RO"/>
        </w:rPr>
        <w:t>D</w:t>
      </w:r>
      <w:r w:rsidR="00F925FA" w:rsidRPr="006B2701">
        <w:rPr>
          <w:rFonts w:ascii="Tahoma" w:hAnsi="Tahoma" w:cs="Tahoma"/>
          <w:bCs/>
          <w:sz w:val="24"/>
          <w:szCs w:val="24"/>
          <w:lang w:val="ro-RO"/>
        </w:rPr>
        <w:t xml:space="preserve">eficite </w:t>
      </w:r>
      <w:r w:rsidRPr="006B2701">
        <w:rPr>
          <w:rFonts w:ascii="Tahoma" w:hAnsi="Tahoma" w:cs="Tahoma"/>
          <w:bCs/>
          <w:sz w:val="24"/>
          <w:szCs w:val="24"/>
          <w:lang w:val="ro-RO"/>
        </w:rPr>
        <w:t xml:space="preserve">peste media europeană </w:t>
      </w:r>
      <w:r w:rsidR="00F925FA" w:rsidRPr="006B2701">
        <w:rPr>
          <w:rFonts w:ascii="Tahoma" w:hAnsi="Tahoma" w:cs="Tahoma"/>
          <w:bCs/>
          <w:sz w:val="24"/>
          <w:szCs w:val="24"/>
          <w:lang w:val="ro-RO"/>
        </w:rPr>
        <w:t xml:space="preserve">s-au înregistrat în </w:t>
      </w:r>
      <w:r w:rsidR="00644CF4" w:rsidRPr="006B2701">
        <w:rPr>
          <w:rFonts w:ascii="Tahoma" w:hAnsi="Tahoma" w:cs="Tahoma"/>
          <w:bCs/>
          <w:sz w:val="24"/>
          <w:szCs w:val="24"/>
          <w:lang w:val="ro-RO"/>
        </w:rPr>
        <w:t xml:space="preserve">Italia (-8,0%); România </w:t>
      </w:r>
      <w:r w:rsidR="00E260F9" w:rsidRPr="006B2701">
        <w:rPr>
          <w:rFonts w:ascii="Tahoma" w:hAnsi="Tahoma" w:cs="Tahoma"/>
          <w:bCs/>
          <w:sz w:val="24"/>
          <w:szCs w:val="24"/>
          <w:lang w:val="ro-RO"/>
        </w:rPr>
        <w:t xml:space="preserve">și Ungaria </w:t>
      </w:r>
      <w:r w:rsidR="00644CF4" w:rsidRPr="006B2701">
        <w:rPr>
          <w:rFonts w:ascii="Tahoma" w:hAnsi="Tahoma" w:cs="Tahoma"/>
          <w:bCs/>
          <w:sz w:val="24"/>
          <w:szCs w:val="24"/>
          <w:lang w:val="ro-RO"/>
        </w:rPr>
        <w:t xml:space="preserve">(-6,2%); </w:t>
      </w:r>
      <w:r w:rsidR="00F925FA" w:rsidRPr="006B2701">
        <w:rPr>
          <w:rFonts w:ascii="Tahoma" w:hAnsi="Tahoma" w:cs="Tahoma"/>
          <w:bCs/>
          <w:sz w:val="24"/>
          <w:szCs w:val="24"/>
          <w:lang w:val="ro-RO"/>
        </w:rPr>
        <w:t>Malta (-</w:t>
      </w:r>
      <w:r w:rsidR="00644CF4" w:rsidRPr="006B2701">
        <w:rPr>
          <w:rFonts w:ascii="Tahoma" w:hAnsi="Tahoma" w:cs="Tahoma"/>
          <w:bCs/>
          <w:sz w:val="24"/>
          <w:szCs w:val="24"/>
          <w:lang w:val="ro-RO"/>
        </w:rPr>
        <w:t>5,8</w:t>
      </w:r>
      <w:r w:rsidR="00F925FA" w:rsidRPr="006B2701">
        <w:rPr>
          <w:rFonts w:ascii="Tahoma" w:hAnsi="Tahoma" w:cs="Tahoma"/>
          <w:bCs/>
          <w:sz w:val="24"/>
          <w:szCs w:val="24"/>
          <w:lang w:val="ro-RO"/>
        </w:rPr>
        <w:t>%);</w:t>
      </w:r>
      <w:r w:rsidR="00644CF4" w:rsidRPr="006B2701">
        <w:rPr>
          <w:rFonts w:ascii="Tahoma" w:hAnsi="Tahoma" w:cs="Tahoma"/>
          <w:bCs/>
          <w:sz w:val="24"/>
          <w:szCs w:val="24"/>
          <w:lang w:val="ro-RO"/>
        </w:rPr>
        <w:t xml:space="preserve"> Spania (-4,8%); Franța (-4,7%);</w:t>
      </w:r>
      <w:r w:rsidR="00F925FA" w:rsidRPr="006B2701">
        <w:rPr>
          <w:rFonts w:ascii="Tahoma" w:hAnsi="Tahoma" w:cs="Tahoma"/>
          <w:bCs/>
          <w:sz w:val="24"/>
          <w:szCs w:val="24"/>
          <w:lang w:val="ro-RO"/>
        </w:rPr>
        <w:t xml:space="preserve"> </w:t>
      </w:r>
      <w:r w:rsidRPr="006B2701">
        <w:rPr>
          <w:rFonts w:ascii="Tahoma" w:hAnsi="Tahoma" w:cs="Tahoma"/>
          <w:bCs/>
          <w:sz w:val="24"/>
          <w:szCs w:val="24"/>
          <w:lang w:val="ro-RO"/>
        </w:rPr>
        <w:t>Letonia (-</w:t>
      </w:r>
      <w:r w:rsidR="00644CF4" w:rsidRPr="006B2701">
        <w:rPr>
          <w:rFonts w:ascii="Tahoma" w:hAnsi="Tahoma" w:cs="Tahoma"/>
          <w:bCs/>
          <w:sz w:val="24"/>
          <w:szCs w:val="24"/>
          <w:lang w:val="ro-RO"/>
        </w:rPr>
        <w:t>4,4</w:t>
      </w:r>
      <w:r w:rsidRPr="006B2701">
        <w:rPr>
          <w:rFonts w:ascii="Tahoma" w:hAnsi="Tahoma" w:cs="Tahoma"/>
          <w:bCs/>
          <w:sz w:val="24"/>
          <w:szCs w:val="24"/>
          <w:lang w:val="ro-RO"/>
        </w:rPr>
        <w:t>%);</w:t>
      </w:r>
      <w:r w:rsidR="00644CF4" w:rsidRPr="006B2701">
        <w:rPr>
          <w:rFonts w:ascii="Tahoma" w:hAnsi="Tahoma" w:cs="Tahoma"/>
          <w:bCs/>
          <w:sz w:val="24"/>
          <w:szCs w:val="24"/>
          <w:lang w:val="ro-RO"/>
        </w:rPr>
        <w:t xml:space="preserve"> Belgia</w:t>
      </w:r>
      <w:r w:rsidR="00E260F9" w:rsidRPr="006B2701">
        <w:rPr>
          <w:rFonts w:ascii="Tahoma" w:hAnsi="Tahoma" w:cs="Tahoma"/>
          <w:bCs/>
          <w:sz w:val="24"/>
          <w:szCs w:val="24"/>
          <w:lang w:val="ro-RO"/>
        </w:rPr>
        <w:t xml:space="preserve"> </w:t>
      </w:r>
      <w:r w:rsidR="00644CF4" w:rsidRPr="006B2701">
        <w:rPr>
          <w:rFonts w:ascii="Tahoma" w:hAnsi="Tahoma" w:cs="Tahoma"/>
          <w:bCs/>
          <w:sz w:val="24"/>
          <w:szCs w:val="24"/>
          <w:lang w:val="ro-RO"/>
        </w:rPr>
        <w:t>(-3,9%)</w:t>
      </w:r>
      <w:r w:rsidRPr="006B2701">
        <w:rPr>
          <w:rFonts w:ascii="Tahoma" w:hAnsi="Tahoma" w:cs="Tahoma"/>
          <w:bCs/>
          <w:sz w:val="24"/>
          <w:szCs w:val="24"/>
          <w:lang w:val="ro-RO"/>
        </w:rPr>
        <w:t xml:space="preserve">; </w:t>
      </w:r>
      <w:r w:rsidR="00644CF4" w:rsidRPr="006B2701">
        <w:rPr>
          <w:rFonts w:ascii="Tahoma" w:hAnsi="Tahoma" w:cs="Tahoma"/>
          <w:bCs/>
          <w:sz w:val="24"/>
          <w:szCs w:val="24"/>
          <w:lang w:val="ro-RO"/>
        </w:rPr>
        <w:t xml:space="preserve">Polonia (-3,7%) și Cehia (-3,6%). </w:t>
      </w:r>
      <w:r w:rsidRPr="006B2701">
        <w:rPr>
          <w:rFonts w:ascii="Tahoma" w:hAnsi="Tahoma" w:cs="Tahoma"/>
          <w:bCs/>
          <w:color w:val="000000"/>
          <w:sz w:val="24"/>
          <w:szCs w:val="24"/>
          <w:lang w:val="ro-RO"/>
        </w:rPr>
        <w:t xml:space="preserve">Deficite sub </w:t>
      </w:r>
      <w:r w:rsidR="00D52D53" w:rsidRPr="006B2701">
        <w:rPr>
          <w:rFonts w:ascii="Tahoma" w:hAnsi="Tahoma" w:cs="Tahoma"/>
          <w:bCs/>
          <w:color w:val="000000"/>
          <w:sz w:val="24"/>
          <w:szCs w:val="24"/>
          <w:lang w:val="ro-RO"/>
        </w:rPr>
        <w:t>3% din PIB</w:t>
      </w:r>
      <w:r w:rsidR="00E260F9" w:rsidRPr="006B2701">
        <w:rPr>
          <w:rFonts w:ascii="Tahoma" w:hAnsi="Tahoma" w:cs="Tahoma"/>
          <w:bCs/>
          <w:color w:val="000000"/>
          <w:sz w:val="24"/>
          <w:szCs w:val="24"/>
          <w:lang w:val="ro-RO"/>
        </w:rPr>
        <w:t>,</w:t>
      </w:r>
      <w:r w:rsidR="00D52D53" w:rsidRPr="006B2701">
        <w:rPr>
          <w:rFonts w:ascii="Tahoma" w:hAnsi="Tahoma" w:cs="Tahoma"/>
          <w:bCs/>
          <w:color w:val="000000"/>
          <w:sz w:val="24"/>
          <w:szCs w:val="24"/>
          <w:lang w:val="ro-RO"/>
        </w:rPr>
        <w:t xml:space="preserve"> în anul </w:t>
      </w:r>
      <w:r w:rsidRPr="006B2701">
        <w:rPr>
          <w:rFonts w:ascii="Tahoma" w:hAnsi="Tahoma" w:cs="Tahoma"/>
          <w:bCs/>
          <w:color w:val="000000"/>
          <w:sz w:val="24"/>
          <w:szCs w:val="24"/>
          <w:lang w:val="ro-RO"/>
        </w:rPr>
        <w:t>202</w:t>
      </w:r>
      <w:r w:rsidR="00644CF4" w:rsidRPr="006B2701">
        <w:rPr>
          <w:rFonts w:ascii="Tahoma" w:hAnsi="Tahoma" w:cs="Tahoma"/>
          <w:bCs/>
          <w:color w:val="000000"/>
          <w:sz w:val="24"/>
          <w:szCs w:val="24"/>
          <w:lang w:val="ro-RO"/>
        </w:rPr>
        <w:t>2</w:t>
      </w:r>
      <w:r w:rsidR="00E260F9" w:rsidRPr="006B2701">
        <w:rPr>
          <w:rFonts w:ascii="Tahoma" w:hAnsi="Tahoma" w:cs="Tahoma"/>
          <w:bCs/>
          <w:color w:val="000000"/>
          <w:sz w:val="24"/>
          <w:szCs w:val="24"/>
          <w:lang w:val="ro-RO"/>
        </w:rPr>
        <w:t>,</w:t>
      </w:r>
      <w:r w:rsidRPr="006B2701">
        <w:rPr>
          <w:rFonts w:ascii="Tahoma" w:hAnsi="Tahoma" w:cs="Tahoma"/>
          <w:bCs/>
          <w:color w:val="000000"/>
          <w:sz w:val="24"/>
          <w:szCs w:val="24"/>
          <w:lang w:val="ro-RO"/>
        </w:rPr>
        <w:t xml:space="preserve"> </w:t>
      </w:r>
      <w:r w:rsidR="00D52D53" w:rsidRPr="006B2701">
        <w:rPr>
          <w:rFonts w:ascii="Tahoma" w:hAnsi="Tahoma" w:cs="Tahoma"/>
          <w:bCs/>
          <w:color w:val="000000"/>
          <w:sz w:val="24"/>
          <w:szCs w:val="24"/>
          <w:lang w:val="ro-RO"/>
        </w:rPr>
        <w:t>a</w:t>
      </w:r>
      <w:r w:rsidRPr="006B2701">
        <w:rPr>
          <w:rFonts w:ascii="Tahoma" w:hAnsi="Tahoma" w:cs="Tahoma"/>
          <w:bCs/>
          <w:color w:val="000000"/>
          <w:sz w:val="24"/>
          <w:szCs w:val="24"/>
          <w:lang w:val="ro-RO"/>
        </w:rPr>
        <w:t>u</w:t>
      </w:r>
      <w:r w:rsidR="00D52D53" w:rsidRPr="006B2701">
        <w:rPr>
          <w:rFonts w:ascii="Tahoma" w:hAnsi="Tahoma" w:cs="Tahoma"/>
          <w:bCs/>
          <w:color w:val="000000"/>
          <w:sz w:val="24"/>
          <w:szCs w:val="24"/>
          <w:lang w:val="ro-RO"/>
        </w:rPr>
        <w:t xml:space="preserve"> fost</w:t>
      </w:r>
      <w:r w:rsidRPr="006B2701">
        <w:rPr>
          <w:rFonts w:ascii="Tahoma" w:hAnsi="Tahoma" w:cs="Tahoma"/>
          <w:bCs/>
          <w:color w:val="000000"/>
          <w:sz w:val="24"/>
          <w:szCs w:val="24"/>
          <w:lang w:val="ro-RO"/>
        </w:rPr>
        <w:t xml:space="preserve"> înregistrate în </w:t>
      </w:r>
      <w:r w:rsidR="00E260F9" w:rsidRPr="006B2701">
        <w:rPr>
          <w:rFonts w:ascii="Tahoma" w:hAnsi="Tahoma" w:cs="Tahoma"/>
          <w:bCs/>
          <w:color w:val="000000"/>
          <w:sz w:val="24"/>
          <w:szCs w:val="24"/>
          <w:lang w:val="ro-RO"/>
        </w:rPr>
        <w:t>Portugalia (-0,4%); Lituania (-0,6%); Finlanda (-0,9%); Slovacia (-2,0); Grecia (-2,3%); Germania (-2,6%) și Bulgaria (-2,8%). Cele mai mari excedente bugetare s-au înregistrat în Danemarca (+3,3% din PIB); Cipru (+2,1% din PIB) și Irlanda (+1,6% din PIB).</w:t>
      </w:r>
    </w:p>
    <w:p w14:paraId="6C5DB8C3" w14:textId="2C997CC3" w:rsidR="00BA5E33" w:rsidRPr="006B2701" w:rsidRDefault="00BA5E33" w:rsidP="00104228">
      <w:pPr>
        <w:keepNext/>
        <w:keepLines/>
        <w:spacing w:after="240" w:line="276" w:lineRule="auto"/>
        <w:ind w:firstLine="288"/>
        <w:rPr>
          <w:rFonts w:ascii="Arial" w:hAnsi="Arial" w:cs="Arial"/>
          <w:b/>
          <w:bCs/>
          <w:color w:val="FF0000"/>
          <w:sz w:val="24"/>
          <w:szCs w:val="24"/>
          <w:lang w:val="ro-RO"/>
        </w:rPr>
      </w:pPr>
      <w:r w:rsidRPr="006B2701">
        <w:rPr>
          <w:rFonts w:ascii="Arial" w:hAnsi="Arial" w:cs="Arial"/>
          <w:b/>
          <w:bCs/>
          <w:sz w:val="24"/>
          <w:szCs w:val="24"/>
          <w:lang w:val="ro-RO"/>
        </w:rPr>
        <w:t>II.2  Deficitul structural</w:t>
      </w:r>
    </w:p>
    <w:p w14:paraId="310D2D67" w14:textId="37F26D82" w:rsidR="00BF7904" w:rsidRPr="006B2701" w:rsidRDefault="00BF7904" w:rsidP="00BF7904">
      <w:pPr>
        <w:keepNext/>
        <w:spacing w:after="120" w:line="276" w:lineRule="auto"/>
        <w:jc w:val="both"/>
        <w:rPr>
          <w:rFonts w:ascii="Tahoma" w:eastAsia="Times New Roman" w:hAnsi="Tahoma" w:cs="Tahoma"/>
          <w:sz w:val="24"/>
          <w:szCs w:val="24"/>
          <w:lang w:val="ro-RO"/>
        </w:rPr>
      </w:pPr>
      <w:r w:rsidRPr="006B2701">
        <w:rPr>
          <w:rFonts w:ascii="Tahoma" w:eastAsia="Times New Roman" w:hAnsi="Tahoma" w:cs="Tahoma"/>
          <w:sz w:val="24"/>
          <w:szCs w:val="24"/>
          <w:lang w:val="ro-RO"/>
        </w:rPr>
        <w:t xml:space="preserve">Soldul structural al bugetului general consolidat al României s-a situat în anul 2022 la -5,6% din PIB </w:t>
      </w:r>
      <w:r w:rsidR="0023373B" w:rsidRPr="006B2701">
        <w:rPr>
          <w:rFonts w:ascii="Tahoma" w:eastAsia="Times New Roman" w:hAnsi="Tahoma" w:cs="Tahoma"/>
          <w:sz w:val="24"/>
          <w:szCs w:val="24"/>
          <w:lang w:val="ro-RO"/>
        </w:rPr>
        <w:t>potențial</w:t>
      </w:r>
      <w:r w:rsidRPr="006B2701">
        <w:rPr>
          <w:rFonts w:ascii="Tahoma" w:eastAsia="Times New Roman" w:hAnsi="Tahoma" w:cs="Tahoma"/>
          <w:sz w:val="24"/>
          <w:szCs w:val="24"/>
          <w:lang w:val="ro-RO"/>
        </w:rPr>
        <w:t xml:space="preserve">, continuând </w:t>
      </w:r>
      <w:r w:rsidR="0023373B" w:rsidRPr="006B2701">
        <w:rPr>
          <w:rFonts w:ascii="Tahoma" w:eastAsia="Times New Roman" w:hAnsi="Tahoma" w:cs="Tahoma"/>
          <w:sz w:val="24"/>
          <w:szCs w:val="24"/>
          <w:lang w:val="ro-RO"/>
        </w:rPr>
        <w:t>tendința</w:t>
      </w:r>
      <w:r w:rsidRPr="006B2701">
        <w:rPr>
          <w:rFonts w:ascii="Tahoma" w:eastAsia="Times New Roman" w:hAnsi="Tahoma" w:cs="Tahoma"/>
          <w:sz w:val="24"/>
          <w:szCs w:val="24"/>
          <w:lang w:val="ro-RO"/>
        </w:rPr>
        <w:t xml:space="preserve"> de ameliorare de la maximul de -7,5% din PIB </w:t>
      </w:r>
      <w:r w:rsidR="0023373B" w:rsidRPr="006B2701">
        <w:rPr>
          <w:rFonts w:ascii="Tahoma" w:eastAsia="Times New Roman" w:hAnsi="Tahoma" w:cs="Tahoma"/>
          <w:sz w:val="24"/>
          <w:szCs w:val="24"/>
          <w:lang w:val="ro-RO"/>
        </w:rPr>
        <w:t>potențial</w:t>
      </w:r>
      <w:r w:rsidRPr="006B2701">
        <w:rPr>
          <w:rFonts w:ascii="Tahoma" w:eastAsia="Times New Roman" w:hAnsi="Tahoma" w:cs="Tahoma"/>
          <w:sz w:val="24"/>
          <w:szCs w:val="24"/>
          <w:lang w:val="ro-RO"/>
        </w:rPr>
        <w:t xml:space="preserve"> cât s-a înregistrat în contextul pandemiei de COVID-19. </w:t>
      </w:r>
    </w:p>
    <w:p w14:paraId="61938422" w14:textId="19374780" w:rsidR="00BF7904" w:rsidRPr="006B2701" w:rsidRDefault="00682989" w:rsidP="00BF7904">
      <w:pPr>
        <w:keepNext/>
        <w:spacing w:after="120" w:line="276" w:lineRule="auto"/>
        <w:jc w:val="both"/>
        <w:rPr>
          <w:rFonts w:ascii="Tahoma" w:eastAsia="Times New Roman" w:hAnsi="Tahoma" w:cs="Tahoma"/>
          <w:sz w:val="24"/>
          <w:szCs w:val="24"/>
          <w:lang w:val="ro-RO"/>
        </w:rPr>
      </w:pPr>
      <w:r>
        <w:rPr>
          <w:rFonts w:ascii="Tahoma" w:eastAsia="Times New Roman" w:hAnsi="Tahoma" w:cs="Tahoma"/>
          <w:sz w:val="24"/>
          <w:szCs w:val="24"/>
          <w:lang w:val="ro-RO"/>
        </w:rPr>
        <w:t>Î</w:t>
      </w:r>
      <w:r w:rsidR="00BF7904" w:rsidRPr="006B2701">
        <w:rPr>
          <w:rFonts w:ascii="Tahoma" w:eastAsia="Times New Roman" w:hAnsi="Tahoma" w:cs="Tahoma"/>
          <w:sz w:val="24"/>
          <w:szCs w:val="24"/>
          <w:lang w:val="ro-RO"/>
        </w:rPr>
        <w:t xml:space="preserve">n anul 2022, componenta ciclică a deficitului bugetului general consolidat a fost de -0,6% din PIB </w:t>
      </w:r>
      <w:r w:rsidR="0023373B" w:rsidRPr="006B2701">
        <w:rPr>
          <w:rFonts w:ascii="Tahoma" w:eastAsia="Times New Roman" w:hAnsi="Tahoma" w:cs="Tahoma"/>
          <w:sz w:val="24"/>
          <w:szCs w:val="24"/>
          <w:lang w:val="ro-RO"/>
        </w:rPr>
        <w:t>potențial</w:t>
      </w:r>
      <w:r w:rsidR="00BF7904" w:rsidRPr="006B2701">
        <w:rPr>
          <w:rFonts w:ascii="Tahoma" w:eastAsia="Times New Roman" w:hAnsi="Tahoma" w:cs="Tahoma"/>
          <w:sz w:val="24"/>
          <w:szCs w:val="24"/>
          <w:lang w:val="ro-RO"/>
        </w:rPr>
        <w:t>, corespunzătoare unei valori negative a output-</w:t>
      </w:r>
      <w:proofErr w:type="spellStart"/>
      <w:r w:rsidR="00BF7904" w:rsidRPr="006B2701">
        <w:rPr>
          <w:rFonts w:ascii="Tahoma" w:eastAsia="Times New Roman" w:hAnsi="Tahoma" w:cs="Tahoma"/>
          <w:sz w:val="24"/>
          <w:szCs w:val="24"/>
          <w:lang w:val="ro-RO"/>
        </w:rPr>
        <w:t>gap</w:t>
      </w:r>
      <w:proofErr w:type="spellEnd"/>
      <w:r w:rsidR="00BF7904" w:rsidRPr="006B2701">
        <w:rPr>
          <w:rFonts w:ascii="Tahoma" w:eastAsia="Times New Roman" w:hAnsi="Tahoma" w:cs="Tahoma"/>
          <w:sz w:val="24"/>
          <w:szCs w:val="24"/>
          <w:lang w:val="ro-RO"/>
        </w:rPr>
        <w:t xml:space="preserve"> de -1,8% din PIB </w:t>
      </w:r>
      <w:r w:rsidR="0023373B" w:rsidRPr="006B2701">
        <w:rPr>
          <w:rFonts w:ascii="Tahoma" w:eastAsia="Times New Roman" w:hAnsi="Tahoma" w:cs="Tahoma"/>
          <w:sz w:val="24"/>
          <w:szCs w:val="24"/>
          <w:lang w:val="ro-RO"/>
        </w:rPr>
        <w:t>potențial</w:t>
      </w:r>
      <w:r w:rsidR="00BF7904" w:rsidRPr="006B2701">
        <w:rPr>
          <w:rFonts w:ascii="Tahoma" w:eastAsia="Times New Roman" w:hAnsi="Tahoma" w:cs="Tahoma"/>
          <w:sz w:val="24"/>
          <w:szCs w:val="24"/>
          <w:lang w:val="ro-RO"/>
        </w:rPr>
        <w:t xml:space="preserve">. </w:t>
      </w:r>
    </w:p>
    <w:p w14:paraId="5927F62A" w14:textId="3902874B" w:rsidR="00DB15BA" w:rsidRPr="006B2701" w:rsidRDefault="00DB15BA" w:rsidP="00332A71">
      <w:pPr>
        <w:keepNext/>
        <w:spacing w:after="120"/>
        <w:jc w:val="both"/>
        <w:rPr>
          <w:rFonts w:ascii="Arial" w:eastAsia="Times New Roman" w:hAnsi="Arial" w:cs="Arial"/>
          <w:color w:val="FF0000"/>
          <w:sz w:val="24"/>
          <w:szCs w:val="24"/>
          <w:lang w:val="ro-RO"/>
        </w:rPr>
      </w:pPr>
    </w:p>
    <w:p w14:paraId="6D1B84E5" w14:textId="77777777" w:rsidR="00DB15BA" w:rsidRPr="006B2701" w:rsidRDefault="00DB15BA" w:rsidP="00DB15BA">
      <w:pPr>
        <w:keepNext/>
        <w:spacing w:before="120"/>
        <w:jc w:val="both"/>
        <w:rPr>
          <w:rFonts w:ascii="Arial" w:eastAsia="Times New Roman" w:hAnsi="Arial" w:cs="Arial"/>
          <w:sz w:val="24"/>
          <w:szCs w:val="24"/>
          <w:lang w:val="ro-RO"/>
        </w:rPr>
      </w:pPr>
    </w:p>
    <w:p w14:paraId="6C47EB7F" w14:textId="2E116FF5" w:rsidR="00DB15BA" w:rsidRPr="006B2701" w:rsidRDefault="00DB15BA" w:rsidP="00DB15BA">
      <w:pPr>
        <w:keepNext/>
        <w:spacing w:before="120"/>
        <w:jc w:val="center"/>
        <w:rPr>
          <w:rFonts w:ascii="Arial" w:eastAsia="Times New Roman" w:hAnsi="Arial" w:cs="Arial"/>
          <w:b/>
          <w:sz w:val="24"/>
          <w:szCs w:val="24"/>
          <w:lang w:val="ro-RO"/>
        </w:rPr>
      </w:pPr>
      <w:r w:rsidRPr="006B2701">
        <w:rPr>
          <w:rFonts w:ascii="Arial" w:eastAsia="Times New Roman" w:hAnsi="Arial" w:cs="Arial"/>
          <w:b/>
          <w:sz w:val="24"/>
          <w:szCs w:val="24"/>
          <w:lang w:val="ro-RO"/>
        </w:rPr>
        <w:t>Deficitul structural</w:t>
      </w:r>
    </w:p>
    <w:p w14:paraId="6E00D95A" w14:textId="6D116673" w:rsidR="00C81381" w:rsidRPr="006B2701" w:rsidRDefault="0073616C" w:rsidP="00C81381">
      <w:pPr>
        <w:keepNext/>
        <w:spacing w:before="120"/>
        <w:rPr>
          <w:rFonts w:ascii="Arial" w:eastAsia="Times New Roman" w:hAnsi="Arial" w:cs="Arial"/>
          <w:b/>
          <w:sz w:val="24"/>
          <w:szCs w:val="24"/>
          <w:lang w:val="ro-RO"/>
        </w:rPr>
      </w:pPr>
      <w:r>
        <w:rPr>
          <w:rFonts w:ascii="Arial" w:eastAsia="Times New Roman" w:hAnsi="Arial" w:cs="Arial"/>
          <w:b/>
          <w:sz w:val="24"/>
          <w:szCs w:val="24"/>
          <w:lang w:val="ro-RO"/>
        </w:rPr>
        <w:pict w14:anchorId="447C3BDD">
          <v:shape id="_x0000_i1028" type="#_x0000_t75" style="width:479.55pt;height:64.55pt">
            <v:imagedata r:id="rId10" o:title=""/>
          </v:shape>
        </w:pict>
      </w:r>
    </w:p>
    <w:p w14:paraId="1E22477F" w14:textId="7F9E54DE" w:rsidR="00DB15BA" w:rsidRPr="006B2701" w:rsidRDefault="00DB15BA" w:rsidP="00DB15BA">
      <w:pPr>
        <w:keepNext/>
        <w:spacing w:before="120"/>
        <w:jc w:val="center"/>
        <w:rPr>
          <w:rFonts w:ascii="Arial" w:eastAsia="Times New Roman" w:hAnsi="Arial" w:cs="Arial"/>
          <w:i/>
          <w:sz w:val="20"/>
          <w:szCs w:val="20"/>
          <w:lang w:val="ro-RO"/>
        </w:rPr>
      </w:pPr>
      <w:r w:rsidRPr="006B2701">
        <w:rPr>
          <w:rFonts w:ascii="Arial" w:eastAsia="Times New Roman" w:hAnsi="Arial" w:cs="Arial"/>
          <w:sz w:val="24"/>
          <w:szCs w:val="24"/>
          <w:lang w:val="ro-RO"/>
        </w:rPr>
        <w:t xml:space="preserve">                                                                                  </w:t>
      </w:r>
    </w:p>
    <w:p w14:paraId="5B2CC73E" w14:textId="77777777" w:rsidR="00CA0306" w:rsidRPr="006B2701" w:rsidRDefault="00CA0306" w:rsidP="00CA0306">
      <w:pPr>
        <w:keepNext/>
        <w:jc w:val="center"/>
        <w:rPr>
          <w:rFonts w:ascii="Arial" w:hAnsi="Arial" w:cs="Arial"/>
          <w:b/>
          <w:bCs/>
          <w:lang w:val="ro-RO"/>
        </w:rPr>
      </w:pPr>
    </w:p>
    <w:p w14:paraId="266674E2" w14:textId="44CD6229" w:rsidR="00905D48" w:rsidRPr="006B2701" w:rsidRDefault="00905D48" w:rsidP="000F5753">
      <w:pPr>
        <w:spacing w:line="276" w:lineRule="auto"/>
        <w:jc w:val="center"/>
        <w:rPr>
          <w:rFonts w:ascii="Arial" w:hAnsi="Arial" w:cs="Arial"/>
          <w:b/>
          <w:bCs/>
          <w:sz w:val="24"/>
          <w:szCs w:val="24"/>
          <w:lang w:val="ro-RO"/>
        </w:rPr>
      </w:pPr>
    </w:p>
    <w:p w14:paraId="163B88B4" w14:textId="16AE5AFF" w:rsidR="00CA0306" w:rsidRPr="006B2701" w:rsidRDefault="00CA0306" w:rsidP="000F5753">
      <w:pPr>
        <w:spacing w:line="276" w:lineRule="auto"/>
        <w:jc w:val="center"/>
        <w:rPr>
          <w:rFonts w:ascii="Arial" w:hAnsi="Arial" w:cs="Arial"/>
          <w:b/>
          <w:bCs/>
          <w:sz w:val="24"/>
          <w:szCs w:val="24"/>
          <w:lang w:val="ro-RO"/>
        </w:rPr>
      </w:pPr>
    </w:p>
    <w:p w14:paraId="39E5B331" w14:textId="77777777" w:rsidR="00CA0306" w:rsidRPr="006B2701" w:rsidRDefault="00CA0306" w:rsidP="000F5753">
      <w:pPr>
        <w:spacing w:line="276" w:lineRule="auto"/>
        <w:jc w:val="center"/>
        <w:rPr>
          <w:rFonts w:ascii="Arial" w:hAnsi="Arial" w:cs="Arial"/>
          <w:b/>
          <w:bCs/>
          <w:sz w:val="24"/>
          <w:szCs w:val="24"/>
          <w:lang w:val="ro-RO"/>
        </w:rPr>
      </w:pPr>
    </w:p>
    <w:p w14:paraId="1FE6FE3F" w14:textId="77777777" w:rsidR="00FE6AC3" w:rsidRPr="006B2701" w:rsidRDefault="00FE6AC3" w:rsidP="000F5753">
      <w:pPr>
        <w:spacing w:line="276" w:lineRule="auto"/>
        <w:rPr>
          <w:rFonts w:ascii="Arial" w:hAnsi="Arial" w:cs="Arial"/>
          <w:noProof/>
          <w:sz w:val="24"/>
          <w:szCs w:val="24"/>
          <w:lang w:val="ro-RO"/>
        </w:rPr>
      </w:pPr>
    </w:p>
    <w:p w14:paraId="439ED4AC" w14:textId="182268BC" w:rsidR="00BA5E33" w:rsidRPr="006B2701" w:rsidRDefault="0073616C" w:rsidP="000F5753">
      <w:pPr>
        <w:spacing w:line="276" w:lineRule="auto"/>
        <w:rPr>
          <w:rFonts w:ascii="Arial" w:hAnsi="Arial" w:cs="Arial"/>
          <w:noProof/>
          <w:sz w:val="24"/>
          <w:szCs w:val="24"/>
          <w:lang w:val="ro-RO"/>
        </w:rPr>
      </w:pPr>
      <w:r>
        <w:rPr>
          <w:rFonts w:ascii="Arial" w:hAnsi="Arial" w:cs="Arial"/>
          <w:noProof/>
          <w:sz w:val="24"/>
          <w:szCs w:val="24"/>
          <w:lang w:val="ro-RO"/>
        </w:rPr>
        <w:pict w14:anchorId="13900BD3">
          <v:shape id="_x0000_i1029" type="#_x0000_t75" style="width:485.65pt;height:230.95pt">
            <v:imagedata r:id="rId11" o:title=""/>
          </v:shape>
        </w:pict>
      </w:r>
    </w:p>
    <w:p w14:paraId="3F3964B4" w14:textId="72544A48" w:rsidR="00FE6AC3" w:rsidRPr="006B2701" w:rsidRDefault="00FE6AC3">
      <w:pPr>
        <w:rPr>
          <w:rFonts w:ascii="Arial" w:hAnsi="Arial" w:cs="Arial"/>
          <w:noProof/>
          <w:sz w:val="24"/>
          <w:szCs w:val="24"/>
          <w:lang w:val="ro-RO"/>
        </w:rPr>
      </w:pPr>
      <w:r w:rsidRPr="006B2701">
        <w:rPr>
          <w:rFonts w:ascii="Arial" w:hAnsi="Arial" w:cs="Arial"/>
          <w:noProof/>
          <w:sz w:val="24"/>
          <w:szCs w:val="24"/>
          <w:lang w:val="ro-RO"/>
        </w:rPr>
        <w:br w:type="page"/>
      </w:r>
    </w:p>
    <w:p w14:paraId="0F25FE6A" w14:textId="77777777" w:rsidR="00BA5E33" w:rsidRPr="006B2701" w:rsidRDefault="00BA5E33" w:rsidP="006F30AE">
      <w:pPr>
        <w:pStyle w:val="Heading1"/>
        <w:keepLines w:val="0"/>
        <w:pageBreakBefore/>
        <w:numPr>
          <w:ilvl w:val="0"/>
          <w:numId w:val="5"/>
        </w:numPr>
        <w:spacing w:line="276" w:lineRule="auto"/>
        <w:ind w:left="562" w:hanging="360"/>
        <w:rPr>
          <w:rFonts w:ascii="Tahoma" w:hAnsi="Tahoma" w:cs="Tahoma"/>
          <w:b/>
          <w:bCs/>
          <w:color w:val="000000"/>
          <w:sz w:val="24"/>
          <w:szCs w:val="24"/>
          <w:lang w:val="ro-RO"/>
        </w:rPr>
      </w:pPr>
      <w:bookmarkStart w:id="7" w:name="_Toc516046457"/>
      <w:r w:rsidRPr="006B2701">
        <w:rPr>
          <w:rFonts w:ascii="Tahoma" w:hAnsi="Tahoma" w:cs="Tahoma"/>
          <w:b/>
          <w:bCs/>
          <w:color w:val="000000"/>
          <w:sz w:val="24"/>
          <w:szCs w:val="24"/>
          <w:lang w:val="ro-RO"/>
        </w:rPr>
        <w:lastRenderedPageBreak/>
        <w:t>Politica fiscal bugetară</w:t>
      </w:r>
      <w:bookmarkEnd w:id="7"/>
    </w:p>
    <w:p w14:paraId="3F9DD2B1" w14:textId="77777777" w:rsidR="00BA5E33" w:rsidRPr="006B2701" w:rsidRDefault="00BA5E33" w:rsidP="000F5753">
      <w:pPr>
        <w:pStyle w:val="ListParagraph"/>
        <w:spacing w:line="276" w:lineRule="auto"/>
        <w:ind w:left="924"/>
        <w:rPr>
          <w:rFonts w:ascii="Arial" w:hAnsi="Arial" w:cs="Arial"/>
          <w:sz w:val="24"/>
          <w:szCs w:val="24"/>
          <w:lang w:val="ro-RO" w:eastAsia="x-none"/>
        </w:rPr>
      </w:pPr>
    </w:p>
    <w:p w14:paraId="24A8B442" w14:textId="708EE561" w:rsidR="00BA5E33" w:rsidRPr="006B2701" w:rsidRDefault="00BA5E33" w:rsidP="009751CD">
      <w:pPr>
        <w:spacing w:line="276" w:lineRule="auto"/>
        <w:ind w:firstLine="288"/>
        <w:rPr>
          <w:rFonts w:ascii="Tahoma" w:hAnsi="Tahoma" w:cs="Tahoma"/>
          <w:b/>
          <w:bCs/>
          <w:color w:val="000000"/>
          <w:sz w:val="24"/>
          <w:szCs w:val="24"/>
          <w:lang w:val="ro-RO"/>
        </w:rPr>
      </w:pPr>
      <w:r w:rsidRPr="006B2701">
        <w:rPr>
          <w:rFonts w:ascii="Arial" w:hAnsi="Arial" w:cs="Arial"/>
          <w:b/>
          <w:bCs/>
          <w:color w:val="000000"/>
          <w:sz w:val="24"/>
          <w:szCs w:val="24"/>
          <w:lang w:val="ro-RO"/>
        </w:rPr>
        <w:t xml:space="preserve">III.1.  </w:t>
      </w:r>
      <w:r w:rsidR="00546D34" w:rsidRPr="006B2701">
        <w:rPr>
          <w:rFonts w:ascii="Tahoma" w:hAnsi="Tahoma" w:cs="Tahoma"/>
          <w:b/>
          <w:bCs/>
          <w:color w:val="000000"/>
          <w:sz w:val="24"/>
          <w:szCs w:val="24"/>
          <w:lang w:val="ro-RO"/>
        </w:rPr>
        <w:t>O</w:t>
      </w:r>
      <w:r w:rsidRPr="006B2701">
        <w:rPr>
          <w:rFonts w:ascii="Tahoma" w:hAnsi="Tahoma" w:cs="Tahoma"/>
          <w:b/>
          <w:bCs/>
          <w:color w:val="000000"/>
          <w:sz w:val="24"/>
          <w:szCs w:val="24"/>
          <w:lang w:val="ro-RO"/>
        </w:rPr>
        <w:t>biectivel</w:t>
      </w:r>
      <w:r w:rsidR="00546D34" w:rsidRPr="006B2701">
        <w:rPr>
          <w:rFonts w:ascii="Tahoma" w:hAnsi="Tahoma" w:cs="Tahoma"/>
          <w:b/>
          <w:bCs/>
          <w:color w:val="000000"/>
          <w:sz w:val="24"/>
          <w:szCs w:val="24"/>
          <w:lang w:val="ro-RO"/>
        </w:rPr>
        <w:t>e</w:t>
      </w:r>
      <w:r w:rsidRPr="006B2701">
        <w:rPr>
          <w:rFonts w:ascii="Tahoma" w:hAnsi="Tahoma" w:cs="Tahoma"/>
          <w:b/>
          <w:bCs/>
          <w:color w:val="000000"/>
          <w:sz w:val="24"/>
          <w:szCs w:val="24"/>
          <w:lang w:val="ro-RO"/>
        </w:rPr>
        <w:t xml:space="preserve"> politicii bugetare în </w:t>
      </w:r>
      <w:r w:rsidR="00CB5E1A" w:rsidRPr="006B2701">
        <w:rPr>
          <w:rFonts w:ascii="Tahoma" w:hAnsi="Tahoma" w:cs="Tahoma"/>
          <w:b/>
          <w:bCs/>
          <w:color w:val="000000"/>
          <w:sz w:val="24"/>
          <w:szCs w:val="24"/>
          <w:lang w:val="ro-RO"/>
        </w:rPr>
        <w:t>anul 202</w:t>
      </w:r>
      <w:r w:rsidR="00AD1882" w:rsidRPr="006B2701">
        <w:rPr>
          <w:rFonts w:ascii="Tahoma" w:hAnsi="Tahoma" w:cs="Tahoma"/>
          <w:b/>
          <w:bCs/>
          <w:color w:val="000000"/>
          <w:sz w:val="24"/>
          <w:szCs w:val="24"/>
          <w:lang w:val="ro-RO"/>
        </w:rPr>
        <w:t>2</w:t>
      </w:r>
    </w:p>
    <w:p w14:paraId="7718074A" w14:textId="77777777" w:rsidR="00BA5E33" w:rsidRPr="006B2701" w:rsidRDefault="00BA5E33" w:rsidP="000F5753">
      <w:pPr>
        <w:spacing w:line="276" w:lineRule="auto"/>
        <w:rPr>
          <w:rFonts w:ascii="Tahoma" w:hAnsi="Tahoma" w:cs="Tahoma"/>
          <w:b/>
          <w:bCs/>
          <w:color w:val="000000"/>
          <w:sz w:val="24"/>
          <w:szCs w:val="24"/>
          <w:lang w:val="ro-RO"/>
        </w:rPr>
      </w:pPr>
    </w:p>
    <w:p w14:paraId="6FDC8E60" w14:textId="35721B4B" w:rsidR="00546D34" w:rsidRPr="006B2701" w:rsidRDefault="00546D34" w:rsidP="001F3690">
      <w:pPr>
        <w:spacing w:line="276" w:lineRule="auto"/>
        <w:jc w:val="both"/>
        <w:rPr>
          <w:rFonts w:ascii="Tahoma" w:hAnsi="Tahoma" w:cs="Tahoma"/>
          <w:bCs/>
          <w:color w:val="000000"/>
          <w:sz w:val="24"/>
          <w:szCs w:val="24"/>
          <w:lang w:val="ro-RO"/>
        </w:rPr>
      </w:pPr>
      <w:r w:rsidRPr="006B2701">
        <w:rPr>
          <w:rFonts w:ascii="Tahoma" w:hAnsi="Tahoma" w:cs="Tahoma"/>
          <w:bCs/>
          <w:color w:val="000000"/>
          <w:sz w:val="24"/>
          <w:szCs w:val="24"/>
          <w:lang w:val="ro-RO"/>
        </w:rPr>
        <w:t xml:space="preserve">Construcția bugetară pentru anul </w:t>
      </w:r>
      <w:r w:rsidR="005E2FD6" w:rsidRPr="006B2701">
        <w:rPr>
          <w:rFonts w:ascii="Tahoma" w:hAnsi="Tahoma" w:cs="Tahoma"/>
          <w:bCs/>
          <w:color w:val="000000"/>
          <w:sz w:val="24"/>
          <w:szCs w:val="24"/>
          <w:lang w:val="ro-RO"/>
        </w:rPr>
        <w:t>202</w:t>
      </w:r>
      <w:r w:rsidR="00073FA4" w:rsidRPr="006B2701">
        <w:rPr>
          <w:rFonts w:ascii="Tahoma" w:hAnsi="Tahoma" w:cs="Tahoma"/>
          <w:bCs/>
          <w:color w:val="000000"/>
          <w:sz w:val="24"/>
          <w:szCs w:val="24"/>
          <w:lang w:val="ro-RO"/>
        </w:rPr>
        <w:t>2</w:t>
      </w:r>
      <w:r w:rsidR="005E2FD6" w:rsidRPr="006B2701">
        <w:rPr>
          <w:rFonts w:ascii="Tahoma" w:hAnsi="Tahoma" w:cs="Tahoma"/>
          <w:bCs/>
          <w:color w:val="000000"/>
          <w:sz w:val="24"/>
          <w:szCs w:val="24"/>
          <w:lang w:val="ro-RO"/>
        </w:rPr>
        <w:t xml:space="preserve"> </w:t>
      </w:r>
      <w:r w:rsidRPr="006B2701">
        <w:rPr>
          <w:rFonts w:ascii="Tahoma" w:hAnsi="Tahoma" w:cs="Tahoma"/>
          <w:bCs/>
          <w:color w:val="000000"/>
          <w:sz w:val="24"/>
          <w:szCs w:val="24"/>
          <w:lang w:val="ro-RO"/>
        </w:rPr>
        <w:t xml:space="preserve">și orizontul </w:t>
      </w:r>
      <w:r w:rsidR="005E2FD6" w:rsidRPr="006B2701">
        <w:rPr>
          <w:rFonts w:ascii="Tahoma" w:hAnsi="Tahoma" w:cs="Tahoma"/>
          <w:bCs/>
          <w:color w:val="000000"/>
          <w:sz w:val="24"/>
          <w:szCs w:val="24"/>
          <w:lang w:val="ro-RO"/>
        </w:rPr>
        <w:t>202</w:t>
      </w:r>
      <w:r w:rsidR="00073FA4" w:rsidRPr="006B2701">
        <w:rPr>
          <w:rFonts w:ascii="Tahoma" w:hAnsi="Tahoma" w:cs="Tahoma"/>
          <w:bCs/>
          <w:color w:val="000000"/>
          <w:sz w:val="24"/>
          <w:szCs w:val="24"/>
          <w:lang w:val="ro-RO"/>
        </w:rPr>
        <w:t>3</w:t>
      </w:r>
      <w:r w:rsidRPr="006B2701">
        <w:rPr>
          <w:rFonts w:ascii="Tahoma" w:hAnsi="Tahoma" w:cs="Tahoma"/>
          <w:bCs/>
          <w:color w:val="000000"/>
          <w:sz w:val="24"/>
          <w:szCs w:val="24"/>
          <w:lang w:val="ro-RO"/>
        </w:rPr>
        <w:t>-</w:t>
      </w:r>
      <w:r w:rsidR="005E2FD6" w:rsidRPr="006B2701">
        <w:rPr>
          <w:rFonts w:ascii="Tahoma" w:hAnsi="Tahoma" w:cs="Tahoma"/>
          <w:bCs/>
          <w:color w:val="000000"/>
          <w:sz w:val="24"/>
          <w:szCs w:val="24"/>
          <w:lang w:val="ro-RO"/>
        </w:rPr>
        <w:t>202</w:t>
      </w:r>
      <w:r w:rsidR="00073FA4" w:rsidRPr="006B2701">
        <w:rPr>
          <w:rFonts w:ascii="Tahoma" w:hAnsi="Tahoma" w:cs="Tahoma"/>
          <w:bCs/>
          <w:color w:val="000000"/>
          <w:sz w:val="24"/>
          <w:szCs w:val="24"/>
          <w:lang w:val="ro-RO"/>
        </w:rPr>
        <w:t>5</w:t>
      </w:r>
      <w:r w:rsidR="005E2FD6" w:rsidRPr="006B2701">
        <w:rPr>
          <w:rFonts w:ascii="Tahoma" w:hAnsi="Tahoma" w:cs="Tahoma"/>
          <w:bCs/>
          <w:color w:val="000000"/>
          <w:sz w:val="24"/>
          <w:szCs w:val="24"/>
          <w:lang w:val="ro-RO"/>
        </w:rPr>
        <w:t xml:space="preserve"> </w:t>
      </w:r>
      <w:r w:rsidRPr="006B2701">
        <w:rPr>
          <w:rFonts w:ascii="Tahoma" w:hAnsi="Tahoma" w:cs="Tahoma"/>
          <w:bCs/>
          <w:color w:val="000000"/>
          <w:sz w:val="24"/>
          <w:szCs w:val="24"/>
          <w:lang w:val="ro-RO"/>
        </w:rPr>
        <w:t xml:space="preserve">a avut la bază următoarele obiective: </w:t>
      </w:r>
    </w:p>
    <w:tbl>
      <w:tblPr>
        <w:tblStyle w:val="TableGrid13"/>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720"/>
      </w:tblGrid>
      <w:tr w:rsidR="00EC6DF4" w:rsidRPr="006B2701" w14:paraId="5B87D40F" w14:textId="77777777" w:rsidTr="00073FA4">
        <w:tc>
          <w:tcPr>
            <w:tcW w:w="9720" w:type="dxa"/>
            <w:shd w:val="clear" w:color="auto" w:fill="E2EFD9" w:themeFill="accent6" w:themeFillTint="33"/>
          </w:tcPr>
          <w:p w14:paraId="10208186" w14:textId="74CC5102" w:rsidR="00073FA4" w:rsidRPr="006B2701" w:rsidRDefault="00073FA4" w:rsidP="00073FA4">
            <w:pPr>
              <w:pStyle w:val="ListParagraph"/>
              <w:numPr>
                <w:ilvl w:val="0"/>
                <w:numId w:val="11"/>
              </w:numPr>
              <w:spacing w:before="120" w:line="276" w:lineRule="auto"/>
              <w:ind w:right="340"/>
              <w:jc w:val="both"/>
              <w:rPr>
                <w:rFonts w:ascii="Tahoma" w:eastAsia="Calibri" w:hAnsi="Tahoma" w:cs="Tahoma"/>
                <w:sz w:val="24"/>
                <w:szCs w:val="24"/>
                <w:lang w:val="ro-RO"/>
              </w:rPr>
            </w:pPr>
            <w:r w:rsidRPr="006B2701">
              <w:rPr>
                <w:rFonts w:ascii="Tahoma" w:eastAsia="Calibri" w:hAnsi="Tahoma" w:cs="Tahoma"/>
                <w:sz w:val="24"/>
                <w:szCs w:val="24"/>
                <w:lang w:val="ro-RO"/>
              </w:rPr>
              <w:t>Relaxarea graduală a măsurilor de înlăturare a efectelor crizei pandemice generate de C</w:t>
            </w:r>
            <w:r w:rsidR="009F623A">
              <w:rPr>
                <w:rFonts w:ascii="Tahoma" w:eastAsia="Calibri" w:hAnsi="Tahoma" w:cs="Tahoma"/>
                <w:sz w:val="24"/>
                <w:szCs w:val="24"/>
                <w:lang w:val="ro-RO"/>
              </w:rPr>
              <w:t>OVID-</w:t>
            </w:r>
            <w:r w:rsidRPr="006B2701">
              <w:rPr>
                <w:rFonts w:ascii="Tahoma" w:eastAsia="Calibri" w:hAnsi="Tahoma" w:cs="Tahoma"/>
                <w:sz w:val="24"/>
                <w:szCs w:val="24"/>
                <w:lang w:val="ro-RO"/>
              </w:rPr>
              <w:t xml:space="preserve">19, care au țintit populația și operatorii economici, pe măsură ce riscurile la adresa sănătății se diminuează și redresarea economică devine robustă, crearea premiselor pentru menținerea și susținerea unui nou cadru de dezvoltare durabilă, justă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intruzivă care să asigure o </w:t>
            </w:r>
            <w:r w:rsidR="0023373B" w:rsidRPr="006B2701">
              <w:rPr>
                <w:rFonts w:ascii="Tahoma" w:eastAsia="Calibri" w:hAnsi="Tahoma" w:cs="Tahoma"/>
                <w:sz w:val="24"/>
                <w:szCs w:val="24"/>
                <w:lang w:val="ro-RO"/>
              </w:rPr>
              <w:t>tranziție</w:t>
            </w:r>
            <w:r w:rsidRPr="006B2701">
              <w:rPr>
                <w:rFonts w:ascii="Tahoma" w:eastAsia="Calibri" w:hAnsi="Tahoma" w:cs="Tahoma"/>
                <w:sz w:val="24"/>
                <w:szCs w:val="24"/>
                <w:lang w:val="ro-RO"/>
              </w:rPr>
              <w:t xml:space="preserve"> ecologică eficientă economic, suportabilă social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axată pe competitivitate, </w:t>
            </w:r>
            <w:r w:rsidR="0023373B" w:rsidRPr="006B2701">
              <w:rPr>
                <w:rFonts w:ascii="Tahoma" w:eastAsia="Calibri" w:hAnsi="Tahoma" w:cs="Tahoma"/>
                <w:sz w:val="24"/>
                <w:szCs w:val="24"/>
                <w:lang w:val="ro-RO"/>
              </w:rPr>
              <w:t>inovație</w:t>
            </w:r>
            <w:r w:rsidRPr="006B2701">
              <w:rPr>
                <w:rFonts w:ascii="Tahoma" w:eastAsia="Calibri" w:hAnsi="Tahoma" w:cs="Tahoma"/>
                <w:sz w:val="24"/>
                <w:szCs w:val="24"/>
                <w:lang w:val="ro-RO"/>
              </w:rPr>
              <w:t xml:space="preserve">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decarbonizare, finanțarea schemelor de ajutor de stat în vederea sprijinirii mediului de afaceri;</w:t>
            </w:r>
          </w:p>
          <w:p w14:paraId="4A159FE9" w14:textId="732E0941" w:rsidR="00073FA4" w:rsidRPr="006B2701" w:rsidRDefault="00073FA4" w:rsidP="00073FA4">
            <w:pPr>
              <w:pStyle w:val="ListParagraph"/>
              <w:numPr>
                <w:ilvl w:val="0"/>
                <w:numId w:val="11"/>
              </w:numPr>
              <w:spacing w:before="120" w:line="276" w:lineRule="auto"/>
              <w:ind w:right="340"/>
              <w:jc w:val="both"/>
              <w:rPr>
                <w:rFonts w:ascii="Tahoma" w:eastAsia="Calibri" w:hAnsi="Tahoma" w:cs="Tahoma"/>
                <w:sz w:val="24"/>
                <w:szCs w:val="24"/>
                <w:lang w:val="ro-RO"/>
              </w:rPr>
            </w:pPr>
            <w:r w:rsidRPr="006B2701">
              <w:rPr>
                <w:rFonts w:ascii="Tahoma" w:eastAsia="Calibri" w:hAnsi="Tahoma" w:cs="Tahoma"/>
                <w:sz w:val="24"/>
                <w:szCs w:val="24"/>
                <w:lang w:val="ro-RO"/>
              </w:rPr>
              <w:t xml:space="preserve">Realizarea graduală a consolidării fiscale prin măsuri care să permită atingerea țintei de deficit prevăzută de regulamentele europene până la sfârșitul orizontului de prognoză, respectiv anul 2024, contribuind, în acest fel, la scăderea </w:t>
            </w:r>
            <w:r w:rsidR="0023373B" w:rsidRPr="006B2701">
              <w:rPr>
                <w:rFonts w:ascii="Tahoma" w:eastAsia="Calibri" w:hAnsi="Tahoma" w:cs="Tahoma"/>
                <w:sz w:val="24"/>
                <w:szCs w:val="24"/>
                <w:lang w:val="ro-RO"/>
              </w:rPr>
              <w:t>inflației</w:t>
            </w:r>
            <w:r w:rsidRPr="006B2701">
              <w:rPr>
                <w:rFonts w:ascii="Tahoma" w:eastAsia="Calibri" w:hAnsi="Tahoma" w:cs="Tahoma"/>
                <w:sz w:val="24"/>
                <w:szCs w:val="24"/>
                <w:lang w:val="ro-RO"/>
              </w:rPr>
              <w:t xml:space="preserve">, a ratelor dobânzilor, a deficitului comercial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de cont curent al </w:t>
            </w:r>
            <w:r w:rsidR="0023373B" w:rsidRPr="006B2701">
              <w:rPr>
                <w:rFonts w:ascii="Tahoma" w:eastAsia="Calibri" w:hAnsi="Tahoma" w:cs="Tahoma"/>
                <w:sz w:val="24"/>
                <w:szCs w:val="24"/>
                <w:lang w:val="ro-RO"/>
              </w:rPr>
              <w:t>balanței</w:t>
            </w:r>
            <w:r w:rsidRPr="006B2701">
              <w:rPr>
                <w:rFonts w:ascii="Tahoma" w:eastAsia="Calibri" w:hAnsi="Tahoma" w:cs="Tahoma"/>
                <w:sz w:val="24"/>
                <w:szCs w:val="24"/>
                <w:lang w:val="ro-RO"/>
              </w:rPr>
              <w:t xml:space="preserve"> de </w:t>
            </w:r>
            <w:r w:rsidR="0023373B" w:rsidRPr="006B2701">
              <w:rPr>
                <w:rFonts w:ascii="Tahoma" w:eastAsia="Calibri" w:hAnsi="Tahoma" w:cs="Tahoma"/>
                <w:sz w:val="24"/>
                <w:szCs w:val="24"/>
                <w:lang w:val="ro-RO"/>
              </w:rPr>
              <w:t>plăți</w:t>
            </w:r>
            <w:r w:rsidRPr="006B2701">
              <w:rPr>
                <w:rFonts w:ascii="Tahoma" w:eastAsia="Calibri" w:hAnsi="Tahoma" w:cs="Tahoma"/>
                <w:sz w:val="24"/>
                <w:szCs w:val="24"/>
                <w:lang w:val="ro-RO"/>
              </w:rPr>
              <w:t xml:space="preserve">, precum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la stabilitatea cursului valutar al leului;</w:t>
            </w:r>
          </w:p>
          <w:p w14:paraId="3AA48A42" w14:textId="710B9E9F" w:rsidR="00073FA4" w:rsidRPr="006B2701" w:rsidRDefault="00073FA4" w:rsidP="00073FA4">
            <w:pPr>
              <w:pStyle w:val="ListParagraph"/>
              <w:numPr>
                <w:ilvl w:val="0"/>
                <w:numId w:val="11"/>
              </w:numPr>
              <w:spacing w:before="120" w:line="276" w:lineRule="auto"/>
              <w:ind w:right="340"/>
              <w:jc w:val="both"/>
              <w:rPr>
                <w:rFonts w:ascii="Tahoma" w:eastAsia="Calibri" w:hAnsi="Tahoma" w:cs="Tahoma"/>
                <w:sz w:val="24"/>
                <w:szCs w:val="24"/>
                <w:lang w:val="ro-RO"/>
              </w:rPr>
            </w:pPr>
            <w:r w:rsidRPr="006B2701">
              <w:rPr>
                <w:rFonts w:ascii="Tahoma" w:eastAsia="Calibri" w:hAnsi="Tahoma" w:cs="Tahoma"/>
                <w:sz w:val="24"/>
                <w:szCs w:val="24"/>
                <w:lang w:val="ro-RO"/>
              </w:rPr>
              <w:t xml:space="preserve">Reforma, prioritizarea și programarea multianuală a investițiilor publice într-o manieră eficientă, profesionistă și transparentă cu efect multiplicator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aport direct la formarea brută de capital fix, prin creșterea aportului fondurilor europene aferente cadrului financiar 2021-2027 și cele </w:t>
            </w:r>
            <w:r w:rsidR="0023373B" w:rsidRPr="006B2701">
              <w:rPr>
                <w:rFonts w:ascii="Tahoma" w:eastAsia="Calibri" w:hAnsi="Tahoma" w:cs="Tahoma"/>
                <w:sz w:val="24"/>
                <w:szCs w:val="24"/>
                <w:lang w:val="ro-RO"/>
              </w:rPr>
              <w:t>aferente</w:t>
            </w:r>
            <w:r w:rsidRPr="006B2701">
              <w:rPr>
                <w:rFonts w:ascii="Tahoma" w:eastAsia="Calibri" w:hAnsi="Tahoma" w:cs="Tahoma"/>
                <w:sz w:val="24"/>
                <w:szCs w:val="24"/>
                <w:lang w:val="ro-RO"/>
              </w:rPr>
              <w:t xml:space="preserve"> Mecanismului de Redresare și Reziliență ce finanțează reformele și investițiile stabilite prin Programul Național de Redresare și Reziliență. Acestea vor fi  orientate către proiecte de infrastructură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în domeniul bugetării verzi reprezentată de finanțarea obiectivelor ce vizează schimbările climatice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mediul, în conformitate cu reglementările adoptate la nivel european</w:t>
            </w:r>
            <w:r w:rsidR="001F3690" w:rsidRPr="006B2701">
              <w:rPr>
                <w:rFonts w:ascii="Tahoma" w:eastAsia="Calibri" w:hAnsi="Tahoma" w:cs="Tahoma"/>
                <w:sz w:val="24"/>
                <w:szCs w:val="24"/>
                <w:lang w:val="ro-RO"/>
              </w:rPr>
              <w:t>;</w:t>
            </w:r>
            <w:r w:rsidRPr="006B2701">
              <w:rPr>
                <w:rFonts w:ascii="Tahoma" w:eastAsia="Calibri" w:hAnsi="Tahoma" w:cs="Tahoma"/>
                <w:sz w:val="24"/>
                <w:szCs w:val="24"/>
                <w:lang w:val="ro-RO"/>
              </w:rPr>
              <w:t xml:space="preserve"> </w:t>
            </w:r>
          </w:p>
          <w:p w14:paraId="5558CCEF" w14:textId="77777777" w:rsidR="00073FA4" w:rsidRPr="006B2701" w:rsidRDefault="00073FA4" w:rsidP="00073FA4">
            <w:pPr>
              <w:pStyle w:val="ListParagraph"/>
              <w:numPr>
                <w:ilvl w:val="0"/>
                <w:numId w:val="11"/>
              </w:numPr>
              <w:spacing w:before="120" w:line="276" w:lineRule="auto"/>
              <w:ind w:right="340"/>
              <w:jc w:val="both"/>
              <w:rPr>
                <w:rFonts w:ascii="Tahoma" w:eastAsia="Calibri" w:hAnsi="Tahoma" w:cs="Tahoma"/>
                <w:sz w:val="24"/>
                <w:szCs w:val="24"/>
                <w:lang w:val="ro-RO"/>
              </w:rPr>
            </w:pPr>
            <w:r w:rsidRPr="006B2701">
              <w:rPr>
                <w:rFonts w:ascii="Tahoma" w:eastAsia="Calibri" w:hAnsi="Tahoma" w:cs="Tahoma"/>
                <w:sz w:val="24"/>
                <w:szCs w:val="24"/>
                <w:lang w:val="ro-RO"/>
              </w:rPr>
              <w:t>Crearea unei politici fiscale predictibile pentru susținerea și adaptarea mediului de afaceri la provocările ridicate de criza sanitară, simplificarea fiscalității și fluidizarea proceselor interne, pentru a crea premisa unei creșteri economice durabile;</w:t>
            </w:r>
          </w:p>
          <w:p w14:paraId="4ABAC730" w14:textId="77777777" w:rsidR="00073FA4" w:rsidRPr="006B2701" w:rsidRDefault="00073FA4" w:rsidP="00073FA4">
            <w:pPr>
              <w:pStyle w:val="ListParagraph"/>
              <w:numPr>
                <w:ilvl w:val="0"/>
                <w:numId w:val="11"/>
              </w:numPr>
              <w:spacing w:before="120" w:line="276" w:lineRule="auto"/>
              <w:ind w:right="340"/>
              <w:jc w:val="both"/>
              <w:rPr>
                <w:rFonts w:ascii="Tahoma" w:eastAsia="Calibri" w:hAnsi="Tahoma" w:cs="Tahoma"/>
                <w:sz w:val="24"/>
                <w:szCs w:val="24"/>
                <w:lang w:val="ro-RO"/>
              </w:rPr>
            </w:pPr>
            <w:r w:rsidRPr="006B2701">
              <w:rPr>
                <w:rFonts w:ascii="Tahoma" w:eastAsia="Calibri" w:hAnsi="Tahoma" w:cs="Tahoma"/>
                <w:sz w:val="24"/>
                <w:szCs w:val="24"/>
                <w:lang w:val="ro-RO"/>
              </w:rPr>
              <w:t xml:space="preserve">Dezvoltarea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diversificarea instrumentelor de management ale datoriei publice pentru menținerea datoriei publice la un nivel sustenabil;</w:t>
            </w:r>
          </w:p>
          <w:p w14:paraId="7A785885" w14:textId="77777777" w:rsidR="00073FA4" w:rsidRPr="006B2701" w:rsidRDefault="00073FA4" w:rsidP="00073FA4">
            <w:pPr>
              <w:pStyle w:val="ListParagraph"/>
              <w:numPr>
                <w:ilvl w:val="0"/>
                <w:numId w:val="11"/>
              </w:numPr>
              <w:spacing w:before="120" w:line="276" w:lineRule="auto"/>
              <w:ind w:right="340"/>
              <w:jc w:val="both"/>
              <w:rPr>
                <w:rFonts w:ascii="Tahoma" w:eastAsia="Calibri" w:hAnsi="Tahoma" w:cs="Tahoma"/>
                <w:sz w:val="24"/>
                <w:szCs w:val="24"/>
                <w:lang w:val="ro-RO"/>
              </w:rPr>
            </w:pPr>
            <w:r w:rsidRPr="006B2701">
              <w:rPr>
                <w:rFonts w:ascii="Tahoma" w:eastAsia="Calibri" w:hAnsi="Tahoma" w:cs="Tahoma"/>
                <w:sz w:val="24"/>
                <w:szCs w:val="24"/>
                <w:lang w:val="ro-RO"/>
              </w:rPr>
              <w:t>Măsuri consistente pentru crearea și consolidarea unor finanțe publice sănătoase, prin eficientizarea calitativă a cheltuielilor publice cu focalizare pe:</w:t>
            </w:r>
          </w:p>
          <w:p w14:paraId="75E8EF95" w14:textId="77777777" w:rsidR="00073FA4" w:rsidRPr="006B2701" w:rsidRDefault="00073FA4" w:rsidP="00073FA4">
            <w:pPr>
              <w:pStyle w:val="ListParagraph"/>
              <w:numPr>
                <w:ilvl w:val="0"/>
                <w:numId w:val="28"/>
              </w:numPr>
              <w:spacing w:before="120" w:line="276" w:lineRule="auto"/>
              <w:ind w:right="340"/>
              <w:jc w:val="both"/>
              <w:rPr>
                <w:rFonts w:ascii="Tahoma" w:eastAsia="Calibri" w:hAnsi="Tahoma" w:cs="Tahoma"/>
                <w:sz w:val="24"/>
                <w:szCs w:val="24"/>
                <w:lang w:val="ro-RO"/>
              </w:rPr>
            </w:pPr>
            <w:r w:rsidRPr="006B2701">
              <w:rPr>
                <w:rFonts w:ascii="Tahoma" w:eastAsia="Calibri" w:hAnsi="Tahoma" w:cs="Tahoma"/>
                <w:sz w:val="24"/>
                <w:szCs w:val="24"/>
                <w:lang w:val="ro-RO"/>
              </w:rPr>
              <w:t>finanțarea unui pachet de reforme în domeniul muncii, al pensiilor, măsuri active de protecție privind grupurile  defavorizate și cele vulnerabile;</w:t>
            </w:r>
          </w:p>
          <w:p w14:paraId="043C1E58" w14:textId="77777777" w:rsidR="00073FA4" w:rsidRPr="006B2701" w:rsidRDefault="00073FA4" w:rsidP="00073FA4">
            <w:pPr>
              <w:spacing w:before="120" w:line="276" w:lineRule="auto"/>
              <w:ind w:left="369" w:right="340"/>
              <w:jc w:val="both"/>
              <w:rPr>
                <w:rFonts w:ascii="Tahoma" w:eastAsia="Calibri" w:hAnsi="Tahoma" w:cs="Tahoma"/>
                <w:sz w:val="24"/>
                <w:szCs w:val="24"/>
                <w:lang w:val="ro-RO"/>
              </w:rPr>
            </w:pPr>
          </w:p>
          <w:p w14:paraId="1164C926" w14:textId="4DD57772" w:rsidR="00073FA4" w:rsidRPr="006B2701" w:rsidRDefault="00073FA4" w:rsidP="00073FA4">
            <w:pPr>
              <w:pStyle w:val="ListParagraph"/>
              <w:numPr>
                <w:ilvl w:val="0"/>
                <w:numId w:val="28"/>
              </w:numPr>
              <w:spacing w:before="120" w:line="276" w:lineRule="auto"/>
              <w:ind w:right="340"/>
              <w:jc w:val="both"/>
              <w:rPr>
                <w:rFonts w:ascii="Tahoma" w:eastAsia="Calibri" w:hAnsi="Tahoma" w:cs="Tahoma"/>
                <w:sz w:val="24"/>
                <w:szCs w:val="24"/>
                <w:lang w:val="ro-RO"/>
              </w:rPr>
            </w:pPr>
            <w:r w:rsidRPr="006B2701">
              <w:rPr>
                <w:rFonts w:ascii="Tahoma" w:eastAsia="Calibri" w:hAnsi="Tahoma" w:cs="Tahoma"/>
                <w:sz w:val="24"/>
                <w:szCs w:val="24"/>
                <w:lang w:val="ro-RO"/>
              </w:rPr>
              <w:lastRenderedPageBreak/>
              <w:t xml:space="preserve">consolidarea  bugetării pe programe pe bază de indicatori de rezultat la toate nivelurile </w:t>
            </w:r>
            <w:r w:rsidR="009F623A" w:rsidRPr="006B2701">
              <w:rPr>
                <w:rFonts w:ascii="Tahoma" w:eastAsia="Calibri" w:hAnsi="Tahoma" w:cs="Tahoma"/>
                <w:sz w:val="24"/>
                <w:szCs w:val="24"/>
                <w:lang w:val="ro-RO"/>
              </w:rPr>
              <w:t>administrației</w:t>
            </w:r>
            <w:r w:rsidRPr="006B2701">
              <w:rPr>
                <w:rFonts w:ascii="Tahoma" w:eastAsia="Calibri" w:hAnsi="Tahoma" w:cs="Tahoma"/>
                <w:sz w:val="24"/>
                <w:szCs w:val="24"/>
                <w:lang w:val="ro-RO"/>
              </w:rPr>
              <w:t xml:space="preserve"> publice centrale </w:t>
            </w:r>
            <w:r w:rsidR="009F623A" w:rsidRPr="006B2701">
              <w:rPr>
                <w:rFonts w:ascii="Tahoma" w:eastAsia="Calibri" w:hAnsi="Tahoma" w:cs="Tahoma"/>
                <w:sz w:val="24"/>
                <w:szCs w:val="24"/>
                <w:lang w:val="ro-RO"/>
              </w:rPr>
              <w:t>și</w:t>
            </w:r>
            <w:r w:rsidRPr="006B2701">
              <w:rPr>
                <w:rFonts w:ascii="Tahoma" w:eastAsia="Calibri" w:hAnsi="Tahoma" w:cs="Tahoma"/>
                <w:sz w:val="24"/>
                <w:szCs w:val="24"/>
                <w:lang w:val="ro-RO"/>
              </w:rPr>
              <w:t xml:space="preserve"> locale care să permită </w:t>
            </w:r>
            <w:r w:rsidR="009F623A" w:rsidRPr="006B2701">
              <w:rPr>
                <w:rFonts w:ascii="Tahoma" w:eastAsia="Calibri" w:hAnsi="Tahoma" w:cs="Tahoma"/>
                <w:sz w:val="24"/>
                <w:szCs w:val="24"/>
                <w:lang w:val="ro-RO"/>
              </w:rPr>
              <w:t>transparența</w:t>
            </w:r>
            <w:r w:rsidRPr="006B2701">
              <w:rPr>
                <w:rFonts w:ascii="Tahoma" w:eastAsia="Calibri" w:hAnsi="Tahoma" w:cs="Tahoma"/>
                <w:sz w:val="24"/>
                <w:szCs w:val="24"/>
                <w:lang w:val="ro-RO"/>
              </w:rPr>
              <w:t xml:space="preserve"> deplină a cheltuielilor publice, </w:t>
            </w:r>
            <w:r w:rsidR="009F623A" w:rsidRPr="006B2701">
              <w:rPr>
                <w:rFonts w:ascii="Tahoma" w:eastAsia="Calibri" w:hAnsi="Tahoma" w:cs="Tahoma"/>
                <w:sz w:val="24"/>
                <w:szCs w:val="24"/>
                <w:lang w:val="ro-RO"/>
              </w:rPr>
              <w:t>îmbunătățirea</w:t>
            </w:r>
            <w:r w:rsidRPr="006B2701">
              <w:rPr>
                <w:rFonts w:ascii="Tahoma" w:eastAsia="Calibri" w:hAnsi="Tahoma" w:cs="Tahoma"/>
                <w:sz w:val="24"/>
                <w:szCs w:val="24"/>
                <w:lang w:val="ro-RO"/>
              </w:rPr>
              <w:t xml:space="preserve"> </w:t>
            </w:r>
            <w:r w:rsidR="009F623A" w:rsidRPr="006B2701">
              <w:rPr>
                <w:rFonts w:ascii="Tahoma" w:eastAsia="Calibri" w:hAnsi="Tahoma" w:cs="Tahoma"/>
                <w:sz w:val="24"/>
                <w:szCs w:val="24"/>
                <w:lang w:val="ro-RO"/>
              </w:rPr>
              <w:t>clarității</w:t>
            </w:r>
            <w:r w:rsidRPr="006B2701">
              <w:rPr>
                <w:rFonts w:ascii="Tahoma" w:eastAsia="Calibri" w:hAnsi="Tahoma" w:cs="Tahoma"/>
                <w:sz w:val="24"/>
                <w:szCs w:val="24"/>
                <w:lang w:val="ro-RO"/>
              </w:rPr>
              <w:t xml:space="preserve"> </w:t>
            </w:r>
            <w:r w:rsidR="009F623A" w:rsidRPr="006B2701">
              <w:rPr>
                <w:rFonts w:ascii="Tahoma" w:eastAsia="Calibri" w:hAnsi="Tahoma" w:cs="Tahoma"/>
                <w:sz w:val="24"/>
                <w:szCs w:val="24"/>
                <w:lang w:val="ro-RO"/>
              </w:rPr>
              <w:t>și</w:t>
            </w:r>
            <w:r w:rsidRPr="006B2701">
              <w:rPr>
                <w:rFonts w:ascii="Tahoma" w:eastAsia="Calibri" w:hAnsi="Tahoma" w:cs="Tahoma"/>
                <w:sz w:val="24"/>
                <w:szCs w:val="24"/>
                <w:lang w:val="ro-RO"/>
              </w:rPr>
              <w:t xml:space="preserve"> </w:t>
            </w:r>
            <w:r w:rsidR="009F623A" w:rsidRPr="006B2701">
              <w:rPr>
                <w:rFonts w:ascii="Tahoma" w:eastAsia="Calibri" w:hAnsi="Tahoma" w:cs="Tahoma"/>
                <w:sz w:val="24"/>
                <w:szCs w:val="24"/>
                <w:lang w:val="ro-RO"/>
              </w:rPr>
              <w:t>coerenței</w:t>
            </w:r>
            <w:r w:rsidRPr="006B2701">
              <w:rPr>
                <w:rFonts w:ascii="Tahoma" w:eastAsia="Calibri" w:hAnsi="Tahoma" w:cs="Tahoma"/>
                <w:sz w:val="24"/>
                <w:szCs w:val="24"/>
                <w:lang w:val="ro-RO"/>
              </w:rPr>
              <w:t xml:space="preserve"> procesului de bugetare, prioritizarea politicilor sectoriale </w:t>
            </w:r>
            <w:r w:rsidR="009F623A" w:rsidRPr="006B2701">
              <w:rPr>
                <w:rFonts w:ascii="Tahoma" w:eastAsia="Calibri" w:hAnsi="Tahoma" w:cs="Tahoma"/>
                <w:sz w:val="24"/>
                <w:szCs w:val="24"/>
                <w:lang w:val="ro-RO"/>
              </w:rPr>
              <w:t>și</w:t>
            </w:r>
            <w:r w:rsidRPr="006B2701">
              <w:rPr>
                <w:rFonts w:ascii="Tahoma" w:eastAsia="Calibri" w:hAnsi="Tahoma" w:cs="Tahoma"/>
                <w:sz w:val="24"/>
                <w:szCs w:val="24"/>
                <w:lang w:val="ro-RO"/>
              </w:rPr>
              <w:t xml:space="preserve"> asigurarea unei </w:t>
            </w:r>
            <w:r w:rsidR="009F623A" w:rsidRPr="006B2701">
              <w:rPr>
                <w:rFonts w:ascii="Tahoma" w:eastAsia="Calibri" w:hAnsi="Tahoma" w:cs="Tahoma"/>
                <w:sz w:val="24"/>
                <w:szCs w:val="24"/>
                <w:lang w:val="ro-RO"/>
              </w:rPr>
              <w:t>competiții</w:t>
            </w:r>
            <w:r w:rsidRPr="006B2701">
              <w:rPr>
                <w:rFonts w:ascii="Tahoma" w:eastAsia="Calibri" w:hAnsi="Tahoma" w:cs="Tahoma"/>
                <w:sz w:val="24"/>
                <w:szCs w:val="24"/>
                <w:lang w:val="ro-RO"/>
              </w:rPr>
              <w:t xml:space="preserve"> reale între proiectele propuse spre </w:t>
            </w:r>
            <w:r w:rsidR="009F623A" w:rsidRPr="006B2701">
              <w:rPr>
                <w:rFonts w:ascii="Tahoma" w:eastAsia="Calibri" w:hAnsi="Tahoma" w:cs="Tahoma"/>
                <w:sz w:val="24"/>
                <w:szCs w:val="24"/>
                <w:lang w:val="ro-RO"/>
              </w:rPr>
              <w:t>finanțare</w:t>
            </w:r>
            <w:r w:rsidRPr="006B2701">
              <w:rPr>
                <w:rFonts w:ascii="Tahoma" w:eastAsia="Calibri" w:hAnsi="Tahoma" w:cs="Tahoma"/>
                <w:sz w:val="24"/>
                <w:szCs w:val="24"/>
                <w:lang w:val="ro-RO"/>
              </w:rPr>
              <w:t xml:space="preserve"> </w:t>
            </w:r>
            <w:r w:rsidR="009F623A" w:rsidRPr="006B2701">
              <w:rPr>
                <w:rFonts w:ascii="Tahoma" w:eastAsia="Calibri" w:hAnsi="Tahoma" w:cs="Tahoma"/>
                <w:sz w:val="24"/>
                <w:szCs w:val="24"/>
                <w:lang w:val="ro-RO"/>
              </w:rPr>
              <w:t>și</w:t>
            </w:r>
            <w:r w:rsidRPr="006B2701">
              <w:rPr>
                <w:rFonts w:ascii="Tahoma" w:eastAsia="Calibri" w:hAnsi="Tahoma" w:cs="Tahoma"/>
                <w:sz w:val="24"/>
                <w:szCs w:val="24"/>
                <w:lang w:val="ro-RO"/>
              </w:rPr>
              <w:t xml:space="preserve"> </w:t>
            </w:r>
            <w:r w:rsidR="009F623A" w:rsidRPr="006B2701">
              <w:rPr>
                <w:rFonts w:ascii="Tahoma" w:eastAsia="Calibri" w:hAnsi="Tahoma" w:cs="Tahoma"/>
                <w:sz w:val="24"/>
                <w:szCs w:val="24"/>
                <w:lang w:val="ro-RO"/>
              </w:rPr>
              <w:t>susținerea</w:t>
            </w:r>
            <w:r w:rsidRPr="006B2701">
              <w:rPr>
                <w:rFonts w:ascii="Tahoma" w:eastAsia="Calibri" w:hAnsi="Tahoma" w:cs="Tahoma"/>
                <w:sz w:val="24"/>
                <w:szCs w:val="24"/>
                <w:lang w:val="ro-RO"/>
              </w:rPr>
              <w:t xml:space="preserve"> </w:t>
            </w:r>
            <w:r w:rsidR="009F623A" w:rsidRPr="006B2701">
              <w:rPr>
                <w:rFonts w:ascii="Tahoma" w:eastAsia="Calibri" w:hAnsi="Tahoma" w:cs="Tahoma"/>
                <w:sz w:val="24"/>
                <w:szCs w:val="24"/>
                <w:lang w:val="ro-RO"/>
              </w:rPr>
              <w:t>performanței</w:t>
            </w:r>
            <w:r w:rsidRPr="006B2701">
              <w:rPr>
                <w:rFonts w:ascii="Tahoma" w:eastAsia="Calibri" w:hAnsi="Tahoma" w:cs="Tahoma"/>
                <w:sz w:val="24"/>
                <w:szCs w:val="24"/>
                <w:lang w:val="ro-RO"/>
              </w:rPr>
              <w:t>;</w:t>
            </w:r>
          </w:p>
          <w:p w14:paraId="29B33869" w14:textId="7480EDA1" w:rsidR="00EC6DF4" w:rsidRPr="006B2701" w:rsidRDefault="00073FA4" w:rsidP="00073FA4">
            <w:pPr>
              <w:pStyle w:val="ListParagraph"/>
              <w:numPr>
                <w:ilvl w:val="0"/>
                <w:numId w:val="28"/>
              </w:numPr>
              <w:spacing w:before="120" w:line="276" w:lineRule="auto"/>
              <w:ind w:right="340"/>
              <w:jc w:val="both"/>
              <w:rPr>
                <w:rFonts w:ascii="Tahoma" w:eastAsia="SimSun" w:hAnsi="Tahoma" w:cs="Tahoma"/>
                <w:sz w:val="24"/>
                <w:szCs w:val="24"/>
                <w:lang w:val="ro-RO"/>
              </w:rPr>
            </w:pPr>
            <w:r w:rsidRPr="006B2701">
              <w:rPr>
                <w:rFonts w:ascii="Tahoma" w:eastAsia="Calibri" w:hAnsi="Tahoma" w:cs="Tahoma"/>
                <w:sz w:val="24"/>
                <w:szCs w:val="24"/>
                <w:lang w:val="ro-RO"/>
              </w:rPr>
              <w:t xml:space="preserve">întărirea </w:t>
            </w:r>
            <w:r w:rsidR="009F623A" w:rsidRPr="006B2701">
              <w:rPr>
                <w:rFonts w:ascii="Tahoma" w:eastAsia="Calibri" w:hAnsi="Tahoma" w:cs="Tahoma"/>
                <w:sz w:val="24"/>
                <w:szCs w:val="24"/>
                <w:lang w:val="ro-RO"/>
              </w:rPr>
              <w:t>guvernanței</w:t>
            </w:r>
            <w:r w:rsidRPr="006B2701">
              <w:rPr>
                <w:rFonts w:ascii="Tahoma" w:eastAsia="Calibri" w:hAnsi="Tahoma" w:cs="Tahoma"/>
                <w:sz w:val="24"/>
                <w:szCs w:val="24"/>
                <w:lang w:val="ro-RO"/>
              </w:rPr>
              <w:t xml:space="preserve"> corporative la companiile de stat în vederea </w:t>
            </w:r>
            <w:r w:rsidR="009F623A" w:rsidRPr="006B2701">
              <w:rPr>
                <w:rFonts w:ascii="Tahoma" w:eastAsia="Calibri" w:hAnsi="Tahoma" w:cs="Tahoma"/>
                <w:sz w:val="24"/>
                <w:szCs w:val="24"/>
                <w:lang w:val="ro-RO"/>
              </w:rPr>
              <w:t>îmbunătățirii</w:t>
            </w:r>
            <w:r w:rsidRPr="006B2701">
              <w:rPr>
                <w:rFonts w:ascii="Tahoma" w:eastAsia="Calibri" w:hAnsi="Tahoma" w:cs="Tahoma"/>
                <w:sz w:val="24"/>
                <w:szCs w:val="24"/>
                <w:lang w:val="ro-RO"/>
              </w:rPr>
              <w:t xml:space="preserve"> </w:t>
            </w:r>
            <w:r w:rsidR="009F623A" w:rsidRPr="006B2701">
              <w:rPr>
                <w:rFonts w:ascii="Tahoma" w:eastAsia="Calibri" w:hAnsi="Tahoma" w:cs="Tahoma"/>
                <w:sz w:val="24"/>
                <w:szCs w:val="24"/>
                <w:lang w:val="ro-RO"/>
              </w:rPr>
              <w:t>performanței</w:t>
            </w:r>
            <w:r w:rsidRPr="006B2701">
              <w:rPr>
                <w:rFonts w:ascii="Tahoma" w:eastAsia="Calibri" w:hAnsi="Tahoma" w:cs="Tahoma"/>
                <w:sz w:val="24"/>
                <w:szCs w:val="24"/>
                <w:lang w:val="ro-RO"/>
              </w:rPr>
              <w:t xml:space="preserve"> acestora, prin utilizarea celor mai bune practici la nivel european.</w:t>
            </w:r>
          </w:p>
        </w:tc>
      </w:tr>
    </w:tbl>
    <w:p w14:paraId="451E2912" w14:textId="77777777" w:rsidR="00BA5E33" w:rsidRPr="006B2701" w:rsidRDefault="00BA5E33" w:rsidP="000553FC">
      <w:pPr>
        <w:spacing w:line="276" w:lineRule="auto"/>
        <w:rPr>
          <w:rFonts w:ascii="Tahoma" w:hAnsi="Tahoma" w:cs="Tahoma"/>
          <w:b/>
          <w:bCs/>
          <w:sz w:val="24"/>
          <w:szCs w:val="24"/>
          <w:lang w:val="ro-RO"/>
        </w:rPr>
      </w:pPr>
    </w:p>
    <w:p w14:paraId="311A7B58" w14:textId="77777777" w:rsidR="00BA5E33" w:rsidRPr="006B2701" w:rsidRDefault="00BA5E33" w:rsidP="000553FC">
      <w:pPr>
        <w:spacing w:line="276" w:lineRule="auto"/>
        <w:ind w:firstLine="288"/>
        <w:jc w:val="both"/>
        <w:rPr>
          <w:rFonts w:ascii="Tahoma" w:hAnsi="Tahoma" w:cs="Tahoma"/>
          <w:b/>
          <w:bCs/>
          <w:sz w:val="24"/>
          <w:szCs w:val="24"/>
          <w:lang w:val="ro-RO"/>
        </w:rPr>
      </w:pPr>
      <w:r w:rsidRPr="006B2701">
        <w:rPr>
          <w:rFonts w:ascii="Tahoma" w:hAnsi="Tahoma" w:cs="Tahoma"/>
          <w:b/>
          <w:bCs/>
          <w:sz w:val="24"/>
          <w:szCs w:val="24"/>
          <w:lang w:val="ro-RO"/>
        </w:rPr>
        <w:t>III.2. Efectul rectificărilor bugetare</w:t>
      </w:r>
    </w:p>
    <w:p w14:paraId="5FFAB6B5" w14:textId="77777777" w:rsidR="00BA5E33" w:rsidRPr="006B2701" w:rsidRDefault="00BA5E33" w:rsidP="000553FC">
      <w:pPr>
        <w:spacing w:line="276" w:lineRule="auto"/>
        <w:ind w:firstLine="708"/>
        <w:jc w:val="both"/>
        <w:rPr>
          <w:rFonts w:ascii="Tahoma" w:hAnsi="Tahoma" w:cs="Tahoma"/>
          <w:sz w:val="24"/>
          <w:szCs w:val="24"/>
          <w:lang w:val="ro-RO"/>
        </w:rPr>
      </w:pPr>
    </w:p>
    <w:p w14:paraId="3040327E" w14:textId="7FE65E78" w:rsidR="00546D34" w:rsidRPr="006B2701" w:rsidRDefault="00546D34" w:rsidP="00D566DB">
      <w:pPr>
        <w:shd w:val="clear" w:color="auto" w:fill="E2EFD9" w:themeFill="accent6" w:themeFillTint="33"/>
        <w:spacing w:after="120" w:line="276" w:lineRule="auto"/>
        <w:jc w:val="both"/>
        <w:rPr>
          <w:rFonts w:ascii="Tahoma" w:eastAsiaTheme="minorHAnsi" w:hAnsi="Tahoma" w:cs="Tahoma"/>
          <w:b/>
          <w:sz w:val="24"/>
          <w:szCs w:val="24"/>
          <w:lang w:val="ro-RO"/>
        </w:rPr>
      </w:pPr>
      <w:r w:rsidRPr="006B2701">
        <w:rPr>
          <w:rFonts w:ascii="Tahoma" w:eastAsiaTheme="minorHAnsi" w:hAnsi="Tahoma" w:cs="Tahoma"/>
          <w:sz w:val="24"/>
          <w:szCs w:val="24"/>
          <w:lang w:val="ro-RO"/>
        </w:rPr>
        <w:t xml:space="preserve">Bugetul pe anul </w:t>
      </w:r>
      <w:r w:rsidR="002A01B8" w:rsidRPr="006B2701">
        <w:rPr>
          <w:rFonts w:ascii="Tahoma" w:eastAsiaTheme="minorHAnsi" w:hAnsi="Tahoma" w:cs="Tahoma"/>
          <w:sz w:val="24"/>
          <w:szCs w:val="24"/>
          <w:lang w:val="ro-RO"/>
        </w:rPr>
        <w:t>202</w:t>
      </w:r>
      <w:r w:rsidR="00BB3D31" w:rsidRPr="006B2701">
        <w:rPr>
          <w:rFonts w:ascii="Tahoma" w:eastAsiaTheme="minorHAnsi" w:hAnsi="Tahoma" w:cs="Tahoma"/>
          <w:sz w:val="24"/>
          <w:szCs w:val="24"/>
          <w:lang w:val="ro-RO"/>
        </w:rPr>
        <w:t>2</w:t>
      </w:r>
      <w:r w:rsidR="002A01B8" w:rsidRPr="006B2701">
        <w:rPr>
          <w:rFonts w:ascii="Tahoma" w:eastAsiaTheme="minorHAnsi" w:hAnsi="Tahoma" w:cs="Tahoma"/>
          <w:sz w:val="24"/>
          <w:szCs w:val="24"/>
          <w:lang w:val="ro-RO"/>
        </w:rPr>
        <w:t xml:space="preserve"> </w:t>
      </w:r>
      <w:r w:rsidRPr="006B2701">
        <w:rPr>
          <w:rFonts w:ascii="Tahoma" w:eastAsiaTheme="minorHAnsi" w:hAnsi="Tahoma" w:cs="Tahoma"/>
          <w:sz w:val="24"/>
          <w:szCs w:val="24"/>
          <w:lang w:val="ro-RO"/>
        </w:rPr>
        <w:t xml:space="preserve">a fost construit cu un </w:t>
      </w:r>
      <w:r w:rsidRPr="006B2701">
        <w:rPr>
          <w:rFonts w:ascii="Tahoma" w:eastAsiaTheme="minorHAnsi" w:hAnsi="Tahoma" w:cs="Tahoma"/>
          <w:b/>
          <w:sz w:val="24"/>
          <w:szCs w:val="24"/>
          <w:lang w:val="ro-RO"/>
        </w:rPr>
        <w:t xml:space="preserve">deficit cash de </w:t>
      </w:r>
      <w:r w:rsidR="00BB3D31" w:rsidRPr="006B2701">
        <w:rPr>
          <w:rFonts w:ascii="Tahoma" w:eastAsiaTheme="minorHAnsi" w:hAnsi="Tahoma" w:cs="Tahoma"/>
          <w:b/>
          <w:sz w:val="24"/>
          <w:szCs w:val="24"/>
          <w:lang w:val="ro-RO"/>
        </w:rPr>
        <w:t>5,84</w:t>
      </w:r>
      <w:r w:rsidRPr="006B2701">
        <w:rPr>
          <w:rFonts w:ascii="Tahoma" w:eastAsiaTheme="minorHAnsi" w:hAnsi="Tahoma" w:cs="Tahoma"/>
          <w:b/>
          <w:sz w:val="24"/>
          <w:szCs w:val="24"/>
          <w:lang w:val="ro-RO"/>
        </w:rPr>
        <w:t>% din PIB</w:t>
      </w:r>
      <w:r w:rsidRPr="006B2701">
        <w:rPr>
          <w:rFonts w:ascii="Tahoma" w:eastAsiaTheme="minorHAnsi" w:hAnsi="Tahoma" w:cs="Tahoma"/>
          <w:sz w:val="24"/>
          <w:szCs w:val="24"/>
          <w:lang w:val="ro-RO"/>
        </w:rPr>
        <w:t xml:space="preserve"> (venituri </w:t>
      </w:r>
      <w:r w:rsidR="00BB3D31" w:rsidRPr="006B2701">
        <w:rPr>
          <w:rFonts w:ascii="Tahoma" w:eastAsiaTheme="minorHAnsi" w:hAnsi="Tahoma" w:cs="Tahoma"/>
          <w:sz w:val="24"/>
          <w:szCs w:val="24"/>
          <w:lang w:val="ro-RO"/>
        </w:rPr>
        <w:t>33,4</w:t>
      </w:r>
      <w:r w:rsidRPr="006B2701">
        <w:rPr>
          <w:rFonts w:ascii="Tahoma" w:eastAsiaTheme="minorHAnsi" w:hAnsi="Tahoma" w:cs="Tahoma"/>
          <w:sz w:val="24"/>
          <w:szCs w:val="24"/>
          <w:lang w:val="ro-RO"/>
        </w:rPr>
        <w:t xml:space="preserve">% din PIB și cheltuieli </w:t>
      </w:r>
      <w:r w:rsidR="00BB3D31" w:rsidRPr="006B2701">
        <w:rPr>
          <w:rFonts w:ascii="Tahoma" w:eastAsiaTheme="minorHAnsi" w:hAnsi="Tahoma" w:cs="Tahoma"/>
          <w:sz w:val="24"/>
          <w:szCs w:val="24"/>
          <w:lang w:val="ro-RO"/>
        </w:rPr>
        <w:t>39,2</w:t>
      </w:r>
      <w:r w:rsidRPr="006B2701">
        <w:rPr>
          <w:rFonts w:ascii="Tahoma" w:eastAsiaTheme="minorHAnsi" w:hAnsi="Tahoma" w:cs="Tahoma"/>
          <w:sz w:val="24"/>
          <w:szCs w:val="24"/>
          <w:lang w:val="ro-RO"/>
        </w:rPr>
        <w:t xml:space="preserve">% din PIB) căruia îi corespunde un </w:t>
      </w:r>
      <w:r w:rsidRPr="006B2701">
        <w:rPr>
          <w:rFonts w:ascii="Tahoma" w:eastAsiaTheme="minorHAnsi" w:hAnsi="Tahoma" w:cs="Tahoma"/>
          <w:b/>
          <w:sz w:val="24"/>
          <w:szCs w:val="24"/>
          <w:lang w:val="ro-RO"/>
        </w:rPr>
        <w:t xml:space="preserve">deficit ESA de </w:t>
      </w:r>
      <w:r w:rsidR="00BB3D31" w:rsidRPr="006B2701">
        <w:rPr>
          <w:rFonts w:ascii="Tahoma" w:eastAsiaTheme="minorHAnsi" w:hAnsi="Tahoma" w:cs="Tahoma"/>
          <w:b/>
          <w:sz w:val="24"/>
          <w:szCs w:val="24"/>
          <w:lang w:val="ro-RO"/>
        </w:rPr>
        <w:t>6,24</w:t>
      </w:r>
      <w:r w:rsidRPr="006B2701">
        <w:rPr>
          <w:rFonts w:ascii="Tahoma" w:eastAsiaTheme="minorHAnsi" w:hAnsi="Tahoma" w:cs="Tahoma"/>
          <w:b/>
          <w:sz w:val="24"/>
          <w:szCs w:val="24"/>
          <w:lang w:val="ro-RO"/>
        </w:rPr>
        <w:t>% din PIB</w:t>
      </w:r>
      <w:r w:rsidR="00AD0B22" w:rsidRPr="006B2701">
        <w:rPr>
          <w:rFonts w:ascii="Tahoma" w:eastAsiaTheme="minorHAnsi" w:hAnsi="Tahoma" w:cs="Tahoma"/>
          <w:b/>
          <w:sz w:val="24"/>
          <w:szCs w:val="24"/>
          <w:lang w:val="ro-RO"/>
        </w:rPr>
        <w:t xml:space="preserve"> și un deficit structural de </w:t>
      </w:r>
      <w:r w:rsidR="00BB3D31" w:rsidRPr="006B2701">
        <w:rPr>
          <w:rFonts w:ascii="Tahoma" w:eastAsiaTheme="minorHAnsi" w:hAnsi="Tahoma" w:cs="Tahoma"/>
          <w:b/>
          <w:sz w:val="24"/>
          <w:szCs w:val="24"/>
          <w:lang w:val="ro-RO"/>
        </w:rPr>
        <w:t>5,71</w:t>
      </w:r>
      <w:r w:rsidR="00AD0B22" w:rsidRPr="006B2701">
        <w:rPr>
          <w:rFonts w:ascii="Tahoma" w:eastAsiaTheme="minorHAnsi" w:hAnsi="Tahoma" w:cs="Tahoma"/>
          <w:b/>
          <w:sz w:val="24"/>
          <w:szCs w:val="24"/>
          <w:lang w:val="ro-RO"/>
        </w:rPr>
        <w:t>% din PIB</w:t>
      </w:r>
      <w:r w:rsidRPr="006B2701">
        <w:rPr>
          <w:rFonts w:ascii="Tahoma" w:eastAsiaTheme="minorHAnsi" w:hAnsi="Tahoma" w:cs="Tahoma"/>
          <w:b/>
          <w:sz w:val="24"/>
          <w:szCs w:val="24"/>
          <w:lang w:val="ro-RO"/>
        </w:rPr>
        <w:t>.</w:t>
      </w:r>
    </w:p>
    <w:p w14:paraId="4E9FA843" w14:textId="2F3774DD" w:rsidR="00A0005C" w:rsidRPr="006B2701" w:rsidRDefault="00A0005C" w:rsidP="000553FC">
      <w:pPr>
        <w:widowControl w:val="0"/>
        <w:autoSpaceDE w:val="0"/>
        <w:autoSpaceDN w:val="0"/>
        <w:adjustRightInd w:val="0"/>
        <w:spacing w:before="120" w:line="276" w:lineRule="auto"/>
        <w:ind w:right="-1"/>
        <w:jc w:val="both"/>
        <w:rPr>
          <w:rFonts w:ascii="Tahoma" w:hAnsi="Tahoma" w:cs="Tahoma"/>
          <w:b/>
          <w:color w:val="000048"/>
          <w:sz w:val="24"/>
          <w:szCs w:val="24"/>
          <w:lang w:val="ro-RO"/>
        </w:rPr>
      </w:pPr>
      <w:r w:rsidRPr="006B2701">
        <w:rPr>
          <w:rFonts w:ascii="Tahoma" w:hAnsi="Tahoma" w:cs="Tahoma"/>
          <w:b/>
          <w:color w:val="000048"/>
          <w:sz w:val="24"/>
          <w:szCs w:val="24"/>
          <w:lang w:val="ro-RO"/>
        </w:rPr>
        <w:t xml:space="preserve">Planificarea bugetară pe orizontul </w:t>
      </w:r>
      <w:r w:rsidR="002A01B8" w:rsidRPr="006B2701">
        <w:rPr>
          <w:rFonts w:ascii="Tahoma" w:hAnsi="Tahoma" w:cs="Tahoma"/>
          <w:b/>
          <w:sz w:val="24"/>
          <w:szCs w:val="24"/>
          <w:lang w:val="ro-RO"/>
        </w:rPr>
        <w:t>202</w:t>
      </w:r>
      <w:r w:rsidR="00BB3D31" w:rsidRPr="006B2701">
        <w:rPr>
          <w:rFonts w:ascii="Tahoma" w:hAnsi="Tahoma" w:cs="Tahoma"/>
          <w:b/>
          <w:sz w:val="24"/>
          <w:szCs w:val="24"/>
          <w:lang w:val="ro-RO"/>
        </w:rPr>
        <w:t>2</w:t>
      </w:r>
      <w:r w:rsidR="002A01B8" w:rsidRPr="006B2701">
        <w:rPr>
          <w:rFonts w:ascii="Tahoma" w:hAnsi="Tahoma" w:cs="Tahoma"/>
          <w:b/>
          <w:sz w:val="24"/>
          <w:szCs w:val="24"/>
          <w:lang w:val="ro-RO"/>
        </w:rPr>
        <w:t>-202</w:t>
      </w:r>
      <w:r w:rsidR="00BB3D31" w:rsidRPr="006B2701">
        <w:rPr>
          <w:rFonts w:ascii="Tahoma" w:hAnsi="Tahoma" w:cs="Tahoma"/>
          <w:b/>
          <w:sz w:val="24"/>
          <w:szCs w:val="24"/>
          <w:lang w:val="ro-RO"/>
        </w:rPr>
        <w:t>5</w:t>
      </w:r>
      <w:r w:rsidR="002A01B8" w:rsidRPr="006B2701">
        <w:rPr>
          <w:rFonts w:ascii="Tahoma" w:hAnsi="Tahoma" w:cs="Tahoma"/>
          <w:b/>
          <w:sz w:val="24"/>
          <w:szCs w:val="24"/>
          <w:lang w:val="ro-RO"/>
        </w:rPr>
        <w:t xml:space="preserve"> </w:t>
      </w:r>
      <w:r w:rsidRPr="006B2701">
        <w:rPr>
          <w:rFonts w:ascii="Tahoma" w:hAnsi="Tahoma" w:cs="Tahoma"/>
          <w:b/>
          <w:color w:val="000048"/>
          <w:sz w:val="24"/>
          <w:szCs w:val="24"/>
          <w:lang w:val="ro-RO"/>
        </w:rPr>
        <w:t>a avut în vedere:</w:t>
      </w:r>
    </w:p>
    <w:p w14:paraId="687ED8FE" w14:textId="642A1000" w:rsidR="00BB3D31" w:rsidRPr="006B2701" w:rsidRDefault="00BB3D31"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 xml:space="preserve">măsurile întreprinse de Guvernul României în anii 2020 și 2021 în diverse domenii afectate de criză precum cel economic, al asistenței sociale, al </w:t>
      </w:r>
      <w:r w:rsidR="00F21F8B" w:rsidRPr="006B2701">
        <w:rPr>
          <w:rFonts w:ascii="Tahoma" w:hAnsi="Tahoma" w:cs="Tahoma"/>
          <w:sz w:val="24"/>
          <w:szCs w:val="24"/>
          <w:lang w:val="ro-RO"/>
        </w:rPr>
        <w:t>sănătății</w:t>
      </w:r>
      <w:r w:rsidRPr="006B2701">
        <w:rPr>
          <w:rFonts w:ascii="Tahoma" w:hAnsi="Tahoma" w:cs="Tahoma"/>
          <w:sz w:val="24"/>
          <w:szCs w:val="24"/>
          <w:lang w:val="ro-RO"/>
        </w:rPr>
        <w:t xml:space="preserve"> și educației, al mediului de afaceri, în vederea stopării efectelor negative ale pandemiei, măsurile noi luate în anul 2022, care vor influența cadrul macroeconomic și indicatorii bugetari pe orizontul 2022-2025, dar și prioritățile de finanțare din bugetul național, măsuri care vor fi relaxate și diferențiate pe măsură ce redresarea devine robustă și riscurile se diminuează;</w:t>
      </w:r>
    </w:p>
    <w:p w14:paraId="65577B5D" w14:textId="321F0009" w:rsidR="00BB3D31" w:rsidRPr="006B2701" w:rsidRDefault="00BB3D31"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 xml:space="preserve">obiectivele și măsurile prevăzute în Programul de Guvernare adoptat prin Hotărârea Parlamentului nr.42/2021 privind acordarea încrederii Guvernului, întărite prin operaționalizarea Planului de Redresare și </w:t>
      </w:r>
      <w:r w:rsidR="00F21F8B" w:rsidRPr="006B2701">
        <w:rPr>
          <w:rFonts w:ascii="Tahoma" w:hAnsi="Tahoma" w:cs="Tahoma"/>
          <w:sz w:val="24"/>
          <w:szCs w:val="24"/>
          <w:lang w:val="ro-RO"/>
        </w:rPr>
        <w:t>Reziliență</w:t>
      </w:r>
      <w:r w:rsidRPr="006B2701">
        <w:rPr>
          <w:rFonts w:ascii="Tahoma" w:hAnsi="Tahoma" w:cs="Tahoma"/>
          <w:sz w:val="24"/>
          <w:szCs w:val="24"/>
          <w:lang w:val="ro-RO"/>
        </w:rPr>
        <w:t xml:space="preserve"> care conține reforme în domeniile reglementate care să stimuleze competitivitatea economiei românești și să accelereze convergența reală a României cu economiile dezvoltate din Uniunea Europeană;</w:t>
      </w:r>
    </w:p>
    <w:p w14:paraId="6824789F" w14:textId="50AC31CE" w:rsidR="00BB3D31" w:rsidRPr="006B2701" w:rsidRDefault="00BB3D31"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prognoza cadrului macroeconomic pe termen mediu 2020-2025 (varianta de toamnă  2021), elaborată de Comisia Națională de Strategie și Prognoză, conform căreia creșterea reală a PIB în anul 2021 va fi de 7%;</w:t>
      </w:r>
    </w:p>
    <w:p w14:paraId="5A3463CC" w14:textId="2B75227D" w:rsidR="00BB3D31" w:rsidRPr="006B2701" w:rsidRDefault="00BB3D31" w:rsidP="001D455B">
      <w:pPr>
        <w:numPr>
          <w:ilvl w:val="0"/>
          <w:numId w:val="12"/>
        </w:numPr>
        <w:spacing w:before="120" w:after="120" w:line="276" w:lineRule="auto"/>
        <w:ind w:left="851" w:hanging="284"/>
        <w:jc w:val="both"/>
        <w:rPr>
          <w:rFonts w:ascii="Tahoma" w:hAnsi="Tahoma" w:cs="Tahoma"/>
          <w:sz w:val="24"/>
          <w:szCs w:val="24"/>
          <w:lang w:val="ro-RO"/>
        </w:rPr>
      </w:pPr>
      <w:r w:rsidRPr="006B2701">
        <w:rPr>
          <w:rFonts w:ascii="Tahoma" w:hAnsi="Tahoma" w:cs="Tahoma"/>
          <w:sz w:val="24"/>
          <w:szCs w:val="24"/>
          <w:lang w:val="ro-RO"/>
        </w:rPr>
        <w:t xml:space="preserve">Având în vedere existența crizei sanitare cu </w:t>
      </w:r>
      <w:r w:rsidR="00F21F8B" w:rsidRPr="006B2701">
        <w:rPr>
          <w:rFonts w:ascii="Tahoma" w:hAnsi="Tahoma" w:cs="Tahoma"/>
          <w:sz w:val="24"/>
          <w:szCs w:val="24"/>
          <w:lang w:val="ro-RO"/>
        </w:rPr>
        <w:t>evoluții</w:t>
      </w:r>
      <w:r w:rsidRPr="006B2701">
        <w:rPr>
          <w:rFonts w:ascii="Tahoma" w:hAnsi="Tahoma" w:cs="Tahoma"/>
          <w:sz w:val="24"/>
          <w:szCs w:val="24"/>
          <w:lang w:val="ro-RO"/>
        </w:rPr>
        <w:t xml:space="preserve"> neuniforme, s-a avut în vedere o </w:t>
      </w:r>
      <w:r w:rsidR="00F21F8B" w:rsidRPr="006B2701">
        <w:rPr>
          <w:rFonts w:ascii="Tahoma" w:hAnsi="Tahoma" w:cs="Tahoma"/>
          <w:sz w:val="24"/>
          <w:szCs w:val="24"/>
          <w:lang w:val="ro-RO"/>
        </w:rPr>
        <w:t>construcție</w:t>
      </w:r>
      <w:r w:rsidRPr="006B2701">
        <w:rPr>
          <w:rFonts w:ascii="Tahoma" w:hAnsi="Tahoma" w:cs="Tahoma"/>
          <w:sz w:val="24"/>
          <w:szCs w:val="24"/>
          <w:lang w:val="ro-RO"/>
        </w:rPr>
        <w:t xml:space="preserve"> bugetară responsabilă </w:t>
      </w:r>
      <w:r w:rsidR="00F21F8B" w:rsidRPr="006B2701">
        <w:rPr>
          <w:rFonts w:ascii="Tahoma" w:hAnsi="Tahoma" w:cs="Tahoma"/>
          <w:sz w:val="24"/>
          <w:szCs w:val="24"/>
          <w:lang w:val="ro-RO"/>
        </w:rPr>
        <w:t>și</w:t>
      </w:r>
      <w:r w:rsidRPr="006B2701">
        <w:rPr>
          <w:rFonts w:ascii="Tahoma" w:hAnsi="Tahoma" w:cs="Tahoma"/>
          <w:sz w:val="24"/>
          <w:szCs w:val="24"/>
          <w:lang w:val="ro-RO"/>
        </w:rPr>
        <w:t xml:space="preserve"> credibilă, evitarea retragerii premature a sprijinului bugetar pentru atenuarea efectelor crizei pandemice, evitarea politicilor </w:t>
      </w:r>
      <w:proofErr w:type="spellStart"/>
      <w:r w:rsidRPr="006B2701">
        <w:rPr>
          <w:rFonts w:ascii="Tahoma" w:hAnsi="Tahoma" w:cs="Tahoma"/>
          <w:sz w:val="24"/>
          <w:szCs w:val="24"/>
          <w:lang w:val="ro-RO"/>
        </w:rPr>
        <w:t>prociclice</w:t>
      </w:r>
      <w:proofErr w:type="spellEnd"/>
      <w:r w:rsidRPr="006B2701">
        <w:rPr>
          <w:rFonts w:ascii="Tahoma" w:hAnsi="Tahoma" w:cs="Tahoma"/>
          <w:sz w:val="24"/>
          <w:szCs w:val="24"/>
          <w:lang w:val="ro-RO"/>
        </w:rPr>
        <w:t xml:space="preserve">, crearea de spațiul fiscal, vital în economii emergente în vremuri cu incertitudini mari și piețe financiare ușor schimbătoare, argumente pentru evitarea deteriorării stabilității financiare, a evaluării riscului suveran, pentru </w:t>
      </w:r>
      <w:r w:rsidR="00F21F8B" w:rsidRPr="006B2701">
        <w:rPr>
          <w:rFonts w:ascii="Tahoma" w:hAnsi="Tahoma" w:cs="Tahoma"/>
          <w:sz w:val="24"/>
          <w:szCs w:val="24"/>
          <w:lang w:val="ro-RO"/>
        </w:rPr>
        <w:t>susținerea</w:t>
      </w:r>
      <w:r w:rsidRPr="006B2701">
        <w:rPr>
          <w:rFonts w:ascii="Tahoma" w:hAnsi="Tahoma" w:cs="Tahoma"/>
          <w:sz w:val="24"/>
          <w:szCs w:val="24"/>
          <w:lang w:val="ro-RO"/>
        </w:rPr>
        <w:t xml:space="preserve">  mediului de afaceri.</w:t>
      </w:r>
    </w:p>
    <w:p w14:paraId="57543FB6" w14:textId="4CBFC1B1" w:rsidR="00A0005C" w:rsidRPr="006B2701" w:rsidRDefault="00A0005C" w:rsidP="00D566DB">
      <w:pPr>
        <w:shd w:val="clear" w:color="auto" w:fill="E2EFD9" w:themeFill="accent6" w:themeFillTint="33"/>
        <w:spacing w:after="160" w:line="276" w:lineRule="auto"/>
        <w:jc w:val="both"/>
        <w:rPr>
          <w:rFonts w:ascii="Tahoma" w:hAnsi="Tahoma" w:cs="Tahoma"/>
          <w:sz w:val="24"/>
          <w:szCs w:val="24"/>
          <w:lang w:val="ro-RO"/>
        </w:rPr>
      </w:pPr>
      <w:r w:rsidRPr="006B2701">
        <w:rPr>
          <w:rFonts w:ascii="Tahoma" w:hAnsi="Tahoma" w:cs="Tahoma"/>
          <w:b/>
          <w:sz w:val="24"/>
          <w:szCs w:val="24"/>
          <w:lang w:val="ro-RO"/>
        </w:rPr>
        <w:t>Veniturile bugetului general consolidat</w:t>
      </w:r>
      <w:r w:rsidRPr="006B2701">
        <w:rPr>
          <w:rFonts w:ascii="Tahoma" w:hAnsi="Tahoma" w:cs="Tahoma"/>
          <w:sz w:val="24"/>
          <w:szCs w:val="24"/>
          <w:lang w:val="ro-RO"/>
        </w:rPr>
        <w:t xml:space="preserve"> au fost estimate în sumă de </w:t>
      </w:r>
      <w:r w:rsidR="001D455B" w:rsidRPr="006B2701">
        <w:rPr>
          <w:rFonts w:ascii="Tahoma" w:hAnsi="Tahoma" w:cs="Tahoma"/>
          <w:sz w:val="24"/>
          <w:szCs w:val="24"/>
          <w:lang w:val="ro-RO"/>
        </w:rPr>
        <w:t>439,99</w:t>
      </w:r>
      <w:r w:rsidRPr="006B2701">
        <w:rPr>
          <w:rFonts w:ascii="Tahoma" w:hAnsi="Tahoma" w:cs="Tahoma"/>
          <w:sz w:val="24"/>
          <w:szCs w:val="24"/>
          <w:lang w:val="ro-RO"/>
        </w:rPr>
        <w:t xml:space="preserve"> miliarde lei, reprezentând </w:t>
      </w:r>
      <w:r w:rsidR="001D455B" w:rsidRPr="006B2701">
        <w:rPr>
          <w:rFonts w:ascii="Tahoma" w:hAnsi="Tahoma" w:cs="Tahoma"/>
          <w:sz w:val="24"/>
          <w:szCs w:val="24"/>
          <w:lang w:val="ro-RO"/>
        </w:rPr>
        <w:t>33,4</w:t>
      </w:r>
      <w:r w:rsidRPr="006B2701">
        <w:rPr>
          <w:rFonts w:ascii="Tahoma" w:hAnsi="Tahoma" w:cs="Tahoma"/>
          <w:sz w:val="24"/>
          <w:szCs w:val="24"/>
          <w:lang w:val="ro-RO"/>
        </w:rPr>
        <w:t xml:space="preserve">% din PIB. </w:t>
      </w:r>
    </w:p>
    <w:p w14:paraId="4F15736B" w14:textId="3ADF6BE1" w:rsidR="00A0005C" w:rsidRPr="006B2701" w:rsidRDefault="00A0005C" w:rsidP="00D566DB">
      <w:pPr>
        <w:shd w:val="clear" w:color="auto" w:fill="E2EFD9" w:themeFill="accent6" w:themeFillTint="33"/>
        <w:spacing w:after="160" w:line="276" w:lineRule="auto"/>
        <w:jc w:val="both"/>
        <w:rPr>
          <w:rFonts w:ascii="Tahoma" w:hAnsi="Tahoma" w:cs="Tahoma"/>
          <w:sz w:val="24"/>
          <w:szCs w:val="24"/>
          <w:lang w:val="ro-RO"/>
        </w:rPr>
      </w:pPr>
      <w:r w:rsidRPr="006B2701">
        <w:rPr>
          <w:rFonts w:ascii="Tahoma" w:hAnsi="Tahoma" w:cs="Tahoma"/>
          <w:b/>
          <w:sz w:val="24"/>
          <w:szCs w:val="24"/>
          <w:lang w:val="ro-RO"/>
        </w:rPr>
        <w:lastRenderedPageBreak/>
        <w:t>Cheltuielile bugetului general consolidat</w:t>
      </w:r>
      <w:r w:rsidRPr="006B2701">
        <w:rPr>
          <w:rFonts w:ascii="Tahoma" w:hAnsi="Tahoma" w:cs="Tahoma"/>
          <w:sz w:val="24"/>
          <w:szCs w:val="24"/>
          <w:lang w:val="ro-RO"/>
        </w:rPr>
        <w:t xml:space="preserve"> au fost estimate în sumă de </w:t>
      </w:r>
      <w:r w:rsidR="001D455B" w:rsidRPr="006B2701">
        <w:rPr>
          <w:rFonts w:ascii="Tahoma" w:hAnsi="Tahoma" w:cs="Tahoma"/>
          <w:sz w:val="24"/>
          <w:szCs w:val="24"/>
          <w:lang w:val="ro-RO"/>
        </w:rPr>
        <w:t>516,97</w:t>
      </w:r>
      <w:r w:rsidRPr="006B2701">
        <w:rPr>
          <w:rFonts w:ascii="Tahoma" w:hAnsi="Tahoma" w:cs="Tahoma"/>
          <w:sz w:val="24"/>
          <w:szCs w:val="24"/>
          <w:lang w:val="ro-RO"/>
        </w:rPr>
        <w:t xml:space="preserve"> miliarde lei reprezentând </w:t>
      </w:r>
      <w:r w:rsidR="002F37D3" w:rsidRPr="006B2701">
        <w:rPr>
          <w:rFonts w:ascii="Tahoma" w:hAnsi="Tahoma" w:cs="Tahoma"/>
          <w:sz w:val="24"/>
          <w:szCs w:val="24"/>
          <w:lang w:val="ro-RO"/>
        </w:rPr>
        <w:t>39,</w:t>
      </w:r>
      <w:r w:rsidR="001D455B" w:rsidRPr="006B2701">
        <w:rPr>
          <w:rFonts w:ascii="Tahoma" w:hAnsi="Tahoma" w:cs="Tahoma"/>
          <w:sz w:val="24"/>
          <w:szCs w:val="24"/>
          <w:lang w:val="ro-RO"/>
        </w:rPr>
        <w:t>2</w:t>
      </w:r>
      <w:r w:rsidRPr="006B2701">
        <w:rPr>
          <w:rFonts w:ascii="Tahoma" w:hAnsi="Tahoma" w:cs="Tahoma"/>
          <w:sz w:val="24"/>
          <w:szCs w:val="24"/>
          <w:lang w:val="ro-RO"/>
        </w:rPr>
        <w:t>% din PIB.</w:t>
      </w:r>
    </w:p>
    <w:p w14:paraId="4E4C23A1" w14:textId="75CF6608" w:rsidR="002F37D3" w:rsidRPr="006B2701" w:rsidRDefault="00910DCD" w:rsidP="00F009EB">
      <w:pPr>
        <w:widowControl w:val="0"/>
        <w:spacing w:before="120" w:line="276" w:lineRule="auto"/>
        <w:ind w:right="6"/>
        <w:jc w:val="both"/>
        <w:rPr>
          <w:rFonts w:ascii="Tahoma" w:hAnsi="Tahoma" w:cs="Tahoma"/>
          <w:bCs/>
          <w:color w:val="000000"/>
          <w:sz w:val="24"/>
          <w:szCs w:val="24"/>
          <w:lang w:val="ro-RO"/>
        </w:rPr>
      </w:pPr>
      <w:r w:rsidRPr="006B2701">
        <w:rPr>
          <w:rFonts w:ascii="Tahoma" w:hAnsi="Tahoma" w:cs="Tahoma"/>
          <w:bCs/>
          <w:color w:val="000000"/>
          <w:sz w:val="24"/>
          <w:szCs w:val="24"/>
          <w:lang w:val="ro-RO"/>
        </w:rPr>
        <w:t xml:space="preserve">Cadrul macroeconomic pe care se bazează previziunile bugetare pentru perioada 2022-2025 a avut în vedere următoarele aspecte: </w:t>
      </w:r>
    </w:p>
    <w:p w14:paraId="305D15D5" w14:textId="253D9FC1" w:rsidR="00910DCD" w:rsidRPr="006B2701" w:rsidRDefault="00F21F8B"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evoluțiile</w:t>
      </w:r>
      <w:r w:rsidR="00910DCD" w:rsidRPr="006B2701">
        <w:rPr>
          <w:rFonts w:ascii="Tahoma" w:hAnsi="Tahoma" w:cs="Tahoma"/>
          <w:sz w:val="24"/>
          <w:szCs w:val="24"/>
          <w:lang w:val="ro-RO"/>
        </w:rPr>
        <w:t xml:space="preserve"> economice de până în prezent ale anului 2021: o </w:t>
      </w:r>
      <w:r w:rsidRPr="006B2701">
        <w:rPr>
          <w:rFonts w:ascii="Tahoma" w:hAnsi="Tahoma" w:cs="Tahoma"/>
          <w:sz w:val="24"/>
          <w:szCs w:val="24"/>
          <w:lang w:val="ro-RO"/>
        </w:rPr>
        <w:t>creștere</w:t>
      </w:r>
      <w:r w:rsidR="00910DCD" w:rsidRPr="006B2701">
        <w:rPr>
          <w:rFonts w:ascii="Tahoma" w:hAnsi="Tahoma" w:cs="Tahoma"/>
          <w:sz w:val="24"/>
          <w:szCs w:val="24"/>
          <w:lang w:val="ro-RO"/>
        </w:rPr>
        <w:t xml:space="preserve"> economică </w:t>
      </w:r>
      <w:r w:rsidRPr="006B2701">
        <w:rPr>
          <w:rFonts w:ascii="Tahoma" w:hAnsi="Tahoma" w:cs="Tahoma"/>
          <w:sz w:val="24"/>
          <w:szCs w:val="24"/>
          <w:lang w:val="ro-RO"/>
        </w:rPr>
        <w:t>susținută</w:t>
      </w:r>
      <w:r w:rsidR="00910DCD" w:rsidRPr="006B2701">
        <w:rPr>
          <w:rFonts w:ascii="Tahoma" w:hAnsi="Tahoma" w:cs="Tahoma"/>
          <w:sz w:val="24"/>
          <w:szCs w:val="24"/>
          <w:lang w:val="ro-RO"/>
        </w:rPr>
        <w:t xml:space="preserve"> în principal de </w:t>
      </w:r>
      <w:r w:rsidRPr="006B2701">
        <w:rPr>
          <w:rFonts w:ascii="Tahoma" w:hAnsi="Tahoma" w:cs="Tahoma"/>
          <w:sz w:val="24"/>
          <w:szCs w:val="24"/>
          <w:lang w:val="ro-RO"/>
        </w:rPr>
        <w:t>investiții</w:t>
      </w:r>
      <w:r w:rsidR="00910DCD" w:rsidRPr="006B2701">
        <w:rPr>
          <w:rFonts w:ascii="Tahoma" w:hAnsi="Tahoma" w:cs="Tahoma"/>
          <w:sz w:val="24"/>
          <w:szCs w:val="24"/>
          <w:lang w:val="ro-RO"/>
        </w:rPr>
        <w:t xml:space="preserve">, alături de consum, într-un mediu intern favorizat de stabilitatea </w:t>
      </w:r>
      <w:proofErr w:type="spellStart"/>
      <w:r w:rsidR="00910DCD" w:rsidRPr="006B2701">
        <w:rPr>
          <w:rFonts w:ascii="Tahoma" w:hAnsi="Tahoma" w:cs="Tahoma"/>
          <w:sz w:val="24"/>
          <w:szCs w:val="24"/>
          <w:lang w:val="ro-RO"/>
        </w:rPr>
        <w:t>şi</w:t>
      </w:r>
      <w:proofErr w:type="spellEnd"/>
      <w:r w:rsidR="00910DCD" w:rsidRPr="006B2701">
        <w:rPr>
          <w:rFonts w:ascii="Tahoma" w:hAnsi="Tahoma" w:cs="Tahoma"/>
          <w:sz w:val="24"/>
          <w:szCs w:val="24"/>
          <w:lang w:val="ro-RO"/>
        </w:rPr>
        <w:t xml:space="preserve"> predictibilitatea politicilor macroeconomice, precum </w:t>
      </w:r>
      <w:r w:rsidRPr="006B2701">
        <w:rPr>
          <w:rFonts w:ascii="Tahoma" w:hAnsi="Tahoma" w:cs="Tahoma"/>
          <w:sz w:val="24"/>
          <w:szCs w:val="24"/>
          <w:lang w:val="ro-RO"/>
        </w:rPr>
        <w:t>și</w:t>
      </w:r>
      <w:r w:rsidR="00910DCD" w:rsidRPr="006B2701">
        <w:rPr>
          <w:rFonts w:ascii="Tahoma" w:hAnsi="Tahoma" w:cs="Tahoma"/>
          <w:sz w:val="24"/>
          <w:szCs w:val="24"/>
          <w:lang w:val="ro-RO"/>
        </w:rPr>
        <w:t xml:space="preserve"> de eficacitatea politicilor guvernamentale privind atenuarea efectelor pandemiei; </w:t>
      </w:r>
    </w:p>
    <w:p w14:paraId="7E1B6757" w14:textId="432885BF" w:rsidR="00910DCD" w:rsidRPr="006B2701" w:rsidRDefault="00F21F8B"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absorbție</w:t>
      </w:r>
      <w:r w:rsidR="00910DCD" w:rsidRPr="006B2701">
        <w:rPr>
          <w:rFonts w:ascii="Tahoma" w:hAnsi="Tahoma" w:cs="Tahoma"/>
          <w:sz w:val="24"/>
          <w:szCs w:val="24"/>
          <w:lang w:val="ro-RO"/>
        </w:rPr>
        <w:t xml:space="preserve"> cât mai bună a fondurilor UE pe cele două axe: cadrul financiar </w:t>
      </w:r>
      <w:proofErr w:type="spellStart"/>
      <w:r w:rsidR="00910DCD" w:rsidRPr="006B2701">
        <w:rPr>
          <w:rFonts w:ascii="Tahoma" w:hAnsi="Tahoma" w:cs="Tahoma"/>
          <w:sz w:val="24"/>
          <w:szCs w:val="24"/>
          <w:lang w:val="ro-RO"/>
        </w:rPr>
        <w:t>multi</w:t>
      </w:r>
      <w:proofErr w:type="spellEnd"/>
      <w:r w:rsidR="00910DCD" w:rsidRPr="006B2701">
        <w:rPr>
          <w:rFonts w:ascii="Tahoma" w:hAnsi="Tahoma" w:cs="Tahoma"/>
          <w:sz w:val="24"/>
          <w:szCs w:val="24"/>
          <w:lang w:val="ro-RO"/>
        </w:rPr>
        <w:t xml:space="preserve">-anual </w:t>
      </w:r>
      <w:proofErr w:type="spellStart"/>
      <w:r w:rsidR="00910DCD" w:rsidRPr="006B2701">
        <w:rPr>
          <w:rFonts w:ascii="Tahoma" w:hAnsi="Tahoma" w:cs="Tahoma"/>
          <w:sz w:val="24"/>
          <w:szCs w:val="24"/>
          <w:lang w:val="ro-RO"/>
        </w:rPr>
        <w:t>şi</w:t>
      </w:r>
      <w:proofErr w:type="spellEnd"/>
      <w:r w:rsidR="00910DCD" w:rsidRPr="006B2701">
        <w:rPr>
          <w:rFonts w:ascii="Tahoma" w:hAnsi="Tahoma" w:cs="Tahoma"/>
          <w:sz w:val="24"/>
          <w:szCs w:val="24"/>
          <w:lang w:val="ro-RO"/>
        </w:rPr>
        <w:t xml:space="preserve"> PNRR;</w:t>
      </w:r>
    </w:p>
    <w:p w14:paraId="7C586213" w14:textId="72EC8937"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 xml:space="preserve">revenirea </w:t>
      </w:r>
      <w:r w:rsidR="00F21F8B" w:rsidRPr="006B2701">
        <w:rPr>
          <w:rFonts w:ascii="Tahoma" w:hAnsi="Tahoma" w:cs="Tahoma"/>
          <w:sz w:val="24"/>
          <w:szCs w:val="24"/>
          <w:lang w:val="ro-RO"/>
        </w:rPr>
        <w:t>activității</w:t>
      </w:r>
      <w:r w:rsidRPr="006B2701">
        <w:rPr>
          <w:rFonts w:ascii="Tahoma" w:hAnsi="Tahoma" w:cs="Tahoma"/>
          <w:sz w:val="24"/>
          <w:szCs w:val="24"/>
          <w:lang w:val="ro-RO"/>
        </w:rPr>
        <w:t xml:space="preserve"> economice în toate sectoarele în </w:t>
      </w:r>
      <w:r w:rsidR="00F21F8B" w:rsidRPr="006B2701">
        <w:rPr>
          <w:rFonts w:ascii="Tahoma" w:hAnsi="Tahoma" w:cs="Tahoma"/>
          <w:sz w:val="24"/>
          <w:szCs w:val="24"/>
          <w:lang w:val="ro-RO"/>
        </w:rPr>
        <w:t>condițiile</w:t>
      </w:r>
      <w:r w:rsidRPr="006B2701">
        <w:rPr>
          <w:rFonts w:ascii="Tahoma" w:hAnsi="Tahoma" w:cs="Tahoma"/>
          <w:sz w:val="24"/>
          <w:szCs w:val="24"/>
          <w:lang w:val="ro-RO"/>
        </w:rPr>
        <w:t xml:space="preserve"> respectării strategiei de vaccinare</w:t>
      </w:r>
      <w:r w:rsidR="00E6574D" w:rsidRPr="006B2701">
        <w:rPr>
          <w:rFonts w:ascii="Tahoma" w:hAnsi="Tahoma" w:cs="Tahoma"/>
          <w:sz w:val="24"/>
          <w:szCs w:val="24"/>
          <w:lang w:val="ro-RO"/>
        </w:rPr>
        <w:t>;</w:t>
      </w:r>
      <w:r w:rsidRPr="006B2701">
        <w:rPr>
          <w:rFonts w:ascii="Tahoma" w:hAnsi="Tahoma" w:cs="Tahoma"/>
          <w:sz w:val="24"/>
          <w:szCs w:val="24"/>
          <w:lang w:val="ro-RO"/>
        </w:rPr>
        <w:t xml:space="preserve"> </w:t>
      </w:r>
    </w:p>
    <w:p w14:paraId="65B75B47" w14:textId="565C7952"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 xml:space="preserve">un avans al economiilor din zona Euro de 5,0%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4,3% în 2022. Pentru economia mondială se </w:t>
      </w:r>
      <w:r w:rsidR="00F21F8B" w:rsidRPr="006B2701">
        <w:rPr>
          <w:rFonts w:ascii="Tahoma" w:hAnsi="Tahoma" w:cs="Tahoma"/>
          <w:sz w:val="24"/>
          <w:szCs w:val="24"/>
          <w:lang w:val="ro-RO"/>
        </w:rPr>
        <w:t>așteaptă</w:t>
      </w:r>
      <w:r w:rsidRPr="006B2701">
        <w:rPr>
          <w:rFonts w:ascii="Tahoma" w:hAnsi="Tahoma" w:cs="Tahoma"/>
          <w:sz w:val="24"/>
          <w:szCs w:val="24"/>
          <w:lang w:val="ro-RO"/>
        </w:rPr>
        <w:t xml:space="preserve"> o </w:t>
      </w:r>
      <w:r w:rsidR="00F21F8B" w:rsidRPr="006B2701">
        <w:rPr>
          <w:rFonts w:ascii="Tahoma" w:hAnsi="Tahoma" w:cs="Tahoma"/>
          <w:sz w:val="24"/>
          <w:szCs w:val="24"/>
          <w:lang w:val="ro-RO"/>
        </w:rPr>
        <w:t>creștere</w:t>
      </w:r>
      <w:r w:rsidRPr="006B2701">
        <w:rPr>
          <w:rFonts w:ascii="Tahoma" w:hAnsi="Tahoma" w:cs="Tahoma"/>
          <w:sz w:val="24"/>
          <w:szCs w:val="24"/>
          <w:lang w:val="ro-RO"/>
        </w:rPr>
        <w:t xml:space="preserve"> economică de 5,9% în acest an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4,9% anul următor</w:t>
      </w:r>
      <w:r w:rsidR="00E6574D" w:rsidRPr="006B2701">
        <w:rPr>
          <w:rFonts w:ascii="Tahoma" w:hAnsi="Tahoma" w:cs="Tahoma"/>
          <w:sz w:val="24"/>
          <w:szCs w:val="24"/>
          <w:lang w:val="ro-RO"/>
        </w:rPr>
        <w:t xml:space="preserve">; </w:t>
      </w:r>
    </w:p>
    <w:p w14:paraId="3883B525" w14:textId="2A7B5B94"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 xml:space="preserve">contextul european și global: prognoza ia în considerare o continuare a redresării economiilor ca urmare a </w:t>
      </w:r>
      <w:r w:rsidR="00F21F8B" w:rsidRPr="006B2701">
        <w:rPr>
          <w:rFonts w:ascii="Tahoma" w:hAnsi="Tahoma" w:cs="Tahoma"/>
          <w:sz w:val="24"/>
          <w:szCs w:val="24"/>
          <w:lang w:val="ro-RO"/>
        </w:rPr>
        <w:t>îmbunătățirii</w:t>
      </w:r>
      <w:r w:rsidRPr="006B2701">
        <w:rPr>
          <w:rFonts w:ascii="Tahoma" w:hAnsi="Tahoma" w:cs="Tahoma"/>
          <w:sz w:val="24"/>
          <w:szCs w:val="24"/>
          <w:lang w:val="ro-RO"/>
        </w:rPr>
        <w:t xml:space="preserve"> </w:t>
      </w:r>
      <w:r w:rsidR="00F21F8B" w:rsidRPr="006B2701">
        <w:rPr>
          <w:rFonts w:ascii="Tahoma" w:hAnsi="Tahoma" w:cs="Tahoma"/>
          <w:sz w:val="24"/>
          <w:szCs w:val="24"/>
          <w:lang w:val="ro-RO"/>
        </w:rPr>
        <w:t>situației</w:t>
      </w:r>
      <w:r w:rsidRPr="006B2701">
        <w:rPr>
          <w:rFonts w:ascii="Tahoma" w:hAnsi="Tahoma" w:cs="Tahoma"/>
          <w:sz w:val="24"/>
          <w:szCs w:val="24"/>
          <w:lang w:val="ro-RO"/>
        </w:rPr>
        <w:t xml:space="preserve"> sanitare, progreselor </w:t>
      </w:r>
      <w:r w:rsidR="00F21F8B" w:rsidRPr="006B2701">
        <w:rPr>
          <w:rFonts w:ascii="Tahoma" w:hAnsi="Tahoma" w:cs="Tahoma"/>
          <w:sz w:val="24"/>
          <w:szCs w:val="24"/>
          <w:lang w:val="ro-RO"/>
        </w:rPr>
        <w:t>campaniilor</w:t>
      </w:r>
      <w:r w:rsidRPr="006B2701">
        <w:rPr>
          <w:rFonts w:ascii="Tahoma" w:hAnsi="Tahoma" w:cs="Tahoma"/>
          <w:sz w:val="24"/>
          <w:szCs w:val="24"/>
          <w:lang w:val="ro-RO"/>
        </w:rPr>
        <w:t xml:space="preserve"> de vaccinare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restrângerii graduale a măsurilor restrictive. Astfel, în cazul celei mai recente prognoze a Comisiei Europene, se estimează o </w:t>
      </w:r>
      <w:r w:rsidR="00F21F8B" w:rsidRPr="006B2701">
        <w:rPr>
          <w:rFonts w:ascii="Tahoma" w:hAnsi="Tahoma" w:cs="Tahoma"/>
          <w:sz w:val="24"/>
          <w:szCs w:val="24"/>
          <w:lang w:val="ro-RO"/>
        </w:rPr>
        <w:t>creștere</w:t>
      </w:r>
      <w:r w:rsidRPr="006B2701">
        <w:rPr>
          <w:rFonts w:ascii="Tahoma" w:hAnsi="Tahoma" w:cs="Tahoma"/>
          <w:sz w:val="24"/>
          <w:szCs w:val="24"/>
          <w:lang w:val="ro-RO"/>
        </w:rPr>
        <w:t xml:space="preserve"> economică la nivelul UE de 5,0% în 2021, 4,3% în 2022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2,4% în 2023. Similar, prognoza de toamnă 2021 a Fondului Monetar </w:t>
      </w:r>
      <w:r w:rsidR="00F21F8B" w:rsidRPr="006B2701">
        <w:rPr>
          <w:rFonts w:ascii="Tahoma" w:hAnsi="Tahoma" w:cs="Tahoma"/>
          <w:sz w:val="24"/>
          <w:szCs w:val="24"/>
          <w:lang w:val="ro-RO"/>
        </w:rPr>
        <w:t>Internațional</w:t>
      </w:r>
      <w:r w:rsidRPr="006B2701">
        <w:rPr>
          <w:rFonts w:ascii="Tahoma" w:hAnsi="Tahoma" w:cs="Tahoma"/>
          <w:sz w:val="24"/>
          <w:szCs w:val="24"/>
          <w:lang w:val="ro-RO"/>
        </w:rPr>
        <w:t xml:space="preserve"> (World Economic Outlook) previzionează pentru 2021 un avans al economiilor din zona Euro de 5,0%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4,3% în 2022. Pentru economia mondială se </w:t>
      </w:r>
      <w:r w:rsidR="00F21F8B" w:rsidRPr="006B2701">
        <w:rPr>
          <w:rFonts w:ascii="Tahoma" w:hAnsi="Tahoma" w:cs="Tahoma"/>
          <w:sz w:val="24"/>
          <w:szCs w:val="24"/>
          <w:lang w:val="ro-RO"/>
        </w:rPr>
        <w:t>așteaptă</w:t>
      </w:r>
      <w:r w:rsidRPr="006B2701">
        <w:rPr>
          <w:rFonts w:ascii="Tahoma" w:hAnsi="Tahoma" w:cs="Tahoma"/>
          <w:sz w:val="24"/>
          <w:szCs w:val="24"/>
          <w:lang w:val="ro-RO"/>
        </w:rPr>
        <w:t xml:space="preserve"> o </w:t>
      </w:r>
      <w:r w:rsidR="00F21F8B" w:rsidRPr="006B2701">
        <w:rPr>
          <w:rFonts w:ascii="Tahoma" w:hAnsi="Tahoma" w:cs="Tahoma"/>
          <w:sz w:val="24"/>
          <w:szCs w:val="24"/>
          <w:lang w:val="ro-RO"/>
        </w:rPr>
        <w:t>creștere</w:t>
      </w:r>
      <w:r w:rsidRPr="006B2701">
        <w:rPr>
          <w:rFonts w:ascii="Tahoma" w:hAnsi="Tahoma" w:cs="Tahoma"/>
          <w:sz w:val="24"/>
          <w:szCs w:val="24"/>
          <w:lang w:val="ro-RO"/>
        </w:rPr>
        <w:t xml:space="preserve"> economică de 5,9% în acest an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4,9% anul următor.</w:t>
      </w:r>
    </w:p>
    <w:p w14:paraId="09D4F679" w14:textId="74D16D78" w:rsidR="00A0005C" w:rsidRPr="006B2701" w:rsidRDefault="00A0005C" w:rsidP="001D455B">
      <w:pPr>
        <w:pStyle w:val="ListParagraph"/>
        <w:shd w:val="clear" w:color="auto" w:fill="FFFFFF"/>
        <w:spacing w:before="120" w:after="120" w:line="276" w:lineRule="auto"/>
        <w:ind w:left="0"/>
        <w:jc w:val="both"/>
        <w:rPr>
          <w:rFonts w:ascii="Tahoma" w:hAnsi="Tahoma" w:cs="Tahoma"/>
          <w:b/>
          <w:sz w:val="24"/>
          <w:szCs w:val="24"/>
          <w:lang w:val="ro-RO"/>
        </w:rPr>
      </w:pPr>
      <w:r w:rsidRPr="006B2701">
        <w:rPr>
          <w:rFonts w:ascii="Tahoma" w:hAnsi="Tahoma" w:cs="Tahoma"/>
          <w:b/>
          <w:sz w:val="24"/>
          <w:szCs w:val="24"/>
          <w:lang w:val="ro-RO"/>
        </w:rPr>
        <w:t>Măsurile care au stat la baza construcției bugetare pe</w:t>
      </w:r>
      <w:r w:rsidR="00E52D09" w:rsidRPr="006B2701">
        <w:rPr>
          <w:rFonts w:ascii="Tahoma" w:hAnsi="Tahoma" w:cs="Tahoma"/>
          <w:b/>
          <w:sz w:val="24"/>
          <w:szCs w:val="24"/>
          <w:lang w:val="ro-RO"/>
        </w:rPr>
        <w:t>ntru</w:t>
      </w:r>
      <w:r w:rsidRPr="006B2701">
        <w:rPr>
          <w:rFonts w:ascii="Tahoma" w:hAnsi="Tahoma" w:cs="Tahoma"/>
          <w:b/>
          <w:sz w:val="24"/>
          <w:szCs w:val="24"/>
          <w:lang w:val="ro-RO"/>
        </w:rPr>
        <w:t xml:space="preserve"> </w:t>
      </w:r>
      <w:r w:rsidR="00E52D09" w:rsidRPr="006B2701">
        <w:rPr>
          <w:rFonts w:ascii="Tahoma" w:hAnsi="Tahoma" w:cs="Tahoma"/>
          <w:b/>
          <w:sz w:val="24"/>
          <w:szCs w:val="24"/>
          <w:lang w:val="ro-RO"/>
        </w:rPr>
        <w:t>anul 202</w:t>
      </w:r>
      <w:r w:rsidR="00910DCD" w:rsidRPr="006B2701">
        <w:rPr>
          <w:rFonts w:ascii="Tahoma" w:hAnsi="Tahoma" w:cs="Tahoma"/>
          <w:b/>
          <w:sz w:val="24"/>
          <w:szCs w:val="24"/>
          <w:lang w:val="ro-RO"/>
        </w:rPr>
        <w:t>2</w:t>
      </w:r>
      <w:r w:rsidRPr="006B2701">
        <w:rPr>
          <w:rFonts w:ascii="Tahoma" w:hAnsi="Tahoma" w:cs="Tahoma"/>
          <w:b/>
          <w:sz w:val="24"/>
          <w:szCs w:val="24"/>
          <w:lang w:val="ro-RO"/>
        </w:rPr>
        <w:t xml:space="preserve"> au fost:</w:t>
      </w:r>
    </w:p>
    <w:p w14:paraId="7E93E3C5" w14:textId="3FB4E36D"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Menținerea în anul 2022 a cuantumului brut al salariilor și sporurilor de care beneficiază personalul din administrația publică centrală și locală, inclusiv personalul care ocupă funcții de demnitate publică și funcții asimilate acestora, la nivelul acordat pentru luna decembrie 2021. Prin excepție de la această regulă, pentru personalul care ocupă funcțiile prevăzute în anexa nr.</w:t>
      </w:r>
      <w:r w:rsidR="00F21F8B">
        <w:rPr>
          <w:rFonts w:ascii="Tahoma" w:hAnsi="Tahoma" w:cs="Tahoma"/>
          <w:sz w:val="24"/>
          <w:szCs w:val="24"/>
          <w:lang w:val="ro-RO"/>
        </w:rPr>
        <w:t xml:space="preserve"> </w:t>
      </w:r>
      <w:r w:rsidRPr="006B2701">
        <w:rPr>
          <w:rFonts w:ascii="Tahoma" w:hAnsi="Tahoma" w:cs="Tahoma"/>
          <w:sz w:val="24"/>
          <w:szCs w:val="24"/>
          <w:lang w:val="ro-RO"/>
        </w:rPr>
        <w:t xml:space="preserve">II „Familia ocupațională de funcții bugetare Sănătate și asistență socială” la Legea-cadru nr.153/2017, cu modificările și completările ulterioare, începând cu 1 ianuarie 2022 salariile de bază se majorează cu ¼ din diferența dintre salariul de bază prevăzut de Legea-cadru nr.153/2017, cu modificările și completările ulterioare pentru anul 2022 și cel din luna decembrie 2021. De asemenea, pentru personalul didactic de predare, personalul didactic auxiliar, personalul didactic de conducere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personalul de îndrumare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control din </w:t>
      </w:r>
      <w:r w:rsidR="00F21F8B" w:rsidRPr="006B2701">
        <w:rPr>
          <w:rFonts w:ascii="Tahoma" w:hAnsi="Tahoma" w:cs="Tahoma"/>
          <w:sz w:val="24"/>
          <w:szCs w:val="24"/>
          <w:lang w:val="ro-RO"/>
        </w:rPr>
        <w:t>învățământ</w:t>
      </w:r>
      <w:r w:rsidRPr="006B2701">
        <w:rPr>
          <w:rFonts w:ascii="Tahoma" w:hAnsi="Tahoma" w:cs="Tahoma"/>
          <w:sz w:val="24"/>
          <w:szCs w:val="24"/>
          <w:lang w:val="ro-RO"/>
        </w:rPr>
        <w:t xml:space="preserve">, începând cu data de 1 ianuarie 2022 salariile de bază se majorează cu ¼ din </w:t>
      </w:r>
      <w:r w:rsidR="00F21F8B" w:rsidRPr="006B2701">
        <w:rPr>
          <w:rFonts w:ascii="Tahoma" w:hAnsi="Tahoma" w:cs="Tahoma"/>
          <w:sz w:val="24"/>
          <w:szCs w:val="24"/>
          <w:lang w:val="ro-RO"/>
        </w:rPr>
        <w:t>diferența</w:t>
      </w:r>
      <w:r w:rsidRPr="006B2701">
        <w:rPr>
          <w:rFonts w:ascii="Tahoma" w:hAnsi="Tahoma" w:cs="Tahoma"/>
          <w:sz w:val="24"/>
          <w:szCs w:val="24"/>
          <w:lang w:val="ro-RO"/>
        </w:rPr>
        <w:t xml:space="preserve"> dintre salariul de bază prevăzut de Legea-cadru nr.153/2017, cu modificările și completările ulterioare pentru anul 2022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cel din luna decembrie 2021;</w:t>
      </w:r>
    </w:p>
    <w:p w14:paraId="36AD27B6" w14:textId="7A284106"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lastRenderedPageBreak/>
        <w:t>Menținerea în anul 2022 a cuantumului indemnizației de hrană la nivelul din anul 2021 (4.160 lei/an);</w:t>
      </w:r>
    </w:p>
    <w:p w14:paraId="4917D672" w14:textId="2B0DF9ED"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Acordarea în anul 2022 a voucherelor de vacanță în cuantum de 1.450 lei pentru personalul plătit din fonduri publice și prorogarea în anul 2023 a prevederilor referitoare la acordarea indemnizației de vacanță;</w:t>
      </w:r>
    </w:p>
    <w:p w14:paraId="328AA430" w14:textId="77777777"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Menținerea în anul 2022 a indemnizației de merit la nivelul stabilit pentru anul 2021 (6.240 lei/lună);</w:t>
      </w:r>
    </w:p>
    <w:p w14:paraId="4FD68523" w14:textId="1B004ECC"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Prorogarea până în anul 2023 a prevederilor Legii educației naționale nr.1/2011, cu privire la alocarea  de la bugetul de stat și bugetele locale a echivalentului a 6% din produsul intern brut și acordarea din fonduri publice a 1% din produsul intern brut pentru cercetare – măsură prevăzută și în Ordonanța Guvernului nr.57/2002 privind cercetarea științifică și dezvoltarea tehnologică;</w:t>
      </w:r>
    </w:p>
    <w:p w14:paraId="09D276A8" w14:textId="0F60F5AA"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Prorogarea până în anul 2023 a măsurii de acordare a sumei reprezentând echivalentul în lei a 500 euro, fiecărui copil cetățean român și a cupoanelor sociale pentru educație;</w:t>
      </w:r>
    </w:p>
    <w:p w14:paraId="6A1EB0B8" w14:textId="77777777"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Prorogarea termenului de intrare în vigoare a Legii nr.196/2016 privind venitul minim de incluziune. În contextul imposibilității aplicării Legii nr.196/2016, este necesară menținerea aplicării Legii nr.416/2001 privind venitul minim garantat, pentru o perioadă de minim 1 an, pentru a nu afecta familiile și persoanele singure beneficiare ale ajutorului social și pentru a evita crearea unor noi probleme sociale prin creșterea riscului de excluziune socială, ținând seama și de contextul social și economic actual;</w:t>
      </w:r>
    </w:p>
    <w:p w14:paraId="366E6AB2" w14:textId="77777777"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 xml:space="preserve">Prorogarea până în anul 2023 a măsurii de acordare a indemnizației pentru limită de vârstă pentru primari, viceprimari, președinți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vicepreședinți ai consiliilor județene;</w:t>
      </w:r>
    </w:p>
    <w:p w14:paraId="44FFFF10" w14:textId="77777777"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Neacordarea de tichete cadou și tichete culturale;</w:t>
      </w:r>
    </w:p>
    <w:p w14:paraId="2BE8DED5" w14:textId="77777777"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Neacordarea de premii personalului din sectorul bugetar;</w:t>
      </w:r>
    </w:p>
    <w:p w14:paraId="1FB958F0" w14:textId="77777777"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Compensarea timpului lucrat peste programul normal de lucru exclusiv cu timp liber corespunzător;</w:t>
      </w:r>
    </w:p>
    <w:p w14:paraId="1E3D2686" w14:textId="436CCFE0"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Menținerea bazei de calcul pentru unele drepturi de care beneficiază personalul militar, polițiștii și polițiștii de penitenciare la nivelul anului 2021;</w:t>
      </w:r>
    </w:p>
    <w:p w14:paraId="128B1962" w14:textId="04E61D9D"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Neactualizarea normei de hrană și echipament de care beneficiază personalul din sectorul de apărare, ordine publică și securitate națională;</w:t>
      </w:r>
    </w:p>
    <w:p w14:paraId="705CDB06" w14:textId="36598FA9"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Plata eșalonată a hotărârilor judecătorești având ca obiect acordarea de drepturi salariale personalului din sectorul bugetar;</w:t>
      </w:r>
    </w:p>
    <w:p w14:paraId="2A0E4BEC" w14:textId="2A38FB9C"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 xml:space="preserve">Neacordarea </w:t>
      </w:r>
      <w:r w:rsidR="00F21F8B" w:rsidRPr="006B2701">
        <w:rPr>
          <w:rFonts w:ascii="Tahoma" w:hAnsi="Tahoma" w:cs="Tahoma"/>
          <w:sz w:val="24"/>
          <w:szCs w:val="24"/>
          <w:lang w:val="ro-RO"/>
        </w:rPr>
        <w:t>indemnizațiilor</w:t>
      </w:r>
      <w:r w:rsidRPr="006B2701">
        <w:rPr>
          <w:rFonts w:ascii="Tahoma" w:hAnsi="Tahoma" w:cs="Tahoma"/>
          <w:sz w:val="24"/>
          <w:szCs w:val="24"/>
          <w:lang w:val="ro-RO"/>
        </w:rPr>
        <w:t xml:space="preserve"> la </w:t>
      </w:r>
      <w:r w:rsidR="00F21F8B" w:rsidRPr="006B2701">
        <w:rPr>
          <w:rFonts w:ascii="Tahoma" w:hAnsi="Tahoma" w:cs="Tahoma"/>
          <w:sz w:val="24"/>
          <w:szCs w:val="24"/>
          <w:lang w:val="ro-RO"/>
        </w:rPr>
        <w:t>ieșirea</w:t>
      </w:r>
      <w:r w:rsidRPr="006B2701">
        <w:rPr>
          <w:rFonts w:ascii="Tahoma" w:hAnsi="Tahoma" w:cs="Tahoma"/>
          <w:sz w:val="24"/>
          <w:szCs w:val="24"/>
          <w:lang w:val="ro-RO"/>
        </w:rPr>
        <w:t xml:space="preserve"> la pensie, retragere, încetarea raporturilor de serviciu ori la trecerea în rezervă pentru anumite categorii de personal bugetar </w:t>
      </w:r>
      <w:r w:rsidRPr="006B2701">
        <w:rPr>
          <w:rFonts w:ascii="Tahoma" w:hAnsi="Tahoma" w:cs="Tahoma"/>
          <w:sz w:val="24"/>
          <w:szCs w:val="24"/>
          <w:lang w:val="ro-RO"/>
        </w:rPr>
        <w:lastRenderedPageBreak/>
        <w:t>(cadre militare, polițiști, polițiști de penitenciare, magistrați, personal auxiliar din justiție, funcționari publici parlamentari);</w:t>
      </w:r>
    </w:p>
    <w:p w14:paraId="26585167" w14:textId="58F1D7F8" w:rsidR="00910DCD" w:rsidRPr="006B2701" w:rsidRDefault="00910DCD"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Amânarea intrării în vigoare a prevederilor Legii nr. 195/2020 care aprobă pentru personalul feroviar, atât din cadrul instituțiilor publice cât și din cadrul operatorilor economici cu capital majoritar de stat, drepturi de natură salarială și de asistență socială cu impact asupra bugetului de stat generat, în principal, de creșterea compensației serviciului public de transport feroviar de călători și a cheltuielilor cu administrarea infrastructurii feroviare;</w:t>
      </w:r>
    </w:p>
    <w:p w14:paraId="62192486" w14:textId="12993393" w:rsidR="00910DCD" w:rsidRPr="006B2701" w:rsidRDefault="00F21F8B" w:rsidP="001D455B">
      <w:pPr>
        <w:numPr>
          <w:ilvl w:val="0"/>
          <w:numId w:val="12"/>
        </w:numPr>
        <w:spacing w:before="120" w:line="276" w:lineRule="auto"/>
        <w:ind w:left="851" w:hanging="284"/>
        <w:jc w:val="both"/>
        <w:rPr>
          <w:rFonts w:ascii="Tahoma" w:hAnsi="Tahoma" w:cs="Tahoma"/>
          <w:sz w:val="24"/>
          <w:szCs w:val="24"/>
          <w:lang w:val="ro-RO"/>
        </w:rPr>
      </w:pPr>
      <w:r w:rsidRPr="006B2701">
        <w:rPr>
          <w:rFonts w:ascii="Tahoma" w:hAnsi="Tahoma" w:cs="Tahoma"/>
          <w:sz w:val="24"/>
          <w:szCs w:val="24"/>
          <w:lang w:val="ro-RO"/>
        </w:rPr>
        <w:t>Menținerea</w:t>
      </w:r>
      <w:r w:rsidR="00910DCD" w:rsidRPr="006B2701">
        <w:rPr>
          <w:rFonts w:ascii="Tahoma" w:hAnsi="Tahoma" w:cs="Tahoma"/>
          <w:sz w:val="24"/>
          <w:szCs w:val="24"/>
          <w:lang w:val="ro-RO"/>
        </w:rPr>
        <w:t xml:space="preserve"> în plată la nivelul acordat/cuvenit pentru luna decembrie 2021 a unor indemnizații/ajutoare cu caracter reparatoriu stabilite prin legi speciale (revoluționari, persecutați, etc), precum și a indemnizațiilor academicienilor, urmașilor acestora;</w:t>
      </w:r>
    </w:p>
    <w:p w14:paraId="799B1270" w14:textId="617BBF8D" w:rsidR="00910DCD" w:rsidRPr="006B2701" w:rsidRDefault="00910DCD" w:rsidP="00D566DB">
      <w:pPr>
        <w:numPr>
          <w:ilvl w:val="0"/>
          <w:numId w:val="12"/>
        </w:numPr>
        <w:spacing w:before="120" w:after="240" w:line="276" w:lineRule="auto"/>
        <w:ind w:left="851" w:hanging="284"/>
        <w:jc w:val="both"/>
        <w:rPr>
          <w:rFonts w:ascii="Tahoma" w:hAnsi="Tahoma" w:cs="Tahoma"/>
          <w:sz w:val="24"/>
          <w:szCs w:val="24"/>
          <w:lang w:val="ro-RO"/>
        </w:rPr>
      </w:pPr>
      <w:r w:rsidRPr="006B2701">
        <w:rPr>
          <w:rFonts w:ascii="Tahoma" w:hAnsi="Tahoma" w:cs="Tahoma"/>
          <w:sz w:val="24"/>
          <w:szCs w:val="24"/>
          <w:lang w:val="ro-RO"/>
        </w:rPr>
        <w:t xml:space="preserve">În anul 2022, rentele viagere prevăzute la art. 64 din Legea </w:t>
      </w:r>
      <w:r w:rsidR="00F21F8B" w:rsidRPr="006B2701">
        <w:rPr>
          <w:rFonts w:ascii="Tahoma" w:hAnsi="Tahoma" w:cs="Tahoma"/>
          <w:sz w:val="24"/>
          <w:szCs w:val="24"/>
          <w:lang w:val="ro-RO"/>
        </w:rPr>
        <w:t>educației</w:t>
      </w:r>
      <w:r w:rsidRPr="006B2701">
        <w:rPr>
          <w:rFonts w:ascii="Tahoma" w:hAnsi="Tahoma" w:cs="Tahoma"/>
          <w:sz w:val="24"/>
          <w:szCs w:val="24"/>
          <w:lang w:val="ro-RO"/>
        </w:rPr>
        <w:t xml:space="preserve"> fizice </w:t>
      </w:r>
      <w:r w:rsidR="00F21F8B" w:rsidRPr="006B2701">
        <w:rPr>
          <w:rFonts w:ascii="Tahoma" w:hAnsi="Tahoma" w:cs="Tahoma"/>
          <w:sz w:val="24"/>
          <w:szCs w:val="24"/>
          <w:lang w:val="ro-RO"/>
        </w:rPr>
        <w:t>și</w:t>
      </w:r>
      <w:r w:rsidRPr="006B2701">
        <w:rPr>
          <w:rFonts w:ascii="Tahoma" w:hAnsi="Tahoma" w:cs="Tahoma"/>
          <w:sz w:val="24"/>
          <w:szCs w:val="24"/>
          <w:lang w:val="ro-RO"/>
        </w:rPr>
        <w:t xml:space="preserve"> sportului nr. 69/2000, cu modificările </w:t>
      </w:r>
      <w:r w:rsidR="00F21F8B" w:rsidRPr="006B2701">
        <w:rPr>
          <w:rFonts w:ascii="Tahoma" w:hAnsi="Tahoma" w:cs="Tahoma"/>
          <w:sz w:val="24"/>
          <w:szCs w:val="24"/>
          <w:lang w:val="ro-RO"/>
        </w:rPr>
        <w:t>și</w:t>
      </w:r>
      <w:r w:rsidRPr="006B2701">
        <w:rPr>
          <w:rFonts w:ascii="Tahoma" w:hAnsi="Tahoma" w:cs="Tahoma"/>
          <w:sz w:val="24"/>
          <w:szCs w:val="24"/>
          <w:lang w:val="ro-RO"/>
        </w:rPr>
        <w:t xml:space="preserve"> completările ulterioare, se acordă în cuantumul aflat în plată în luna decembrie 2021</w:t>
      </w:r>
      <w:r w:rsidR="001254B1" w:rsidRPr="006B2701">
        <w:rPr>
          <w:rFonts w:ascii="Tahoma" w:hAnsi="Tahoma" w:cs="Tahoma"/>
          <w:sz w:val="24"/>
          <w:szCs w:val="24"/>
          <w:lang w:val="ro-RO"/>
        </w:rPr>
        <w:t>.</w:t>
      </w:r>
    </w:p>
    <w:p w14:paraId="16ABE4F3" w14:textId="0BD08516" w:rsidR="00F57586" w:rsidRPr="006B2701" w:rsidRDefault="00546D34" w:rsidP="001D455B">
      <w:pPr>
        <w:spacing w:after="160" w:line="276" w:lineRule="auto"/>
        <w:jc w:val="both"/>
        <w:rPr>
          <w:rFonts w:ascii="Tahoma" w:eastAsia="Times New Roman" w:hAnsi="Tahoma" w:cs="Tahoma"/>
          <w:iCs/>
          <w:sz w:val="24"/>
          <w:szCs w:val="24"/>
          <w:lang w:val="ro-RO"/>
        </w:rPr>
      </w:pPr>
      <w:r w:rsidRPr="006B2701">
        <w:rPr>
          <w:rFonts w:ascii="Tahoma" w:eastAsiaTheme="minorHAnsi" w:hAnsi="Tahoma" w:cs="Tahoma"/>
          <w:b/>
          <w:sz w:val="24"/>
          <w:szCs w:val="24"/>
          <w:lang w:val="ro-RO"/>
        </w:rPr>
        <w:t xml:space="preserve">Prima rectificare bugetară pe anul </w:t>
      </w:r>
      <w:r w:rsidR="008F4AD7" w:rsidRPr="006B2701">
        <w:rPr>
          <w:rFonts w:ascii="Tahoma" w:eastAsiaTheme="minorHAnsi" w:hAnsi="Tahoma" w:cs="Tahoma"/>
          <w:b/>
          <w:sz w:val="24"/>
          <w:szCs w:val="24"/>
          <w:lang w:val="ro-RO"/>
        </w:rPr>
        <w:t>202</w:t>
      </w:r>
      <w:r w:rsidR="001D455B" w:rsidRPr="006B2701">
        <w:rPr>
          <w:rFonts w:ascii="Tahoma" w:eastAsiaTheme="minorHAnsi" w:hAnsi="Tahoma" w:cs="Tahoma"/>
          <w:b/>
          <w:sz w:val="24"/>
          <w:szCs w:val="24"/>
          <w:lang w:val="ro-RO"/>
        </w:rPr>
        <w:t>2</w:t>
      </w:r>
      <w:r w:rsidR="008F4AD7" w:rsidRPr="006B2701">
        <w:rPr>
          <w:rFonts w:ascii="Tahoma" w:eastAsiaTheme="minorHAnsi" w:hAnsi="Tahoma" w:cs="Tahoma"/>
          <w:sz w:val="24"/>
          <w:szCs w:val="24"/>
          <w:lang w:val="ro-RO"/>
        </w:rPr>
        <w:t xml:space="preserve"> </w:t>
      </w:r>
      <w:r w:rsidRPr="006B2701">
        <w:rPr>
          <w:rFonts w:ascii="Tahoma" w:eastAsiaTheme="minorHAnsi" w:hAnsi="Tahoma" w:cs="Tahoma"/>
          <w:sz w:val="24"/>
          <w:szCs w:val="24"/>
          <w:lang w:val="ro-RO"/>
        </w:rPr>
        <w:t>aprobată prin Ordonanța</w:t>
      </w:r>
      <w:r w:rsidR="00430892" w:rsidRPr="006B2701">
        <w:rPr>
          <w:rFonts w:ascii="Tahoma" w:eastAsiaTheme="minorHAnsi" w:hAnsi="Tahoma" w:cs="Tahoma"/>
          <w:sz w:val="24"/>
          <w:szCs w:val="24"/>
          <w:lang w:val="ro-RO"/>
        </w:rPr>
        <w:t xml:space="preserve"> </w:t>
      </w:r>
      <w:r w:rsidRPr="006B2701">
        <w:rPr>
          <w:rFonts w:ascii="Tahoma" w:eastAsiaTheme="minorHAnsi" w:hAnsi="Tahoma" w:cs="Tahoma"/>
          <w:sz w:val="24"/>
          <w:szCs w:val="24"/>
          <w:lang w:val="ro-RO"/>
        </w:rPr>
        <w:t>Guvernului nr.</w:t>
      </w:r>
      <w:r w:rsidR="009B68D5" w:rsidRPr="006B2701">
        <w:rPr>
          <w:rFonts w:ascii="Tahoma" w:eastAsiaTheme="minorHAnsi" w:hAnsi="Tahoma" w:cs="Tahoma"/>
          <w:sz w:val="24"/>
          <w:szCs w:val="24"/>
          <w:lang w:val="ro-RO"/>
        </w:rPr>
        <w:t>19</w:t>
      </w:r>
      <w:r w:rsidRPr="006B2701">
        <w:rPr>
          <w:rFonts w:ascii="Tahoma" w:eastAsiaTheme="minorHAnsi" w:hAnsi="Tahoma" w:cs="Tahoma"/>
          <w:sz w:val="24"/>
          <w:szCs w:val="24"/>
          <w:lang w:val="ro-RO"/>
        </w:rPr>
        <w:t>/</w:t>
      </w:r>
      <w:r w:rsidR="008F4AD7" w:rsidRPr="006B2701">
        <w:rPr>
          <w:rFonts w:ascii="Tahoma" w:eastAsiaTheme="minorHAnsi" w:hAnsi="Tahoma" w:cs="Tahoma"/>
          <w:sz w:val="24"/>
          <w:szCs w:val="24"/>
          <w:lang w:val="ro-RO"/>
        </w:rPr>
        <w:t>202</w:t>
      </w:r>
      <w:r w:rsidR="009B68D5" w:rsidRPr="006B2701">
        <w:rPr>
          <w:rFonts w:ascii="Tahoma" w:eastAsiaTheme="minorHAnsi" w:hAnsi="Tahoma" w:cs="Tahoma"/>
          <w:sz w:val="24"/>
          <w:szCs w:val="24"/>
          <w:lang w:val="ro-RO"/>
        </w:rPr>
        <w:t>2</w:t>
      </w:r>
      <w:r w:rsidR="00430892" w:rsidRPr="006B2701">
        <w:rPr>
          <w:rFonts w:ascii="Tahoma" w:eastAsiaTheme="minorHAnsi" w:hAnsi="Tahoma" w:cs="Tahoma"/>
          <w:sz w:val="24"/>
          <w:szCs w:val="24"/>
          <w:lang w:val="ro-RO"/>
        </w:rPr>
        <w:t>,</w:t>
      </w:r>
      <w:r w:rsidR="00C91742" w:rsidRPr="006B2701">
        <w:rPr>
          <w:rFonts w:ascii="Tahoma" w:eastAsiaTheme="minorHAnsi" w:hAnsi="Tahoma" w:cs="Tahoma"/>
          <w:sz w:val="24"/>
          <w:szCs w:val="24"/>
          <w:lang w:val="ro-RO"/>
        </w:rPr>
        <w:t xml:space="preserve"> </w:t>
      </w:r>
      <w:r w:rsidR="00430892" w:rsidRPr="006B2701">
        <w:rPr>
          <w:rFonts w:ascii="Tahoma" w:eastAsiaTheme="minorHAnsi" w:hAnsi="Tahoma" w:cs="Tahoma"/>
          <w:sz w:val="24"/>
          <w:szCs w:val="24"/>
          <w:lang w:val="ro-RO"/>
        </w:rPr>
        <w:t xml:space="preserve">cu privire la rectificarea bugetului de stat pe anul </w:t>
      </w:r>
      <w:r w:rsidR="008F4AD7" w:rsidRPr="006B2701">
        <w:rPr>
          <w:rFonts w:ascii="Tahoma" w:eastAsiaTheme="minorHAnsi" w:hAnsi="Tahoma" w:cs="Tahoma"/>
          <w:sz w:val="24"/>
          <w:szCs w:val="24"/>
          <w:lang w:val="ro-RO"/>
        </w:rPr>
        <w:t>202</w:t>
      </w:r>
      <w:r w:rsidR="009B68D5" w:rsidRPr="006B2701">
        <w:rPr>
          <w:rFonts w:ascii="Tahoma" w:eastAsiaTheme="minorHAnsi" w:hAnsi="Tahoma" w:cs="Tahoma"/>
          <w:sz w:val="24"/>
          <w:szCs w:val="24"/>
          <w:lang w:val="ro-RO"/>
        </w:rPr>
        <w:t>2</w:t>
      </w:r>
      <w:r w:rsidR="008F4AD7" w:rsidRPr="006B2701">
        <w:rPr>
          <w:rFonts w:ascii="Tahoma" w:eastAsiaTheme="minorHAnsi" w:hAnsi="Tahoma" w:cs="Tahoma"/>
          <w:sz w:val="24"/>
          <w:szCs w:val="24"/>
          <w:lang w:val="ro-RO"/>
        </w:rPr>
        <w:t xml:space="preserve"> </w:t>
      </w:r>
      <w:r w:rsidR="00430892" w:rsidRPr="006B2701">
        <w:rPr>
          <w:rFonts w:ascii="Tahoma" w:eastAsiaTheme="minorHAnsi" w:hAnsi="Tahoma" w:cs="Tahoma"/>
          <w:sz w:val="24"/>
          <w:szCs w:val="24"/>
          <w:lang w:val="ro-RO"/>
        </w:rPr>
        <w:t xml:space="preserve">și respectiv </w:t>
      </w:r>
      <w:r w:rsidR="008119D7" w:rsidRPr="006B2701">
        <w:rPr>
          <w:rFonts w:ascii="Tahoma" w:eastAsiaTheme="minorHAnsi" w:hAnsi="Tahoma" w:cs="Tahoma"/>
          <w:sz w:val="24"/>
          <w:szCs w:val="24"/>
          <w:lang w:val="ro-RO"/>
        </w:rPr>
        <w:t xml:space="preserve">Ordonanța de urgență a Guvernului </w:t>
      </w:r>
      <w:r w:rsidR="00430892" w:rsidRPr="006B2701">
        <w:rPr>
          <w:rFonts w:ascii="Tahoma" w:eastAsiaTheme="minorHAnsi" w:hAnsi="Tahoma" w:cs="Tahoma"/>
          <w:sz w:val="24"/>
          <w:szCs w:val="24"/>
          <w:lang w:val="ro-RO"/>
        </w:rPr>
        <w:t>nr.</w:t>
      </w:r>
      <w:r w:rsidR="00F94154" w:rsidRPr="006B2701">
        <w:rPr>
          <w:rFonts w:ascii="Tahoma" w:eastAsiaTheme="minorHAnsi" w:hAnsi="Tahoma" w:cs="Tahoma"/>
          <w:sz w:val="24"/>
          <w:szCs w:val="24"/>
          <w:lang w:val="ro-RO"/>
        </w:rPr>
        <w:t>20</w:t>
      </w:r>
      <w:r w:rsidR="00430892" w:rsidRPr="006B2701">
        <w:rPr>
          <w:rFonts w:ascii="Tahoma" w:eastAsiaTheme="minorHAnsi" w:hAnsi="Tahoma" w:cs="Tahoma"/>
          <w:sz w:val="24"/>
          <w:szCs w:val="24"/>
          <w:lang w:val="ro-RO"/>
        </w:rPr>
        <w:t>/</w:t>
      </w:r>
      <w:r w:rsidR="008F4AD7" w:rsidRPr="006B2701">
        <w:rPr>
          <w:rFonts w:ascii="Tahoma" w:eastAsiaTheme="minorHAnsi" w:hAnsi="Tahoma" w:cs="Tahoma"/>
          <w:sz w:val="24"/>
          <w:szCs w:val="24"/>
          <w:lang w:val="ro-RO"/>
        </w:rPr>
        <w:t>202</w:t>
      </w:r>
      <w:r w:rsidR="00F94154" w:rsidRPr="006B2701">
        <w:rPr>
          <w:rFonts w:ascii="Tahoma" w:eastAsiaTheme="minorHAnsi" w:hAnsi="Tahoma" w:cs="Tahoma"/>
          <w:sz w:val="24"/>
          <w:szCs w:val="24"/>
          <w:lang w:val="ro-RO"/>
        </w:rPr>
        <w:t>2</w:t>
      </w:r>
      <w:r w:rsidR="00430892" w:rsidRPr="006B2701">
        <w:rPr>
          <w:rFonts w:ascii="Tahoma" w:eastAsiaTheme="minorHAnsi" w:hAnsi="Tahoma" w:cs="Tahoma"/>
          <w:sz w:val="24"/>
          <w:szCs w:val="24"/>
          <w:lang w:val="ro-RO"/>
        </w:rPr>
        <w:t xml:space="preserve">, pentru rectificarea bugetului asigurărilor sociale de stat pe anul </w:t>
      </w:r>
      <w:r w:rsidR="008F4AD7" w:rsidRPr="006B2701">
        <w:rPr>
          <w:rFonts w:ascii="Tahoma" w:eastAsiaTheme="minorHAnsi" w:hAnsi="Tahoma" w:cs="Tahoma"/>
          <w:sz w:val="24"/>
          <w:szCs w:val="24"/>
          <w:lang w:val="ro-RO"/>
        </w:rPr>
        <w:t>202</w:t>
      </w:r>
      <w:r w:rsidR="00F94154" w:rsidRPr="006B2701">
        <w:rPr>
          <w:rFonts w:ascii="Tahoma" w:eastAsiaTheme="minorHAnsi" w:hAnsi="Tahoma" w:cs="Tahoma"/>
          <w:sz w:val="24"/>
          <w:szCs w:val="24"/>
          <w:lang w:val="ro-RO"/>
        </w:rPr>
        <w:t>2</w:t>
      </w:r>
      <w:r w:rsidR="00430892" w:rsidRPr="006B2701">
        <w:rPr>
          <w:rFonts w:ascii="Tahoma" w:eastAsiaTheme="minorHAnsi" w:hAnsi="Tahoma" w:cs="Tahoma"/>
          <w:sz w:val="24"/>
          <w:szCs w:val="24"/>
          <w:lang w:val="ro-RO"/>
        </w:rPr>
        <w:t xml:space="preserve">, </w:t>
      </w:r>
      <w:r w:rsidRPr="006B2701">
        <w:rPr>
          <w:rFonts w:ascii="Tahoma" w:eastAsia="Times New Roman" w:hAnsi="Tahoma" w:cs="Tahoma"/>
          <w:iCs/>
          <w:sz w:val="24"/>
          <w:szCs w:val="24"/>
          <w:lang w:val="ro-RO"/>
        </w:rPr>
        <w:t>a fost determinată de:</w:t>
      </w:r>
    </w:p>
    <w:p w14:paraId="16783383" w14:textId="04AD6C24" w:rsidR="00826037" w:rsidRPr="006B2701" w:rsidRDefault="008F4AD7" w:rsidP="002C4332">
      <w:pPr>
        <w:pStyle w:val="ListParagraph"/>
        <w:keepNext/>
        <w:numPr>
          <w:ilvl w:val="0"/>
          <w:numId w:val="33"/>
        </w:numPr>
        <w:spacing w:before="120" w:after="120" w:line="276" w:lineRule="auto"/>
        <w:ind w:left="851" w:hanging="284"/>
        <w:jc w:val="both"/>
        <w:rPr>
          <w:rFonts w:ascii="Tahoma" w:hAnsi="Tahoma" w:cs="Tahoma"/>
          <w:bCs/>
          <w:sz w:val="24"/>
          <w:szCs w:val="24"/>
          <w:lang w:val="ro-RO"/>
        </w:rPr>
      </w:pPr>
      <w:r w:rsidRPr="006B2701">
        <w:rPr>
          <w:rFonts w:ascii="Tahoma" w:hAnsi="Tahoma" w:cs="Tahoma"/>
          <w:bCs/>
          <w:sz w:val="24"/>
          <w:szCs w:val="24"/>
          <w:lang w:val="ro-RO"/>
        </w:rPr>
        <w:t>Evoluția economică din prima parte a anului</w:t>
      </w:r>
      <w:r w:rsidR="00826037" w:rsidRPr="006B2701">
        <w:rPr>
          <w:rFonts w:ascii="Tahoma" w:hAnsi="Tahoma" w:cs="Tahoma"/>
          <w:bCs/>
          <w:sz w:val="24"/>
          <w:szCs w:val="24"/>
          <w:lang w:val="ro-RO"/>
        </w:rPr>
        <w:t>;</w:t>
      </w:r>
    </w:p>
    <w:p w14:paraId="60DE4AC7" w14:textId="6A1589FC" w:rsidR="008F4AD7" w:rsidRPr="006B2701" w:rsidRDefault="008F4AD7" w:rsidP="00D566DB">
      <w:pPr>
        <w:pStyle w:val="ListParagraph"/>
        <w:keepNext/>
        <w:numPr>
          <w:ilvl w:val="0"/>
          <w:numId w:val="33"/>
        </w:numPr>
        <w:spacing w:before="120" w:after="120" w:line="276" w:lineRule="auto"/>
        <w:ind w:left="851" w:hanging="284"/>
        <w:jc w:val="both"/>
        <w:rPr>
          <w:rFonts w:ascii="Tahoma" w:hAnsi="Tahoma" w:cs="Tahoma"/>
          <w:bCs/>
          <w:sz w:val="24"/>
          <w:szCs w:val="24"/>
          <w:lang w:val="ro-RO"/>
        </w:rPr>
      </w:pPr>
      <w:r w:rsidRPr="006B2701">
        <w:rPr>
          <w:rFonts w:ascii="Tahoma" w:hAnsi="Tahoma" w:cs="Tahoma"/>
          <w:bCs/>
          <w:sz w:val="24"/>
          <w:szCs w:val="24"/>
          <w:lang w:val="ro-RO"/>
        </w:rPr>
        <w:t>Analiza execuției bugetare pe primele șase luni ale anului 202</w:t>
      </w:r>
      <w:r w:rsidR="004160D8" w:rsidRPr="006B2701">
        <w:rPr>
          <w:rFonts w:ascii="Tahoma" w:hAnsi="Tahoma" w:cs="Tahoma"/>
          <w:bCs/>
          <w:sz w:val="24"/>
          <w:szCs w:val="24"/>
          <w:lang w:val="ro-RO"/>
        </w:rPr>
        <w:t>2</w:t>
      </w:r>
      <w:r w:rsidR="00826037" w:rsidRPr="006B2701">
        <w:rPr>
          <w:rFonts w:ascii="Tahoma" w:hAnsi="Tahoma" w:cs="Tahoma"/>
          <w:bCs/>
          <w:sz w:val="24"/>
          <w:szCs w:val="24"/>
          <w:lang w:val="ro-RO"/>
        </w:rPr>
        <w:t>;</w:t>
      </w:r>
    </w:p>
    <w:p w14:paraId="66360273" w14:textId="57AB1DA6" w:rsidR="002C4332" w:rsidRPr="006B2701" w:rsidRDefault="002C4332" w:rsidP="002C4332">
      <w:pPr>
        <w:pStyle w:val="ListParagraph"/>
        <w:keepNext/>
        <w:numPr>
          <w:ilvl w:val="0"/>
          <w:numId w:val="33"/>
        </w:numPr>
        <w:spacing w:before="120" w:after="120" w:line="276" w:lineRule="auto"/>
        <w:ind w:left="851" w:hanging="284"/>
        <w:jc w:val="both"/>
        <w:rPr>
          <w:rFonts w:ascii="Tahoma" w:hAnsi="Tahoma" w:cs="Tahoma"/>
          <w:bCs/>
          <w:sz w:val="24"/>
          <w:szCs w:val="24"/>
          <w:lang w:val="ro-RO"/>
        </w:rPr>
      </w:pPr>
      <w:r w:rsidRPr="006B2701">
        <w:rPr>
          <w:rFonts w:ascii="Tahoma" w:hAnsi="Tahoma" w:cs="Tahoma"/>
          <w:bCs/>
          <w:sz w:val="24"/>
          <w:szCs w:val="24"/>
          <w:lang w:val="ro-RO"/>
        </w:rPr>
        <w:t xml:space="preserve">Adoptarea unor acte normative prin care s-au reglementat măsuri de protecție socială pentru suportul populației, măsuri de sprijin a mediului de afaceri,  acordarea de sprijin </w:t>
      </w:r>
      <w:proofErr w:type="spellStart"/>
      <w:r w:rsidRPr="006B2701">
        <w:rPr>
          <w:rFonts w:ascii="Tahoma" w:hAnsi="Tahoma" w:cs="Tahoma"/>
          <w:bCs/>
          <w:sz w:val="24"/>
          <w:szCs w:val="24"/>
          <w:lang w:val="ro-RO"/>
        </w:rPr>
        <w:t>şi</w:t>
      </w:r>
      <w:proofErr w:type="spellEnd"/>
      <w:r w:rsidRPr="006B2701">
        <w:rPr>
          <w:rFonts w:ascii="Tahoma" w:hAnsi="Tahoma" w:cs="Tahoma"/>
          <w:bCs/>
          <w:sz w:val="24"/>
          <w:szCs w:val="24"/>
          <w:lang w:val="ro-RO"/>
        </w:rPr>
        <w:t xml:space="preserve"> asistență umanitară de către statul român cetățenilor străini sau apatrizilor aflați în situații deosebite, proveniți din zona conflictului armat din Ucraina, măsuri ce vizează domeniul sănătății precum și măsuri în domeniul pensiilor, cum ar fi:</w:t>
      </w:r>
    </w:p>
    <w:p w14:paraId="4108DF34" w14:textId="77777777" w:rsidR="002C4332" w:rsidRPr="006B2701" w:rsidRDefault="002C4332" w:rsidP="002C4332">
      <w:pPr>
        <w:pStyle w:val="ListParagraph"/>
        <w:numPr>
          <w:ilvl w:val="0"/>
          <w:numId w:val="34"/>
        </w:numPr>
        <w:autoSpaceDE w:val="0"/>
        <w:autoSpaceDN w:val="0"/>
        <w:adjustRightInd w:val="0"/>
        <w:spacing w:line="276" w:lineRule="auto"/>
        <w:ind w:left="1418" w:hanging="284"/>
        <w:contextualSpacing/>
        <w:jc w:val="both"/>
        <w:rPr>
          <w:rFonts w:ascii="Tahoma" w:hAnsi="Tahoma" w:cs="Tahoma"/>
          <w:sz w:val="24"/>
          <w:szCs w:val="24"/>
          <w:lang w:val="ro-RO"/>
        </w:rPr>
      </w:pPr>
      <w:r w:rsidRPr="006B2701">
        <w:rPr>
          <w:rFonts w:ascii="Tahoma" w:eastAsia="Calibri" w:hAnsi="Tahoma" w:cs="Tahoma"/>
          <w:b/>
          <w:sz w:val="24"/>
          <w:szCs w:val="24"/>
          <w:lang w:val="ro-RO"/>
        </w:rPr>
        <w:t xml:space="preserve">Ordonanța de urgență a Guvernului nr.118/2020 </w:t>
      </w:r>
      <w:r w:rsidRPr="006B2701">
        <w:rPr>
          <w:rFonts w:ascii="Tahoma" w:hAnsi="Tahoma" w:cs="Tahoma"/>
          <w:sz w:val="24"/>
          <w:szCs w:val="24"/>
          <w:lang w:val="ro-RO"/>
        </w:rPr>
        <w:t xml:space="preserve">privind aprobarea Programului de susținere a întreprinderilor mici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mijlocii "IMM LEASING DE ECHIPAMENTE ŞI UTILAJE";</w:t>
      </w:r>
    </w:p>
    <w:p w14:paraId="0C67972D" w14:textId="77777777" w:rsidR="002C4332" w:rsidRPr="006B2701" w:rsidRDefault="002C4332" w:rsidP="002C4332">
      <w:pPr>
        <w:pStyle w:val="ListParagraph"/>
        <w:numPr>
          <w:ilvl w:val="0"/>
          <w:numId w:val="34"/>
        </w:numPr>
        <w:autoSpaceDE w:val="0"/>
        <w:autoSpaceDN w:val="0"/>
        <w:adjustRightInd w:val="0"/>
        <w:spacing w:after="120" w:line="276" w:lineRule="auto"/>
        <w:ind w:left="1418" w:hanging="284"/>
        <w:contextualSpacing/>
        <w:jc w:val="both"/>
        <w:rPr>
          <w:rFonts w:ascii="Tahoma" w:eastAsia="Calibri" w:hAnsi="Tahoma" w:cs="Tahoma"/>
          <w:sz w:val="24"/>
          <w:szCs w:val="24"/>
          <w:lang w:val="ro-RO"/>
        </w:rPr>
      </w:pPr>
      <w:r w:rsidRPr="006B2701">
        <w:rPr>
          <w:rFonts w:ascii="Tahoma" w:eastAsia="Calibri" w:hAnsi="Tahoma" w:cs="Tahoma"/>
          <w:b/>
          <w:sz w:val="24"/>
          <w:szCs w:val="24"/>
          <w:lang w:val="ro-RO"/>
        </w:rPr>
        <w:t>Ordonanța de urgență a Guvernului nr. 118/2021</w:t>
      </w:r>
      <w:r w:rsidRPr="006B2701">
        <w:rPr>
          <w:rFonts w:ascii="Tahoma" w:eastAsia="Calibri" w:hAnsi="Tahoma" w:cs="Tahoma"/>
          <w:sz w:val="24"/>
          <w:szCs w:val="24"/>
          <w:lang w:val="ro-RO"/>
        </w:rPr>
        <w:t xml:space="preserve"> privind stabilirea unei scheme de compensare pentru consumul de energie electrică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gaze naturale pentru sezonul rece 2021 - 2022, precum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pentru completarea Ordonanței Guvernului nr. 27/1996 privind acordarea de facilități persoanelor care domiciliază sau lucrează în unele localități din Munții Apuseni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în Rezervația Biosferei "Delta Dunării" astfel cum a fost modificată și completată prin Ordonanța de urgență a Guvernului nr. 3/2022;</w:t>
      </w:r>
    </w:p>
    <w:p w14:paraId="7D1F3F2F" w14:textId="77777777" w:rsidR="002C4332" w:rsidRPr="006B2701" w:rsidRDefault="002C4332" w:rsidP="002C4332">
      <w:pPr>
        <w:pStyle w:val="ListParagraph"/>
        <w:numPr>
          <w:ilvl w:val="0"/>
          <w:numId w:val="34"/>
        </w:numPr>
        <w:spacing w:line="276" w:lineRule="auto"/>
        <w:ind w:left="1418" w:hanging="284"/>
        <w:contextualSpacing/>
        <w:jc w:val="both"/>
        <w:rPr>
          <w:rFonts w:ascii="Tahoma" w:hAnsi="Tahoma" w:cs="Tahoma"/>
          <w:sz w:val="24"/>
          <w:szCs w:val="24"/>
          <w:lang w:val="ro-RO"/>
        </w:rPr>
      </w:pPr>
      <w:r w:rsidRPr="006B2701">
        <w:rPr>
          <w:rFonts w:ascii="Tahoma" w:eastAsia="Calibri" w:hAnsi="Tahoma" w:cs="Tahoma"/>
          <w:b/>
          <w:sz w:val="24"/>
          <w:szCs w:val="24"/>
          <w:lang w:val="ro-RO"/>
        </w:rPr>
        <w:t>Ordonanța de urgență a Guvernului nr. 2/2022</w:t>
      </w:r>
      <w:r w:rsidRPr="006B2701">
        <w:rPr>
          <w:rFonts w:ascii="Tahoma" w:eastAsia="Calibri" w:hAnsi="Tahoma" w:cs="Tahoma"/>
          <w:sz w:val="24"/>
          <w:szCs w:val="24"/>
          <w:lang w:val="ro-RO"/>
        </w:rPr>
        <w:t xml:space="preserve"> privind stabilirea unor măsuri de protecție socială a angajaților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a altor categorii profesionale în </w:t>
      </w:r>
      <w:r w:rsidRPr="006B2701">
        <w:rPr>
          <w:rFonts w:ascii="Tahoma" w:eastAsia="Calibri" w:hAnsi="Tahoma" w:cs="Tahoma"/>
          <w:sz w:val="24"/>
          <w:szCs w:val="24"/>
          <w:lang w:val="ro-RO"/>
        </w:rPr>
        <w:lastRenderedPageBreak/>
        <w:t xml:space="preserve">contextul interzicerii, suspendării ori limitării activităților economice, determinate de situația epidemiologică generată de răspândirea </w:t>
      </w:r>
      <w:proofErr w:type="spellStart"/>
      <w:r w:rsidRPr="006B2701">
        <w:rPr>
          <w:rFonts w:ascii="Tahoma" w:eastAsia="Calibri" w:hAnsi="Tahoma" w:cs="Tahoma"/>
          <w:sz w:val="24"/>
          <w:szCs w:val="24"/>
          <w:lang w:val="ro-RO"/>
        </w:rPr>
        <w:t>coronavirusului</w:t>
      </w:r>
      <w:proofErr w:type="spellEnd"/>
      <w:r w:rsidRPr="006B2701">
        <w:rPr>
          <w:rFonts w:ascii="Tahoma" w:eastAsia="Calibri" w:hAnsi="Tahoma" w:cs="Tahoma"/>
          <w:sz w:val="24"/>
          <w:szCs w:val="24"/>
          <w:lang w:val="ro-RO"/>
        </w:rPr>
        <w:t xml:space="preserve"> SARS-CoV-2, precum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pentru modificarea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completarea unor acte normative;</w:t>
      </w:r>
    </w:p>
    <w:p w14:paraId="32C7E3DD" w14:textId="77777777" w:rsidR="002C4332" w:rsidRPr="006B2701" w:rsidRDefault="002C4332" w:rsidP="002C4332">
      <w:pPr>
        <w:pStyle w:val="ListParagraph"/>
        <w:numPr>
          <w:ilvl w:val="0"/>
          <w:numId w:val="34"/>
        </w:numPr>
        <w:suppressAutoHyphens/>
        <w:spacing w:after="120" w:line="276" w:lineRule="auto"/>
        <w:ind w:left="1418" w:hanging="284"/>
        <w:contextualSpacing/>
        <w:jc w:val="both"/>
        <w:rPr>
          <w:rFonts w:ascii="Tahoma" w:eastAsia="Calibri" w:hAnsi="Tahoma" w:cs="Tahoma"/>
          <w:sz w:val="24"/>
          <w:szCs w:val="24"/>
          <w:lang w:val="ro-RO"/>
        </w:rPr>
      </w:pPr>
      <w:r w:rsidRPr="006B2701">
        <w:rPr>
          <w:rFonts w:ascii="Tahoma" w:eastAsia="Calibri" w:hAnsi="Tahoma" w:cs="Tahoma"/>
          <w:b/>
          <w:sz w:val="24"/>
          <w:szCs w:val="24"/>
          <w:lang w:val="ro-RO"/>
        </w:rPr>
        <w:t>Ordonanța de urgență a Guvernului  nr. 15/2022</w:t>
      </w:r>
      <w:r w:rsidRPr="006B2701">
        <w:rPr>
          <w:rFonts w:ascii="Tahoma" w:eastAsia="Calibri" w:hAnsi="Tahoma" w:cs="Tahoma"/>
          <w:sz w:val="24"/>
          <w:szCs w:val="24"/>
          <w:lang w:val="ro-RO"/>
        </w:rPr>
        <w:t xml:space="preserve"> privind acordarea de sprijin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asistență umanitară de către statul român cetățenilor străini sau apatrizilor aflați în situații deosebite, proveniți din zona conflictului armat din Ucraina și actele normative subsecvente acesteia;</w:t>
      </w:r>
    </w:p>
    <w:p w14:paraId="397D5D71" w14:textId="77777777" w:rsidR="002C4332" w:rsidRPr="006B2701" w:rsidRDefault="002C4332" w:rsidP="002C4332">
      <w:pPr>
        <w:pStyle w:val="ListParagraph"/>
        <w:numPr>
          <w:ilvl w:val="0"/>
          <w:numId w:val="34"/>
        </w:numPr>
        <w:suppressAutoHyphens/>
        <w:spacing w:after="120" w:line="276" w:lineRule="auto"/>
        <w:ind w:left="1418" w:hanging="284"/>
        <w:contextualSpacing/>
        <w:jc w:val="both"/>
        <w:rPr>
          <w:rFonts w:ascii="Tahoma" w:eastAsia="Calibri" w:hAnsi="Tahoma" w:cs="Tahoma"/>
          <w:sz w:val="24"/>
          <w:szCs w:val="24"/>
          <w:lang w:val="ro-RO"/>
        </w:rPr>
      </w:pPr>
      <w:r w:rsidRPr="006B2701">
        <w:rPr>
          <w:rFonts w:ascii="Tahoma" w:eastAsia="Calibri" w:hAnsi="Tahoma" w:cs="Tahoma"/>
          <w:b/>
          <w:sz w:val="24"/>
          <w:szCs w:val="24"/>
          <w:lang w:val="ro-RO"/>
        </w:rPr>
        <w:t>Ordonanța  de urgență a Guvernului nr. 24/2022</w:t>
      </w:r>
      <w:r w:rsidRPr="006B2701">
        <w:rPr>
          <w:rFonts w:ascii="Tahoma" w:eastAsia="Calibri" w:hAnsi="Tahoma" w:cs="Tahoma"/>
          <w:sz w:val="24"/>
          <w:szCs w:val="24"/>
          <w:lang w:val="ro-RO"/>
        </w:rPr>
        <w:t xml:space="preserve">  privind aprobarea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finanțarea unor programe de garantare în domenii prioritare pentru economia românească, cu modificările și completările ulterioare;</w:t>
      </w:r>
    </w:p>
    <w:p w14:paraId="19768ED2" w14:textId="77777777" w:rsidR="002C4332" w:rsidRPr="006B2701" w:rsidRDefault="002C4332" w:rsidP="002C4332">
      <w:pPr>
        <w:pStyle w:val="ListParagraph"/>
        <w:numPr>
          <w:ilvl w:val="0"/>
          <w:numId w:val="34"/>
        </w:numPr>
        <w:autoSpaceDE w:val="0"/>
        <w:autoSpaceDN w:val="0"/>
        <w:adjustRightInd w:val="0"/>
        <w:spacing w:after="120" w:line="276" w:lineRule="auto"/>
        <w:ind w:left="1418" w:hanging="284"/>
        <w:contextualSpacing/>
        <w:jc w:val="both"/>
        <w:rPr>
          <w:rFonts w:ascii="Tahoma" w:eastAsia="Calibri" w:hAnsi="Tahoma" w:cs="Tahoma"/>
          <w:sz w:val="24"/>
          <w:szCs w:val="24"/>
          <w:lang w:val="ro-RO"/>
        </w:rPr>
      </w:pPr>
      <w:r w:rsidRPr="006B2701">
        <w:rPr>
          <w:rFonts w:ascii="Tahoma" w:eastAsia="Calibri" w:hAnsi="Tahoma" w:cs="Tahoma"/>
          <w:b/>
          <w:sz w:val="24"/>
          <w:szCs w:val="24"/>
          <w:lang w:val="ro-RO"/>
        </w:rPr>
        <w:t>Ordonanța de urgență a Guvernului nr. 27/2022</w:t>
      </w:r>
      <w:r w:rsidRPr="006B2701">
        <w:rPr>
          <w:rFonts w:ascii="Tahoma" w:eastAsia="Calibri" w:hAnsi="Tahoma" w:cs="Tahoma"/>
          <w:sz w:val="24"/>
          <w:szCs w:val="24"/>
          <w:lang w:val="ro-RO"/>
        </w:rPr>
        <w:t xml:space="preserve"> privind măsurile aplicabile clienților finali din piața de energie electrică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gaze naturale în perioada 1 aprilie 2022 - 31 martie 2023, precum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pentru modificarea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completarea unor acte normative din domeniul energiei, cu modificările și completările ulterioare;</w:t>
      </w:r>
    </w:p>
    <w:p w14:paraId="7451CECD" w14:textId="61D16723" w:rsidR="002C4332" w:rsidRPr="006B2701" w:rsidRDefault="002C4332" w:rsidP="002C4332">
      <w:pPr>
        <w:pStyle w:val="ListParagraph"/>
        <w:numPr>
          <w:ilvl w:val="0"/>
          <w:numId w:val="34"/>
        </w:numPr>
        <w:autoSpaceDE w:val="0"/>
        <w:autoSpaceDN w:val="0"/>
        <w:adjustRightInd w:val="0"/>
        <w:spacing w:line="276" w:lineRule="auto"/>
        <w:ind w:left="1418" w:hanging="284"/>
        <w:contextualSpacing/>
        <w:jc w:val="both"/>
        <w:rPr>
          <w:rFonts w:ascii="Tahoma" w:eastAsia="Calibri" w:hAnsi="Tahoma" w:cs="Tahoma"/>
          <w:sz w:val="24"/>
          <w:szCs w:val="24"/>
          <w:lang w:val="ro-RO"/>
        </w:rPr>
      </w:pPr>
      <w:r w:rsidRPr="006B2701">
        <w:rPr>
          <w:rFonts w:ascii="Tahoma" w:eastAsia="Calibri" w:hAnsi="Tahoma" w:cs="Tahoma"/>
          <w:b/>
          <w:sz w:val="24"/>
          <w:szCs w:val="24"/>
          <w:lang w:val="ro-RO"/>
        </w:rPr>
        <w:t>Ordonanța de urgență a Guvernului nr. 63/2022</w:t>
      </w:r>
      <w:r w:rsidRPr="006B2701">
        <w:rPr>
          <w:rFonts w:ascii="Tahoma" w:eastAsia="Calibri" w:hAnsi="Tahoma" w:cs="Tahoma"/>
          <w:sz w:val="24"/>
          <w:szCs w:val="24"/>
          <w:lang w:val="ro-RO"/>
        </w:rPr>
        <w:t xml:space="preserve"> privind unele măsuri temporare pentru acordarea de sprijin material categoriilor de persoane aflate în situații de risc de </w:t>
      </w:r>
      <w:proofErr w:type="spellStart"/>
      <w:r w:rsidRPr="006B2701">
        <w:rPr>
          <w:rFonts w:ascii="Tahoma" w:eastAsia="Calibri" w:hAnsi="Tahoma" w:cs="Tahoma"/>
          <w:sz w:val="24"/>
          <w:szCs w:val="24"/>
          <w:lang w:val="ro-RO"/>
        </w:rPr>
        <w:t>deprivare</w:t>
      </w:r>
      <w:proofErr w:type="spellEnd"/>
      <w:r w:rsidRPr="006B2701">
        <w:rPr>
          <w:rFonts w:ascii="Tahoma" w:eastAsia="Calibri" w:hAnsi="Tahoma" w:cs="Tahoma"/>
          <w:sz w:val="24"/>
          <w:szCs w:val="24"/>
          <w:lang w:val="ro-RO"/>
        </w:rPr>
        <w:t xml:space="preserve"> materială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/sau risc de sărăcie extremă, suportate </w:t>
      </w:r>
      <w:r w:rsidR="00F21F8B" w:rsidRPr="006B2701">
        <w:rPr>
          <w:rFonts w:ascii="Tahoma" w:eastAsia="Calibri" w:hAnsi="Tahoma" w:cs="Tahoma"/>
          <w:sz w:val="24"/>
          <w:szCs w:val="24"/>
          <w:lang w:val="ro-RO"/>
        </w:rPr>
        <w:t>parțial</w:t>
      </w:r>
      <w:r w:rsidRPr="006B2701">
        <w:rPr>
          <w:rFonts w:ascii="Tahoma" w:eastAsia="Calibri" w:hAnsi="Tahoma" w:cs="Tahoma"/>
          <w:sz w:val="24"/>
          <w:szCs w:val="24"/>
          <w:lang w:val="ro-RO"/>
        </w:rPr>
        <w:t xml:space="preserve"> din fonduri externe nerambursabile, precum </w:t>
      </w:r>
      <w:proofErr w:type="spellStart"/>
      <w:r w:rsidRPr="006B2701">
        <w:rPr>
          <w:rFonts w:ascii="Tahoma" w:eastAsia="Calibri" w:hAnsi="Tahoma" w:cs="Tahoma"/>
          <w:sz w:val="24"/>
          <w:szCs w:val="24"/>
          <w:lang w:val="ro-RO"/>
        </w:rPr>
        <w:t>şi</w:t>
      </w:r>
      <w:proofErr w:type="spellEnd"/>
      <w:r w:rsidRPr="006B2701">
        <w:rPr>
          <w:rFonts w:ascii="Tahoma" w:eastAsia="Calibri" w:hAnsi="Tahoma" w:cs="Tahoma"/>
          <w:sz w:val="24"/>
          <w:szCs w:val="24"/>
          <w:lang w:val="ro-RO"/>
        </w:rPr>
        <w:t xml:space="preserve"> unele măsuri de distribuire a acestuia;</w:t>
      </w:r>
    </w:p>
    <w:p w14:paraId="01777760" w14:textId="77777777" w:rsidR="002C4332" w:rsidRPr="006B2701" w:rsidRDefault="002C4332" w:rsidP="002C4332">
      <w:pPr>
        <w:pStyle w:val="ListParagraph"/>
        <w:numPr>
          <w:ilvl w:val="0"/>
          <w:numId w:val="34"/>
        </w:numPr>
        <w:autoSpaceDE w:val="0"/>
        <w:autoSpaceDN w:val="0"/>
        <w:adjustRightInd w:val="0"/>
        <w:spacing w:line="276" w:lineRule="auto"/>
        <w:ind w:left="1418" w:hanging="284"/>
        <w:contextualSpacing/>
        <w:jc w:val="both"/>
        <w:rPr>
          <w:rFonts w:ascii="Tahoma" w:eastAsia="Calibri" w:hAnsi="Tahoma" w:cs="Tahoma"/>
          <w:sz w:val="24"/>
          <w:szCs w:val="24"/>
          <w:lang w:val="ro-RO"/>
        </w:rPr>
      </w:pPr>
      <w:r w:rsidRPr="006B2701">
        <w:rPr>
          <w:rFonts w:ascii="Tahoma" w:eastAsia="Calibri" w:hAnsi="Tahoma" w:cs="Tahoma"/>
          <w:b/>
          <w:sz w:val="24"/>
          <w:szCs w:val="24"/>
          <w:lang w:val="ro-RO"/>
        </w:rPr>
        <w:t>Ordonanța de urgență a Guvernului nr.74/2022</w:t>
      </w:r>
      <w:r w:rsidRPr="006B2701">
        <w:rPr>
          <w:rFonts w:ascii="Tahoma" w:eastAsia="Calibri" w:hAnsi="Tahoma" w:cs="Tahoma"/>
          <w:sz w:val="24"/>
          <w:szCs w:val="24"/>
          <w:lang w:val="ro-RO"/>
        </w:rPr>
        <w:t xml:space="preserve"> privind acordarea unui ajutor financiar pensionarilor sistemului public de pensii, ai sistemului pensiilor militare de stat, precum și beneficiarilor de drepturi prevăzute de legi cu caracter special;</w:t>
      </w:r>
    </w:p>
    <w:p w14:paraId="5F2B5CBD" w14:textId="77777777" w:rsidR="002C4332" w:rsidRPr="006B2701" w:rsidRDefault="002C4332" w:rsidP="002C4332">
      <w:pPr>
        <w:pStyle w:val="ListParagraph"/>
        <w:numPr>
          <w:ilvl w:val="0"/>
          <w:numId w:val="34"/>
        </w:numPr>
        <w:suppressAutoHyphens/>
        <w:spacing w:after="120" w:line="276" w:lineRule="auto"/>
        <w:ind w:left="1418" w:hanging="284"/>
        <w:contextualSpacing/>
        <w:jc w:val="both"/>
        <w:rPr>
          <w:rFonts w:ascii="Tahoma" w:eastAsia="Calibri" w:hAnsi="Tahoma" w:cs="Tahoma"/>
          <w:sz w:val="24"/>
          <w:szCs w:val="24"/>
          <w:lang w:val="ro-RO"/>
        </w:rPr>
      </w:pPr>
      <w:r w:rsidRPr="006B2701">
        <w:rPr>
          <w:rFonts w:ascii="Tahoma" w:eastAsia="Calibri" w:hAnsi="Tahoma" w:cs="Tahoma"/>
          <w:b/>
          <w:sz w:val="24"/>
          <w:szCs w:val="24"/>
          <w:lang w:val="ro-RO"/>
        </w:rPr>
        <w:t>Ordonanța  de urgență a Guvernului nr. 99/2022</w:t>
      </w:r>
      <w:r w:rsidRPr="006B2701">
        <w:rPr>
          <w:rFonts w:ascii="Tahoma" w:eastAsia="Calibri" w:hAnsi="Tahoma" w:cs="Tahoma"/>
          <w:sz w:val="24"/>
          <w:szCs w:val="24"/>
          <w:lang w:val="ro-RO"/>
        </w:rPr>
        <w:t xml:space="preserve">  </w:t>
      </w:r>
      <w:r w:rsidRPr="006B2701">
        <w:rPr>
          <w:rFonts w:ascii="Tahoma" w:hAnsi="Tahoma" w:cs="Tahoma"/>
          <w:sz w:val="24"/>
          <w:szCs w:val="24"/>
          <w:lang w:val="ro-RO"/>
        </w:rPr>
        <w:t xml:space="preserve">privind aprobarea schemei de ajutor de stat IMM INVEST PLUS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a componentelor acesteia - IMM INVEST ROMÂNIA, AGRO IMM INVEST, IMM PROD, GARANT CONSTRUCT, INNOVATION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RURAL INVEST;</w:t>
      </w:r>
    </w:p>
    <w:p w14:paraId="1D91A7B7" w14:textId="7666FDE7" w:rsidR="002C4332" w:rsidRPr="006B2701" w:rsidRDefault="00F21F8B" w:rsidP="002C4332">
      <w:pPr>
        <w:pStyle w:val="ListParagraph"/>
        <w:numPr>
          <w:ilvl w:val="0"/>
          <w:numId w:val="34"/>
        </w:numPr>
        <w:autoSpaceDE w:val="0"/>
        <w:autoSpaceDN w:val="0"/>
        <w:adjustRightInd w:val="0"/>
        <w:spacing w:line="276" w:lineRule="auto"/>
        <w:ind w:left="1418" w:hanging="284"/>
        <w:contextualSpacing/>
        <w:jc w:val="both"/>
        <w:rPr>
          <w:rFonts w:ascii="Tahoma" w:eastAsia="Calibri" w:hAnsi="Tahoma" w:cs="Tahoma"/>
          <w:sz w:val="24"/>
          <w:szCs w:val="24"/>
          <w:lang w:val="ro-RO"/>
        </w:rPr>
      </w:pPr>
      <w:r w:rsidRPr="006B2701">
        <w:rPr>
          <w:rFonts w:ascii="Tahoma" w:eastAsia="Calibri" w:hAnsi="Tahoma" w:cs="Tahoma"/>
          <w:b/>
          <w:sz w:val="24"/>
          <w:szCs w:val="24"/>
          <w:lang w:val="ro-RO"/>
        </w:rPr>
        <w:t>Ordonanța</w:t>
      </w:r>
      <w:r w:rsidR="002C4332" w:rsidRPr="006B2701">
        <w:rPr>
          <w:rFonts w:ascii="Tahoma" w:eastAsia="Calibri" w:hAnsi="Tahoma" w:cs="Tahoma"/>
          <w:b/>
          <w:sz w:val="24"/>
          <w:szCs w:val="24"/>
          <w:lang w:val="ro-RO"/>
        </w:rPr>
        <w:t xml:space="preserve"> de </w:t>
      </w:r>
      <w:r w:rsidRPr="006B2701">
        <w:rPr>
          <w:rFonts w:ascii="Tahoma" w:eastAsia="Calibri" w:hAnsi="Tahoma" w:cs="Tahoma"/>
          <w:b/>
          <w:sz w:val="24"/>
          <w:szCs w:val="24"/>
          <w:lang w:val="ro-RO"/>
        </w:rPr>
        <w:t>urgență</w:t>
      </w:r>
      <w:r w:rsidR="002C4332" w:rsidRPr="006B2701">
        <w:rPr>
          <w:rFonts w:ascii="Tahoma" w:eastAsia="Calibri" w:hAnsi="Tahoma" w:cs="Tahoma"/>
          <w:b/>
          <w:sz w:val="24"/>
          <w:szCs w:val="24"/>
          <w:lang w:val="ro-RO"/>
        </w:rPr>
        <w:t xml:space="preserve">  nr. 106/2022</w:t>
      </w:r>
      <w:r w:rsidR="002C4332" w:rsidRPr="006B2701">
        <w:rPr>
          <w:rFonts w:ascii="Tahoma" w:eastAsia="Calibri" w:hAnsi="Tahoma" w:cs="Tahoma"/>
          <w:sz w:val="24"/>
          <w:szCs w:val="24"/>
          <w:lang w:val="ro-RO"/>
        </w:rPr>
        <w:t xml:space="preserve"> pentru </w:t>
      </w:r>
      <w:r w:rsidRPr="006B2701">
        <w:rPr>
          <w:rFonts w:ascii="Tahoma" w:eastAsia="Calibri" w:hAnsi="Tahoma" w:cs="Tahoma"/>
          <w:sz w:val="24"/>
          <w:szCs w:val="24"/>
          <w:lang w:val="ro-RO"/>
        </w:rPr>
        <w:t>susținerea</w:t>
      </w:r>
      <w:r w:rsidR="002C4332" w:rsidRPr="006B2701">
        <w:rPr>
          <w:rFonts w:ascii="Tahoma" w:eastAsia="Calibri" w:hAnsi="Tahoma" w:cs="Tahoma"/>
          <w:sz w:val="24"/>
          <w:szCs w:val="24"/>
          <w:lang w:val="ro-RO"/>
        </w:rPr>
        <w:t xml:space="preserve"> acordării de reduceri ale </w:t>
      </w:r>
      <w:r w:rsidRPr="006B2701">
        <w:rPr>
          <w:rFonts w:ascii="Tahoma" w:eastAsia="Calibri" w:hAnsi="Tahoma" w:cs="Tahoma"/>
          <w:sz w:val="24"/>
          <w:szCs w:val="24"/>
          <w:lang w:val="ro-RO"/>
        </w:rPr>
        <w:t>prețurilor</w:t>
      </w:r>
      <w:r w:rsidR="002C4332" w:rsidRPr="006B2701">
        <w:rPr>
          <w:rFonts w:ascii="Tahoma" w:eastAsia="Calibri" w:hAnsi="Tahoma" w:cs="Tahoma"/>
          <w:sz w:val="24"/>
          <w:szCs w:val="24"/>
          <w:lang w:val="ro-RO"/>
        </w:rPr>
        <w:t xml:space="preserve"> la benzină </w:t>
      </w:r>
      <w:proofErr w:type="spellStart"/>
      <w:r w:rsidR="002C4332" w:rsidRPr="006B2701">
        <w:rPr>
          <w:rFonts w:ascii="Tahoma" w:eastAsia="Calibri" w:hAnsi="Tahoma" w:cs="Tahoma"/>
          <w:sz w:val="24"/>
          <w:szCs w:val="24"/>
          <w:lang w:val="ro-RO"/>
        </w:rPr>
        <w:t>şi</w:t>
      </w:r>
      <w:proofErr w:type="spellEnd"/>
      <w:r w:rsidR="002C4332" w:rsidRPr="006B2701">
        <w:rPr>
          <w:rFonts w:ascii="Tahoma" w:eastAsia="Calibri" w:hAnsi="Tahoma" w:cs="Tahoma"/>
          <w:sz w:val="24"/>
          <w:szCs w:val="24"/>
          <w:lang w:val="ro-RO"/>
        </w:rPr>
        <w:t xml:space="preserve"> motorină </w:t>
      </w:r>
      <w:proofErr w:type="spellStart"/>
      <w:r w:rsidR="002C4332" w:rsidRPr="006B2701">
        <w:rPr>
          <w:rFonts w:ascii="Tahoma" w:eastAsia="Calibri" w:hAnsi="Tahoma" w:cs="Tahoma"/>
          <w:sz w:val="24"/>
          <w:szCs w:val="24"/>
          <w:lang w:val="ro-RO"/>
        </w:rPr>
        <w:t>şi</w:t>
      </w:r>
      <w:proofErr w:type="spellEnd"/>
      <w:r w:rsidR="002C4332" w:rsidRPr="006B2701">
        <w:rPr>
          <w:rFonts w:ascii="Tahoma" w:eastAsia="Calibri" w:hAnsi="Tahoma" w:cs="Tahoma"/>
          <w:sz w:val="24"/>
          <w:szCs w:val="24"/>
          <w:lang w:val="ro-RO"/>
        </w:rPr>
        <w:t xml:space="preserve"> pentru modificarea art. 18 din </w:t>
      </w:r>
      <w:r w:rsidRPr="006B2701">
        <w:rPr>
          <w:rFonts w:ascii="Tahoma" w:eastAsia="Calibri" w:hAnsi="Tahoma" w:cs="Tahoma"/>
          <w:sz w:val="24"/>
          <w:szCs w:val="24"/>
          <w:lang w:val="ro-RO"/>
        </w:rPr>
        <w:t>Ordonanța</w:t>
      </w:r>
      <w:r w:rsidR="002C4332" w:rsidRPr="006B2701">
        <w:rPr>
          <w:rFonts w:ascii="Tahoma" w:eastAsia="Calibri" w:hAnsi="Tahoma" w:cs="Tahoma"/>
          <w:sz w:val="24"/>
          <w:szCs w:val="24"/>
          <w:lang w:val="ro-RO"/>
        </w:rPr>
        <w:t xml:space="preserve"> de </w:t>
      </w:r>
      <w:r w:rsidRPr="006B2701">
        <w:rPr>
          <w:rFonts w:ascii="Tahoma" w:eastAsia="Calibri" w:hAnsi="Tahoma" w:cs="Tahoma"/>
          <w:sz w:val="24"/>
          <w:szCs w:val="24"/>
          <w:lang w:val="ro-RO"/>
        </w:rPr>
        <w:t>urgență</w:t>
      </w:r>
      <w:r w:rsidR="002C4332" w:rsidRPr="006B2701">
        <w:rPr>
          <w:rFonts w:ascii="Tahoma" w:eastAsia="Calibri" w:hAnsi="Tahoma" w:cs="Tahoma"/>
          <w:sz w:val="24"/>
          <w:szCs w:val="24"/>
          <w:lang w:val="ro-RO"/>
        </w:rPr>
        <w:t xml:space="preserve"> a Guvernului nr. 41/2022 pentru instituirea Sistemului </w:t>
      </w:r>
      <w:r w:rsidRPr="006B2701">
        <w:rPr>
          <w:rFonts w:ascii="Tahoma" w:eastAsia="Calibri" w:hAnsi="Tahoma" w:cs="Tahoma"/>
          <w:sz w:val="24"/>
          <w:szCs w:val="24"/>
          <w:lang w:val="ro-RO"/>
        </w:rPr>
        <w:t>național</w:t>
      </w:r>
      <w:r w:rsidR="002C4332" w:rsidRPr="006B2701">
        <w:rPr>
          <w:rFonts w:ascii="Tahoma" w:eastAsia="Calibri" w:hAnsi="Tahoma" w:cs="Tahoma"/>
          <w:sz w:val="24"/>
          <w:szCs w:val="24"/>
          <w:lang w:val="ro-RO"/>
        </w:rPr>
        <w:t xml:space="preserve"> privind monitorizarea transporturilor rutiere de bunuri cu risc fiscal ridicat RO e-Transport </w:t>
      </w:r>
      <w:proofErr w:type="spellStart"/>
      <w:r w:rsidR="002C4332" w:rsidRPr="006B2701">
        <w:rPr>
          <w:rFonts w:ascii="Tahoma" w:eastAsia="Calibri" w:hAnsi="Tahoma" w:cs="Tahoma"/>
          <w:sz w:val="24"/>
          <w:szCs w:val="24"/>
          <w:lang w:val="ro-RO"/>
        </w:rPr>
        <w:t>şi</w:t>
      </w:r>
      <w:proofErr w:type="spellEnd"/>
      <w:r w:rsidR="002C4332" w:rsidRPr="006B2701">
        <w:rPr>
          <w:rFonts w:ascii="Tahoma" w:eastAsia="Calibri" w:hAnsi="Tahoma" w:cs="Tahoma"/>
          <w:sz w:val="24"/>
          <w:szCs w:val="24"/>
          <w:lang w:val="ro-RO"/>
        </w:rPr>
        <w:t xml:space="preserve"> de abrogare a art. XXVIII din </w:t>
      </w:r>
      <w:r w:rsidRPr="006B2701">
        <w:rPr>
          <w:rFonts w:ascii="Tahoma" w:eastAsia="Calibri" w:hAnsi="Tahoma" w:cs="Tahoma"/>
          <w:sz w:val="24"/>
          <w:szCs w:val="24"/>
          <w:lang w:val="ro-RO"/>
        </w:rPr>
        <w:t>Ordonanța</w:t>
      </w:r>
      <w:r w:rsidR="002C4332" w:rsidRPr="006B2701">
        <w:rPr>
          <w:rFonts w:ascii="Tahoma" w:eastAsia="Calibri" w:hAnsi="Tahoma" w:cs="Tahoma"/>
          <w:sz w:val="24"/>
          <w:szCs w:val="24"/>
          <w:lang w:val="ro-RO"/>
        </w:rPr>
        <w:t xml:space="preserve"> de </w:t>
      </w:r>
      <w:r w:rsidRPr="006B2701">
        <w:rPr>
          <w:rFonts w:ascii="Tahoma" w:eastAsia="Calibri" w:hAnsi="Tahoma" w:cs="Tahoma"/>
          <w:sz w:val="24"/>
          <w:szCs w:val="24"/>
          <w:lang w:val="ro-RO"/>
        </w:rPr>
        <w:t>urgență</w:t>
      </w:r>
      <w:r w:rsidR="002C4332" w:rsidRPr="006B2701">
        <w:rPr>
          <w:rFonts w:ascii="Tahoma" w:eastAsia="Calibri" w:hAnsi="Tahoma" w:cs="Tahoma"/>
          <w:sz w:val="24"/>
          <w:szCs w:val="24"/>
          <w:lang w:val="ro-RO"/>
        </w:rPr>
        <w:t xml:space="preserve"> a Guvernului nr. 130/2021 privind unele măsuri fiscal-bugetare, prorogarea unor termene, precum </w:t>
      </w:r>
      <w:proofErr w:type="spellStart"/>
      <w:r w:rsidR="002C4332" w:rsidRPr="006B2701">
        <w:rPr>
          <w:rFonts w:ascii="Tahoma" w:eastAsia="Calibri" w:hAnsi="Tahoma" w:cs="Tahoma"/>
          <w:sz w:val="24"/>
          <w:szCs w:val="24"/>
          <w:lang w:val="ro-RO"/>
        </w:rPr>
        <w:t>şi</w:t>
      </w:r>
      <w:proofErr w:type="spellEnd"/>
      <w:r w:rsidR="002C4332" w:rsidRPr="006B2701">
        <w:rPr>
          <w:rFonts w:ascii="Tahoma" w:eastAsia="Calibri" w:hAnsi="Tahoma" w:cs="Tahoma"/>
          <w:sz w:val="24"/>
          <w:szCs w:val="24"/>
          <w:lang w:val="ro-RO"/>
        </w:rPr>
        <w:t xml:space="preserve"> pentru modificarea </w:t>
      </w:r>
      <w:proofErr w:type="spellStart"/>
      <w:r w:rsidR="002C4332" w:rsidRPr="006B2701">
        <w:rPr>
          <w:rFonts w:ascii="Tahoma" w:eastAsia="Calibri" w:hAnsi="Tahoma" w:cs="Tahoma"/>
          <w:sz w:val="24"/>
          <w:szCs w:val="24"/>
          <w:lang w:val="ro-RO"/>
        </w:rPr>
        <w:t>şi</w:t>
      </w:r>
      <w:proofErr w:type="spellEnd"/>
      <w:r w:rsidR="002C4332" w:rsidRPr="006B2701">
        <w:rPr>
          <w:rFonts w:ascii="Tahoma" w:eastAsia="Calibri" w:hAnsi="Tahoma" w:cs="Tahoma"/>
          <w:sz w:val="24"/>
          <w:szCs w:val="24"/>
          <w:lang w:val="ro-RO"/>
        </w:rPr>
        <w:t xml:space="preserve"> completarea unor acte normative;</w:t>
      </w:r>
    </w:p>
    <w:p w14:paraId="77DBC961" w14:textId="77777777" w:rsidR="002C4332" w:rsidRPr="006B2701" w:rsidRDefault="002C4332" w:rsidP="002C4332">
      <w:pPr>
        <w:pStyle w:val="ListParagraph"/>
        <w:numPr>
          <w:ilvl w:val="0"/>
          <w:numId w:val="34"/>
        </w:numPr>
        <w:suppressAutoHyphens/>
        <w:spacing w:after="120" w:line="276" w:lineRule="auto"/>
        <w:ind w:left="1418" w:hanging="284"/>
        <w:contextualSpacing/>
        <w:jc w:val="both"/>
        <w:rPr>
          <w:rFonts w:ascii="Tahoma" w:eastAsia="Calibri" w:hAnsi="Tahoma" w:cs="Tahoma"/>
          <w:sz w:val="24"/>
          <w:szCs w:val="24"/>
          <w:lang w:val="ro-RO"/>
        </w:rPr>
      </w:pPr>
      <w:r w:rsidRPr="006B2701">
        <w:rPr>
          <w:rFonts w:ascii="Tahoma" w:eastAsia="Calibri" w:hAnsi="Tahoma" w:cs="Tahoma"/>
          <w:b/>
          <w:sz w:val="24"/>
          <w:szCs w:val="24"/>
          <w:lang w:val="ro-RO"/>
        </w:rPr>
        <w:t>Legea nr.133/2022</w:t>
      </w:r>
      <w:r w:rsidRPr="006B2701">
        <w:rPr>
          <w:rFonts w:ascii="Tahoma" w:eastAsia="Calibri" w:hAnsi="Tahoma" w:cs="Tahoma"/>
          <w:sz w:val="24"/>
          <w:szCs w:val="24"/>
          <w:lang w:val="ro-RO"/>
        </w:rPr>
        <w:t xml:space="preserve"> pentru modificarea și completarea Legii nr.95/2006 privind reforma în domeniul sănătății (majorarea și suportarea integral de la bugetul de stat a cheltuielilor aferente alocației de hrană în unități sanitare);</w:t>
      </w:r>
    </w:p>
    <w:p w14:paraId="45C98D64" w14:textId="68026458" w:rsidR="002C4332" w:rsidRPr="006B2701" w:rsidRDefault="002C4332" w:rsidP="002C4332">
      <w:pPr>
        <w:pStyle w:val="ListParagraph"/>
        <w:numPr>
          <w:ilvl w:val="0"/>
          <w:numId w:val="34"/>
        </w:numPr>
        <w:autoSpaceDE w:val="0"/>
        <w:autoSpaceDN w:val="0"/>
        <w:adjustRightInd w:val="0"/>
        <w:spacing w:line="276" w:lineRule="auto"/>
        <w:ind w:left="1418" w:hanging="284"/>
        <w:contextualSpacing/>
        <w:jc w:val="both"/>
        <w:rPr>
          <w:rFonts w:ascii="Tahoma" w:eastAsia="Calibri" w:hAnsi="Tahoma" w:cs="Tahoma"/>
          <w:sz w:val="24"/>
          <w:szCs w:val="24"/>
          <w:lang w:val="ro-RO"/>
        </w:rPr>
      </w:pPr>
      <w:r w:rsidRPr="006B2701">
        <w:rPr>
          <w:rFonts w:ascii="Tahoma" w:hAnsi="Tahoma" w:cs="Tahoma"/>
          <w:b/>
          <w:sz w:val="24"/>
          <w:szCs w:val="24"/>
          <w:lang w:val="ro-RO"/>
        </w:rPr>
        <w:lastRenderedPageBreak/>
        <w:t>Hotărârea Guvernului nr.667/2022</w:t>
      </w:r>
      <w:r w:rsidRPr="006B2701">
        <w:rPr>
          <w:rFonts w:ascii="Tahoma" w:hAnsi="Tahoma" w:cs="Tahoma"/>
          <w:sz w:val="24"/>
          <w:szCs w:val="24"/>
          <w:lang w:val="ro-RO"/>
        </w:rPr>
        <w:t xml:space="preserve"> privind instituirea unei scheme de ajutor de stat pentru compensarea </w:t>
      </w:r>
      <w:r w:rsidR="00F21F8B" w:rsidRPr="006B2701">
        <w:rPr>
          <w:rFonts w:ascii="Tahoma" w:hAnsi="Tahoma" w:cs="Tahoma"/>
          <w:sz w:val="24"/>
          <w:szCs w:val="24"/>
          <w:lang w:val="ro-RO"/>
        </w:rPr>
        <w:t>creșterii</w:t>
      </w:r>
      <w:r w:rsidRPr="006B2701">
        <w:rPr>
          <w:rFonts w:ascii="Tahoma" w:hAnsi="Tahoma" w:cs="Tahoma"/>
          <w:sz w:val="24"/>
          <w:szCs w:val="24"/>
          <w:lang w:val="ro-RO"/>
        </w:rPr>
        <w:t xml:space="preserve"> </w:t>
      </w:r>
      <w:r w:rsidR="00F21F8B" w:rsidRPr="006B2701">
        <w:rPr>
          <w:rFonts w:ascii="Tahoma" w:hAnsi="Tahoma" w:cs="Tahoma"/>
          <w:sz w:val="24"/>
          <w:szCs w:val="24"/>
          <w:lang w:val="ro-RO"/>
        </w:rPr>
        <w:t>prețului</w:t>
      </w:r>
      <w:r w:rsidRPr="006B2701">
        <w:rPr>
          <w:rFonts w:ascii="Tahoma" w:hAnsi="Tahoma" w:cs="Tahoma"/>
          <w:sz w:val="24"/>
          <w:szCs w:val="24"/>
          <w:lang w:val="ro-RO"/>
        </w:rPr>
        <w:t xml:space="preserve"> la combustibil pentru alimentarea motoarelor, ca urmare a conflictului armat din Ucraina, precum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modificarea anexei nr. 2 la Hotărârea Guvernului nr. 370/2021 privind organizarea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w:t>
      </w:r>
      <w:r w:rsidR="00F21F8B" w:rsidRPr="006B2701">
        <w:rPr>
          <w:rFonts w:ascii="Tahoma" w:hAnsi="Tahoma" w:cs="Tahoma"/>
          <w:sz w:val="24"/>
          <w:szCs w:val="24"/>
          <w:lang w:val="ro-RO"/>
        </w:rPr>
        <w:t>funcționarea</w:t>
      </w:r>
      <w:r w:rsidRPr="006B2701">
        <w:rPr>
          <w:rFonts w:ascii="Tahoma" w:hAnsi="Tahoma" w:cs="Tahoma"/>
          <w:sz w:val="24"/>
          <w:szCs w:val="24"/>
          <w:lang w:val="ro-RO"/>
        </w:rPr>
        <w:t xml:space="preserve"> Ministerului Transporturilor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Infrastructurii;</w:t>
      </w:r>
    </w:p>
    <w:p w14:paraId="6042189B" w14:textId="0C21FCB4" w:rsidR="002C4332" w:rsidRPr="006B2701" w:rsidRDefault="002C4332" w:rsidP="002C4332">
      <w:pPr>
        <w:pStyle w:val="ListParagraph"/>
        <w:numPr>
          <w:ilvl w:val="0"/>
          <w:numId w:val="34"/>
        </w:numPr>
        <w:autoSpaceDE w:val="0"/>
        <w:autoSpaceDN w:val="0"/>
        <w:adjustRightInd w:val="0"/>
        <w:spacing w:line="276" w:lineRule="auto"/>
        <w:ind w:left="1418" w:hanging="284"/>
        <w:contextualSpacing/>
        <w:jc w:val="both"/>
        <w:rPr>
          <w:rFonts w:ascii="Tahoma" w:eastAsia="Calibri" w:hAnsi="Tahoma" w:cs="Tahoma"/>
          <w:sz w:val="24"/>
          <w:szCs w:val="24"/>
          <w:lang w:val="ro-RO"/>
        </w:rPr>
      </w:pPr>
      <w:r w:rsidRPr="006B2701">
        <w:rPr>
          <w:rFonts w:ascii="Tahoma" w:hAnsi="Tahoma" w:cs="Tahoma"/>
          <w:sz w:val="24"/>
          <w:szCs w:val="24"/>
          <w:lang w:val="ro-RO"/>
        </w:rPr>
        <w:t xml:space="preserve">Reluarea schemei de ajutor de stat, stabilită prin </w:t>
      </w:r>
      <w:r w:rsidRPr="006B2701">
        <w:rPr>
          <w:rFonts w:ascii="Tahoma" w:hAnsi="Tahoma" w:cs="Tahoma"/>
          <w:b/>
          <w:sz w:val="24"/>
          <w:szCs w:val="24"/>
          <w:lang w:val="ro-RO"/>
        </w:rPr>
        <w:t>Hotărârea Guvernului nr.807/2014</w:t>
      </w:r>
      <w:r w:rsidRPr="006B2701">
        <w:rPr>
          <w:rFonts w:ascii="Tahoma" w:hAnsi="Tahoma" w:cs="Tahoma"/>
          <w:sz w:val="24"/>
          <w:szCs w:val="24"/>
          <w:lang w:val="ro-RO"/>
        </w:rPr>
        <w:t>, ce are ca obiectiv dezvoltarea regională prin realizarea de investiții în toate sectoarele de activitate. Începând cu luna mai, se începe sesiunea pe schema de ajutor de stat, cu o anvelopă estimată de 1 miliard lei</w:t>
      </w:r>
      <w:r w:rsidR="00D566DB" w:rsidRPr="006B2701">
        <w:rPr>
          <w:rFonts w:ascii="Tahoma" w:hAnsi="Tahoma" w:cs="Tahoma"/>
          <w:sz w:val="24"/>
          <w:szCs w:val="24"/>
          <w:lang w:val="ro-RO"/>
        </w:rPr>
        <w:t>.</w:t>
      </w:r>
      <w:r w:rsidRPr="006B2701">
        <w:rPr>
          <w:rFonts w:ascii="Tahoma" w:hAnsi="Tahoma" w:cs="Tahoma"/>
          <w:sz w:val="24"/>
          <w:szCs w:val="24"/>
          <w:lang w:val="ro-RO"/>
        </w:rPr>
        <w:t xml:space="preserve"> </w:t>
      </w:r>
    </w:p>
    <w:p w14:paraId="62B6E5FF" w14:textId="77777777" w:rsidR="002C4332" w:rsidRPr="006B2701" w:rsidRDefault="002C4332" w:rsidP="001A3B18">
      <w:pPr>
        <w:pStyle w:val="ListParagraph"/>
        <w:numPr>
          <w:ilvl w:val="0"/>
          <w:numId w:val="35"/>
        </w:numPr>
        <w:spacing w:before="120" w:after="120" w:line="276" w:lineRule="auto"/>
        <w:ind w:left="851" w:hanging="284"/>
        <w:jc w:val="both"/>
        <w:rPr>
          <w:rFonts w:ascii="Tahoma" w:hAnsi="Tahoma" w:cs="Tahoma"/>
          <w:sz w:val="24"/>
          <w:szCs w:val="24"/>
          <w:lang w:val="ro-RO"/>
        </w:rPr>
      </w:pPr>
      <w:r w:rsidRPr="006B2701">
        <w:rPr>
          <w:rFonts w:ascii="Tahoma" w:hAnsi="Tahoma" w:cs="Tahoma"/>
          <w:sz w:val="24"/>
          <w:szCs w:val="24"/>
          <w:lang w:val="ro-RO"/>
        </w:rPr>
        <w:t>Adoptarea unor acte normative cu influențe asupra veniturilor bugetare între care menționăm:</w:t>
      </w:r>
    </w:p>
    <w:p w14:paraId="1066FE4D" w14:textId="79F2917E" w:rsidR="002C4332" w:rsidRPr="006B2701" w:rsidRDefault="002C4332" w:rsidP="00B23BC7">
      <w:pPr>
        <w:pStyle w:val="ListParagraph"/>
        <w:numPr>
          <w:ilvl w:val="0"/>
          <w:numId w:val="36"/>
        </w:numPr>
        <w:autoSpaceDE w:val="0"/>
        <w:autoSpaceDN w:val="0"/>
        <w:adjustRightInd w:val="0"/>
        <w:spacing w:after="120" w:line="276" w:lineRule="auto"/>
        <w:ind w:left="1418" w:hanging="284"/>
        <w:contextualSpacing/>
        <w:jc w:val="both"/>
        <w:rPr>
          <w:rFonts w:ascii="Arial" w:eastAsia="Calibri" w:hAnsi="Arial" w:cs="Arial"/>
          <w:sz w:val="28"/>
          <w:szCs w:val="28"/>
          <w:lang w:val="ro-RO"/>
        </w:rPr>
      </w:pPr>
      <w:r w:rsidRPr="006B2701">
        <w:rPr>
          <w:rFonts w:ascii="Tahoma" w:hAnsi="Tahoma" w:cs="Tahoma"/>
          <w:b/>
          <w:sz w:val="24"/>
          <w:szCs w:val="24"/>
          <w:lang w:val="ro-RO"/>
        </w:rPr>
        <w:t>Ordonanța Guvernului nr.16/2022</w:t>
      </w:r>
      <w:r w:rsidRPr="006B2701">
        <w:rPr>
          <w:rFonts w:ascii="Tahoma" w:hAnsi="Tahoma" w:cs="Tahoma"/>
          <w:sz w:val="24"/>
          <w:szCs w:val="24"/>
          <w:lang w:val="ro-RO"/>
        </w:rPr>
        <w:t xml:space="preserve"> pentru modificarea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completarea Legii nr. 227/2015 privind Codul fiscal, abrogarea unor acte normative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alte măsuri financiar-fiscale</w:t>
      </w:r>
      <w:r w:rsidR="00D566DB" w:rsidRPr="006B2701">
        <w:rPr>
          <w:rFonts w:ascii="Tahoma" w:hAnsi="Tahoma" w:cs="Tahoma"/>
          <w:sz w:val="24"/>
          <w:szCs w:val="24"/>
          <w:lang w:val="ro-RO"/>
        </w:rPr>
        <w:t>.</w:t>
      </w:r>
    </w:p>
    <w:p w14:paraId="0ED0BD64" w14:textId="71897A72" w:rsidR="0060591A" w:rsidRPr="006B2701" w:rsidRDefault="00345C8E" w:rsidP="002C4332">
      <w:pPr>
        <w:spacing w:before="120" w:after="120" w:line="276" w:lineRule="auto"/>
        <w:jc w:val="both"/>
        <w:rPr>
          <w:rFonts w:ascii="Tahoma" w:hAnsi="Tahoma" w:cs="Tahoma"/>
          <w:sz w:val="24"/>
          <w:szCs w:val="24"/>
          <w:lang w:val="ro-RO"/>
        </w:rPr>
      </w:pPr>
      <w:r w:rsidRPr="006B2701">
        <w:rPr>
          <w:rFonts w:ascii="Tahoma" w:eastAsia="Times New Roman" w:hAnsi="Tahoma" w:cs="Tahoma"/>
          <w:sz w:val="24"/>
          <w:szCs w:val="24"/>
          <w:lang w:val="ro-RO"/>
        </w:rPr>
        <w:t xml:space="preserve">Rectificarea bugetară a avut în vedere </w:t>
      </w:r>
      <w:r w:rsidR="008F4AD7" w:rsidRPr="006B2701">
        <w:rPr>
          <w:rFonts w:ascii="Tahoma" w:eastAsia="Times New Roman" w:hAnsi="Tahoma" w:cs="Tahoma"/>
          <w:sz w:val="24"/>
          <w:szCs w:val="24"/>
          <w:lang w:val="ro-RO"/>
        </w:rPr>
        <w:t xml:space="preserve">majorarea </w:t>
      </w:r>
      <w:r w:rsidRPr="006B2701">
        <w:rPr>
          <w:rFonts w:ascii="Tahoma" w:eastAsia="Times New Roman" w:hAnsi="Tahoma" w:cs="Tahoma"/>
          <w:sz w:val="24"/>
          <w:szCs w:val="24"/>
          <w:lang w:val="ro-RO"/>
        </w:rPr>
        <w:t xml:space="preserve">per sold a veniturilor bugetului general consolidat cu </w:t>
      </w:r>
      <w:r w:rsidR="00B1630D" w:rsidRPr="006B2701">
        <w:rPr>
          <w:lang w:val="ro-RO"/>
        </w:rPr>
        <w:t xml:space="preserve"> </w:t>
      </w:r>
      <w:r w:rsidR="002C4332" w:rsidRPr="006B2701">
        <w:rPr>
          <w:rFonts w:ascii="Tahoma" w:hAnsi="Tahoma" w:cs="Tahoma"/>
          <w:bCs/>
          <w:sz w:val="24"/>
          <w:szCs w:val="24"/>
          <w:lang w:val="ro-RO"/>
        </w:rPr>
        <w:t xml:space="preserve">30.366,6 </w:t>
      </w:r>
      <w:r w:rsidR="00B1630D" w:rsidRPr="006B2701">
        <w:rPr>
          <w:rFonts w:ascii="Tahoma" w:hAnsi="Tahoma" w:cs="Tahoma"/>
          <w:bCs/>
          <w:sz w:val="24"/>
          <w:szCs w:val="24"/>
          <w:lang w:val="ro-RO"/>
        </w:rPr>
        <w:t>milioane lei</w:t>
      </w:r>
      <w:r w:rsidRPr="006B2701">
        <w:rPr>
          <w:rFonts w:ascii="Tahoma" w:eastAsia="Times New Roman" w:hAnsi="Tahoma" w:cs="Tahoma"/>
          <w:sz w:val="24"/>
          <w:szCs w:val="24"/>
          <w:lang w:val="ro-RO"/>
        </w:rPr>
        <w:t xml:space="preserve"> precum și majorarea per sold a cheltuielilor bugetului general consolidat cu </w:t>
      </w:r>
      <w:r w:rsidR="002C4332" w:rsidRPr="006B2701">
        <w:rPr>
          <w:rFonts w:ascii="Tahoma" w:hAnsi="Tahoma" w:cs="Tahoma"/>
          <w:bCs/>
          <w:sz w:val="24"/>
          <w:szCs w:val="24"/>
          <w:lang w:val="ro-RO"/>
        </w:rPr>
        <w:t xml:space="preserve">33.016,0 </w:t>
      </w:r>
      <w:r w:rsidR="00B1630D" w:rsidRPr="006B2701">
        <w:rPr>
          <w:rFonts w:ascii="Tahoma" w:hAnsi="Tahoma" w:cs="Tahoma"/>
          <w:bCs/>
          <w:sz w:val="24"/>
          <w:szCs w:val="24"/>
          <w:lang w:val="ro-RO"/>
        </w:rPr>
        <w:t xml:space="preserve">milioane </w:t>
      </w:r>
      <w:r w:rsidR="00806CE4" w:rsidRPr="006B2701">
        <w:rPr>
          <w:rFonts w:ascii="Tahoma" w:hAnsi="Tahoma" w:cs="Tahoma"/>
          <w:bCs/>
          <w:sz w:val="24"/>
          <w:szCs w:val="24"/>
          <w:lang w:val="ro-RO"/>
        </w:rPr>
        <w:t>lei</w:t>
      </w:r>
      <w:r w:rsidRPr="006B2701">
        <w:rPr>
          <w:rFonts w:ascii="Tahoma" w:eastAsia="Times New Roman" w:hAnsi="Tahoma" w:cs="Tahoma"/>
          <w:sz w:val="24"/>
          <w:szCs w:val="24"/>
          <w:lang w:val="ro-RO"/>
        </w:rPr>
        <w:t xml:space="preserve"> </w:t>
      </w:r>
      <w:r w:rsidR="00AA4E6A" w:rsidRPr="006B2701">
        <w:rPr>
          <w:rFonts w:ascii="Tahoma" w:eastAsia="Times New Roman" w:hAnsi="Tahoma" w:cs="Tahoma"/>
          <w:sz w:val="24"/>
          <w:szCs w:val="24"/>
          <w:lang w:val="ro-RO"/>
        </w:rPr>
        <w:t>majorându-se</w:t>
      </w:r>
      <w:r w:rsidR="00806CE4" w:rsidRPr="006B2701">
        <w:rPr>
          <w:rFonts w:ascii="Tahoma" w:eastAsia="Times New Roman" w:hAnsi="Tahoma" w:cs="Tahoma"/>
          <w:sz w:val="24"/>
          <w:szCs w:val="24"/>
          <w:lang w:val="ro-RO"/>
        </w:rPr>
        <w:t xml:space="preserve"> astfel </w:t>
      </w:r>
      <w:r w:rsidRPr="006B2701">
        <w:rPr>
          <w:rFonts w:ascii="Tahoma" w:eastAsia="Times New Roman" w:hAnsi="Tahoma" w:cs="Tahoma"/>
          <w:sz w:val="24"/>
          <w:szCs w:val="24"/>
          <w:lang w:val="ro-RO"/>
        </w:rPr>
        <w:t xml:space="preserve">deficitul bugetar pe anul </w:t>
      </w:r>
      <w:r w:rsidR="008F4AD7" w:rsidRPr="006B2701">
        <w:rPr>
          <w:rFonts w:ascii="Tahoma" w:eastAsia="Times New Roman" w:hAnsi="Tahoma" w:cs="Tahoma"/>
          <w:sz w:val="24"/>
          <w:szCs w:val="24"/>
          <w:lang w:val="ro-RO"/>
        </w:rPr>
        <w:t>202</w:t>
      </w:r>
      <w:r w:rsidR="002C4332" w:rsidRPr="006B2701">
        <w:rPr>
          <w:rFonts w:ascii="Tahoma" w:eastAsia="Times New Roman" w:hAnsi="Tahoma" w:cs="Tahoma"/>
          <w:sz w:val="24"/>
          <w:szCs w:val="24"/>
          <w:lang w:val="ro-RO"/>
        </w:rPr>
        <w:t>2</w:t>
      </w:r>
      <w:r w:rsidR="00B1630D" w:rsidRPr="006B2701">
        <w:rPr>
          <w:rFonts w:ascii="Tahoma" w:eastAsia="Times New Roman" w:hAnsi="Tahoma" w:cs="Tahoma"/>
          <w:sz w:val="24"/>
          <w:szCs w:val="24"/>
          <w:lang w:val="ro-RO"/>
        </w:rPr>
        <w:t>,</w:t>
      </w:r>
      <w:r w:rsidR="008F4AD7" w:rsidRPr="006B2701">
        <w:rPr>
          <w:rFonts w:ascii="Tahoma" w:eastAsia="Times New Roman" w:hAnsi="Tahoma" w:cs="Tahoma"/>
          <w:sz w:val="24"/>
          <w:szCs w:val="24"/>
          <w:lang w:val="ro-RO"/>
        </w:rPr>
        <w:t xml:space="preserve"> </w:t>
      </w:r>
      <w:r w:rsidR="00B1630D" w:rsidRPr="006B2701">
        <w:rPr>
          <w:rFonts w:ascii="Tahoma" w:eastAsia="Times New Roman" w:hAnsi="Tahoma" w:cs="Tahoma"/>
          <w:sz w:val="24"/>
          <w:szCs w:val="24"/>
          <w:lang w:val="ro-RO"/>
        </w:rPr>
        <w:t xml:space="preserve">în termeni cash, cu </w:t>
      </w:r>
      <w:r w:rsidR="002C4332" w:rsidRPr="006B2701">
        <w:rPr>
          <w:rFonts w:ascii="Tahoma" w:eastAsia="Times New Roman" w:hAnsi="Tahoma" w:cs="Tahoma"/>
          <w:sz w:val="24"/>
          <w:szCs w:val="24"/>
          <w:lang w:val="ro-RO"/>
        </w:rPr>
        <w:t xml:space="preserve">2.649,4 </w:t>
      </w:r>
      <w:r w:rsidR="00B1630D" w:rsidRPr="006B2701">
        <w:rPr>
          <w:rFonts w:ascii="Tahoma" w:eastAsia="Times New Roman" w:hAnsi="Tahoma" w:cs="Tahoma"/>
          <w:sz w:val="24"/>
          <w:szCs w:val="24"/>
          <w:lang w:val="ro-RO"/>
        </w:rPr>
        <w:t xml:space="preserve">milioane lei. </w:t>
      </w:r>
    </w:p>
    <w:p w14:paraId="2EF6781A" w14:textId="640D0340" w:rsidR="00345C8E" w:rsidRPr="006B2701" w:rsidRDefault="00D53F74" w:rsidP="00437FB8">
      <w:pPr>
        <w:spacing w:before="120" w:after="120" w:line="276" w:lineRule="auto"/>
        <w:jc w:val="both"/>
        <w:outlineLvl w:val="0"/>
        <w:rPr>
          <w:rFonts w:ascii="Tahoma" w:eastAsia="Times New Roman" w:hAnsi="Tahoma" w:cs="Tahoma"/>
          <w:bCs/>
          <w:sz w:val="24"/>
          <w:szCs w:val="24"/>
          <w:lang w:val="ro-RO"/>
        </w:rPr>
      </w:pPr>
      <w:r w:rsidRPr="006B2701">
        <w:rPr>
          <w:rFonts w:ascii="Tahoma" w:hAnsi="Tahoma" w:cs="Tahoma"/>
          <w:bCs/>
          <w:sz w:val="24"/>
          <w:szCs w:val="24"/>
          <w:lang w:val="ro-RO"/>
        </w:rPr>
        <w:t xml:space="preserve">Pentru a asigura sumele necesare finanțării și implementării măsurilor fiscal-bugetare care au fost întreprinse după aprobarea Legii bugetului de stat pe anul </w:t>
      </w:r>
      <w:r w:rsidR="00110C67" w:rsidRPr="006B2701">
        <w:rPr>
          <w:rFonts w:ascii="Tahoma" w:hAnsi="Tahoma" w:cs="Tahoma"/>
          <w:bCs/>
          <w:sz w:val="24"/>
          <w:szCs w:val="24"/>
          <w:lang w:val="ro-RO"/>
        </w:rPr>
        <w:t>202</w:t>
      </w:r>
      <w:r w:rsidR="004160D8" w:rsidRPr="006B2701">
        <w:rPr>
          <w:rFonts w:ascii="Tahoma" w:hAnsi="Tahoma" w:cs="Tahoma"/>
          <w:bCs/>
          <w:sz w:val="24"/>
          <w:szCs w:val="24"/>
          <w:lang w:val="ro-RO"/>
        </w:rPr>
        <w:t>2</w:t>
      </w:r>
      <w:r w:rsidR="00110C67" w:rsidRPr="006B2701">
        <w:rPr>
          <w:rFonts w:ascii="Tahoma" w:hAnsi="Tahoma" w:cs="Tahoma"/>
          <w:bCs/>
          <w:sz w:val="24"/>
          <w:szCs w:val="24"/>
          <w:lang w:val="ro-RO"/>
        </w:rPr>
        <w:t xml:space="preserve"> </w:t>
      </w:r>
      <w:r w:rsidRPr="006B2701">
        <w:rPr>
          <w:rFonts w:ascii="Tahoma" w:hAnsi="Tahoma" w:cs="Tahoma"/>
          <w:bCs/>
          <w:sz w:val="24"/>
          <w:szCs w:val="24"/>
          <w:lang w:val="ro-RO"/>
        </w:rPr>
        <w:t xml:space="preserve">a fost necesară derogarea </w:t>
      </w:r>
      <w:r w:rsidRPr="006B2701">
        <w:rPr>
          <w:rFonts w:ascii="Tahoma" w:hAnsi="Tahoma" w:cs="Tahoma"/>
          <w:sz w:val="24"/>
          <w:szCs w:val="24"/>
          <w:lang w:val="ro-RO"/>
        </w:rPr>
        <w:t xml:space="preserve">de la prevederile art.12, </w:t>
      </w:r>
      <w:r w:rsidR="00806CE4" w:rsidRPr="006B2701">
        <w:rPr>
          <w:rFonts w:ascii="Tahoma" w:hAnsi="Tahoma" w:cs="Tahoma"/>
          <w:sz w:val="24"/>
          <w:szCs w:val="24"/>
          <w:lang w:val="ro-RO"/>
        </w:rPr>
        <w:t>alin.(1)</w:t>
      </w:r>
      <w:r w:rsidR="00BF77B2" w:rsidRPr="006B2701">
        <w:rPr>
          <w:rFonts w:ascii="Tahoma" w:hAnsi="Tahoma" w:cs="Tahoma"/>
          <w:sz w:val="24"/>
          <w:szCs w:val="24"/>
          <w:lang w:val="ro-RO"/>
        </w:rPr>
        <w:t xml:space="preserve"> </w:t>
      </w:r>
      <w:r w:rsidR="00806CE4" w:rsidRPr="006B2701">
        <w:rPr>
          <w:rFonts w:ascii="Tahoma" w:hAnsi="Tahoma" w:cs="Tahoma"/>
          <w:sz w:val="24"/>
          <w:szCs w:val="24"/>
          <w:lang w:val="ro-RO"/>
        </w:rPr>
        <w:t xml:space="preserve">lit. </w:t>
      </w:r>
      <w:r w:rsidR="00110C67" w:rsidRPr="006B2701">
        <w:rPr>
          <w:rFonts w:ascii="Tahoma" w:hAnsi="Tahoma" w:cs="Tahoma"/>
          <w:sz w:val="24"/>
          <w:szCs w:val="24"/>
          <w:lang w:val="ro-RO"/>
        </w:rPr>
        <w:t>b)</w:t>
      </w:r>
      <w:r w:rsidR="00460F24" w:rsidRPr="006B2701">
        <w:rPr>
          <w:rFonts w:ascii="Tahoma" w:hAnsi="Tahoma" w:cs="Tahoma"/>
          <w:sz w:val="24"/>
          <w:szCs w:val="24"/>
          <w:lang w:val="ro-RO"/>
        </w:rPr>
        <w:t xml:space="preserve"> </w:t>
      </w:r>
      <w:r w:rsidR="00110C67" w:rsidRPr="006B2701">
        <w:rPr>
          <w:rFonts w:ascii="Tahoma" w:hAnsi="Tahoma" w:cs="Tahoma"/>
          <w:sz w:val="24"/>
          <w:szCs w:val="24"/>
          <w:lang w:val="ro-RO"/>
        </w:rPr>
        <w:t>și c</w:t>
      </w:r>
      <w:r w:rsidR="00806CE4" w:rsidRPr="006B2701">
        <w:rPr>
          <w:rFonts w:ascii="Tahoma" w:hAnsi="Tahoma" w:cs="Tahoma"/>
          <w:sz w:val="24"/>
          <w:szCs w:val="24"/>
          <w:lang w:val="ro-RO"/>
        </w:rPr>
        <w:t>)</w:t>
      </w:r>
      <w:r w:rsidRPr="006B2701">
        <w:rPr>
          <w:rFonts w:ascii="Tahoma" w:hAnsi="Tahoma" w:cs="Tahoma"/>
          <w:sz w:val="24"/>
          <w:szCs w:val="24"/>
          <w:lang w:val="ro-RO"/>
        </w:rPr>
        <w:t>,</w:t>
      </w:r>
      <w:r w:rsidR="00DF1053" w:rsidRPr="006B2701">
        <w:rPr>
          <w:rFonts w:ascii="Tahoma" w:hAnsi="Tahoma" w:cs="Tahoma"/>
          <w:iCs/>
          <w:color w:val="008000"/>
          <w:sz w:val="24"/>
          <w:szCs w:val="24"/>
          <w:lang w:val="ro-RO" w:eastAsia="ro-RO"/>
        </w:rPr>
        <w:t xml:space="preserve"> </w:t>
      </w:r>
      <w:r w:rsidR="00DF1053" w:rsidRPr="006B2701">
        <w:rPr>
          <w:rFonts w:ascii="Tahoma" w:hAnsi="Tahoma" w:cs="Tahoma"/>
          <w:iCs/>
          <w:sz w:val="24"/>
          <w:szCs w:val="24"/>
          <w:lang w:val="ro-RO"/>
        </w:rPr>
        <w:t>art. 17 alin. (2),</w:t>
      </w:r>
      <w:r w:rsidRPr="006B2701">
        <w:rPr>
          <w:rFonts w:ascii="Tahoma" w:hAnsi="Tahoma" w:cs="Tahoma"/>
          <w:sz w:val="24"/>
          <w:szCs w:val="24"/>
          <w:lang w:val="ro-RO"/>
        </w:rPr>
        <w:t xml:space="preserve"> art.24 și art.26 </w:t>
      </w:r>
      <w:r w:rsidR="00806CE4" w:rsidRPr="006B2701">
        <w:rPr>
          <w:rFonts w:ascii="Tahoma" w:hAnsi="Tahoma" w:cs="Tahoma"/>
          <w:sz w:val="24"/>
          <w:szCs w:val="24"/>
          <w:lang w:val="ro-RO"/>
        </w:rPr>
        <w:t xml:space="preserve">alin.(4) și (5) </w:t>
      </w:r>
      <w:r w:rsidRPr="006B2701">
        <w:rPr>
          <w:rFonts w:ascii="Tahoma" w:hAnsi="Tahoma" w:cs="Tahoma"/>
          <w:sz w:val="24"/>
          <w:szCs w:val="24"/>
          <w:lang w:val="ro-RO"/>
        </w:rPr>
        <w:t xml:space="preserve">din Legea responsabilității fiscal-bugetare nr.69/2010, republicată, cu modificările și completările ulterioare </w:t>
      </w:r>
      <w:r w:rsidR="00273984" w:rsidRPr="006B2701">
        <w:rPr>
          <w:rFonts w:ascii="Tahoma" w:hAnsi="Tahoma" w:cs="Tahoma"/>
          <w:sz w:val="24"/>
          <w:szCs w:val="24"/>
          <w:lang w:val="ro-RO"/>
        </w:rPr>
        <w:t>și ale art.3</w:t>
      </w:r>
      <w:r w:rsidR="00460F24" w:rsidRPr="006B2701">
        <w:rPr>
          <w:rFonts w:ascii="Tahoma" w:hAnsi="Tahoma" w:cs="Tahoma"/>
          <w:sz w:val="24"/>
          <w:szCs w:val="24"/>
          <w:lang w:val="ro-RO"/>
        </w:rPr>
        <w:t>,</w:t>
      </w:r>
      <w:r w:rsidR="00273984" w:rsidRPr="006B2701">
        <w:rPr>
          <w:rFonts w:ascii="Tahoma" w:hAnsi="Tahoma" w:cs="Tahoma"/>
          <w:sz w:val="24"/>
          <w:szCs w:val="24"/>
          <w:lang w:val="ro-RO"/>
        </w:rPr>
        <w:t xml:space="preserve"> alin.</w:t>
      </w:r>
      <w:r w:rsidR="00460F24" w:rsidRPr="006B2701">
        <w:rPr>
          <w:rFonts w:ascii="Tahoma" w:hAnsi="Tahoma" w:cs="Tahoma"/>
          <w:sz w:val="24"/>
          <w:szCs w:val="24"/>
          <w:lang w:val="ro-RO"/>
        </w:rPr>
        <w:t xml:space="preserve"> </w:t>
      </w:r>
      <w:r w:rsidR="00273984" w:rsidRPr="006B2701">
        <w:rPr>
          <w:rFonts w:ascii="Tahoma" w:hAnsi="Tahoma" w:cs="Tahoma"/>
          <w:sz w:val="24"/>
          <w:szCs w:val="24"/>
          <w:lang w:val="ro-RO"/>
        </w:rPr>
        <w:t>(2), (5), (6) și (7) din Legea pentru aprobarea plafoanelor unor indicatori specificați în cadrul fiscal-bugetar pe anul 202</w:t>
      </w:r>
      <w:r w:rsidR="004160D8" w:rsidRPr="006B2701">
        <w:rPr>
          <w:rFonts w:ascii="Tahoma" w:hAnsi="Tahoma" w:cs="Tahoma"/>
          <w:sz w:val="24"/>
          <w:szCs w:val="24"/>
          <w:lang w:val="ro-RO"/>
        </w:rPr>
        <w:t>2</w:t>
      </w:r>
      <w:r w:rsidR="00273984" w:rsidRPr="006B2701">
        <w:rPr>
          <w:rFonts w:ascii="Tahoma" w:hAnsi="Tahoma" w:cs="Tahoma"/>
          <w:sz w:val="24"/>
          <w:szCs w:val="24"/>
          <w:lang w:val="ro-RO"/>
        </w:rPr>
        <w:t xml:space="preserve"> nr.</w:t>
      </w:r>
      <w:r w:rsidR="004160D8" w:rsidRPr="006B2701">
        <w:rPr>
          <w:rFonts w:ascii="Tahoma" w:hAnsi="Tahoma" w:cs="Tahoma"/>
          <w:sz w:val="24"/>
          <w:szCs w:val="24"/>
          <w:lang w:val="ro-RO"/>
        </w:rPr>
        <w:t>312</w:t>
      </w:r>
      <w:r w:rsidR="00273984" w:rsidRPr="006B2701">
        <w:rPr>
          <w:rFonts w:ascii="Tahoma" w:hAnsi="Tahoma" w:cs="Tahoma"/>
          <w:sz w:val="24"/>
          <w:szCs w:val="24"/>
          <w:lang w:val="ro-RO"/>
        </w:rPr>
        <w:t>/202</w:t>
      </w:r>
      <w:r w:rsidR="00CA34CA" w:rsidRPr="006B2701">
        <w:rPr>
          <w:rFonts w:ascii="Tahoma" w:hAnsi="Tahoma" w:cs="Tahoma"/>
          <w:sz w:val="24"/>
          <w:szCs w:val="24"/>
          <w:lang w:val="ro-RO"/>
        </w:rPr>
        <w:t>1</w:t>
      </w:r>
      <w:r w:rsidR="00551895" w:rsidRPr="006B2701">
        <w:rPr>
          <w:rFonts w:ascii="Tahoma" w:eastAsia="Times New Roman" w:hAnsi="Tahoma" w:cs="Tahoma"/>
          <w:bCs/>
          <w:sz w:val="24"/>
          <w:szCs w:val="24"/>
          <w:lang w:val="ro-RO"/>
        </w:rPr>
        <w:t>, astfel</w:t>
      </w:r>
      <w:r w:rsidR="00345C8E" w:rsidRPr="006B2701">
        <w:rPr>
          <w:rFonts w:ascii="Tahoma" w:eastAsiaTheme="minorHAnsi" w:hAnsi="Tahoma" w:cs="Tahoma"/>
          <w:bCs/>
          <w:sz w:val="24"/>
          <w:szCs w:val="24"/>
          <w:lang w:val="ro-RO"/>
        </w:rPr>
        <w:t xml:space="preserve"> având loc următoarele modificări</w:t>
      </w:r>
      <w:r w:rsidR="00345C8E" w:rsidRPr="006B2701">
        <w:rPr>
          <w:rFonts w:ascii="Tahoma" w:eastAsia="Times New Roman" w:hAnsi="Tahoma" w:cs="Tahoma"/>
          <w:bCs/>
          <w:sz w:val="24"/>
          <w:szCs w:val="24"/>
          <w:lang w:val="ro-RO"/>
        </w:rPr>
        <w:t>:</w:t>
      </w:r>
    </w:p>
    <w:p w14:paraId="460D632C" w14:textId="76A26A37" w:rsidR="002C4332" w:rsidRPr="006B2701" w:rsidRDefault="002C4332" w:rsidP="002C4332">
      <w:pPr>
        <w:numPr>
          <w:ilvl w:val="0"/>
          <w:numId w:val="31"/>
        </w:numPr>
        <w:spacing w:before="120" w:line="276" w:lineRule="auto"/>
        <w:ind w:left="851" w:hanging="284"/>
        <w:jc w:val="both"/>
        <w:outlineLvl w:val="0"/>
        <w:rPr>
          <w:rFonts w:ascii="Tahoma" w:hAnsi="Tahoma" w:cs="Tahoma"/>
          <w:bCs/>
          <w:sz w:val="24"/>
          <w:szCs w:val="24"/>
          <w:lang w:val="ro-RO"/>
        </w:rPr>
      </w:pPr>
      <w:r w:rsidRPr="006B2701">
        <w:rPr>
          <w:rFonts w:ascii="Tahoma" w:hAnsi="Tahoma" w:cs="Tahoma"/>
          <w:bCs/>
          <w:sz w:val="24"/>
          <w:szCs w:val="24"/>
          <w:lang w:val="ro-RO"/>
        </w:rPr>
        <w:t>pentru anul 2022 plafonul nominal al cheltuielilor totale, exclusiv asistența financiară din partea Uniunii Europene și a altor donatori, pentru bugetul general consolidat este de 491.765,6 milioane lei, pentru bugetul de stat este de 281.679,6 milioane lei, pentru bugetul general centralizat al unităților administrativ teritoriale este de 103.514,9 milioane lei, pentru bugetul Fondului național unic de asigurări sociale de sănătate este de 54.821,2 milioane lei, pentru bugetul instituțiilor/activităților finanțate integral și/sau parțial din venituri proprii este de 36.518,9 milioane lei</w:t>
      </w:r>
      <w:r w:rsidR="00471A2A" w:rsidRPr="006B2701">
        <w:rPr>
          <w:rFonts w:ascii="Tahoma" w:hAnsi="Tahoma" w:cs="Tahoma"/>
          <w:bCs/>
          <w:sz w:val="24"/>
          <w:szCs w:val="24"/>
          <w:lang w:val="ro-RO"/>
        </w:rPr>
        <w:t xml:space="preserve">, pentru bugetul asigurărilor sociale de stat este de 99.089,2 milioane lei, pentru bugetul asigurărilor pentru </w:t>
      </w:r>
      <w:r w:rsidR="00F21F8B" w:rsidRPr="006B2701">
        <w:rPr>
          <w:rFonts w:ascii="Tahoma" w:hAnsi="Tahoma" w:cs="Tahoma"/>
          <w:bCs/>
          <w:sz w:val="24"/>
          <w:szCs w:val="24"/>
          <w:lang w:val="ro-RO"/>
        </w:rPr>
        <w:t>șomaj</w:t>
      </w:r>
      <w:r w:rsidR="00471A2A" w:rsidRPr="006B2701">
        <w:rPr>
          <w:rFonts w:ascii="Tahoma" w:hAnsi="Tahoma" w:cs="Tahoma"/>
          <w:bCs/>
          <w:sz w:val="24"/>
          <w:szCs w:val="24"/>
          <w:lang w:val="ro-RO"/>
        </w:rPr>
        <w:t xml:space="preserve"> este de 1.941,1 milioane lei</w:t>
      </w:r>
      <w:r w:rsidRPr="006B2701">
        <w:rPr>
          <w:rFonts w:ascii="Tahoma" w:hAnsi="Tahoma" w:cs="Tahoma"/>
          <w:bCs/>
          <w:sz w:val="24"/>
          <w:szCs w:val="24"/>
          <w:lang w:val="ro-RO"/>
        </w:rPr>
        <w:t xml:space="preserve"> și pentru alte bugete componente ale bugetului general consolidat este de 11.485,0 milioane lei;</w:t>
      </w:r>
    </w:p>
    <w:p w14:paraId="0AA27B56" w14:textId="77777777" w:rsidR="002C4332" w:rsidRPr="006B2701" w:rsidRDefault="002C4332" w:rsidP="002C4332">
      <w:pPr>
        <w:numPr>
          <w:ilvl w:val="0"/>
          <w:numId w:val="31"/>
        </w:numPr>
        <w:spacing w:before="120" w:line="276" w:lineRule="auto"/>
        <w:ind w:left="851" w:hanging="284"/>
        <w:jc w:val="both"/>
        <w:outlineLvl w:val="0"/>
        <w:rPr>
          <w:rFonts w:ascii="Tahoma" w:hAnsi="Tahoma" w:cs="Tahoma"/>
          <w:bCs/>
          <w:sz w:val="24"/>
          <w:szCs w:val="24"/>
          <w:lang w:val="ro-RO"/>
        </w:rPr>
      </w:pPr>
      <w:r w:rsidRPr="006B2701">
        <w:rPr>
          <w:rFonts w:ascii="Tahoma" w:hAnsi="Tahoma" w:cs="Tahoma"/>
          <w:bCs/>
          <w:sz w:val="24"/>
          <w:szCs w:val="24"/>
          <w:lang w:val="ro-RO"/>
        </w:rPr>
        <w:t>plafonul nominal al soldului bugetului general consolidat este de -80.154,0          milioane lei și al soldului bugetului de stat este de -90.738,4 milioane lei;</w:t>
      </w:r>
    </w:p>
    <w:p w14:paraId="16623862" w14:textId="2C6220CA" w:rsidR="002C4332" w:rsidRPr="006B2701" w:rsidRDefault="002C4332" w:rsidP="00607304">
      <w:pPr>
        <w:numPr>
          <w:ilvl w:val="0"/>
          <w:numId w:val="31"/>
        </w:numPr>
        <w:spacing w:before="120" w:line="276" w:lineRule="auto"/>
        <w:ind w:left="851" w:hanging="284"/>
        <w:jc w:val="both"/>
        <w:outlineLvl w:val="0"/>
        <w:rPr>
          <w:rFonts w:ascii="Tahoma" w:hAnsi="Tahoma" w:cs="Tahoma"/>
          <w:bCs/>
          <w:sz w:val="24"/>
          <w:szCs w:val="24"/>
          <w:lang w:val="ro-RO"/>
        </w:rPr>
      </w:pPr>
      <w:r w:rsidRPr="006B2701">
        <w:rPr>
          <w:rFonts w:ascii="Tahoma" w:hAnsi="Tahoma" w:cs="Tahoma"/>
          <w:bCs/>
          <w:sz w:val="24"/>
          <w:szCs w:val="24"/>
          <w:lang w:val="ro-RO"/>
        </w:rPr>
        <w:t xml:space="preserve">pentru anul 2022, plafonul nominal al cheltuielilor de personal din bugetul general consolidat este de 118.156,9 milioane lei, pentru bugetul de stat este de 59.314,2 milioane lei, pentru bugetul general centralizat al unităților administrativ teritoriale </w:t>
      </w:r>
      <w:r w:rsidRPr="006B2701">
        <w:rPr>
          <w:rFonts w:ascii="Tahoma" w:hAnsi="Tahoma" w:cs="Tahoma"/>
          <w:bCs/>
          <w:sz w:val="24"/>
          <w:szCs w:val="24"/>
          <w:lang w:val="ro-RO"/>
        </w:rPr>
        <w:lastRenderedPageBreak/>
        <w:t>este de 37.121,5 milioane lei, pentru bugetul Fondului național unic de asigurări sociale de sănătate este de 309,9 milioane lei, pentru bugetul instituțiilor/activităților finanțate integral și/sau parțial din venituri proprii este de 20.066,2 milioane lei</w:t>
      </w:r>
      <w:r w:rsidR="00471A2A" w:rsidRPr="006B2701">
        <w:rPr>
          <w:rFonts w:ascii="Tahoma" w:hAnsi="Tahoma" w:cs="Tahoma"/>
          <w:bCs/>
          <w:sz w:val="24"/>
          <w:szCs w:val="24"/>
          <w:lang w:val="ro-RO"/>
        </w:rPr>
        <w:t>,</w:t>
      </w:r>
      <w:r w:rsidRPr="006B2701">
        <w:rPr>
          <w:rFonts w:ascii="Tahoma" w:hAnsi="Tahoma" w:cs="Tahoma"/>
          <w:bCs/>
          <w:sz w:val="24"/>
          <w:szCs w:val="24"/>
          <w:lang w:val="ro-RO"/>
        </w:rPr>
        <w:t xml:space="preserve"> </w:t>
      </w:r>
      <w:r w:rsidR="00471A2A" w:rsidRPr="006B2701">
        <w:rPr>
          <w:rFonts w:ascii="Tahoma" w:hAnsi="Tahoma" w:cs="Tahoma"/>
          <w:bCs/>
          <w:sz w:val="24"/>
          <w:szCs w:val="24"/>
          <w:lang w:val="ro-RO"/>
        </w:rPr>
        <w:t xml:space="preserve">pentru bugetul asigurărilor sociale de stat este de 426,4 milioane lei, pentru bugetul asigurărilor pentru </w:t>
      </w:r>
      <w:r w:rsidR="00F21F8B" w:rsidRPr="006B2701">
        <w:rPr>
          <w:rFonts w:ascii="Tahoma" w:hAnsi="Tahoma" w:cs="Tahoma"/>
          <w:bCs/>
          <w:sz w:val="24"/>
          <w:szCs w:val="24"/>
          <w:lang w:val="ro-RO"/>
        </w:rPr>
        <w:t>șomaj</w:t>
      </w:r>
      <w:r w:rsidR="00471A2A" w:rsidRPr="006B2701">
        <w:rPr>
          <w:rFonts w:ascii="Tahoma" w:hAnsi="Tahoma" w:cs="Tahoma"/>
          <w:bCs/>
          <w:sz w:val="24"/>
          <w:szCs w:val="24"/>
          <w:lang w:val="ro-RO"/>
        </w:rPr>
        <w:t xml:space="preserve"> este de 155,2 milioane lei </w:t>
      </w:r>
      <w:r w:rsidRPr="006B2701">
        <w:rPr>
          <w:rFonts w:ascii="Tahoma" w:hAnsi="Tahoma" w:cs="Tahoma"/>
          <w:bCs/>
          <w:sz w:val="24"/>
          <w:szCs w:val="24"/>
          <w:lang w:val="ro-RO"/>
        </w:rPr>
        <w:t>și pentru alte bugete componente ale bugetului general consolidat este de 763,5 milioane lei;</w:t>
      </w:r>
    </w:p>
    <w:p w14:paraId="5119CC89" w14:textId="4EA559E4" w:rsidR="002C4332" w:rsidRPr="006B2701" w:rsidRDefault="002C4332" w:rsidP="002C4332">
      <w:pPr>
        <w:numPr>
          <w:ilvl w:val="0"/>
          <w:numId w:val="31"/>
        </w:numPr>
        <w:spacing w:before="120" w:line="276" w:lineRule="auto"/>
        <w:ind w:left="851" w:hanging="284"/>
        <w:jc w:val="both"/>
        <w:outlineLvl w:val="0"/>
        <w:rPr>
          <w:rFonts w:ascii="Tahoma" w:hAnsi="Tahoma" w:cs="Tahoma"/>
          <w:bCs/>
          <w:sz w:val="24"/>
          <w:szCs w:val="24"/>
          <w:lang w:val="ro-RO"/>
        </w:rPr>
      </w:pPr>
      <w:r w:rsidRPr="006B2701">
        <w:rPr>
          <w:rFonts w:ascii="Tahoma" w:hAnsi="Tahoma" w:cs="Tahoma"/>
          <w:bCs/>
          <w:sz w:val="24"/>
          <w:szCs w:val="24"/>
          <w:lang w:val="ro-RO"/>
        </w:rPr>
        <w:t>plafonul privind emiterea de garanții de către Guvern, prin Ministerul Finanțelor, și de către unitățile/subdiviziunile administrativ-teritoriale, pentru anul 2022, este de 40.000 milioane lei;</w:t>
      </w:r>
    </w:p>
    <w:p w14:paraId="11C6C8DF" w14:textId="718DB152" w:rsidR="00471A2A" w:rsidRPr="006B2701" w:rsidRDefault="00471A2A" w:rsidP="00471A2A">
      <w:pPr>
        <w:numPr>
          <w:ilvl w:val="0"/>
          <w:numId w:val="31"/>
        </w:numPr>
        <w:spacing w:before="120" w:line="276" w:lineRule="auto"/>
        <w:ind w:left="851" w:hanging="284"/>
        <w:jc w:val="both"/>
        <w:outlineLvl w:val="0"/>
        <w:rPr>
          <w:rFonts w:ascii="Tahoma" w:hAnsi="Tahoma" w:cs="Tahoma"/>
          <w:bCs/>
          <w:sz w:val="24"/>
          <w:szCs w:val="24"/>
          <w:lang w:val="ro-RO"/>
        </w:rPr>
      </w:pPr>
      <w:r w:rsidRPr="006B2701">
        <w:rPr>
          <w:rFonts w:ascii="Tahoma" w:hAnsi="Tahoma" w:cs="Tahoma"/>
          <w:bCs/>
          <w:sz w:val="24"/>
          <w:szCs w:val="24"/>
          <w:lang w:val="ro-RO"/>
        </w:rPr>
        <w:t xml:space="preserve">pentru anul 2022, plafonul nominal al soldului bugetului asigurărilor sociale de stat este de 40,2 milioane lei, iar al bugetului asigurărilor pentru </w:t>
      </w:r>
      <w:r w:rsidR="00374FC1" w:rsidRPr="006B2701">
        <w:rPr>
          <w:rFonts w:ascii="Tahoma" w:hAnsi="Tahoma" w:cs="Tahoma"/>
          <w:bCs/>
          <w:sz w:val="24"/>
          <w:szCs w:val="24"/>
          <w:lang w:val="ro-RO"/>
        </w:rPr>
        <w:t>șomaj</w:t>
      </w:r>
      <w:r w:rsidRPr="006B2701">
        <w:rPr>
          <w:rFonts w:ascii="Tahoma" w:hAnsi="Tahoma" w:cs="Tahoma"/>
          <w:bCs/>
          <w:sz w:val="24"/>
          <w:szCs w:val="24"/>
          <w:lang w:val="ro-RO"/>
        </w:rPr>
        <w:t xml:space="preserve"> este de 1.593 milioane lei;</w:t>
      </w:r>
    </w:p>
    <w:p w14:paraId="65C881CD" w14:textId="77777777" w:rsidR="002C4332" w:rsidRPr="006B2701" w:rsidRDefault="002C4332" w:rsidP="00D566DB">
      <w:pPr>
        <w:numPr>
          <w:ilvl w:val="0"/>
          <w:numId w:val="31"/>
        </w:numPr>
        <w:spacing w:before="120" w:after="240" w:line="276" w:lineRule="auto"/>
        <w:ind w:left="851" w:hanging="284"/>
        <w:jc w:val="both"/>
        <w:outlineLvl w:val="0"/>
        <w:rPr>
          <w:rFonts w:ascii="Tahoma" w:hAnsi="Tahoma" w:cs="Tahoma"/>
          <w:bCs/>
          <w:sz w:val="24"/>
          <w:szCs w:val="24"/>
          <w:lang w:val="ro-RO"/>
        </w:rPr>
      </w:pPr>
      <w:r w:rsidRPr="006B2701">
        <w:rPr>
          <w:rFonts w:ascii="Tahoma" w:hAnsi="Tahoma" w:cs="Tahoma"/>
          <w:bCs/>
          <w:sz w:val="24"/>
          <w:szCs w:val="24"/>
          <w:lang w:val="ro-RO"/>
        </w:rPr>
        <w:t>în anul 2022 plafonul privind finanțările rambursabile, care pot fi contractate de către unitățile/subdiviziunile administrativ-teritoriale este de 1.600 milioane lei, iar plafonul privind tragerile din finanțările rambursabile contractate sau care urmează a fi contractate de către unitățile/subdiviziunile administrativ-teritoriale este de 2.500 milioane lei. Valoarea aferentă finanțărilor rambursabile, care poate fi autorizată anual pentru o unitate/subdiviziune administrativ-teritorială, este de maximum 50 milioane lei, în cazul comunelor, 100 milioane lei, în cazul orașelor și 150 milioane lei, în cazul municipiilor, sectoarelor municipiului București și județelor.</w:t>
      </w:r>
    </w:p>
    <w:p w14:paraId="1C5E2B32" w14:textId="6ED64729" w:rsidR="00546D34" w:rsidRPr="006B2701" w:rsidRDefault="00546D34" w:rsidP="00460F24">
      <w:pPr>
        <w:spacing w:after="160" w:line="276" w:lineRule="auto"/>
        <w:jc w:val="both"/>
        <w:rPr>
          <w:rFonts w:ascii="Tahoma" w:eastAsiaTheme="minorHAnsi" w:hAnsi="Tahoma" w:cs="Tahoma"/>
          <w:sz w:val="24"/>
          <w:szCs w:val="24"/>
          <w:lang w:val="ro-RO"/>
        </w:rPr>
      </w:pPr>
      <w:r w:rsidRPr="006B2701">
        <w:rPr>
          <w:rFonts w:ascii="Tahoma" w:eastAsiaTheme="minorHAnsi" w:hAnsi="Tahoma" w:cs="Tahoma"/>
          <w:b/>
          <w:sz w:val="24"/>
          <w:szCs w:val="24"/>
          <w:lang w:val="ro-RO"/>
        </w:rPr>
        <w:t xml:space="preserve">A doua rectificare bugetară </w:t>
      </w:r>
      <w:r w:rsidRPr="006B2701">
        <w:rPr>
          <w:rFonts w:ascii="Tahoma" w:eastAsiaTheme="minorHAnsi" w:hAnsi="Tahoma" w:cs="Tahoma"/>
          <w:sz w:val="24"/>
          <w:szCs w:val="24"/>
          <w:lang w:val="ro-RO"/>
        </w:rPr>
        <w:t xml:space="preserve">pe anul </w:t>
      </w:r>
      <w:r w:rsidR="00D34D77" w:rsidRPr="006B2701">
        <w:rPr>
          <w:rFonts w:ascii="Tahoma" w:eastAsiaTheme="minorHAnsi" w:hAnsi="Tahoma" w:cs="Tahoma"/>
          <w:sz w:val="24"/>
          <w:szCs w:val="24"/>
          <w:lang w:val="ro-RO"/>
        </w:rPr>
        <w:t>202</w:t>
      </w:r>
      <w:r w:rsidR="00460F24" w:rsidRPr="006B2701">
        <w:rPr>
          <w:rFonts w:ascii="Tahoma" w:eastAsiaTheme="minorHAnsi" w:hAnsi="Tahoma" w:cs="Tahoma"/>
          <w:sz w:val="24"/>
          <w:szCs w:val="24"/>
          <w:lang w:val="ro-RO"/>
        </w:rPr>
        <w:t>2</w:t>
      </w:r>
      <w:r w:rsidR="00D34D77" w:rsidRPr="006B2701">
        <w:rPr>
          <w:rFonts w:ascii="Tahoma" w:eastAsiaTheme="minorHAnsi" w:hAnsi="Tahoma" w:cs="Tahoma"/>
          <w:sz w:val="24"/>
          <w:szCs w:val="24"/>
          <w:lang w:val="ro-RO"/>
        </w:rPr>
        <w:t xml:space="preserve"> </w:t>
      </w:r>
      <w:r w:rsidR="00437FB8" w:rsidRPr="006B2701">
        <w:rPr>
          <w:rFonts w:ascii="Tahoma" w:eastAsiaTheme="minorHAnsi" w:hAnsi="Tahoma" w:cs="Tahoma"/>
          <w:sz w:val="24"/>
          <w:szCs w:val="24"/>
          <w:lang w:val="ro-RO"/>
        </w:rPr>
        <w:t xml:space="preserve">aprobată </w:t>
      </w:r>
      <w:r w:rsidRPr="006B2701">
        <w:rPr>
          <w:rFonts w:ascii="Tahoma" w:eastAsiaTheme="minorHAnsi" w:hAnsi="Tahoma" w:cs="Tahoma"/>
          <w:sz w:val="24"/>
          <w:szCs w:val="24"/>
          <w:lang w:val="ro-RO"/>
        </w:rPr>
        <w:t>prin Ordonanța de urgență a Guvernului nr.</w:t>
      </w:r>
      <w:r w:rsidR="00D34D77" w:rsidRPr="006B2701">
        <w:rPr>
          <w:rFonts w:ascii="Tahoma" w:eastAsiaTheme="minorHAnsi" w:hAnsi="Tahoma" w:cs="Tahoma"/>
          <w:sz w:val="24"/>
          <w:szCs w:val="24"/>
          <w:lang w:val="ro-RO"/>
        </w:rPr>
        <w:t>1</w:t>
      </w:r>
      <w:r w:rsidR="00460F24" w:rsidRPr="006B2701">
        <w:rPr>
          <w:rFonts w:ascii="Tahoma" w:eastAsiaTheme="minorHAnsi" w:hAnsi="Tahoma" w:cs="Tahoma"/>
          <w:sz w:val="24"/>
          <w:szCs w:val="24"/>
          <w:lang w:val="ro-RO"/>
        </w:rPr>
        <w:t>60</w:t>
      </w:r>
      <w:r w:rsidRPr="006B2701">
        <w:rPr>
          <w:rFonts w:ascii="Tahoma" w:eastAsiaTheme="minorHAnsi" w:hAnsi="Tahoma" w:cs="Tahoma"/>
          <w:sz w:val="24"/>
          <w:szCs w:val="24"/>
          <w:lang w:val="ro-RO"/>
        </w:rPr>
        <w:t>/</w:t>
      </w:r>
      <w:r w:rsidR="00D34D77" w:rsidRPr="006B2701">
        <w:rPr>
          <w:rFonts w:ascii="Tahoma" w:eastAsiaTheme="minorHAnsi" w:hAnsi="Tahoma" w:cs="Tahoma"/>
          <w:sz w:val="24"/>
          <w:szCs w:val="24"/>
          <w:lang w:val="ro-RO"/>
        </w:rPr>
        <w:t>202</w:t>
      </w:r>
      <w:r w:rsidR="00460F24" w:rsidRPr="006B2701">
        <w:rPr>
          <w:rFonts w:ascii="Tahoma" w:eastAsiaTheme="minorHAnsi" w:hAnsi="Tahoma" w:cs="Tahoma"/>
          <w:sz w:val="24"/>
          <w:szCs w:val="24"/>
          <w:lang w:val="ro-RO"/>
        </w:rPr>
        <w:t>2</w:t>
      </w:r>
      <w:r w:rsidR="00430892" w:rsidRPr="006B2701">
        <w:rPr>
          <w:rFonts w:ascii="Tahoma" w:eastAsiaTheme="minorHAnsi" w:hAnsi="Tahoma" w:cs="Tahoma"/>
          <w:sz w:val="24"/>
          <w:szCs w:val="24"/>
          <w:lang w:val="ro-RO"/>
        </w:rPr>
        <w:t xml:space="preserve">, </w:t>
      </w:r>
      <w:r w:rsidR="00460F24" w:rsidRPr="006B2701">
        <w:rPr>
          <w:rFonts w:ascii="Tahoma" w:eastAsiaTheme="minorHAnsi" w:hAnsi="Tahoma" w:cs="Tahoma"/>
          <w:sz w:val="24"/>
          <w:szCs w:val="24"/>
          <w:lang w:val="ro-RO"/>
        </w:rPr>
        <w:t xml:space="preserve">cu privire la rectificarea bugetului de stat pe anul 2022 </w:t>
      </w:r>
      <w:r w:rsidR="00430892" w:rsidRPr="006B2701">
        <w:rPr>
          <w:rFonts w:ascii="Tahoma" w:eastAsiaTheme="minorHAnsi" w:hAnsi="Tahoma" w:cs="Tahoma"/>
          <w:sz w:val="24"/>
          <w:szCs w:val="24"/>
          <w:lang w:val="ro-RO"/>
        </w:rPr>
        <w:t>și respectiv Ordonanța de urgență a Guvernului nr.</w:t>
      </w:r>
      <w:r w:rsidR="00460F24" w:rsidRPr="006B2701">
        <w:rPr>
          <w:rFonts w:ascii="Tahoma" w:eastAsiaTheme="minorHAnsi" w:hAnsi="Tahoma" w:cs="Tahoma"/>
          <w:sz w:val="24"/>
          <w:szCs w:val="24"/>
          <w:lang w:val="ro-RO"/>
        </w:rPr>
        <w:t>161</w:t>
      </w:r>
      <w:r w:rsidR="00430892" w:rsidRPr="006B2701">
        <w:rPr>
          <w:rFonts w:ascii="Tahoma" w:eastAsiaTheme="minorHAnsi" w:hAnsi="Tahoma" w:cs="Tahoma"/>
          <w:sz w:val="24"/>
          <w:szCs w:val="24"/>
          <w:lang w:val="ro-RO"/>
        </w:rPr>
        <w:t>/</w:t>
      </w:r>
      <w:r w:rsidR="00D34D77" w:rsidRPr="006B2701">
        <w:rPr>
          <w:rFonts w:ascii="Tahoma" w:eastAsiaTheme="minorHAnsi" w:hAnsi="Tahoma" w:cs="Tahoma"/>
          <w:sz w:val="24"/>
          <w:szCs w:val="24"/>
          <w:lang w:val="ro-RO"/>
        </w:rPr>
        <w:t>202</w:t>
      </w:r>
      <w:r w:rsidR="00460F24" w:rsidRPr="006B2701">
        <w:rPr>
          <w:rFonts w:ascii="Tahoma" w:eastAsiaTheme="minorHAnsi" w:hAnsi="Tahoma" w:cs="Tahoma"/>
          <w:sz w:val="24"/>
          <w:szCs w:val="24"/>
          <w:lang w:val="ro-RO"/>
        </w:rPr>
        <w:t>2</w:t>
      </w:r>
      <w:r w:rsidR="00430892" w:rsidRPr="006B2701">
        <w:rPr>
          <w:rFonts w:ascii="Tahoma" w:hAnsi="Tahoma" w:cs="Tahoma"/>
          <w:sz w:val="24"/>
          <w:szCs w:val="24"/>
          <w:lang w:val="ro-RO"/>
        </w:rPr>
        <w:t xml:space="preserve">, </w:t>
      </w:r>
      <w:r w:rsidR="00430892" w:rsidRPr="006B2701">
        <w:rPr>
          <w:rFonts w:ascii="Tahoma" w:eastAsiaTheme="minorHAnsi" w:hAnsi="Tahoma" w:cs="Tahoma"/>
          <w:sz w:val="24"/>
          <w:szCs w:val="24"/>
          <w:lang w:val="ro-RO"/>
        </w:rPr>
        <w:t xml:space="preserve">pentru rectificarea bugetului asigurărilor sociale de stat pe anul </w:t>
      </w:r>
      <w:r w:rsidR="00D34D77" w:rsidRPr="006B2701">
        <w:rPr>
          <w:rFonts w:ascii="Tahoma" w:eastAsiaTheme="minorHAnsi" w:hAnsi="Tahoma" w:cs="Tahoma"/>
          <w:sz w:val="24"/>
          <w:szCs w:val="24"/>
          <w:lang w:val="ro-RO"/>
        </w:rPr>
        <w:t>202</w:t>
      </w:r>
      <w:r w:rsidR="00460F24" w:rsidRPr="006B2701">
        <w:rPr>
          <w:rFonts w:ascii="Tahoma" w:eastAsiaTheme="minorHAnsi" w:hAnsi="Tahoma" w:cs="Tahoma"/>
          <w:sz w:val="24"/>
          <w:szCs w:val="24"/>
          <w:lang w:val="ro-RO"/>
        </w:rPr>
        <w:t>2</w:t>
      </w:r>
      <w:r w:rsidR="00430892" w:rsidRPr="006B2701">
        <w:rPr>
          <w:rFonts w:ascii="Tahoma" w:eastAsiaTheme="minorHAnsi" w:hAnsi="Tahoma" w:cs="Tahoma"/>
          <w:sz w:val="24"/>
          <w:szCs w:val="24"/>
          <w:lang w:val="ro-RO"/>
        </w:rPr>
        <w:t>,</w:t>
      </w:r>
      <w:r w:rsidR="00E0203B" w:rsidRPr="006B2701">
        <w:rPr>
          <w:rFonts w:ascii="Tahoma" w:eastAsiaTheme="minorHAnsi" w:hAnsi="Tahoma" w:cs="Tahoma"/>
          <w:sz w:val="24"/>
          <w:szCs w:val="24"/>
          <w:lang w:val="ro-RO"/>
        </w:rPr>
        <w:t xml:space="preserve"> </w:t>
      </w:r>
      <w:r w:rsidRPr="006B2701">
        <w:rPr>
          <w:rFonts w:ascii="Tahoma" w:eastAsiaTheme="minorHAnsi" w:hAnsi="Tahoma" w:cs="Tahoma"/>
          <w:sz w:val="24"/>
          <w:szCs w:val="24"/>
          <w:lang w:val="ro-RO"/>
        </w:rPr>
        <w:t>a fost determinată de:</w:t>
      </w:r>
    </w:p>
    <w:p w14:paraId="74CE8F66" w14:textId="6BDD876C" w:rsidR="00B17F87" w:rsidRPr="006B2701" w:rsidRDefault="00373129" w:rsidP="00723A1C">
      <w:pPr>
        <w:pStyle w:val="ListParagraph"/>
        <w:numPr>
          <w:ilvl w:val="1"/>
          <w:numId w:val="38"/>
        </w:numPr>
        <w:spacing w:after="120" w:line="276" w:lineRule="auto"/>
        <w:ind w:left="851" w:hanging="284"/>
        <w:rPr>
          <w:rFonts w:ascii="Tahoma" w:eastAsiaTheme="minorEastAsia" w:hAnsi="Tahoma" w:cs="Tahoma"/>
          <w:color w:val="000000" w:themeColor="text1"/>
          <w:kern w:val="24"/>
          <w:sz w:val="24"/>
          <w:szCs w:val="24"/>
          <w:lang w:val="ro-RO"/>
        </w:rPr>
      </w:pPr>
      <w:r w:rsidRPr="006B2701">
        <w:rPr>
          <w:rFonts w:ascii="Tahoma" w:hAnsi="Tahoma" w:cs="Tahoma"/>
          <w:bCs/>
          <w:sz w:val="24"/>
          <w:szCs w:val="24"/>
          <w:lang w:val="ro-RO"/>
        </w:rPr>
        <w:t xml:space="preserve">Evoluția </w:t>
      </w:r>
      <w:r w:rsidRPr="006B2701">
        <w:rPr>
          <w:rFonts w:ascii="Tahoma" w:hAnsi="Tahoma" w:cs="Tahoma"/>
          <w:sz w:val="24"/>
          <w:szCs w:val="24"/>
          <w:lang w:val="ro-RO"/>
        </w:rPr>
        <w:t>principalilor indicatori macroeconomici pe anul 202</w:t>
      </w:r>
      <w:r w:rsidR="00723A1C" w:rsidRPr="006B2701">
        <w:rPr>
          <w:rFonts w:ascii="Tahoma" w:hAnsi="Tahoma" w:cs="Tahoma"/>
          <w:sz w:val="24"/>
          <w:szCs w:val="24"/>
          <w:lang w:val="ro-RO"/>
        </w:rPr>
        <w:t>2</w:t>
      </w:r>
      <w:r w:rsidR="00B17F87" w:rsidRPr="006B2701">
        <w:rPr>
          <w:rFonts w:ascii="Tahoma" w:hAnsi="Tahoma" w:cs="Tahoma"/>
          <w:sz w:val="24"/>
          <w:szCs w:val="24"/>
          <w:lang w:val="ro-RO"/>
        </w:rPr>
        <w:t>;</w:t>
      </w:r>
    </w:p>
    <w:p w14:paraId="1CDDA414" w14:textId="7C806A02" w:rsidR="00373129" w:rsidRPr="006B2701" w:rsidRDefault="00373129" w:rsidP="00723A1C">
      <w:pPr>
        <w:pStyle w:val="ListParagraph"/>
        <w:numPr>
          <w:ilvl w:val="1"/>
          <w:numId w:val="38"/>
        </w:numPr>
        <w:spacing w:after="120" w:line="276" w:lineRule="auto"/>
        <w:ind w:left="851" w:hanging="284"/>
        <w:rPr>
          <w:rFonts w:ascii="Tahoma" w:eastAsiaTheme="minorEastAsia" w:hAnsi="Tahoma" w:cs="Tahoma"/>
          <w:color w:val="000000" w:themeColor="text1"/>
          <w:kern w:val="24"/>
          <w:sz w:val="24"/>
          <w:szCs w:val="24"/>
          <w:lang w:val="ro-RO"/>
        </w:rPr>
      </w:pPr>
      <w:r w:rsidRPr="006B2701">
        <w:rPr>
          <w:rFonts w:ascii="Tahoma" w:eastAsiaTheme="minorEastAsia" w:hAnsi="Tahoma" w:cs="Tahoma"/>
          <w:color w:val="000000" w:themeColor="text1"/>
          <w:kern w:val="24"/>
          <w:sz w:val="24"/>
          <w:szCs w:val="24"/>
          <w:lang w:val="ro-RO"/>
        </w:rPr>
        <w:t xml:space="preserve">Analiza execuției bugetare pe primele </w:t>
      </w:r>
      <w:r w:rsidR="00723A1C" w:rsidRPr="006B2701">
        <w:rPr>
          <w:rFonts w:ascii="Tahoma" w:eastAsiaTheme="minorEastAsia" w:hAnsi="Tahoma" w:cs="Tahoma"/>
          <w:color w:val="000000" w:themeColor="text1"/>
          <w:kern w:val="24"/>
          <w:sz w:val="24"/>
          <w:szCs w:val="24"/>
          <w:lang w:val="ro-RO"/>
        </w:rPr>
        <w:t>nouă</w:t>
      </w:r>
      <w:r w:rsidRPr="006B2701">
        <w:rPr>
          <w:rFonts w:ascii="Tahoma" w:eastAsiaTheme="minorEastAsia" w:hAnsi="Tahoma" w:cs="Tahoma"/>
          <w:color w:val="000000" w:themeColor="text1"/>
          <w:kern w:val="24"/>
          <w:sz w:val="24"/>
          <w:szCs w:val="24"/>
          <w:lang w:val="ro-RO"/>
        </w:rPr>
        <w:t xml:space="preserve"> luni ale anului 202</w:t>
      </w:r>
      <w:r w:rsidR="00723A1C" w:rsidRPr="006B2701">
        <w:rPr>
          <w:rFonts w:ascii="Tahoma" w:eastAsiaTheme="minorEastAsia" w:hAnsi="Tahoma" w:cs="Tahoma"/>
          <w:color w:val="000000" w:themeColor="text1"/>
          <w:kern w:val="24"/>
          <w:sz w:val="24"/>
          <w:szCs w:val="24"/>
          <w:lang w:val="ro-RO"/>
        </w:rPr>
        <w:t>2</w:t>
      </w:r>
      <w:r w:rsidR="00B17F87" w:rsidRPr="006B2701">
        <w:rPr>
          <w:rFonts w:ascii="Tahoma" w:eastAsiaTheme="minorEastAsia" w:hAnsi="Tahoma" w:cs="Tahoma"/>
          <w:color w:val="000000" w:themeColor="text1"/>
          <w:kern w:val="24"/>
          <w:sz w:val="24"/>
          <w:szCs w:val="24"/>
          <w:lang w:val="ro-RO"/>
        </w:rPr>
        <w:t>;</w:t>
      </w:r>
    </w:p>
    <w:p w14:paraId="195DC783" w14:textId="77777777" w:rsidR="00723A1C" w:rsidRPr="006B2701" w:rsidRDefault="00723A1C" w:rsidP="00723A1C">
      <w:pPr>
        <w:pStyle w:val="ListParagraph"/>
        <w:numPr>
          <w:ilvl w:val="0"/>
          <w:numId w:val="37"/>
        </w:numPr>
        <w:autoSpaceDE w:val="0"/>
        <w:autoSpaceDN w:val="0"/>
        <w:adjustRightInd w:val="0"/>
        <w:spacing w:after="120" w:line="276" w:lineRule="auto"/>
        <w:ind w:left="851" w:hanging="284"/>
        <w:jc w:val="both"/>
        <w:rPr>
          <w:rFonts w:ascii="Tahoma" w:hAnsi="Tahoma" w:cs="Tahoma"/>
          <w:sz w:val="24"/>
          <w:szCs w:val="24"/>
          <w:lang w:val="ro-RO"/>
        </w:rPr>
      </w:pPr>
      <w:r w:rsidRPr="006B2701">
        <w:rPr>
          <w:rFonts w:ascii="Tahoma" w:eastAsia="Calibri" w:hAnsi="Tahoma" w:cs="Tahoma"/>
          <w:sz w:val="24"/>
          <w:szCs w:val="24"/>
          <w:lang w:val="ro-RO"/>
        </w:rPr>
        <w:t xml:space="preserve">Necesitatea </w:t>
      </w:r>
      <w:r w:rsidRPr="006B2701">
        <w:rPr>
          <w:rFonts w:ascii="Tahoma" w:hAnsi="Tahoma" w:cs="Tahoma"/>
          <w:sz w:val="24"/>
          <w:szCs w:val="24"/>
          <w:lang w:val="ro-RO"/>
        </w:rPr>
        <w:t>alocării de fonduri suplimentare pentru asigurarea cu prioritate a cheltuielilor obligatorii;</w:t>
      </w:r>
    </w:p>
    <w:p w14:paraId="3DBBB8DE" w14:textId="732B9FE2" w:rsidR="00723A1C" w:rsidRPr="006B2701" w:rsidRDefault="00723A1C" w:rsidP="00723A1C">
      <w:pPr>
        <w:pStyle w:val="ListParagraph"/>
        <w:numPr>
          <w:ilvl w:val="0"/>
          <w:numId w:val="37"/>
        </w:numPr>
        <w:autoSpaceDE w:val="0"/>
        <w:autoSpaceDN w:val="0"/>
        <w:adjustRightInd w:val="0"/>
        <w:spacing w:after="120" w:line="276" w:lineRule="auto"/>
        <w:ind w:left="851" w:hanging="284"/>
        <w:jc w:val="both"/>
        <w:rPr>
          <w:rFonts w:ascii="Tahoma" w:hAnsi="Tahoma" w:cs="Tahoma"/>
          <w:sz w:val="24"/>
          <w:szCs w:val="24"/>
          <w:lang w:val="ro-RO"/>
        </w:rPr>
      </w:pPr>
      <w:r w:rsidRPr="006B2701">
        <w:rPr>
          <w:rFonts w:ascii="Tahoma" w:hAnsi="Tahoma" w:cs="Tahoma"/>
          <w:sz w:val="24"/>
          <w:szCs w:val="24"/>
          <w:lang w:val="ro-RO"/>
        </w:rPr>
        <w:t>Necesitatea</w:t>
      </w:r>
      <w:r w:rsidRPr="006B2701">
        <w:rPr>
          <w:rFonts w:ascii="Tahoma" w:eastAsia="Calibri" w:hAnsi="Tahoma" w:cs="Tahoma"/>
          <w:sz w:val="24"/>
          <w:szCs w:val="24"/>
          <w:lang w:val="ro-RO"/>
        </w:rPr>
        <w:t xml:space="preserve"> </w:t>
      </w:r>
      <w:r w:rsidRPr="006B2701">
        <w:rPr>
          <w:rFonts w:ascii="Tahoma" w:hAnsi="Tahoma" w:cs="Tahoma"/>
          <w:sz w:val="24"/>
          <w:szCs w:val="24"/>
          <w:lang w:val="ro-RO"/>
        </w:rPr>
        <w:t>asigurării fondurilor pentru desfășurarea activității unităților administrativ-teritoriale;</w:t>
      </w:r>
    </w:p>
    <w:p w14:paraId="65AFF30A" w14:textId="6BA1905E" w:rsidR="00723A1C" w:rsidRPr="006B2701" w:rsidRDefault="00723A1C" w:rsidP="00723A1C">
      <w:pPr>
        <w:pStyle w:val="ListParagraph"/>
        <w:numPr>
          <w:ilvl w:val="0"/>
          <w:numId w:val="37"/>
        </w:numPr>
        <w:autoSpaceDE w:val="0"/>
        <w:autoSpaceDN w:val="0"/>
        <w:adjustRightInd w:val="0"/>
        <w:spacing w:after="120" w:line="276" w:lineRule="auto"/>
        <w:ind w:left="851" w:hanging="284"/>
        <w:jc w:val="both"/>
        <w:rPr>
          <w:rFonts w:ascii="Tahoma" w:hAnsi="Tahoma" w:cs="Tahoma"/>
          <w:bCs/>
          <w:sz w:val="24"/>
          <w:szCs w:val="24"/>
          <w:lang w:val="ro-RO"/>
        </w:rPr>
      </w:pPr>
      <w:r w:rsidRPr="006B2701">
        <w:rPr>
          <w:rFonts w:ascii="Tahoma" w:hAnsi="Tahoma" w:cs="Tahoma"/>
          <w:sz w:val="24"/>
          <w:szCs w:val="24"/>
          <w:lang w:val="ro-RO"/>
        </w:rPr>
        <w:t>Necesitatea a</w:t>
      </w:r>
      <w:r w:rsidRPr="006B2701">
        <w:rPr>
          <w:rFonts w:ascii="Tahoma" w:hAnsi="Tahoma" w:cs="Tahoma"/>
          <w:bCs/>
          <w:sz w:val="24"/>
          <w:szCs w:val="24"/>
          <w:lang w:val="ro-RO"/>
        </w:rPr>
        <w:t>sigurării fondurilor în vederea desfășurării normale a activității unor ordonatori principali de credite până la finele anului;</w:t>
      </w:r>
    </w:p>
    <w:p w14:paraId="2A0BB108" w14:textId="302C5C50" w:rsidR="00723A1C" w:rsidRPr="006B2701" w:rsidRDefault="00723A1C" w:rsidP="00723A1C">
      <w:pPr>
        <w:pStyle w:val="ListParagraph"/>
        <w:numPr>
          <w:ilvl w:val="0"/>
          <w:numId w:val="37"/>
        </w:numPr>
        <w:autoSpaceDE w:val="0"/>
        <w:autoSpaceDN w:val="0"/>
        <w:adjustRightInd w:val="0"/>
        <w:spacing w:after="120" w:line="276" w:lineRule="auto"/>
        <w:ind w:left="851" w:hanging="284"/>
        <w:jc w:val="both"/>
        <w:rPr>
          <w:rFonts w:ascii="Tahoma" w:hAnsi="Tahoma" w:cs="Tahoma"/>
          <w:sz w:val="24"/>
          <w:szCs w:val="24"/>
          <w:lang w:val="ro-RO"/>
        </w:rPr>
      </w:pPr>
      <w:r w:rsidRPr="006B2701">
        <w:rPr>
          <w:rFonts w:ascii="Tahoma" w:hAnsi="Tahoma" w:cs="Tahoma"/>
          <w:sz w:val="24"/>
          <w:szCs w:val="24"/>
          <w:lang w:val="ro-RO"/>
        </w:rPr>
        <w:t xml:space="preserve">Necesitatea </w:t>
      </w:r>
      <w:r w:rsidRPr="006B2701">
        <w:rPr>
          <w:rFonts w:ascii="Tahoma" w:eastAsia="Calibri" w:hAnsi="Tahoma" w:cs="Tahoma"/>
          <w:sz w:val="24"/>
          <w:szCs w:val="24"/>
          <w:lang w:val="ro-RO"/>
        </w:rPr>
        <w:t xml:space="preserve">alocării </w:t>
      </w:r>
      <w:r w:rsidRPr="006B2701">
        <w:rPr>
          <w:rFonts w:ascii="Tahoma" w:hAnsi="Tahoma" w:cs="Tahoma"/>
          <w:sz w:val="24"/>
          <w:szCs w:val="24"/>
          <w:lang w:val="ro-RO"/>
        </w:rPr>
        <w:t>de sume ordonatorilor principali de credite ai bugetului de stat pentru asigurarea drepturilor de asistență socială;</w:t>
      </w:r>
    </w:p>
    <w:p w14:paraId="1D93570D" w14:textId="30DE2DC6" w:rsidR="00723A1C" w:rsidRPr="006B2701" w:rsidRDefault="00723A1C" w:rsidP="00723A1C">
      <w:pPr>
        <w:pStyle w:val="ListParagraph"/>
        <w:numPr>
          <w:ilvl w:val="0"/>
          <w:numId w:val="37"/>
        </w:numPr>
        <w:autoSpaceDE w:val="0"/>
        <w:autoSpaceDN w:val="0"/>
        <w:adjustRightInd w:val="0"/>
        <w:spacing w:after="120" w:line="276" w:lineRule="auto"/>
        <w:ind w:left="851" w:hanging="284"/>
        <w:jc w:val="both"/>
        <w:rPr>
          <w:rFonts w:ascii="Tahoma" w:eastAsia="Calibri" w:hAnsi="Tahoma" w:cs="Tahoma"/>
          <w:sz w:val="24"/>
          <w:szCs w:val="24"/>
          <w:lang w:val="ro-RO"/>
        </w:rPr>
      </w:pPr>
      <w:r w:rsidRPr="006B2701">
        <w:rPr>
          <w:rFonts w:ascii="Tahoma" w:hAnsi="Tahoma" w:cs="Tahoma"/>
          <w:sz w:val="24"/>
          <w:szCs w:val="24"/>
          <w:lang w:val="ro-RO"/>
        </w:rPr>
        <w:t xml:space="preserve">Necesitatea </w:t>
      </w:r>
      <w:r w:rsidRPr="006B2701">
        <w:rPr>
          <w:rFonts w:ascii="Tahoma" w:eastAsia="Calibri" w:hAnsi="Tahoma" w:cs="Tahoma"/>
          <w:sz w:val="24"/>
          <w:szCs w:val="24"/>
          <w:lang w:val="ro-RO"/>
        </w:rPr>
        <w:t xml:space="preserve"> asigurării fondurilor necesare finanțării cheltuielilor determinate de implementarea Programului pentru școli al României;</w:t>
      </w:r>
    </w:p>
    <w:p w14:paraId="387F4AB7" w14:textId="568ECE0F" w:rsidR="00723A1C" w:rsidRPr="006B2701" w:rsidRDefault="00723A1C" w:rsidP="00723A1C">
      <w:pPr>
        <w:pStyle w:val="ListParagraph"/>
        <w:numPr>
          <w:ilvl w:val="0"/>
          <w:numId w:val="37"/>
        </w:numPr>
        <w:autoSpaceDE w:val="0"/>
        <w:autoSpaceDN w:val="0"/>
        <w:adjustRightInd w:val="0"/>
        <w:spacing w:after="120" w:line="276" w:lineRule="auto"/>
        <w:ind w:left="851" w:hanging="284"/>
        <w:jc w:val="both"/>
        <w:rPr>
          <w:rFonts w:ascii="Tahoma" w:eastAsia="Calibri" w:hAnsi="Tahoma" w:cs="Tahoma"/>
          <w:sz w:val="24"/>
          <w:szCs w:val="24"/>
          <w:lang w:val="ro-RO"/>
        </w:rPr>
      </w:pPr>
      <w:r w:rsidRPr="006B2701">
        <w:rPr>
          <w:rFonts w:ascii="Tahoma" w:eastAsia="Calibri" w:hAnsi="Tahoma" w:cs="Tahoma"/>
          <w:sz w:val="24"/>
          <w:szCs w:val="24"/>
          <w:lang w:val="ro-RO"/>
        </w:rPr>
        <w:t>Necesitatea asigurării fondurilor necesare finanțării cheltuielilor cu bursele acordate elevilor din unitățile de învățământ special și de masă;</w:t>
      </w:r>
    </w:p>
    <w:p w14:paraId="066222C7" w14:textId="3F83FA14" w:rsidR="00723A1C" w:rsidRPr="006B2701" w:rsidRDefault="00723A1C" w:rsidP="00723A1C">
      <w:pPr>
        <w:pStyle w:val="ListParagraph"/>
        <w:numPr>
          <w:ilvl w:val="0"/>
          <w:numId w:val="37"/>
        </w:numPr>
        <w:autoSpaceDE w:val="0"/>
        <w:autoSpaceDN w:val="0"/>
        <w:adjustRightInd w:val="0"/>
        <w:spacing w:after="120" w:line="276" w:lineRule="auto"/>
        <w:ind w:left="851" w:hanging="284"/>
        <w:jc w:val="both"/>
        <w:rPr>
          <w:rFonts w:ascii="Tahoma" w:hAnsi="Tahoma" w:cs="Tahoma"/>
          <w:sz w:val="24"/>
          <w:szCs w:val="24"/>
          <w:lang w:val="ro-RO"/>
        </w:rPr>
      </w:pPr>
      <w:r w:rsidRPr="006B2701">
        <w:rPr>
          <w:rFonts w:ascii="Tahoma" w:eastAsia="Calibri" w:hAnsi="Tahoma" w:cs="Tahoma"/>
          <w:sz w:val="24"/>
          <w:szCs w:val="24"/>
          <w:lang w:val="ro-RO"/>
        </w:rPr>
        <w:lastRenderedPageBreak/>
        <w:t xml:space="preserve">Necesitatea asigurării fondurilor necesare </w:t>
      </w:r>
      <w:r w:rsidRPr="006B2701">
        <w:rPr>
          <w:rFonts w:ascii="Tahoma" w:hAnsi="Tahoma" w:cs="Tahoma"/>
          <w:sz w:val="24"/>
          <w:szCs w:val="24"/>
          <w:lang w:val="ro-RO"/>
        </w:rPr>
        <w:t>finanțării cheltuielilor de funcționare ale căminelor pentru persoane vârstnice;</w:t>
      </w:r>
    </w:p>
    <w:p w14:paraId="7DDCED07" w14:textId="21233181" w:rsidR="00723A1C" w:rsidRPr="006B2701" w:rsidRDefault="00723A1C" w:rsidP="00723A1C">
      <w:pPr>
        <w:pStyle w:val="ListParagraph"/>
        <w:numPr>
          <w:ilvl w:val="0"/>
          <w:numId w:val="37"/>
        </w:numPr>
        <w:autoSpaceDE w:val="0"/>
        <w:autoSpaceDN w:val="0"/>
        <w:adjustRightInd w:val="0"/>
        <w:spacing w:after="120" w:line="276" w:lineRule="auto"/>
        <w:ind w:left="851" w:hanging="284"/>
        <w:jc w:val="both"/>
        <w:rPr>
          <w:rFonts w:ascii="Tahoma" w:hAnsi="Tahoma" w:cs="Tahoma"/>
          <w:sz w:val="24"/>
          <w:szCs w:val="24"/>
          <w:lang w:val="ro-RO"/>
        </w:rPr>
      </w:pPr>
      <w:r w:rsidRPr="006B2701">
        <w:rPr>
          <w:rFonts w:ascii="Tahoma" w:hAnsi="Tahoma" w:cs="Tahoma"/>
          <w:sz w:val="24"/>
          <w:szCs w:val="24"/>
          <w:lang w:val="ro-RO"/>
        </w:rPr>
        <w:t>Necesitatea asigurării</w:t>
      </w:r>
      <w:r w:rsidRPr="006B2701">
        <w:rPr>
          <w:rFonts w:ascii="Tahoma" w:eastAsia="Calibri" w:hAnsi="Tahoma" w:cs="Tahoma"/>
          <w:sz w:val="24"/>
          <w:szCs w:val="24"/>
          <w:lang w:val="ro-RO"/>
        </w:rPr>
        <w:t xml:space="preserve"> fondurilor necesare </w:t>
      </w:r>
      <w:r w:rsidR="00374FC1" w:rsidRPr="006B2701">
        <w:rPr>
          <w:rFonts w:ascii="Tahoma" w:hAnsi="Tahoma" w:cs="Tahoma"/>
          <w:sz w:val="24"/>
          <w:szCs w:val="24"/>
          <w:lang w:val="ro-RO"/>
        </w:rPr>
        <w:t>finanțării</w:t>
      </w:r>
      <w:r w:rsidRPr="006B2701">
        <w:rPr>
          <w:rFonts w:ascii="Tahoma" w:hAnsi="Tahoma" w:cs="Tahoma"/>
          <w:sz w:val="24"/>
          <w:szCs w:val="24"/>
          <w:lang w:val="ro-RO"/>
        </w:rPr>
        <w:t xml:space="preserve"> drepturilor </w:t>
      </w:r>
      <w:r w:rsidR="00374FC1" w:rsidRPr="006B2701">
        <w:rPr>
          <w:rFonts w:ascii="Tahoma" w:hAnsi="Tahoma" w:cs="Tahoma"/>
          <w:sz w:val="24"/>
          <w:szCs w:val="24"/>
          <w:lang w:val="ro-RO"/>
        </w:rPr>
        <w:t>asistenților</w:t>
      </w:r>
      <w:r w:rsidRPr="006B2701">
        <w:rPr>
          <w:rFonts w:ascii="Tahoma" w:hAnsi="Tahoma" w:cs="Tahoma"/>
          <w:sz w:val="24"/>
          <w:szCs w:val="24"/>
          <w:lang w:val="ro-RO"/>
        </w:rPr>
        <w:t xml:space="preserve"> personali ai persoanelor cu handicap grav sau </w:t>
      </w:r>
      <w:r w:rsidR="00374FC1" w:rsidRPr="006B2701">
        <w:rPr>
          <w:rFonts w:ascii="Tahoma" w:hAnsi="Tahoma" w:cs="Tahoma"/>
          <w:sz w:val="24"/>
          <w:szCs w:val="24"/>
          <w:lang w:val="ro-RO"/>
        </w:rPr>
        <w:t>indemnizațiilor</w:t>
      </w:r>
      <w:r w:rsidRPr="006B2701">
        <w:rPr>
          <w:rFonts w:ascii="Tahoma" w:hAnsi="Tahoma" w:cs="Tahoma"/>
          <w:sz w:val="24"/>
          <w:szCs w:val="24"/>
          <w:lang w:val="ro-RO"/>
        </w:rPr>
        <w:t xml:space="preserve"> lunare ale persoanelor cu handicap grav;</w:t>
      </w:r>
    </w:p>
    <w:p w14:paraId="1F7E235A" w14:textId="1DE6A03C" w:rsidR="00723A1C" w:rsidRPr="006B2701" w:rsidRDefault="00723A1C" w:rsidP="00723A1C">
      <w:pPr>
        <w:pStyle w:val="ListParagraph"/>
        <w:numPr>
          <w:ilvl w:val="0"/>
          <w:numId w:val="37"/>
        </w:numPr>
        <w:autoSpaceDE w:val="0"/>
        <w:autoSpaceDN w:val="0"/>
        <w:adjustRightInd w:val="0"/>
        <w:spacing w:after="120" w:line="276" w:lineRule="auto"/>
        <w:ind w:left="851" w:hanging="284"/>
        <w:jc w:val="both"/>
        <w:rPr>
          <w:rFonts w:ascii="Tahoma" w:hAnsi="Tahoma" w:cs="Tahoma"/>
          <w:sz w:val="24"/>
          <w:szCs w:val="24"/>
          <w:lang w:val="ro-RO"/>
        </w:rPr>
      </w:pPr>
      <w:r w:rsidRPr="006B2701">
        <w:rPr>
          <w:rFonts w:ascii="Tahoma" w:hAnsi="Tahoma" w:cs="Tahoma"/>
          <w:sz w:val="24"/>
          <w:szCs w:val="24"/>
          <w:lang w:val="ro-RO"/>
        </w:rPr>
        <w:t>Necesitatea asigurării</w:t>
      </w:r>
      <w:r w:rsidRPr="006B2701">
        <w:rPr>
          <w:rFonts w:ascii="Tahoma" w:eastAsia="Calibri" w:hAnsi="Tahoma" w:cs="Tahoma"/>
          <w:sz w:val="24"/>
          <w:szCs w:val="24"/>
          <w:lang w:val="ro-RO"/>
        </w:rPr>
        <w:t xml:space="preserve"> fondurilor necesare finanțării </w:t>
      </w:r>
      <w:r w:rsidRPr="006B2701">
        <w:rPr>
          <w:rFonts w:ascii="Tahoma" w:hAnsi="Tahoma" w:cs="Tahoma"/>
          <w:sz w:val="24"/>
          <w:szCs w:val="24"/>
          <w:lang w:val="ro-RO"/>
        </w:rPr>
        <w:t xml:space="preserve">serviciilor sociale din sistemul de protecție a copilului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a măsurilor de protecție de tip centre de zi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centre rezidențiale pentru persoane adulte cu handicap;</w:t>
      </w:r>
    </w:p>
    <w:p w14:paraId="451EE646" w14:textId="339DD53F" w:rsidR="00723A1C" w:rsidRPr="006B2701" w:rsidRDefault="00723A1C" w:rsidP="00723A1C">
      <w:pPr>
        <w:pStyle w:val="ListParagraph"/>
        <w:numPr>
          <w:ilvl w:val="0"/>
          <w:numId w:val="37"/>
        </w:numPr>
        <w:autoSpaceDE w:val="0"/>
        <w:autoSpaceDN w:val="0"/>
        <w:adjustRightInd w:val="0"/>
        <w:spacing w:after="120" w:line="276" w:lineRule="auto"/>
        <w:ind w:left="851" w:hanging="284"/>
        <w:jc w:val="both"/>
        <w:rPr>
          <w:rFonts w:ascii="Tahoma" w:hAnsi="Tahoma" w:cs="Tahoma"/>
          <w:sz w:val="24"/>
          <w:szCs w:val="24"/>
          <w:lang w:val="ro-RO"/>
        </w:rPr>
      </w:pPr>
      <w:r w:rsidRPr="006B2701">
        <w:rPr>
          <w:rFonts w:ascii="Tahoma" w:eastAsia="Calibri" w:hAnsi="Tahoma" w:cs="Tahoma"/>
          <w:sz w:val="24"/>
          <w:szCs w:val="24"/>
          <w:lang w:val="ro-RO"/>
        </w:rPr>
        <w:t xml:space="preserve">Necesitatea asigurării </w:t>
      </w:r>
      <w:r w:rsidRPr="006B2701">
        <w:rPr>
          <w:rFonts w:ascii="Tahoma" w:hAnsi="Tahoma" w:cs="Tahoma"/>
          <w:sz w:val="24"/>
          <w:szCs w:val="24"/>
          <w:lang w:val="ro-RO"/>
        </w:rPr>
        <w:t>instruirii personalului de specialitate din Ucraina pe linia acordării primului ajutor calificat, pe perioada valabilității Acordului de management al execuției privind proiectul de fond fiduciar pentru răspunsul la pandemie în sprijinul Ucrainei PRTF B/10, încheiat la data de 24 octombrie 2022 între Organizația Tratatului Atlanticului de Nord prin Divizia de Operațiuni și Ministerul Afacerilor Interne, prin Departamentul pentru Situații de Urgență;</w:t>
      </w:r>
    </w:p>
    <w:p w14:paraId="4D74D635" w14:textId="490A953F" w:rsidR="00723A1C" w:rsidRPr="006B2701" w:rsidRDefault="00723A1C" w:rsidP="00723A1C">
      <w:pPr>
        <w:pStyle w:val="ListParagraph"/>
        <w:numPr>
          <w:ilvl w:val="0"/>
          <w:numId w:val="37"/>
        </w:numPr>
        <w:autoSpaceDE w:val="0"/>
        <w:autoSpaceDN w:val="0"/>
        <w:adjustRightInd w:val="0"/>
        <w:spacing w:after="120" w:line="276" w:lineRule="auto"/>
        <w:ind w:left="851" w:hanging="284"/>
        <w:jc w:val="both"/>
        <w:rPr>
          <w:rFonts w:ascii="Tahoma" w:hAnsi="Tahoma" w:cs="Tahoma"/>
          <w:bCs/>
          <w:sz w:val="24"/>
          <w:szCs w:val="24"/>
          <w:lang w:val="ro-RO"/>
        </w:rPr>
      </w:pPr>
      <w:r w:rsidRPr="006B2701">
        <w:rPr>
          <w:rFonts w:ascii="Tahoma" w:hAnsi="Tahoma" w:cs="Tahoma"/>
          <w:sz w:val="24"/>
          <w:szCs w:val="24"/>
          <w:lang w:val="ro-RO"/>
        </w:rPr>
        <w:t xml:space="preserve">Necesitatea </w:t>
      </w:r>
      <w:r w:rsidRPr="006B2701">
        <w:rPr>
          <w:rFonts w:ascii="Tahoma" w:hAnsi="Tahoma" w:cs="Tahoma"/>
          <w:bCs/>
          <w:sz w:val="24"/>
          <w:szCs w:val="24"/>
          <w:lang w:val="ro-RO"/>
        </w:rPr>
        <w:t>acordării unui ajutor de stat producătorilor agricoli care au înființat culturi în toamna anului 2021 și au fost afectate de seceta pedologică;</w:t>
      </w:r>
    </w:p>
    <w:p w14:paraId="164A93BC" w14:textId="360C770A" w:rsidR="00723A1C" w:rsidRPr="006B2701" w:rsidRDefault="00723A1C" w:rsidP="00723A1C">
      <w:pPr>
        <w:pStyle w:val="ListParagraph"/>
        <w:numPr>
          <w:ilvl w:val="0"/>
          <w:numId w:val="37"/>
        </w:numPr>
        <w:autoSpaceDE w:val="0"/>
        <w:spacing w:after="120" w:line="276" w:lineRule="auto"/>
        <w:ind w:left="851" w:hanging="284"/>
        <w:jc w:val="both"/>
        <w:rPr>
          <w:rFonts w:ascii="Tahoma" w:eastAsia="Calibri" w:hAnsi="Tahoma" w:cs="Tahoma"/>
          <w:sz w:val="24"/>
          <w:szCs w:val="24"/>
          <w:lang w:val="ro-RO"/>
        </w:rPr>
      </w:pPr>
      <w:r w:rsidRPr="006B2701">
        <w:rPr>
          <w:rFonts w:ascii="Tahoma" w:hAnsi="Tahoma" w:cs="Tahoma"/>
          <w:bCs/>
          <w:sz w:val="24"/>
          <w:szCs w:val="24"/>
          <w:lang w:val="ro-RO"/>
        </w:rPr>
        <w:t>Necesitatea alocării de fonduri pentru derularea Programului Național de Dezvoltare Locală și a Programului de interes public și social derulat prin Compania Națională de Investiții;</w:t>
      </w:r>
    </w:p>
    <w:p w14:paraId="46125D07" w14:textId="173F9CB7" w:rsidR="00723A1C" w:rsidRPr="006B2701" w:rsidRDefault="00723A1C" w:rsidP="00723A1C">
      <w:pPr>
        <w:pStyle w:val="ListParagraph"/>
        <w:numPr>
          <w:ilvl w:val="0"/>
          <w:numId w:val="37"/>
        </w:numPr>
        <w:autoSpaceDE w:val="0"/>
        <w:autoSpaceDN w:val="0"/>
        <w:adjustRightInd w:val="0"/>
        <w:spacing w:after="120" w:line="276" w:lineRule="auto"/>
        <w:ind w:left="851" w:hanging="284"/>
        <w:jc w:val="both"/>
        <w:rPr>
          <w:rFonts w:ascii="Tahoma" w:hAnsi="Tahoma" w:cs="Tahoma"/>
          <w:sz w:val="24"/>
          <w:szCs w:val="24"/>
          <w:lang w:val="ro-RO"/>
        </w:rPr>
      </w:pPr>
      <w:r w:rsidRPr="006B2701">
        <w:rPr>
          <w:rFonts w:ascii="Tahoma" w:hAnsi="Tahoma" w:cs="Tahoma"/>
          <w:sz w:val="24"/>
          <w:szCs w:val="24"/>
          <w:lang w:val="ro-RO"/>
        </w:rPr>
        <w:t>Necesitatea corelării planificării bugetare cu evoluția prognozată a indicatorilor macroeconomici și cu execuția bugetară pe primele nouă luni ale anului;</w:t>
      </w:r>
    </w:p>
    <w:p w14:paraId="4987A531" w14:textId="7E6BE966" w:rsidR="00723A1C" w:rsidRPr="006B2701" w:rsidRDefault="00723A1C" w:rsidP="00D566DB">
      <w:pPr>
        <w:pStyle w:val="ListParagraph"/>
        <w:numPr>
          <w:ilvl w:val="0"/>
          <w:numId w:val="37"/>
        </w:numPr>
        <w:autoSpaceDE w:val="0"/>
        <w:autoSpaceDN w:val="0"/>
        <w:adjustRightInd w:val="0"/>
        <w:spacing w:after="240" w:line="276" w:lineRule="auto"/>
        <w:ind w:left="851" w:hanging="284"/>
        <w:jc w:val="both"/>
        <w:rPr>
          <w:rFonts w:ascii="Tahoma" w:eastAsia="Calibri" w:hAnsi="Tahoma" w:cs="Tahoma"/>
          <w:sz w:val="24"/>
          <w:szCs w:val="24"/>
          <w:lang w:val="ro-RO"/>
        </w:rPr>
      </w:pPr>
      <w:r w:rsidRPr="006B2701">
        <w:rPr>
          <w:rFonts w:ascii="Tahoma" w:hAnsi="Tahoma" w:cs="Tahoma"/>
          <w:sz w:val="24"/>
          <w:szCs w:val="24"/>
          <w:lang w:val="ro-RO"/>
        </w:rPr>
        <w:t xml:space="preserve">Necesitatea asigurării </w:t>
      </w:r>
      <w:r w:rsidRPr="006B2701">
        <w:rPr>
          <w:rFonts w:ascii="Tahoma" w:hAnsi="Tahoma" w:cs="Tahoma"/>
          <w:bCs/>
          <w:sz w:val="24"/>
          <w:szCs w:val="24"/>
          <w:lang w:val="ro-RO"/>
        </w:rPr>
        <w:t>cadrului legal pentru efectuarea de redistribuiri de credite în cadrul anumitor naturi de cheltuieli în vederea bunei desfășurări a activității ordonatorilor principali de credite.</w:t>
      </w:r>
    </w:p>
    <w:p w14:paraId="4F6F5463" w14:textId="28E06060" w:rsidR="00F31695" w:rsidRPr="006B2701" w:rsidRDefault="00640534" w:rsidP="00B17F87">
      <w:pPr>
        <w:pStyle w:val="NormalWeb"/>
        <w:spacing w:before="0" w:after="120" w:line="276" w:lineRule="auto"/>
        <w:jc w:val="both"/>
        <w:textAlignment w:val="baseline"/>
        <w:rPr>
          <w:rFonts w:ascii="Tahoma" w:hAnsi="Tahoma" w:cs="Tahoma"/>
          <w:color w:val="auto"/>
          <w:lang w:val="ro-RO" w:eastAsia="en-US"/>
        </w:rPr>
      </w:pPr>
      <w:r w:rsidRPr="006B2701">
        <w:rPr>
          <w:rFonts w:ascii="Tahoma" w:eastAsia="+mn-ea" w:hAnsi="Tahoma" w:cs="Tahoma"/>
          <w:b/>
          <w:bCs/>
          <w:kern w:val="24"/>
          <w:lang w:val="ro-RO" w:eastAsia="en-US"/>
        </w:rPr>
        <w:t>V</w:t>
      </w:r>
      <w:r w:rsidR="00F31695" w:rsidRPr="006B2701">
        <w:rPr>
          <w:rFonts w:ascii="Tahoma" w:eastAsia="+mn-ea" w:hAnsi="Tahoma" w:cs="Tahoma"/>
          <w:b/>
          <w:bCs/>
          <w:kern w:val="24"/>
          <w:lang w:val="ro-RO" w:eastAsia="en-US"/>
        </w:rPr>
        <w:t>enituril</w:t>
      </w:r>
      <w:r w:rsidR="00B17F87" w:rsidRPr="006B2701">
        <w:rPr>
          <w:rFonts w:ascii="Tahoma" w:eastAsia="+mn-ea" w:hAnsi="Tahoma" w:cs="Tahoma"/>
          <w:b/>
          <w:bCs/>
          <w:kern w:val="24"/>
          <w:lang w:val="ro-RO" w:eastAsia="en-US"/>
        </w:rPr>
        <w:t>e</w:t>
      </w:r>
      <w:r w:rsidR="00F31695" w:rsidRPr="006B2701">
        <w:rPr>
          <w:rFonts w:ascii="Tahoma" w:eastAsia="+mn-ea" w:hAnsi="Tahoma" w:cs="Tahoma"/>
          <w:kern w:val="24"/>
          <w:lang w:val="ro-RO" w:eastAsia="en-US"/>
        </w:rPr>
        <w:t xml:space="preserve"> bugetului general consolidat</w:t>
      </w:r>
      <w:r w:rsidRPr="006B2701">
        <w:rPr>
          <w:rFonts w:ascii="Tahoma" w:eastAsia="+mn-ea" w:hAnsi="Tahoma" w:cs="Tahoma"/>
          <w:kern w:val="24"/>
          <w:lang w:val="ro-RO" w:eastAsia="en-US"/>
        </w:rPr>
        <w:t xml:space="preserve"> s-au majorat, pe sold, </w:t>
      </w:r>
      <w:r w:rsidR="00F31695" w:rsidRPr="006B2701">
        <w:rPr>
          <w:rFonts w:ascii="Tahoma" w:eastAsia="+mn-ea" w:hAnsi="Tahoma" w:cs="Tahoma"/>
          <w:kern w:val="24"/>
          <w:lang w:val="ro-RO" w:eastAsia="en-US"/>
        </w:rPr>
        <w:t xml:space="preserve">cu suma de </w:t>
      </w:r>
      <w:r w:rsidR="00460F24" w:rsidRPr="006B2701">
        <w:rPr>
          <w:rFonts w:ascii="Tahoma" w:hAnsi="Tahoma" w:cs="Tahoma"/>
          <w:bCs/>
          <w:color w:val="auto"/>
          <w:lang w:val="ro-RO"/>
        </w:rPr>
        <w:t>521,1</w:t>
      </w:r>
      <w:r w:rsidR="00335C5B" w:rsidRPr="006B2701">
        <w:rPr>
          <w:rFonts w:ascii="Arial" w:hAnsi="Arial" w:cs="Arial"/>
          <w:bCs/>
          <w:color w:val="auto"/>
          <w:sz w:val="28"/>
          <w:szCs w:val="28"/>
          <w:lang w:val="ro-RO"/>
        </w:rPr>
        <w:t xml:space="preserve"> </w:t>
      </w:r>
      <w:r w:rsidR="00B1630D" w:rsidRPr="006B2701">
        <w:rPr>
          <w:rFonts w:ascii="Tahoma" w:eastAsia="+mn-ea" w:hAnsi="Tahoma" w:cs="Tahoma"/>
          <w:kern w:val="24"/>
          <w:lang w:val="ro-RO" w:eastAsia="en-US"/>
        </w:rPr>
        <w:t>milioane lei</w:t>
      </w:r>
      <w:r w:rsidR="00B1630D" w:rsidRPr="006B2701" w:rsidDel="00373129">
        <w:rPr>
          <w:rFonts w:ascii="Tahoma" w:eastAsia="+mn-ea" w:hAnsi="Tahoma" w:cs="Tahoma"/>
          <w:kern w:val="24"/>
          <w:lang w:val="ro-RO" w:eastAsia="en-US"/>
        </w:rPr>
        <w:t xml:space="preserve"> </w:t>
      </w:r>
      <w:r w:rsidR="00373129" w:rsidRPr="006B2701">
        <w:rPr>
          <w:rFonts w:ascii="Tahoma" w:eastAsia="+mn-ea" w:hAnsi="Tahoma" w:cs="Tahoma"/>
          <w:kern w:val="24"/>
          <w:lang w:val="ro-RO" w:eastAsia="en-US"/>
        </w:rPr>
        <w:t xml:space="preserve">iar </w:t>
      </w:r>
      <w:r w:rsidR="00373129" w:rsidRPr="006B2701">
        <w:rPr>
          <w:rFonts w:ascii="Tahoma" w:eastAsia="+mn-ea" w:hAnsi="Tahoma" w:cs="Tahoma"/>
          <w:b/>
          <w:bCs/>
          <w:kern w:val="24"/>
          <w:lang w:val="ro-RO"/>
        </w:rPr>
        <w:t>cheltuielile</w:t>
      </w:r>
      <w:r w:rsidR="00373129" w:rsidRPr="006B2701">
        <w:rPr>
          <w:rFonts w:ascii="Tahoma" w:eastAsia="+mn-ea" w:hAnsi="Tahoma" w:cs="Tahoma"/>
          <w:kern w:val="24"/>
          <w:lang w:val="ro-RO"/>
        </w:rPr>
        <w:t xml:space="preserve"> bugetului general consolidat pe anul 202</w:t>
      </w:r>
      <w:r w:rsidR="00723A1C" w:rsidRPr="006B2701">
        <w:rPr>
          <w:rFonts w:ascii="Tahoma" w:eastAsia="+mn-ea" w:hAnsi="Tahoma" w:cs="Tahoma"/>
          <w:kern w:val="24"/>
          <w:lang w:val="ro-RO"/>
        </w:rPr>
        <w:t>2</w:t>
      </w:r>
      <w:r w:rsidR="00373129" w:rsidRPr="006B2701">
        <w:rPr>
          <w:rFonts w:ascii="Tahoma" w:eastAsia="+mn-ea" w:hAnsi="Tahoma" w:cs="Tahoma"/>
          <w:kern w:val="24"/>
          <w:lang w:val="ro-RO"/>
        </w:rPr>
        <w:t xml:space="preserve">, s-au majorat, pe sold, cu suma de </w:t>
      </w:r>
      <w:r w:rsidR="00460F24" w:rsidRPr="006B2701">
        <w:rPr>
          <w:rFonts w:ascii="Tahoma" w:eastAsia="+mn-ea" w:hAnsi="Tahoma" w:cs="Tahoma"/>
          <w:kern w:val="24"/>
          <w:lang w:val="ro-RO"/>
        </w:rPr>
        <w:t>522,1</w:t>
      </w:r>
      <w:r w:rsidR="00B1630D" w:rsidRPr="006B2701">
        <w:rPr>
          <w:rFonts w:ascii="Tahoma" w:eastAsia="+mn-ea" w:hAnsi="Tahoma" w:cs="Tahoma"/>
          <w:kern w:val="24"/>
          <w:lang w:val="ro-RO"/>
        </w:rPr>
        <w:t xml:space="preserve"> milioane lei</w:t>
      </w:r>
      <w:r w:rsidR="002A714B" w:rsidRPr="006B2701">
        <w:rPr>
          <w:rFonts w:ascii="Tahoma" w:eastAsia="+mn-ea" w:hAnsi="Tahoma" w:cs="Tahoma"/>
          <w:kern w:val="24"/>
          <w:lang w:val="ro-RO"/>
        </w:rPr>
        <w:t>.</w:t>
      </w:r>
      <w:r w:rsidR="00B1630D" w:rsidRPr="006B2701" w:rsidDel="00373129">
        <w:rPr>
          <w:rFonts w:ascii="Tahoma" w:eastAsia="+mn-ea" w:hAnsi="Tahoma" w:cs="Tahoma"/>
          <w:bCs/>
          <w:lang w:val="ro-RO"/>
        </w:rPr>
        <w:t xml:space="preserve"> </w:t>
      </w:r>
    </w:p>
    <w:p w14:paraId="48A2F6E1" w14:textId="5E64BD7E" w:rsidR="00B1630D" w:rsidRPr="006B2701" w:rsidRDefault="00546D34" w:rsidP="00D566DB">
      <w:pPr>
        <w:spacing w:after="240" w:line="276" w:lineRule="auto"/>
        <w:jc w:val="both"/>
        <w:textAlignment w:val="baseline"/>
        <w:rPr>
          <w:rFonts w:ascii="Tahoma" w:hAnsi="Tahoma" w:cs="Tahoma"/>
          <w:sz w:val="24"/>
          <w:szCs w:val="24"/>
          <w:lang w:val="ro-RO"/>
        </w:rPr>
      </w:pPr>
      <w:r w:rsidRPr="006B2701">
        <w:rPr>
          <w:rFonts w:ascii="Tahoma" w:hAnsi="Tahoma" w:cs="Tahoma"/>
          <w:bCs/>
          <w:sz w:val="24"/>
          <w:szCs w:val="24"/>
          <w:lang w:val="ro-RO"/>
        </w:rPr>
        <w:t>Pentru ca proiect</w:t>
      </w:r>
      <w:r w:rsidR="00E0203B" w:rsidRPr="006B2701">
        <w:rPr>
          <w:rFonts w:ascii="Tahoma" w:hAnsi="Tahoma" w:cs="Tahoma"/>
          <w:bCs/>
          <w:sz w:val="24"/>
          <w:szCs w:val="24"/>
          <w:lang w:val="ro-RO"/>
        </w:rPr>
        <w:t>ele</w:t>
      </w:r>
      <w:r w:rsidRPr="006B2701">
        <w:rPr>
          <w:rFonts w:ascii="Tahoma" w:hAnsi="Tahoma" w:cs="Tahoma"/>
          <w:bCs/>
          <w:sz w:val="24"/>
          <w:szCs w:val="24"/>
          <w:lang w:val="ro-RO"/>
        </w:rPr>
        <w:t xml:space="preserve"> de act normativ să poată fi aprobat</w:t>
      </w:r>
      <w:r w:rsidR="00DF1053" w:rsidRPr="006B2701">
        <w:rPr>
          <w:rFonts w:ascii="Tahoma" w:hAnsi="Tahoma" w:cs="Tahoma"/>
          <w:bCs/>
          <w:sz w:val="24"/>
          <w:szCs w:val="24"/>
          <w:lang w:val="ro-RO"/>
        </w:rPr>
        <w:t>e</w:t>
      </w:r>
      <w:r w:rsidRPr="006B2701">
        <w:rPr>
          <w:rFonts w:ascii="Tahoma" w:hAnsi="Tahoma" w:cs="Tahoma"/>
          <w:bCs/>
          <w:sz w:val="24"/>
          <w:szCs w:val="24"/>
          <w:lang w:val="ro-RO"/>
        </w:rPr>
        <w:t xml:space="preserve"> a fost necesară </w:t>
      </w:r>
      <w:r w:rsidR="00B4079B" w:rsidRPr="006B2701">
        <w:rPr>
          <w:rFonts w:ascii="Tahoma" w:hAnsi="Tahoma" w:cs="Tahoma"/>
          <w:bCs/>
          <w:sz w:val="24"/>
          <w:szCs w:val="24"/>
          <w:lang w:val="ro-RO"/>
        </w:rPr>
        <w:t xml:space="preserve">derogarea de la </w:t>
      </w:r>
      <w:r w:rsidR="00B1630D" w:rsidRPr="006B2701">
        <w:rPr>
          <w:rFonts w:ascii="Tahoma" w:hAnsi="Tahoma" w:cs="Tahoma"/>
          <w:bCs/>
          <w:sz w:val="24"/>
          <w:szCs w:val="24"/>
          <w:lang w:val="ro-RO"/>
        </w:rPr>
        <w:t xml:space="preserve">prevederile art.12 alin.(1) lit. b) și c), art.17 alin.(2), art.24 și art.26 alin.(5) din Legea responsabilității fiscal-bugetare nr.69/2010, republicată și ale art.3 alin. </w:t>
      </w:r>
      <w:r w:rsidR="00FF3347" w:rsidRPr="006B2701">
        <w:rPr>
          <w:rFonts w:ascii="Tahoma" w:hAnsi="Tahoma" w:cs="Tahoma"/>
          <w:bCs/>
          <w:sz w:val="24"/>
          <w:szCs w:val="24"/>
          <w:lang w:val="ro-RO"/>
        </w:rPr>
        <w:t xml:space="preserve">(2), </w:t>
      </w:r>
      <w:r w:rsidR="00B1630D" w:rsidRPr="006B2701">
        <w:rPr>
          <w:rFonts w:ascii="Tahoma" w:hAnsi="Tahoma" w:cs="Tahoma"/>
          <w:bCs/>
          <w:sz w:val="24"/>
          <w:szCs w:val="24"/>
          <w:lang w:val="ro-RO"/>
        </w:rPr>
        <w:t>(5), (6) și (7) din Legea pentru aprobarea plafoanelor unor indicatori specificați în cadrul fiscal-bugetar pe anul 202</w:t>
      </w:r>
      <w:r w:rsidR="00FF3347" w:rsidRPr="006B2701">
        <w:rPr>
          <w:rFonts w:ascii="Tahoma" w:hAnsi="Tahoma" w:cs="Tahoma"/>
          <w:bCs/>
          <w:sz w:val="24"/>
          <w:szCs w:val="24"/>
          <w:lang w:val="ro-RO"/>
        </w:rPr>
        <w:t>2</w:t>
      </w:r>
      <w:r w:rsidR="00B1630D" w:rsidRPr="006B2701">
        <w:rPr>
          <w:rFonts w:ascii="Tahoma" w:hAnsi="Tahoma" w:cs="Tahoma"/>
          <w:bCs/>
          <w:sz w:val="24"/>
          <w:szCs w:val="24"/>
          <w:lang w:val="ro-RO"/>
        </w:rPr>
        <w:t xml:space="preserve"> nr.</w:t>
      </w:r>
      <w:r w:rsidR="00FF3347" w:rsidRPr="006B2701">
        <w:rPr>
          <w:rFonts w:ascii="Tahoma" w:hAnsi="Tahoma" w:cs="Tahoma"/>
          <w:bCs/>
          <w:sz w:val="24"/>
          <w:szCs w:val="24"/>
          <w:lang w:val="ro-RO"/>
        </w:rPr>
        <w:t>312</w:t>
      </w:r>
      <w:r w:rsidR="00B1630D" w:rsidRPr="006B2701">
        <w:rPr>
          <w:rFonts w:ascii="Tahoma" w:hAnsi="Tahoma" w:cs="Tahoma"/>
          <w:bCs/>
          <w:sz w:val="24"/>
          <w:szCs w:val="24"/>
          <w:lang w:val="ro-RO"/>
        </w:rPr>
        <w:t>/2021, astfel având loc următoarele modificări:</w:t>
      </w:r>
    </w:p>
    <w:p w14:paraId="26D9B437" w14:textId="67ACB556" w:rsidR="00FF3347" w:rsidRPr="006B2701" w:rsidRDefault="00FF3347" w:rsidP="00607304">
      <w:pPr>
        <w:pStyle w:val="ListParagraph"/>
        <w:numPr>
          <w:ilvl w:val="0"/>
          <w:numId w:val="39"/>
        </w:numPr>
        <w:tabs>
          <w:tab w:val="left" w:pos="450"/>
          <w:tab w:val="left" w:pos="1080"/>
        </w:tabs>
        <w:spacing w:before="120" w:after="120" w:line="276" w:lineRule="auto"/>
        <w:ind w:left="851" w:hanging="284"/>
        <w:jc w:val="both"/>
        <w:rPr>
          <w:rFonts w:ascii="Tahoma" w:hAnsi="Tahoma" w:cs="Tahoma"/>
          <w:bCs/>
          <w:sz w:val="24"/>
          <w:szCs w:val="24"/>
          <w:lang w:val="ro-RO"/>
        </w:rPr>
      </w:pPr>
      <w:r w:rsidRPr="006B2701">
        <w:rPr>
          <w:rFonts w:ascii="Tahoma" w:hAnsi="Tahoma" w:cs="Tahoma"/>
          <w:bCs/>
          <w:sz w:val="24"/>
          <w:szCs w:val="24"/>
          <w:lang w:val="ro-RO"/>
        </w:rPr>
        <w:t xml:space="preserve">pentru anul 2022, plafonul nominal al cheltuielilor totale, exclusiv </w:t>
      </w:r>
      <w:r w:rsidR="00374FC1" w:rsidRPr="006B2701">
        <w:rPr>
          <w:rFonts w:ascii="Tahoma" w:hAnsi="Tahoma" w:cs="Tahoma"/>
          <w:bCs/>
          <w:sz w:val="24"/>
          <w:szCs w:val="24"/>
          <w:lang w:val="ro-RO"/>
        </w:rPr>
        <w:t>asistența</w:t>
      </w:r>
      <w:r w:rsidRPr="006B2701">
        <w:rPr>
          <w:rFonts w:ascii="Tahoma" w:hAnsi="Tahoma" w:cs="Tahoma"/>
          <w:bCs/>
          <w:sz w:val="24"/>
          <w:szCs w:val="24"/>
          <w:lang w:val="ro-RO"/>
        </w:rPr>
        <w:t xml:space="preserve"> financiară din partea Uniunii Europene </w:t>
      </w:r>
      <w:proofErr w:type="spellStart"/>
      <w:r w:rsidRPr="006B2701">
        <w:rPr>
          <w:rFonts w:ascii="Tahoma" w:hAnsi="Tahoma" w:cs="Tahoma"/>
          <w:bCs/>
          <w:sz w:val="24"/>
          <w:szCs w:val="24"/>
          <w:lang w:val="ro-RO"/>
        </w:rPr>
        <w:t>şi</w:t>
      </w:r>
      <w:proofErr w:type="spellEnd"/>
      <w:r w:rsidRPr="006B2701">
        <w:rPr>
          <w:rFonts w:ascii="Tahoma" w:hAnsi="Tahoma" w:cs="Tahoma"/>
          <w:bCs/>
          <w:sz w:val="24"/>
          <w:szCs w:val="24"/>
          <w:lang w:val="ro-RO"/>
        </w:rPr>
        <w:t xml:space="preserve"> a altor donatori, pentru bugetul general consolidat este de 496.185,8 milioane lei, pentru bugetul de stat este de 286.962,2 milioane lei, pentru bugetul general centralizat al </w:t>
      </w:r>
      <w:r w:rsidR="00374FC1" w:rsidRPr="006B2701">
        <w:rPr>
          <w:rFonts w:ascii="Tahoma" w:hAnsi="Tahoma" w:cs="Tahoma"/>
          <w:bCs/>
          <w:sz w:val="24"/>
          <w:szCs w:val="24"/>
          <w:lang w:val="ro-RO"/>
        </w:rPr>
        <w:t>unităților</w:t>
      </w:r>
      <w:r w:rsidRPr="006B2701">
        <w:rPr>
          <w:rFonts w:ascii="Tahoma" w:hAnsi="Tahoma" w:cs="Tahoma"/>
          <w:bCs/>
          <w:sz w:val="24"/>
          <w:szCs w:val="24"/>
          <w:lang w:val="ro-RO"/>
        </w:rPr>
        <w:t xml:space="preserve"> administrativ-teritoriale este de 103.920,8 milioane lei, pentru bugetul Fondului </w:t>
      </w:r>
      <w:r w:rsidR="00374FC1" w:rsidRPr="006B2701">
        <w:rPr>
          <w:rFonts w:ascii="Tahoma" w:hAnsi="Tahoma" w:cs="Tahoma"/>
          <w:bCs/>
          <w:sz w:val="24"/>
          <w:szCs w:val="24"/>
          <w:lang w:val="ro-RO"/>
        </w:rPr>
        <w:t>național</w:t>
      </w:r>
      <w:r w:rsidRPr="006B2701">
        <w:rPr>
          <w:rFonts w:ascii="Tahoma" w:hAnsi="Tahoma" w:cs="Tahoma"/>
          <w:bCs/>
          <w:sz w:val="24"/>
          <w:szCs w:val="24"/>
          <w:lang w:val="ro-RO"/>
        </w:rPr>
        <w:t xml:space="preserve"> unic de asigurări sociale de sănătate este de 55.064,5 milioane lei, pentru bugetul </w:t>
      </w:r>
      <w:r w:rsidR="00374FC1" w:rsidRPr="006B2701">
        <w:rPr>
          <w:rFonts w:ascii="Tahoma" w:hAnsi="Tahoma" w:cs="Tahoma"/>
          <w:bCs/>
          <w:sz w:val="24"/>
          <w:szCs w:val="24"/>
          <w:lang w:val="ro-RO"/>
        </w:rPr>
        <w:lastRenderedPageBreak/>
        <w:t>instituțiilor</w:t>
      </w:r>
      <w:r w:rsidRPr="006B2701">
        <w:rPr>
          <w:rFonts w:ascii="Tahoma" w:hAnsi="Tahoma" w:cs="Tahoma"/>
          <w:bCs/>
          <w:sz w:val="24"/>
          <w:szCs w:val="24"/>
          <w:lang w:val="ro-RO"/>
        </w:rPr>
        <w:t>/</w:t>
      </w:r>
      <w:r w:rsidR="00374FC1" w:rsidRPr="006B2701">
        <w:rPr>
          <w:rFonts w:ascii="Tahoma" w:hAnsi="Tahoma" w:cs="Tahoma"/>
          <w:bCs/>
          <w:sz w:val="24"/>
          <w:szCs w:val="24"/>
          <w:lang w:val="ro-RO"/>
        </w:rPr>
        <w:t>activităților</w:t>
      </w:r>
      <w:r w:rsidRPr="006B2701">
        <w:rPr>
          <w:rFonts w:ascii="Tahoma" w:hAnsi="Tahoma" w:cs="Tahoma"/>
          <w:bCs/>
          <w:sz w:val="24"/>
          <w:szCs w:val="24"/>
          <w:lang w:val="ro-RO"/>
        </w:rPr>
        <w:t xml:space="preserve"> </w:t>
      </w:r>
      <w:r w:rsidR="00374FC1" w:rsidRPr="006B2701">
        <w:rPr>
          <w:rFonts w:ascii="Tahoma" w:hAnsi="Tahoma" w:cs="Tahoma"/>
          <w:bCs/>
          <w:sz w:val="24"/>
          <w:szCs w:val="24"/>
          <w:lang w:val="ro-RO"/>
        </w:rPr>
        <w:t>finanțate</w:t>
      </w:r>
      <w:r w:rsidRPr="006B2701">
        <w:rPr>
          <w:rFonts w:ascii="Tahoma" w:hAnsi="Tahoma" w:cs="Tahoma"/>
          <w:bCs/>
          <w:sz w:val="24"/>
          <w:szCs w:val="24"/>
          <w:lang w:val="ro-RO"/>
        </w:rPr>
        <w:t xml:space="preserve"> integral </w:t>
      </w:r>
      <w:proofErr w:type="spellStart"/>
      <w:r w:rsidRPr="006B2701">
        <w:rPr>
          <w:rFonts w:ascii="Tahoma" w:hAnsi="Tahoma" w:cs="Tahoma"/>
          <w:bCs/>
          <w:sz w:val="24"/>
          <w:szCs w:val="24"/>
          <w:lang w:val="ro-RO"/>
        </w:rPr>
        <w:t>şi</w:t>
      </w:r>
      <w:proofErr w:type="spellEnd"/>
      <w:r w:rsidRPr="006B2701">
        <w:rPr>
          <w:rFonts w:ascii="Tahoma" w:hAnsi="Tahoma" w:cs="Tahoma"/>
          <w:bCs/>
          <w:sz w:val="24"/>
          <w:szCs w:val="24"/>
          <w:lang w:val="ro-RO"/>
        </w:rPr>
        <w:t xml:space="preserve">/sau </w:t>
      </w:r>
      <w:r w:rsidR="00374FC1" w:rsidRPr="006B2701">
        <w:rPr>
          <w:rFonts w:ascii="Tahoma" w:hAnsi="Tahoma" w:cs="Tahoma"/>
          <w:bCs/>
          <w:sz w:val="24"/>
          <w:szCs w:val="24"/>
          <w:lang w:val="ro-RO"/>
        </w:rPr>
        <w:t>parțial</w:t>
      </w:r>
      <w:r w:rsidRPr="006B2701">
        <w:rPr>
          <w:rFonts w:ascii="Tahoma" w:hAnsi="Tahoma" w:cs="Tahoma"/>
          <w:bCs/>
          <w:sz w:val="24"/>
          <w:szCs w:val="24"/>
          <w:lang w:val="ro-RO"/>
        </w:rPr>
        <w:t xml:space="preserve"> din venituri proprii este de 36.305,2 milioane lei, pentru alte bugete componente ale bugetului general consolidat este de 13.959,5 milioane lei, pentru bugetul asigurărilor sociale de stat este de 99.114,4 milioane lei, pentru bugetul asigurărilor pentru </w:t>
      </w:r>
      <w:r w:rsidR="00374FC1" w:rsidRPr="006B2701">
        <w:rPr>
          <w:rFonts w:ascii="Tahoma" w:hAnsi="Tahoma" w:cs="Tahoma"/>
          <w:bCs/>
          <w:sz w:val="24"/>
          <w:szCs w:val="24"/>
          <w:lang w:val="ro-RO"/>
        </w:rPr>
        <w:t>șomaj</w:t>
      </w:r>
      <w:r w:rsidRPr="006B2701">
        <w:rPr>
          <w:rFonts w:ascii="Tahoma" w:hAnsi="Tahoma" w:cs="Tahoma"/>
          <w:bCs/>
          <w:sz w:val="24"/>
          <w:szCs w:val="24"/>
          <w:lang w:val="ro-RO"/>
        </w:rPr>
        <w:t xml:space="preserve"> este de 1.699,6 milioane lei;</w:t>
      </w:r>
    </w:p>
    <w:p w14:paraId="08E37767" w14:textId="28DC13F4" w:rsidR="00FF3347" w:rsidRPr="006B2701" w:rsidRDefault="00FF3347" w:rsidP="00FF3347">
      <w:pPr>
        <w:pStyle w:val="ListParagraph"/>
        <w:numPr>
          <w:ilvl w:val="0"/>
          <w:numId w:val="39"/>
        </w:numPr>
        <w:tabs>
          <w:tab w:val="left" w:pos="450"/>
          <w:tab w:val="left" w:pos="1080"/>
        </w:tabs>
        <w:spacing w:before="120" w:after="120" w:line="276" w:lineRule="auto"/>
        <w:ind w:left="851" w:hanging="284"/>
        <w:jc w:val="both"/>
        <w:rPr>
          <w:rFonts w:ascii="Tahoma" w:hAnsi="Tahoma" w:cs="Tahoma"/>
          <w:bCs/>
          <w:sz w:val="24"/>
          <w:szCs w:val="24"/>
          <w:lang w:val="ro-RO"/>
        </w:rPr>
      </w:pPr>
      <w:r w:rsidRPr="006B2701">
        <w:rPr>
          <w:rFonts w:ascii="Tahoma" w:hAnsi="Tahoma" w:cs="Tahoma"/>
          <w:bCs/>
          <w:sz w:val="24"/>
          <w:szCs w:val="24"/>
          <w:lang w:val="ro-RO"/>
        </w:rPr>
        <w:t xml:space="preserve">pentru anul 2022, plafonul nominal al cheltuielilor de personal din bugetul general consolidat este de 118.416,2 milioane lei, iar pentru bugetul de stat este de 59.587,7 milioane lei, pentru bugetul general centralizat al </w:t>
      </w:r>
      <w:r w:rsidR="00374FC1" w:rsidRPr="006B2701">
        <w:rPr>
          <w:rFonts w:ascii="Tahoma" w:hAnsi="Tahoma" w:cs="Tahoma"/>
          <w:bCs/>
          <w:sz w:val="24"/>
          <w:szCs w:val="24"/>
          <w:lang w:val="ro-RO"/>
        </w:rPr>
        <w:t>unităților</w:t>
      </w:r>
      <w:r w:rsidRPr="006B2701">
        <w:rPr>
          <w:rFonts w:ascii="Tahoma" w:hAnsi="Tahoma" w:cs="Tahoma"/>
          <w:bCs/>
          <w:sz w:val="24"/>
          <w:szCs w:val="24"/>
          <w:lang w:val="ro-RO"/>
        </w:rPr>
        <w:t xml:space="preserve"> administrativ-teritoriale este de 37.121,5 milioane lei </w:t>
      </w:r>
      <w:proofErr w:type="spellStart"/>
      <w:r w:rsidRPr="006B2701">
        <w:rPr>
          <w:rFonts w:ascii="Tahoma" w:hAnsi="Tahoma" w:cs="Tahoma"/>
          <w:bCs/>
          <w:sz w:val="24"/>
          <w:szCs w:val="24"/>
          <w:lang w:val="ro-RO"/>
        </w:rPr>
        <w:t>şi</w:t>
      </w:r>
      <w:proofErr w:type="spellEnd"/>
      <w:r w:rsidRPr="006B2701">
        <w:rPr>
          <w:rFonts w:ascii="Tahoma" w:hAnsi="Tahoma" w:cs="Tahoma"/>
          <w:bCs/>
          <w:sz w:val="24"/>
          <w:szCs w:val="24"/>
          <w:lang w:val="ro-RO"/>
        </w:rPr>
        <w:t xml:space="preserve"> pentru bugetul </w:t>
      </w:r>
      <w:r w:rsidR="00374FC1" w:rsidRPr="006B2701">
        <w:rPr>
          <w:rFonts w:ascii="Tahoma" w:hAnsi="Tahoma" w:cs="Tahoma"/>
          <w:bCs/>
          <w:sz w:val="24"/>
          <w:szCs w:val="24"/>
          <w:lang w:val="ro-RO"/>
        </w:rPr>
        <w:t>instituțiilor</w:t>
      </w:r>
      <w:r w:rsidRPr="006B2701">
        <w:rPr>
          <w:rFonts w:ascii="Tahoma" w:hAnsi="Tahoma" w:cs="Tahoma"/>
          <w:bCs/>
          <w:sz w:val="24"/>
          <w:szCs w:val="24"/>
          <w:lang w:val="ro-RO"/>
        </w:rPr>
        <w:t>/</w:t>
      </w:r>
      <w:r w:rsidR="00374FC1" w:rsidRPr="006B2701">
        <w:rPr>
          <w:rFonts w:ascii="Tahoma" w:hAnsi="Tahoma" w:cs="Tahoma"/>
          <w:bCs/>
          <w:sz w:val="24"/>
          <w:szCs w:val="24"/>
          <w:lang w:val="ro-RO"/>
        </w:rPr>
        <w:t>activităților</w:t>
      </w:r>
      <w:r w:rsidRPr="006B2701">
        <w:rPr>
          <w:rFonts w:ascii="Tahoma" w:hAnsi="Tahoma" w:cs="Tahoma"/>
          <w:bCs/>
          <w:sz w:val="24"/>
          <w:szCs w:val="24"/>
          <w:lang w:val="ro-RO"/>
        </w:rPr>
        <w:t xml:space="preserve"> </w:t>
      </w:r>
      <w:r w:rsidR="00374FC1" w:rsidRPr="006B2701">
        <w:rPr>
          <w:rFonts w:ascii="Tahoma" w:hAnsi="Tahoma" w:cs="Tahoma"/>
          <w:bCs/>
          <w:sz w:val="24"/>
          <w:szCs w:val="24"/>
          <w:lang w:val="ro-RO"/>
        </w:rPr>
        <w:t>finanțate</w:t>
      </w:r>
      <w:r w:rsidRPr="006B2701">
        <w:rPr>
          <w:rFonts w:ascii="Tahoma" w:hAnsi="Tahoma" w:cs="Tahoma"/>
          <w:bCs/>
          <w:sz w:val="24"/>
          <w:szCs w:val="24"/>
          <w:lang w:val="ro-RO"/>
        </w:rPr>
        <w:t xml:space="preserve"> integral </w:t>
      </w:r>
      <w:proofErr w:type="spellStart"/>
      <w:r w:rsidRPr="006B2701">
        <w:rPr>
          <w:rFonts w:ascii="Tahoma" w:hAnsi="Tahoma" w:cs="Tahoma"/>
          <w:bCs/>
          <w:sz w:val="24"/>
          <w:szCs w:val="24"/>
          <w:lang w:val="ro-RO"/>
        </w:rPr>
        <w:t>şi</w:t>
      </w:r>
      <w:proofErr w:type="spellEnd"/>
      <w:r w:rsidRPr="006B2701">
        <w:rPr>
          <w:rFonts w:ascii="Tahoma" w:hAnsi="Tahoma" w:cs="Tahoma"/>
          <w:bCs/>
          <w:sz w:val="24"/>
          <w:szCs w:val="24"/>
          <w:lang w:val="ro-RO"/>
        </w:rPr>
        <w:t xml:space="preserve">/sau </w:t>
      </w:r>
      <w:r w:rsidR="00374FC1" w:rsidRPr="006B2701">
        <w:rPr>
          <w:rFonts w:ascii="Tahoma" w:hAnsi="Tahoma" w:cs="Tahoma"/>
          <w:bCs/>
          <w:sz w:val="24"/>
          <w:szCs w:val="24"/>
          <w:lang w:val="ro-RO"/>
        </w:rPr>
        <w:t>parțial</w:t>
      </w:r>
      <w:r w:rsidRPr="006B2701">
        <w:rPr>
          <w:rFonts w:ascii="Tahoma" w:hAnsi="Tahoma" w:cs="Tahoma"/>
          <w:bCs/>
          <w:sz w:val="24"/>
          <w:szCs w:val="24"/>
          <w:lang w:val="ro-RO"/>
        </w:rPr>
        <w:t xml:space="preserve"> din venituri proprii este de 20.066,2 milioane lei, pentru alte bugete componente ale bugetului general consolidat este de 761,0 milioane lei, pentru</w:t>
      </w:r>
      <w:r w:rsidRPr="006B2701">
        <w:rPr>
          <w:rFonts w:ascii="Times New Roman" w:eastAsia="Calibri" w:hAnsi="Times New Roman"/>
          <w:color w:val="0000FF"/>
          <w:sz w:val="28"/>
          <w:szCs w:val="28"/>
          <w:lang w:val="ro-RO" w:eastAsia="ro-RO"/>
        </w:rPr>
        <w:t xml:space="preserve"> </w:t>
      </w:r>
      <w:r w:rsidRPr="006B2701">
        <w:rPr>
          <w:rFonts w:ascii="Tahoma" w:hAnsi="Tahoma" w:cs="Tahoma"/>
          <w:bCs/>
          <w:sz w:val="24"/>
          <w:szCs w:val="24"/>
          <w:lang w:val="ro-RO"/>
        </w:rPr>
        <w:t xml:space="preserve">bugetul asigurărilor sociale de stat este de 413,7 milioane lei, pentru bugetul asigurărilor pentru </w:t>
      </w:r>
      <w:r w:rsidR="00374FC1" w:rsidRPr="006B2701">
        <w:rPr>
          <w:rFonts w:ascii="Tahoma" w:hAnsi="Tahoma" w:cs="Tahoma"/>
          <w:bCs/>
          <w:sz w:val="24"/>
          <w:szCs w:val="24"/>
          <w:lang w:val="ro-RO"/>
        </w:rPr>
        <w:t>șomaj</w:t>
      </w:r>
      <w:r w:rsidRPr="006B2701">
        <w:rPr>
          <w:rFonts w:ascii="Tahoma" w:hAnsi="Tahoma" w:cs="Tahoma"/>
          <w:bCs/>
          <w:sz w:val="24"/>
          <w:szCs w:val="24"/>
          <w:lang w:val="ro-RO"/>
        </w:rPr>
        <w:t xml:space="preserve"> este de 156,2 milioane lei;</w:t>
      </w:r>
    </w:p>
    <w:p w14:paraId="19686098" w14:textId="4838065F" w:rsidR="00FF3347" w:rsidRPr="006B2701" w:rsidRDefault="00FF3347" w:rsidP="00FF3347">
      <w:pPr>
        <w:pStyle w:val="ListParagraph"/>
        <w:numPr>
          <w:ilvl w:val="0"/>
          <w:numId w:val="39"/>
        </w:numPr>
        <w:tabs>
          <w:tab w:val="left" w:pos="450"/>
          <w:tab w:val="left" w:pos="1080"/>
        </w:tabs>
        <w:spacing w:before="120" w:after="120" w:line="276" w:lineRule="auto"/>
        <w:ind w:left="851" w:hanging="284"/>
        <w:jc w:val="both"/>
        <w:rPr>
          <w:rFonts w:ascii="Tahoma" w:hAnsi="Tahoma" w:cs="Tahoma"/>
          <w:bCs/>
          <w:sz w:val="24"/>
          <w:szCs w:val="24"/>
          <w:lang w:val="ro-RO"/>
        </w:rPr>
      </w:pPr>
      <w:r w:rsidRPr="006B2701">
        <w:rPr>
          <w:rFonts w:ascii="Tahoma" w:hAnsi="Tahoma" w:cs="Tahoma"/>
          <w:bCs/>
          <w:sz w:val="24"/>
          <w:szCs w:val="24"/>
          <w:lang w:val="ro-RO"/>
        </w:rPr>
        <w:t xml:space="preserve">pentru anul 2022, plafonul nominal al soldului bugetului general consolidat este de -80.154,0 milioane lei, al soldului bugetului de stat este de -94.595,2 milioane lei, al soldului bugetului Fondului </w:t>
      </w:r>
      <w:r w:rsidR="00374FC1" w:rsidRPr="006B2701">
        <w:rPr>
          <w:rFonts w:ascii="Tahoma" w:hAnsi="Tahoma" w:cs="Tahoma"/>
          <w:bCs/>
          <w:sz w:val="24"/>
          <w:szCs w:val="24"/>
          <w:lang w:val="ro-RO"/>
        </w:rPr>
        <w:t>național</w:t>
      </w:r>
      <w:r w:rsidRPr="006B2701">
        <w:rPr>
          <w:rFonts w:ascii="Tahoma" w:hAnsi="Tahoma" w:cs="Tahoma"/>
          <w:bCs/>
          <w:sz w:val="24"/>
          <w:szCs w:val="24"/>
          <w:lang w:val="ro-RO"/>
        </w:rPr>
        <w:t xml:space="preserve"> unic de asigurări sociale de sănătate este de 0,0 milioane lei </w:t>
      </w:r>
      <w:proofErr w:type="spellStart"/>
      <w:r w:rsidRPr="006B2701">
        <w:rPr>
          <w:rFonts w:ascii="Tahoma" w:hAnsi="Tahoma" w:cs="Tahoma"/>
          <w:bCs/>
          <w:sz w:val="24"/>
          <w:szCs w:val="24"/>
          <w:lang w:val="ro-RO"/>
        </w:rPr>
        <w:t>şi</w:t>
      </w:r>
      <w:proofErr w:type="spellEnd"/>
      <w:r w:rsidRPr="006B2701">
        <w:rPr>
          <w:rFonts w:ascii="Tahoma" w:hAnsi="Tahoma" w:cs="Tahoma"/>
          <w:bCs/>
          <w:sz w:val="24"/>
          <w:szCs w:val="24"/>
          <w:lang w:val="ro-RO"/>
        </w:rPr>
        <w:t xml:space="preserve"> al soldului bugetului </w:t>
      </w:r>
      <w:r w:rsidR="00374FC1" w:rsidRPr="006B2701">
        <w:rPr>
          <w:rFonts w:ascii="Tahoma" w:hAnsi="Tahoma" w:cs="Tahoma"/>
          <w:bCs/>
          <w:sz w:val="24"/>
          <w:szCs w:val="24"/>
          <w:lang w:val="ro-RO"/>
        </w:rPr>
        <w:t>instituțiilor</w:t>
      </w:r>
      <w:r w:rsidRPr="006B2701">
        <w:rPr>
          <w:rFonts w:ascii="Tahoma" w:hAnsi="Tahoma" w:cs="Tahoma"/>
          <w:bCs/>
          <w:sz w:val="24"/>
          <w:szCs w:val="24"/>
          <w:lang w:val="ro-RO"/>
        </w:rPr>
        <w:t>/</w:t>
      </w:r>
      <w:r w:rsidR="00374FC1" w:rsidRPr="006B2701">
        <w:rPr>
          <w:rFonts w:ascii="Tahoma" w:hAnsi="Tahoma" w:cs="Tahoma"/>
          <w:bCs/>
          <w:sz w:val="24"/>
          <w:szCs w:val="24"/>
          <w:lang w:val="ro-RO"/>
        </w:rPr>
        <w:t>activităților</w:t>
      </w:r>
      <w:r w:rsidRPr="006B2701">
        <w:rPr>
          <w:rFonts w:ascii="Tahoma" w:hAnsi="Tahoma" w:cs="Tahoma"/>
          <w:bCs/>
          <w:sz w:val="24"/>
          <w:szCs w:val="24"/>
          <w:lang w:val="ro-RO"/>
        </w:rPr>
        <w:t xml:space="preserve"> </w:t>
      </w:r>
      <w:r w:rsidR="00374FC1" w:rsidRPr="006B2701">
        <w:rPr>
          <w:rFonts w:ascii="Tahoma" w:hAnsi="Tahoma" w:cs="Tahoma"/>
          <w:bCs/>
          <w:sz w:val="24"/>
          <w:szCs w:val="24"/>
          <w:lang w:val="ro-RO"/>
        </w:rPr>
        <w:t>finanțate</w:t>
      </w:r>
      <w:r w:rsidRPr="006B2701">
        <w:rPr>
          <w:rFonts w:ascii="Tahoma" w:hAnsi="Tahoma" w:cs="Tahoma"/>
          <w:bCs/>
          <w:sz w:val="24"/>
          <w:szCs w:val="24"/>
          <w:lang w:val="ro-RO"/>
        </w:rPr>
        <w:t xml:space="preserve"> integral </w:t>
      </w:r>
      <w:proofErr w:type="spellStart"/>
      <w:r w:rsidRPr="006B2701">
        <w:rPr>
          <w:rFonts w:ascii="Tahoma" w:hAnsi="Tahoma" w:cs="Tahoma"/>
          <w:bCs/>
          <w:sz w:val="24"/>
          <w:szCs w:val="24"/>
          <w:lang w:val="ro-RO"/>
        </w:rPr>
        <w:t>şi</w:t>
      </w:r>
      <w:proofErr w:type="spellEnd"/>
      <w:r w:rsidRPr="006B2701">
        <w:rPr>
          <w:rFonts w:ascii="Tahoma" w:hAnsi="Tahoma" w:cs="Tahoma"/>
          <w:bCs/>
          <w:sz w:val="24"/>
          <w:szCs w:val="24"/>
          <w:lang w:val="ro-RO"/>
        </w:rPr>
        <w:t xml:space="preserve">/sau </w:t>
      </w:r>
      <w:r w:rsidR="00374FC1" w:rsidRPr="006B2701">
        <w:rPr>
          <w:rFonts w:ascii="Tahoma" w:hAnsi="Tahoma" w:cs="Tahoma"/>
          <w:bCs/>
          <w:sz w:val="24"/>
          <w:szCs w:val="24"/>
          <w:lang w:val="ro-RO"/>
        </w:rPr>
        <w:t>parțial</w:t>
      </w:r>
      <w:r w:rsidRPr="006B2701">
        <w:rPr>
          <w:rFonts w:ascii="Tahoma" w:hAnsi="Tahoma" w:cs="Tahoma"/>
          <w:bCs/>
          <w:sz w:val="24"/>
          <w:szCs w:val="24"/>
          <w:lang w:val="ro-RO"/>
        </w:rPr>
        <w:t xml:space="preserve"> din venituri proprii este de 5.538,3 milioane lei, al soldului bugetului asigurărilor sociale de stat este de 42 milioane lei, al soldului bugetului asigurărilor pentru </w:t>
      </w:r>
      <w:r w:rsidR="00374FC1" w:rsidRPr="006B2701">
        <w:rPr>
          <w:rFonts w:ascii="Tahoma" w:hAnsi="Tahoma" w:cs="Tahoma"/>
          <w:bCs/>
          <w:sz w:val="24"/>
          <w:szCs w:val="24"/>
          <w:lang w:val="ro-RO"/>
        </w:rPr>
        <w:t>șomaj</w:t>
      </w:r>
      <w:r w:rsidRPr="006B2701">
        <w:rPr>
          <w:rFonts w:ascii="Tahoma" w:hAnsi="Tahoma" w:cs="Tahoma"/>
          <w:bCs/>
          <w:sz w:val="24"/>
          <w:szCs w:val="24"/>
          <w:lang w:val="ro-RO"/>
        </w:rPr>
        <w:t xml:space="preserve"> este de 1.638 milioane lei;</w:t>
      </w:r>
    </w:p>
    <w:p w14:paraId="28D82D47" w14:textId="7FA78565" w:rsidR="00FF3347" w:rsidRPr="006B2701" w:rsidRDefault="00FF3347" w:rsidP="00FF3347">
      <w:pPr>
        <w:pStyle w:val="ListParagraph"/>
        <w:numPr>
          <w:ilvl w:val="0"/>
          <w:numId w:val="39"/>
        </w:numPr>
        <w:tabs>
          <w:tab w:val="left" w:pos="450"/>
          <w:tab w:val="left" w:pos="1080"/>
        </w:tabs>
        <w:spacing w:before="120" w:after="120" w:line="276" w:lineRule="auto"/>
        <w:ind w:left="851" w:hanging="284"/>
        <w:jc w:val="both"/>
        <w:rPr>
          <w:noProof/>
          <w:lang w:val="ro-RO"/>
        </w:rPr>
      </w:pPr>
      <w:r w:rsidRPr="006B2701">
        <w:rPr>
          <w:rFonts w:ascii="Tahoma" w:hAnsi="Tahoma" w:cs="Tahoma"/>
          <w:bCs/>
          <w:sz w:val="24"/>
          <w:szCs w:val="24"/>
          <w:lang w:val="ro-RO"/>
        </w:rPr>
        <w:t xml:space="preserve">pentru anul 2022, plafonul privind </w:t>
      </w:r>
      <w:r w:rsidR="00374FC1" w:rsidRPr="006B2701">
        <w:rPr>
          <w:rFonts w:ascii="Tahoma" w:hAnsi="Tahoma" w:cs="Tahoma"/>
          <w:bCs/>
          <w:sz w:val="24"/>
          <w:szCs w:val="24"/>
          <w:lang w:val="ro-RO"/>
        </w:rPr>
        <w:t>finanțările</w:t>
      </w:r>
      <w:r w:rsidRPr="006B2701">
        <w:rPr>
          <w:rFonts w:ascii="Tahoma" w:hAnsi="Tahoma" w:cs="Tahoma"/>
          <w:bCs/>
          <w:sz w:val="24"/>
          <w:szCs w:val="24"/>
          <w:lang w:val="ro-RO"/>
        </w:rPr>
        <w:t xml:space="preserve"> rambursabile, care pot fi contractate de către </w:t>
      </w:r>
      <w:r w:rsidR="00374FC1" w:rsidRPr="006B2701">
        <w:rPr>
          <w:rFonts w:ascii="Tahoma" w:hAnsi="Tahoma" w:cs="Tahoma"/>
          <w:bCs/>
          <w:sz w:val="24"/>
          <w:szCs w:val="24"/>
          <w:lang w:val="ro-RO"/>
        </w:rPr>
        <w:t>unitățile</w:t>
      </w:r>
      <w:r w:rsidRPr="006B2701">
        <w:rPr>
          <w:rFonts w:ascii="Tahoma" w:hAnsi="Tahoma" w:cs="Tahoma"/>
          <w:bCs/>
          <w:sz w:val="24"/>
          <w:szCs w:val="24"/>
          <w:lang w:val="ro-RO"/>
        </w:rPr>
        <w:t xml:space="preserve">/subdiviziunile administrativ-teritoriale, este în sumă de 2.100 milioane lei, iar plafonul privind tragerile din </w:t>
      </w:r>
      <w:r w:rsidR="00374FC1" w:rsidRPr="006B2701">
        <w:rPr>
          <w:rFonts w:ascii="Tahoma" w:hAnsi="Tahoma" w:cs="Tahoma"/>
          <w:bCs/>
          <w:sz w:val="24"/>
          <w:szCs w:val="24"/>
          <w:lang w:val="ro-RO"/>
        </w:rPr>
        <w:t>finanțările</w:t>
      </w:r>
      <w:r w:rsidRPr="006B2701">
        <w:rPr>
          <w:rFonts w:ascii="Tahoma" w:hAnsi="Tahoma" w:cs="Tahoma"/>
          <w:bCs/>
          <w:sz w:val="24"/>
          <w:szCs w:val="24"/>
          <w:lang w:val="ro-RO"/>
        </w:rPr>
        <w:t xml:space="preserve"> rambursabile contractate sau care urmează a fi contractate de către </w:t>
      </w:r>
      <w:r w:rsidR="00374FC1" w:rsidRPr="006B2701">
        <w:rPr>
          <w:rFonts w:ascii="Tahoma" w:hAnsi="Tahoma" w:cs="Tahoma"/>
          <w:bCs/>
          <w:sz w:val="24"/>
          <w:szCs w:val="24"/>
          <w:lang w:val="ro-RO"/>
        </w:rPr>
        <w:t>unitățile</w:t>
      </w:r>
      <w:r w:rsidRPr="006B2701">
        <w:rPr>
          <w:rFonts w:ascii="Tahoma" w:hAnsi="Tahoma" w:cs="Tahoma"/>
          <w:bCs/>
          <w:sz w:val="24"/>
          <w:szCs w:val="24"/>
          <w:lang w:val="ro-RO"/>
        </w:rPr>
        <w:t xml:space="preserve">/subdiviziunile administrativ-teritoriale este în sumă de 2.500 milioane lei. Valoarea aferentă </w:t>
      </w:r>
      <w:r w:rsidR="00374FC1" w:rsidRPr="006B2701">
        <w:rPr>
          <w:rFonts w:ascii="Tahoma" w:hAnsi="Tahoma" w:cs="Tahoma"/>
          <w:bCs/>
          <w:sz w:val="24"/>
          <w:szCs w:val="24"/>
          <w:lang w:val="ro-RO"/>
        </w:rPr>
        <w:t>finanțărilor</w:t>
      </w:r>
      <w:r w:rsidRPr="006B2701">
        <w:rPr>
          <w:rFonts w:ascii="Tahoma" w:hAnsi="Tahoma" w:cs="Tahoma"/>
          <w:bCs/>
          <w:sz w:val="24"/>
          <w:szCs w:val="24"/>
          <w:lang w:val="ro-RO"/>
        </w:rPr>
        <w:t xml:space="preserve"> rambursabile, care poate fi autorizată anual pentru o unitate/subdiviziune administrativ-teritorială, este de maximum 50 milioane lei, în cazul comunelor; 100 milioane lei, în cazul </w:t>
      </w:r>
      <w:r w:rsidR="00374FC1" w:rsidRPr="006B2701">
        <w:rPr>
          <w:rFonts w:ascii="Tahoma" w:hAnsi="Tahoma" w:cs="Tahoma"/>
          <w:bCs/>
          <w:sz w:val="24"/>
          <w:szCs w:val="24"/>
          <w:lang w:val="ro-RO"/>
        </w:rPr>
        <w:t>orașelor</w:t>
      </w:r>
      <w:r w:rsidRPr="006B2701">
        <w:rPr>
          <w:rFonts w:ascii="Tahoma" w:hAnsi="Tahoma" w:cs="Tahoma"/>
          <w:bCs/>
          <w:sz w:val="24"/>
          <w:szCs w:val="24"/>
          <w:lang w:val="ro-RO"/>
        </w:rPr>
        <w:t xml:space="preserve"> și 150 milioane lei, în cazul municipiilor, sectoarelor municipiului </w:t>
      </w:r>
      <w:r w:rsidR="00374FC1" w:rsidRPr="006B2701">
        <w:rPr>
          <w:rFonts w:ascii="Tahoma" w:hAnsi="Tahoma" w:cs="Tahoma"/>
          <w:bCs/>
          <w:sz w:val="24"/>
          <w:szCs w:val="24"/>
          <w:lang w:val="ro-RO"/>
        </w:rPr>
        <w:t>București</w:t>
      </w:r>
      <w:r w:rsidRPr="006B2701">
        <w:rPr>
          <w:rFonts w:ascii="Tahoma" w:hAnsi="Tahoma" w:cs="Tahoma"/>
          <w:bCs/>
          <w:sz w:val="24"/>
          <w:szCs w:val="24"/>
          <w:lang w:val="ro-RO"/>
        </w:rPr>
        <w:t xml:space="preserve"> </w:t>
      </w:r>
      <w:proofErr w:type="spellStart"/>
      <w:r w:rsidRPr="006B2701">
        <w:rPr>
          <w:rFonts w:ascii="Tahoma" w:hAnsi="Tahoma" w:cs="Tahoma"/>
          <w:bCs/>
          <w:sz w:val="24"/>
          <w:szCs w:val="24"/>
          <w:lang w:val="ro-RO"/>
        </w:rPr>
        <w:t>şi</w:t>
      </w:r>
      <w:proofErr w:type="spellEnd"/>
      <w:r w:rsidRPr="006B2701">
        <w:rPr>
          <w:rFonts w:ascii="Tahoma" w:hAnsi="Tahoma" w:cs="Tahoma"/>
          <w:bCs/>
          <w:sz w:val="24"/>
          <w:szCs w:val="24"/>
          <w:lang w:val="ro-RO"/>
        </w:rPr>
        <w:t xml:space="preserve"> </w:t>
      </w:r>
      <w:r w:rsidR="00374FC1" w:rsidRPr="006B2701">
        <w:rPr>
          <w:rFonts w:ascii="Tahoma" w:hAnsi="Tahoma" w:cs="Tahoma"/>
          <w:bCs/>
          <w:sz w:val="24"/>
          <w:szCs w:val="24"/>
          <w:lang w:val="ro-RO"/>
        </w:rPr>
        <w:t>județelor</w:t>
      </w:r>
      <w:r w:rsidRPr="006B2701">
        <w:rPr>
          <w:rFonts w:ascii="Tahoma" w:hAnsi="Tahoma" w:cs="Tahoma"/>
          <w:bCs/>
          <w:sz w:val="24"/>
          <w:szCs w:val="24"/>
          <w:lang w:val="ro-RO"/>
        </w:rPr>
        <w:t>.</w:t>
      </w:r>
    </w:p>
    <w:p w14:paraId="36235888" w14:textId="1FC37526" w:rsidR="00163134" w:rsidRPr="006B2701" w:rsidRDefault="00AC190C" w:rsidP="00AC190C">
      <w:pPr>
        <w:tabs>
          <w:tab w:val="left" w:pos="450"/>
          <w:tab w:val="left" w:pos="1080"/>
        </w:tabs>
        <w:spacing w:before="120" w:after="120" w:line="276" w:lineRule="auto"/>
        <w:jc w:val="center"/>
        <w:rPr>
          <w:rFonts w:ascii="Tahoma" w:hAnsi="Tahoma" w:cs="Tahoma"/>
          <w:noProof/>
          <w:sz w:val="24"/>
          <w:szCs w:val="24"/>
          <w:lang w:val="ro-RO"/>
        </w:rPr>
      </w:pPr>
      <w:r w:rsidRPr="006B2701">
        <w:rPr>
          <w:rFonts w:ascii="Tahoma" w:hAnsi="Tahoma" w:cs="Tahoma"/>
          <w:noProof/>
          <w:sz w:val="24"/>
          <w:szCs w:val="24"/>
          <w:lang w:val="ro-RO"/>
        </w:rPr>
        <w:t>Plafoane privind soldul bugetar pe principalele bugete componente 2022</w:t>
      </w:r>
    </w:p>
    <w:p w14:paraId="59A28AD6" w14:textId="23356FA6" w:rsidR="00163134" w:rsidRPr="006B2701" w:rsidRDefault="0073616C" w:rsidP="00163134">
      <w:pPr>
        <w:tabs>
          <w:tab w:val="left" w:pos="450"/>
          <w:tab w:val="left" w:pos="1080"/>
        </w:tabs>
        <w:spacing w:before="120" w:after="120" w:line="276" w:lineRule="auto"/>
        <w:jc w:val="both"/>
        <w:rPr>
          <w:noProof/>
          <w:lang w:val="ro-RO"/>
        </w:rPr>
      </w:pPr>
      <w:r>
        <w:rPr>
          <w:noProof/>
          <w:lang w:val="ro-RO"/>
        </w:rPr>
        <w:pict w14:anchorId="201A121C">
          <v:shape id="_x0000_i1030" type="#_x0000_t75" style="width:489.05pt;height:184.75pt">
            <v:imagedata r:id="rId12" o:title=""/>
          </v:shape>
        </w:pict>
      </w:r>
    </w:p>
    <w:p w14:paraId="2D1537F3" w14:textId="77777777" w:rsidR="00AC190C" w:rsidRPr="006B2701" w:rsidRDefault="00AC190C" w:rsidP="00C363EC">
      <w:pPr>
        <w:pStyle w:val="ListParagraph"/>
        <w:tabs>
          <w:tab w:val="left" w:pos="450"/>
          <w:tab w:val="left" w:pos="1080"/>
        </w:tabs>
        <w:spacing w:before="120" w:after="120" w:line="276" w:lineRule="auto"/>
        <w:ind w:left="0"/>
        <w:jc w:val="center"/>
        <w:rPr>
          <w:rFonts w:ascii="Tahoma" w:hAnsi="Tahoma" w:cs="Tahoma"/>
          <w:sz w:val="24"/>
          <w:szCs w:val="24"/>
          <w:lang w:val="ro-RO"/>
        </w:rPr>
      </w:pPr>
    </w:p>
    <w:p w14:paraId="524FC610" w14:textId="77777777" w:rsidR="00AC190C" w:rsidRPr="006B2701" w:rsidRDefault="00AC190C" w:rsidP="00C363EC">
      <w:pPr>
        <w:pStyle w:val="ListParagraph"/>
        <w:tabs>
          <w:tab w:val="left" w:pos="450"/>
          <w:tab w:val="left" w:pos="1080"/>
        </w:tabs>
        <w:spacing w:before="120" w:after="120" w:line="276" w:lineRule="auto"/>
        <w:ind w:left="0"/>
        <w:jc w:val="center"/>
        <w:rPr>
          <w:rFonts w:ascii="Tahoma" w:hAnsi="Tahoma" w:cs="Tahoma"/>
          <w:sz w:val="24"/>
          <w:szCs w:val="24"/>
          <w:lang w:val="ro-RO"/>
        </w:rPr>
      </w:pPr>
    </w:p>
    <w:p w14:paraId="59A8F24D" w14:textId="48AA8F7F" w:rsidR="00163134" w:rsidRPr="006B2701" w:rsidRDefault="00BA5E33" w:rsidP="00C363EC">
      <w:pPr>
        <w:pStyle w:val="ListParagraph"/>
        <w:tabs>
          <w:tab w:val="left" w:pos="450"/>
          <w:tab w:val="left" w:pos="1080"/>
        </w:tabs>
        <w:spacing w:before="120" w:after="120" w:line="276" w:lineRule="auto"/>
        <w:ind w:left="0"/>
        <w:jc w:val="center"/>
        <w:rPr>
          <w:rFonts w:ascii="Tahoma" w:hAnsi="Tahoma" w:cs="Tahoma"/>
          <w:sz w:val="24"/>
          <w:szCs w:val="24"/>
          <w:lang w:val="ro-RO"/>
        </w:rPr>
      </w:pPr>
      <w:r w:rsidRPr="006B2701">
        <w:rPr>
          <w:rFonts w:ascii="Tahoma" w:hAnsi="Tahoma" w:cs="Tahoma"/>
          <w:sz w:val="24"/>
          <w:szCs w:val="24"/>
          <w:lang w:val="ro-RO"/>
        </w:rPr>
        <w:t xml:space="preserve">Plafoane privind cheltuieli totale exclusiv asistenta financiara din partea UE sau </w:t>
      </w:r>
      <w:r w:rsidR="00D91734" w:rsidRPr="006B2701">
        <w:rPr>
          <w:rFonts w:ascii="Tahoma" w:hAnsi="Tahoma" w:cs="Tahoma"/>
          <w:sz w:val="24"/>
          <w:szCs w:val="24"/>
          <w:lang w:val="ro-RO"/>
        </w:rPr>
        <w:t>alți</w:t>
      </w:r>
      <w:r w:rsidRPr="006B2701">
        <w:rPr>
          <w:rFonts w:ascii="Tahoma" w:hAnsi="Tahoma" w:cs="Tahoma"/>
          <w:sz w:val="24"/>
          <w:szCs w:val="24"/>
          <w:lang w:val="ro-RO"/>
        </w:rPr>
        <w:t xml:space="preserve"> donatori, în anul </w:t>
      </w:r>
      <w:r w:rsidR="00DB15BA" w:rsidRPr="006B2701">
        <w:rPr>
          <w:rFonts w:ascii="Tahoma" w:hAnsi="Tahoma" w:cs="Tahoma"/>
          <w:sz w:val="24"/>
          <w:szCs w:val="24"/>
          <w:lang w:val="ro-RO"/>
        </w:rPr>
        <w:t>202</w:t>
      </w:r>
      <w:r w:rsidR="00163134" w:rsidRPr="006B2701">
        <w:rPr>
          <w:rFonts w:ascii="Tahoma" w:hAnsi="Tahoma" w:cs="Tahoma"/>
          <w:sz w:val="24"/>
          <w:szCs w:val="24"/>
          <w:lang w:val="ro-RO"/>
        </w:rPr>
        <w:t>2</w:t>
      </w:r>
    </w:p>
    <w:p w14:paraId="69871C42" w14:textId="6AA18643" w:rsidR="00163134" w:rsidRPr="006B2701" w:rsidRDefault="0073616C" w:rsidP="00163134">
      <w:pPr>
        <w:pStyle w:val="ListParagraph"/>
        <w:tabs>
          <w:tab w:val="left" w:pos="0"/>
          <w:tab w:val="left" w:pos="1080"/>
        </w:tabs>
        <w:spacing w:before="120" w:after="120" w:line="276" w:lineRule="auto"/>
        <w:ind w:left="0"/>
        <w:jc w:val="center"/>
        <w:rPr>
          <w:rFonts w:ascii="Tahoma" w:hAnsi="Tahoma" w:cs="Tahoma"/>
          <w:sz w:val="24"/>
          <w:szCs w:val="24"/>
          <w:lang w:val="ro-RO"/>
        </w:rPr>
      </w:pPr>
      <w:r>
        <w:rPr>
          <w:rFonts w:ascii="Tahoma" w:hAnsi="Tahoma" w:cs="Tahoma"/>
          <w:sz w:val="24"/>
          <w:szCs w:val="24"/>
          <w:lang w:val="ro-RO"/>
        </w:rPr>
        <w:pict w14:anchorId="3F3EE344">
          <v:shape id="_x0000_i1031" type="#_x0000_t75" style="width:479.55pt;height:339.6pt">
            <v:imagedata r:id="rId13" o:title=""/>
          </v:shape>
        </w:pict>
      </w:r>
    </w:p>
    <w:p w14:paraId="6E3BE1B4" w14:textId="77777777" w:rsidR="00AC190C" w:rsidRPr="006B2701" w:rsidRDefault="00AC190C" w:rsidP="00FF3347">
      <w:pPr>
        <w:pStyle w:val="ListParagraph"/>
        <w:tabs>
          <w:tab w:val="left" w:pos="450"/>
          <w:tab w:val="left" w:pos="1080"/>
        </w:tabs>
        <w:spacing w:before="120" w:after="120" w:line="276" w:lineRule="auto"/>
        <w:jc w:val="center"/>
        <w:rPr>
          <w:noProof/>
          <w:lang w:val="ro-RO"/>
        </w:rPr>
      </w:pPr>
    </w:p>
    <w:p w14:paraId="062136EE" w14:textId="77777777" w:rsidR="00C363EC" w:rsidRPr="006B2701" w:rsidRDefault="00C363EC" w:rsidP="000F5753">
      <w:pPr>
        <w:spacing w:line="276" w:lineRule="auto"/>
        <w:rPr>
          <w:rFonts w:ascii="Arial" w:hAnsi="Arial" w:cs="Arial"/>
          <w:b/>
          <w:bCs/>
          <w:sz w:val="24"/>
          <w:szCs w:val="24"/>
          <w:lang w:val="ro-RO"/>
        </w:rPr>
      </w:pPr>
    </w:p>
    <w:p w14:paraId="7567E183" w14:textId="455F3AEA" w:rsidR="00BA5E33" w:rsidRPr="006B2701" w:rsidRDefault="00BA5E33" w:rsidP="000F5753">
      <w:pPr>
        <w:spacing w:line="276" w:lineRule="auto"/>
        <w:rPr>
          <w:rFonts w:ascii="Arial" w:hAnsi="Arial" w:cs="Arial"/>
          <w:b/>
          <w:bCs/>
          <w:sz w:val="24"/>
          <w:szCs w:val="24"/>
          <w:lang w:val="ro-RO"/>
        </w:rPr>
      </w:pPr>
      <w:r w:rsidRPr="006B2701">
        <w:rPr>
          <w:rFonts w:ascii="Arial" w:hAnsi="Arial" w:cs="Arial"/>
          <w:b/>
          <w:bCs/>
          <w:sz w:val="24"/>
          <w:szCs w:val="24"/>
          <w:lang w:val="ro-RO"/>
        </w:rPr>
        <w:t xml:space="preserve">III. 3. Evaluarea țintelor </w:t>
      </w:r>
      <w:r w:rsidR="00C61FEE" w:rsidRPr="006B2701">
        <w:rPr>
          <w:rFonts w:ascii="Arial" w:hAnsi="Arial" w:cs="Arial"/>
          <w:b/>
          <w:bCs/>
          <w:sz w:val="24"/>
          <w:szCs w:val="24"/>
          <w:lang w:val="ro-RO"/>
        </w:rPr>
        <w:t>și</w:t>
      </w:r>
      <w:r w:rsidRPr="006B2701">
        <w:rPr>
          <w:rFonts w:ascii="Arial" w:hAnsi="Arial" w:cs="Arial"/>
          <w:b/>
          <w:bCs/>
          <w:sz w:val="24"/>
          <w:szCs w:val="24"/>
          <w:lang w:val="ro-RO"/>
        </w:rPr>
        <w:t xml:space="preserve"> a indicatorilor bugetari</w:t>
      </w:r>
    </w:p>
    <w:p w14:paraId="2D434BE9" w14:textId="2D83BD41" w:rsidR="00BA5E33" w:rsidRPr="006B2701" w:rsidRDefault="00BA5E33" w:rsidP="000F5753">
      <w:pPr>
        <w:spacing w:line="276" w:lineRule="auto"/>
        <w:rPr>
          <w:rFonts w:ascii="Arial" w:hAnsi="Arial" w:cs="Arial"/>
          <w:b/>
          <w:bCs/>
          <w:sz w:val="24"/>
          <w:szCs w:val="24"/>
          <w:lang w:val="ro-RO"/>
        </w:rPr>
      </w:pPr>
    </w:p>
    <w:p w14:paraId="32003211" w14:textId="77777777" w:rsidR="00C91F96" w:rsidRPr="006B2701" w:rsidRDefault="00C91F96" w:rsidP="000F5753">
      <w:pPr>
        <w:spacing w:line="276" w:lineRule="auto"/>
        <w:rPr>
          <w:rFonts w:ascii="Arial" w:hAnsi="Arial" w:cs="Arial"/>
          <w:b/>
          <w:bCs/>
          <w:sz w:val="24"/>
          <w:szCs w:val="24"/>
          <w:lang w:val="ro-RO"/>
        </w:rPr>
      </w:pPr>
    </w:p>
    <w:p w14:paraId="09C40416" w14:textId="5252BBB7" w:rsidR="00BA5E33" w:rsidRPr="006B2701" w:rsidRDefault="00BA5E33" w:rsidP="00754094">
      <w:pPr>
        <w:spacing w:line="276" w:lineRule="auto"/>
        <w:jc w:val="both"/>
        <w:rPr>
          <w:rFonts w:ascii="Arial" w:hAnsi="Arial" w:cs="Arial"/>
          <w:sz w:val="24"/>
          <w:szCs w:val="24"/>
          <w:lang w:val="ro-RO"/>
        </w:rPr>
      </w:pPr>
      <w:r w:rsidRPr="006B2701">
        <w:rPr>
          <w:rFonts w:ascii="Arial" w:hAnsi="Arial" w:cs="Arial"/>
          <w:sz w:val="24"/>
          <w:szCs w:val="24"/>
          <w:lang w:val="ro-RO"/>
        </w:rPr>
        <w:t xml:space="preserve">La elaborarea legilor bugetare anuale, s-a avut în vedere un deficit al bugetului general consolidat aferent anului </w:t>
      </w:r>
      <w:r w:rsidR="00A85E7C" w:rsidRPr="006B2701">
        <w:rPr>
          <w:rFonts w:ascii="Arial" w:hAnsi="Arial" w:cs="Arial"/>
          <w:sz w:val="24"/>
          <w:szCs w:val="24"/>
          <w:lang w:val="ro-RO"/>
        </w:rPr>
        <w:t>202</w:t>
      </w:r>
      <w:r w:rsidR="00AC190C" w:rsidRPr="006B2701">
        <w:rPr>
          <w:rFonts w:ascii="Arial" w:hAnsi="Arial" w:cs="Arial"/>
          <w:sz w:val="24"/>
          <w:szCs w:val="24"/>
          <w:lang w:val="ro-RO"/>
        </w:rPr>
        <w:t>2</w:t>
      </w:r>
      <w:r w:rsidRPr="006B2701">
        <w:rPr>
          <w:rFonts w:ascii="Arial" w:hAnsi="Arial" w:cs="Arial"/>
          <w:sz w:val="24"/>
          <w:szCs w:val="24"/>
          <w:lang w:val="ro-RO"/>
        </w:rPr>
        <w:t xml:space="preserve">, în bază cash, de </w:t>
      </w:r>
      <w:r w:rsidR="00AC190C" w:rsidRPr="006B2701">
        <w:rPr>
          <w:rFonts w:ascii="Arial" w:hAnsi="Arial" w:cs="Arial"/>
          <w:sz w:val="24"/>
          <w:szCs w:val="24"/>
          <w:lang w:val="ro-RO"/>
        </w:rPr>
        <w:t>5,84</w:t>
      </w:r>
      <w:r w:rsidRPr="006B2701">
        <w:rPr>
          <w:rFonts w:ascii="Arial" w:hAnsi="Arial" w:cs="Arial"/>
          <w:sz w:val="24"/>
          <w:szCs w:val="24"/>
          <w:lang w:val="ro-RO"/>
        </w:rPr>
        <w:t>% din PIB, nivel similar cu cel asumat în strategia fiscal bugetară aprobată</w:t>
      </w:r>
      <w:r w:rsidR="00AF28B7" w:rsidRPr="006B2701">
        <w:rPr>
          <w:rFonts w:ascii="Arial" w:hAnsi="Arial" w:cs="Arial"/>
          <w:sz w:val="24"/>
          <w:szCs w:val="24"/>
          <w:lang w:val="ro-RO"/>
        </w:rPr>
        <w:t xml:space="preserve"> și în Legea</w:t>
      </w:r>
      <w:r w:rsidR="00AF28B7" w:rsidRPr="006B2701">
        <w:rPr>
          <w:rStyle w:val="FootnoteReference"/>
          <w:rFonts w:ascii="Arial" w:hAnsi="Arial"/>
          <w:sz w:val="24"/>
          <w:szCs w:val="24"/>
          <w:lang w:val="ro-RO"/>
        </w:rPr>
        <w:footnoteReference w:id="2"/>
      </w:r>
      <w:r w:rsidR="00AF28B7" w:rsidRPr="006B2701">
        <w:rPr>
          <w:rFonts w:ascii="Arial" w:hAnsi="Arial" w:cs="Arial"/>
          <w:sz w:val="24"/>
          <w:szCs w:val="24"/>
          <w:lang w:val="ro-RO"/>
        </w:rPr>
        <w:t xml:space="preserve"> nr.</w:t>
      </w:r>
      <w:r w:rsidR="00AC190C" w:rsidRPr="006B2701">
        <w:rPr>
          <w:rFonts w:ascii="Arial" w:hAnsi="Arial" w:cs="Arial"/>
          <w:sz w:val="24"/>
          <w:szCs w:val="24"/>
          <w:lang w:val="ro-RO"/>
        </w:rPr>
        <w:t>312</w:t>
      </w:r>
      <w:r w:rsidR="00AF28B7" w:rsidRPr="006B2701">
        <w:rPr>
          <w:rFonts w:ascii="Arial" w:hAnsi="Arial" w:cs="Arial"/>
          <w:sz w:val="24"/>
          <w:szCs w:val="24"/>
          <w:lang w:val="ro-RO"/>
        </w:rPr>
        <w:t>/</w:t>
      </w:r>
      <w:r w:rsidR="00A85E7C" w:rsidRPr="006B2701">
        <w:rPr>
          <w:rFonts w:ascii="Arial" w:hAnsi="Arial" w:cs="Arial"/>
          <w:sz w:val="24"/>
          <w:szCs w:val="24"/>
          <w:lang w:val="ro-RO"/>
        </w:rPr>
        <w:t>2021</w:t>
      </w:r>
      <w:r w:rsidRPr="006B2701">
        <w:rPr>
          <w:rFonts w:ascii="Arial" w:hAnsi="Arial" w:cs="Arial"/>
          <w:sz w:val="24"/>
          <w:szCs w:val="24"/>
          <w:lang w:val="ro-RO"/>
        </w:rPr>
        <w:t>.</w:t>
      </w:r>
      <w:r w:rsidRPr="006B2701">
        <w:rPr>
          <w:rFonts w:ascii="Arial" w:hAnsi="Arial" w:cs="Arial"/>
          <w:color w:val="FF0000"/>
          <w:sz w:val="24"/>
          <w:szCs w:val="24"/>
          <w:lang w:val="ro-RO"/>
        </w:rPr>
        <w:t xml:space="preserve"> </w:t>
      </w:r>
      <w:r w:rsidRPr="006B2701">
        <w:rPr>
          <w:rFonts w:ascii="Arial" w:hAnsi="Arial" w:cs="Arial"/>
          <w:sz w:val="24"/>
          <w:szCs w:val="24"/>
          <w:lang w:val="ro-RO"/>
        </w:rPr>
        <w:t>În urma rectificărilor</w:t>
      </w:r>
      <w:r w:rsidR="00AF28B7" w:rsidRPr="006B2701">
        <w:rPr>
          <w:rFonts w:ascii="Arial" w:hAnsi="Arial" w:cs="Arial"/>
          <w:sz w:val="24"/>
          <w:szCs w:val="24"/>
          <w:lang w:val="ro-RO"/>
        </w:rPr>
        <w:t xml:space="preserve"> bugetare</w:t>
      </w:r>
      <w:r w:rsidRPr="006B2701">
        <w:rPr>
          <w:rFonts w:ascii="Arial" w:hAnsi="Arial" w:cs="Arial"/>
          <w:sz w:val="24"/>
          <w:szCs w:val="24"/>
          <w:lang w:val="ro-RO"/>
        </w:rPr>
        <w:t xml:space="preserve"> efectuate pe parcursul anului </w:t>
      </w:r>
      <w:r w:rsidR="00A85E7C" w:rsidRPr="006B2701">
        <w:rPr>
          <w:rFonts w:ascii="Arial" w:hAnsi="Arial" w:cs="Arial"/>
          <w:sz w:val="24"/>
          <w:szCs w:val="24"/>
          <w:lang w:val="ro-RO"/>
        </w:rPr>
        <w:t>202</w:t>
      </w:r>
      <w:r w:rsidR="00AC190C" w:rsidRPr="006B2701">
        <w:rPr>
          <w:rFonts w:ascii="Arial" w:hAnsi="Arial" w:cs="Arial"/>
          <w:sz w:val="24"/>
          <w:szCs w:val="24"/>
          <w:lang w:val="ro-RO"/>
        </w:rPr>
        <w:t>2</w:t>
      </w:r>
      <w:r w:rsidR="00A85E7C" w:rsidRPr="006B2701">
        <w:rPr>
          <w:rFonts w:ascii="Arial" w:hAnsi="Arial" w:cs="Arial"/>
          <w:sz w:val="24"/>
          <w:szCs w:val="24"/>
          <w:lang w:val="ro-RO"/>
        </w:rPr>
        <w:t xml:space="preserve"> </w:t>
      </w:r>
      <w:r w:rsidR="00AF28B7" w:rsidRPr="006B2701">
        <w:rPr>
          <w:rFonts w:ascii="Arial" w:hAnsi="Arial" w:cs="Arial"/>
          <w:sz w:val="24"/>
          <w:szCs w:val="24"/>
          <w:lang w:val="ro-RO"/>
        </w:rPr>
        <w:t xml:space="preserve">plafonul </w:t>
      </w:r>
      <w:r w:rsidRPr="006B2701">
        <w:rPr>
          <w:rFonts w:ascii="Arial" w:hAnsi="Arial" w:cs="Arial"/>
          <w:sz w:val="24"/>
          <w:szCs w:val="24"/>
          <w:lang w:val="ro-RO"/>
        </w:rPr>
        <w:t>soldul</w:t>
      </w:r>
      <w:r w:rsidR="00AF28B7" w:rsidRPr="006B2701">
        <w:rPr>
          <w:rFonts w:ascii="Arial" w:hAnsi="Arial" w:cs="Arial"/>
          <w:sz w:val="24"/>
          <w:szCs w:val="24"/>
          <w:lang w:val="ro-RO"/>
        </w:rPr>
        <w:t>ui</w:t>
      </w:r>
      <w:r w:rsidRPr="006B2701">
        <w:rPr>
          <w:rFonts w:ascii="Arial" w:hAnsi="Arial" w:cs="Arial"/>
          <w:sz w:val="24"/>
          <w:szCs w:val="24"/>
          <w:lang w:val="ro-RO"/>
        </w:rPr>
        <w:t xml:space="preserve"> bugetului general consolidat exprimat ca procent în PIB </w:t>
      </w:r>
      <w:r w:rsidR="007D268E" w:rsidRPr="006B2701">
        <w:rPr>
          <w:rFonts w:ascii="Arial" w:hAnsi="Arial" w:cs="Arial"/>
          <w:sz w:val="24"/>
          <w:szCs w:val="24"/>
          <w:lang w:val="ro-RO"/>
        </w:rPr>
        <w:t xml:space="preserve">a </w:t>
      </w:r>
      <w:r w:rsidR="002076C3" w:rsidRPr="006B2701">
        <w:rPr>
          <w:rFonts w:ascii="Arial" w:hAnsi="Arial" w:cs="Arial"/>
          <w:sz w:val="24"/>
          <w:szCs w:val="24"/>
          <w:lang w:val="ro-RO"/>
        </w:rPr>
        <w:t xml:space="preserve">fost </w:t>
      </w:r>
      <w:r w:rsidR="00A85E7C" w:rsidRPr="006B2701">
        <w:rPr>
          <w:rFonts w:ascii="Arial" w:hAnsi="Arial" w:cs="Arial"/>
          <w:sz w:val="24"/>
          <w:szCs w:val="24"/>
          <w:lang w:val="ro-RO"/>
        </w:rPr>
        <w:t xml:space="preserve">diminuat </w:t>
      </w:r>
      <w:r w:rsidR="002076C3" w:rsidRPr="006B2701">
        <w:rPr>
          <w:rFonts w:ascii="Arial" w:hAnsi="Arial" w:cs="Arial"/>
          <w:sz w:val="24"/>
          <w:szCs w:val="24"/>
          <w:lang w:val="ro-RO"/>
        </w:rPr>
        <w:t xml:space="preserve">la </w:t>
      </w:r>
      <w:r w:rsidR="00AF28B7" w:rsidRPr="006B2701">
        <w:rPr>
          <w:rFonts w:ascii="Arial" w:hAnsi="Arial" w:cs="Arial"/>
          <w:sz w:val="24"/>
          <w:szCs w:val="24"/>
          <w:lang w:val="ro-RO"/>
        </w:rPr>
        <w:t>-</w:t>
      </w:r>
      <w:r w:rsidR="00AC190C" w:rsidRPr="006B2701">
        <w:rPr>
          <w:rFonts w:ascii="Arial" w:hAnsi="Arial" w:cs="Arial"/>
          <w:sz w:val="24"/>
          <w:szCs w:val="24"/>
          <w:lang w:val="ro-RO"/>
        </w:rPr>
        <w:t>5,74</w:t>
      </w:r>
      <w:r w:rsidR="002076C3" w:rsidRPr="006B2701">
        <w:rPr>
          <w:rFonts w:ascii="Arial" w:hAnsi="Arial" w:cs="Arial"/>
          <w:sz w:val="24"/>
          <w:szCs w:val="24"/>
          <w:lang w:val="ro-RO"/>
        </w:rPr>
        <w:t>% din PIB.</w:t>
      </w:r>
      <w:r w:rsidRPr="006B2701">
        <w:rPr>
          <w:rFonts w:ascii="Arial" w:hAnsi="Arial" w:cs="Arial"/>
          <w:sz w:val="24"/>
          <w:szCs w:val="24"/>
          <w:lang w:val="ro-RO"/>
        </w:rPr>
        <w:t xml:space="preserve"> </w:t>
      </w:r>
    </w:p>
    <w:p w14:paraId="4CDFF3F2" w14:textId="3BBEB24F" w:rsidR="006A0055" w:rsidRPr="006B2701" w:rsidRDefault="006A0055" w:rsidP="000F5753">
      <w:pPr>
        <w:spacing w:line="276" w:lineRule="auto"/>
        <w:ind w:firstLine="708"/>
        <w:rPr>
          <w:rFonts w:ascii="Arial" w:hAnsi="Arial" w:cs="Arial"/>
          <w:sz w:val="24"/>
          <w:szCs w:val="24"/>
          <w:lang w:val="ro-RO"/>
        </w:rPr>
      </w:pPr>
    </w:p>
    <w:p w14:paraId="1DCB4B1B" w14:textId="7992CFB7" w:rsidR="00C91F96" w:rsidRPr="006B2701" w:rsidRDefault="00C91F96" w:rsidP="000F5753">
      <w:pPr>
        <w:spacing w:line="276" w:lineRule="auto"/>
        <w:ind w:firstLine="708"/>
        <w:rPr>
          <w:rFonts w:ascii="Arial" w:hAnsi="Arial" w:cs="Arial"/>
          <w:sz w:val="24"/>
          <w:szCs w:val="24"/>
          <w:lang w:val="ro-RO"/>
        </w:rPr>
      </w:pPr>
    </w:p>
    <w:p w14:paraId="03DD4896" w14:textId="77777777" w:rsidR="00C91F96" w:rsidRPr="006B2701" w:rsidRDefault="00C91F96" w:rsidP="000F5753">
      <w:pPr>
        <w:spacing w:line="276" w:lineRule="auto"/>
        <w:ind w:firstLine="708"/>
        <w:rPr>
          <w:rFonts w:ascii="Arial" w:hAnsi="Arial" w:cs="Arial"/>
          <w:sz w:val="24"/>
          <w:szCs w:val="24"/>
          <w:lang w:val="ro-RO"/>
        </w:rPr>
      </w:pPr>
    </w:p>
    <w:p w14:paraId="2F05245C" w14:textId="72CAAC1A" w:rsidR="00BA5E33" w:rsidRPr="006B2701" w:rsidRDefault="00BA5E33" w:rsidP="00D52F88">
      <w:pPr>
        <w:spacing w:after="120" w:line="276" w:lineRule="auto"/>
        <w:ind w:firstLine="706"/>
        <w:rPr>
          <w:rFonts w:ascii="Arial" w:hAnsi="Arial" w:cs="Arial"/>
          <w:sz w:val="24"/>
          <w:szCs w:val="24"/>
          <w:lang w:val="ro-RO"/>
        </w:rPr>
      </w:pPr>
      <w:r w:rsidRPr="006B2701">
        <w:rPr>
          <w:rFonts w:ascii="Arial" w:hAnsi="Arial" w:cs="Arial"/>
          <w:sz w:val="24"/>
          <w:szCs w:val="24"/>
          <w:lang w:val="ro-RO"/>
        </w:rPr>
        <w:lastRenderedPageBreak/>
        <w:t xml:space="preserve">Soldul bugetar pe principalele bugete componente </w:t>
      </w:r>
      <w:r w:rsidR="00A85E7C" w:rsidRPr="006B2701">
        <w:rPr>
          <w:rFonts w:ascii="Arial" w:hAnsi="Arial" w:cs="Arial"/>
          <w:sz w:val="24"/>
          <w:szCs w:val="24"/>
          <w:lang w:val="ro-RO"/>
        </w:rPr>
        <w:t>202</w:t>
      </w:r>
      <w:r w:rsidR="002944EA" w:rsidRPr="006B2701">
        <w:rPr>
          <w:rFonts w:ascii="Arial" w:hAnsi="Arial" w:cs="Arial"/>
          <w:sz w:val="24"/>
          <w:szCs w:val="24"/>
          <w:lang w:val="ro-RO"/>
        </w:rPr>
        <w:t>2</w:t>
      </w:r>
      <w:r w:rsidR="00A85E7C" w:rsidRPr="006B2701">
        <w:rPr>
          <w:rFonts w:ascii="Arial" w:hAnsi="Arial" w:cs="Arial"/>
          <w:sz w:val="24"/>
          <w:szCs w:val="24"/>
          <w:lang w:val="ro-RO"/>
        </w:rPr>
        <w:t xml:space="preserve"> </w:t>
      </w:r>
      <w:r w:rsidRPr="006B2701">
        <w:rPr>
          <w:rFonts w:ascii="Arial" w:hAnsi="Arial" w:cs="Arial"/>
          <w:sz w:val="24"/>
          <w:szCs w:val="24"/>
          <w:lang w:val="ro-RO"/>
        </w:rPr>
        <w:t>se prezintă astfel:</w:t>
      </w:r>
    </w:p>
    <w:p w14:paraId="7095BD45" w14:textId="1CEB93BE" w:rsidR="002944EA" w:rsidRPr="006B2701" w:rsidRDefault="0073616C" w:rsidP="002944EA">
      <w:pPr>
        <w:spacing w:after="120" w:line="276" w:lineRule="auto"/>
        <w:rPr>
          <w:rFonts w:ascii="Arial" w:hAnsi="Arial" w:cs="Arial"/>
          <w:sz w:val="24"/>
          <w:szCs w:val="24"/>
          <w:lang w:val="ro-RO"/>
        </w:rPr>
      </w:pPr>
      <w:r>
        <w:rPr>
          <w:rFonts w:ascii="Arial" w:hAnsi="Arial" w:cs="Arial"/>
          <w:sz w:val="24"/>
          <w:szCs w:val="24"/>
          <w:lang w:val="ro-RO"/>
        </w:rPr>
        <w:pict w14:anchorId="06C70A87">
          <v:shape id="_x0000_i1032" type="#_x0000_t75" style="width:480.25pt;height:200.4pt">
            <v:imagedata r:id="rId14" o:title=""/>
          </v:shape>
        </w:pict>
      </w:r>
    </w:p>
    <w:p w14:paraId="7350AEA4" w14:textId="457C6A90" w:rsidR="00BA5E33" w:rsidRPr="006B2701" w:rsidRDefault="00BA5E33" w:rsidP="00C14A92">
      <w:pPr>
        <w:spacing w:line="276" w:lineRule="auto"/>
        <w:rPr>
          <w:rFonts w:ascii="Arial" w:hAnsi="Arial" w:cs="Arial"/>
          <w:sz w:val="24"/>
          <w:szCs w:val="24"/>
          <w:lang w:val="ro-RO"/>
        </w:rPr>
      </w:pPr>
    </w:p>
    <w:p w14:paraId="5AE10089" w14:textId="340CB898" w:rsidR="00BA5E33" w:rsidRPr="006B2701" w:rsidRDefault="00BA5E33" w:rsidP="00FB298E">
      <w:pPr>
        <w:spacing w:line="276" w:lineRule="auto"/>
        <w:jc w:val="both"/>
        <w:rPr>
          <w:rFonts w:ascii="Tahoma" w:hAnsi="Tahoma" w:cs="Tahoma"/>
          <w:sz w:val="24"/>
          <w:szCs w:val="24"/>
          <w:lang w:val="ro-RO"/>
        </w:rPr>
      </w:pPr>
      <w:r w:rsidRPr="006B2701">
        <w:rPr>
          <w:rFonts w:ascii="Tahoma" w:hAnsi="Tahoma" w:cs="Tahoma"/>
          <w:sz w:val="24"/>
          <w:szCs w:val="24"/>
          <w:lang w:val="ro-RO"/>
        </w:rPr>
        <w:t xml:space="preserve">Soldul bugetului general consolidat realizat în anul </w:t>
      </w:r>
      <w:r w:rsidR="00A85E7C" w:rsidRPr="006B2701">
        <w:rPr>
          <w:rFonts w:ascii="Tahoma" w:hAnsi="Tahoma" w:cs="Tahoma"/>
          <w:sz w:val="24"/>
          <w:szCs w:val="24"/>
          <w:lang w:val="ro-RO"/>
        </w:rPr>
        <w:t>202</w:t>
      </w:r>
      <w:r w:rsidR="00AC190C" w:rsidRPr="006B2701">
        <w:rPr>
          <w:rFonts w:ascii="Tahoma" w:hAnsi="Tahoma" w:cs="Tahoma"/>
          <w:sz w:val="24"/>
          <w:szCs w:val="24"/>
          <w:lang w:val="ro-RO"/>
        </w:rPr>
        <w:t>2</w:t>
      </w:r>
      <w:r w:rsidRPr="006B2701">
        <w:rPr>
          <w:rFonts w:ascii="Tahoma" w:hAnsi="Tahoma" w:cs="Tahoma"/>
          <w:sz w:val="24"/>
          <w:szCs w:val="24"/>
          <w:lang w:val="ro-RO"/>
        </w:rPr>
        <w:t>, exprimat ca procent în PIB, a fost de -</w:t>
      </w:r>
      <w:r w:rsidR="00AC190C" w:rsidRPr="006B2701">
        <w:rPr>
          <w:rFonts w:ascii="Tahoma" w:hAnsi="Tahoma" w:cs="Tahoma"/>
          <w:sz w:val="24"/>
          <w:szCs w:val="24"/>
          <w:lang w:val="ro-RO"/>
        </w:rPr>
        <w:t>5,73</w:t>
      </w:r>
      <w:r w:rsidRPr="006B2701">
        <w:rPr>
          <w:rFonts w:ascii="Tahoma" w:hAnsi="Tahoma" w:cs="Tahoma"/>
          <w:sz w:val="24"/>
          <w:szCs w:val="24"/>
          <w:lang w:val="ro-RO"/>
        </w:rPr>
        <w:t xml:space="preserve">%, cu </w:t>
      </w:r>
      <w:r w:rsidR="00A85E7C" w:rsidRPr="006B2701">
        <w:rPr>
          <w:rFonts w:ascii="Tahoma" w:hAnsi="Tahoma" w:cs="Tahoma"/>
          <w:sz w:val="24"/>
          <w:szCs w:val="24"/>
          <w:lang w:val="ro-RO"/>
        </w:rPr>
        <w:t>0,</w:t>
      </w:r>
      <w:r w:rsidR="00FD1589" w:rsidRPr="006B2701">
        <w:rPr>
          <w:rFonts w:ascii="Tahoma" w:hAnsi="Tahoma" w:cs="Tahoma"/>
          <w:sz w:val="24"/>
          <w:szCs w:val="24"/>
          <w:lang w:val="ro-RO"/>
        </w:rPr>
        <w:t>1</w:t>
      </w:r>
      <w:r w:rsidR="00AC190C" w:rsidRPr="006B2701">
        <w:rPr>
          <w:rFonts w:ascii="Tahoma" w:hAnsi="Tahoma" w:cs="Tahoma"/>
          <w:sz w:val="24"/>
          <w:szCs w:val="24"/>
          <w:lang w:val="ro-RO"/>
        </w:rPr>
        <w:t>1</w:t>
      </w:r>
      <w:r w:rsidR="00C74B89" w:rsidRPr="006B2701">
        <w:rPr>
          <w:rFonts w:ascii="Tahoma" w:hAnsi="Tahoma" w:cs="Tahoma"/>
          <w:sz w:val="24"/>
          <w:szCs w:val="24"/>
          <w:lang w:val="ro-RO"/>
        </w:rPr>
        <w:t xml:space="preserve"> </w:t>
      </w:r>
      <w:r w:rsidRPr="006B2701">
        <w:rPr>
          <w:rFonts w:ascii="Tahoma" w:hAnsi="Tahoma" w:cs="Tahoma"/>
          <w:sz w:val="24"/>
          <w:szCs w:val="24"/>
          <w:lang w:val="ro-RO"/>
        </w:rPr>
        <w:t xml:space="preserve">puncte procentuale </w:t>
      </w:r>
      <w:r w:rsidR="00AC014F" w:rsidRPr="006B2701">
        <w:rPr>
          <w:rFonts w:ascii="Tahoma" w:hAnsi="Tahoma" w:cs="Tahoma"/>
          <w:sz w:val="24"/>
          <w:szCs w:val="24"/>
          <w:lang w:val="ro-RO"/>
        </w:rPr>
        <w:t xml:space="preserve">sub </w:t>
      </w:r>
      <w:r w:rsidRPr="006B2701">
        <w:rPr>
          <w:rFonts w:ascii="Tahoma" w:hAnsi="Tahoma" w:cs="Tahoma"/>
          <w:sz w:val="24"/>
          <w:szCs w:val="24"/>
          <w:lang w:val="ro-RO"/>
        </w:rPr>
        <w:t xml:space="preserve">ținta stabilită în </w:t>
      </w:r>
      <w:r w:rsidR="00AF28B7" w:rsidRPr="006B2701">
        <w:rPr>
          <w:rFonts w:ascii="Tahoma" w:hAnsi="Tahoma" w:cs="Tahoma"/>
          <w:sz w:val="24"/>
          <w:szCs w:val="24"/>
          <w:lang w:val="ro-RO"/>
        </w:rPr>
        <w:t>Legea nr.</w:t>
      </w:r>
      <w:r w:rsidR="00FD1589" w:rsidRPr="006B2701">
        <w:rPr>
          <w:rFonts w:ascii="Tahoma" w:hAnsi="Tahoma" w:cs="Tahoma"/>
          <w:sz w:val="24"/>
          <w:szCs w:val="24"/>
          <w:lang w:val="ro-RO"/>
        </w:rPr>
        <w:t>312</w:t>
      </w:r>
      <w:r w:rsidR="00A85E7C" w:rsidRPr="006B2701">
        <w:rPr>
          <w:rFonts w:ascii="Tahoma" w:hAnsi="Tahoma" w:cs="Tahoma"/>
          <w:sz w:val="24"/>
          <w:szCs w:val="24"/>
          <w:lang w:val="ro-RO"/>
        </w:rPr>
        <w:t>/2021</w:t>
      </w:r>
      <w:r w:rsidRPr="006B2701">
        <w:rPr>
          <w:rFonts w:ascii="Tahoma" w:hAnsi="Tahoma" w:cs="Tahoma"/>
          <w:sz w:val="24"/>
          <w:szCs w:val="24"/>
          <w:lang w:val="ro-RO"/>
        </w:rPr>
        <w:t xml:space="preserve"> </w:t>
      </w:r>
      <w:r w:rsidR="00FD1589" w:rsidRPr="006B2701">
        <w:rPr>
          <w:rFonts w:ascii="Tahoma" w:hAnsi="Tahoma" w:cs="Tahoma"/>
          <w:sz w:val="24"/>
          <w:szCs w:val="24"/>
          <w:lang w:val="ro-RO"/>
        </w:rPr>
        <w:t>și</w:t>
      </w:r>
      <w:r w:rsidRPr="006B2701">
        <w:rPr>
          <w:rFonts w:ascii="Tahoma" w:hAnsi="Tahoma" w:cs="Tahoma"/>
          <w:sz w:val="24"/>
          <w:szCs w:val="24"/>
          <w:lang w:val="ro-RO"/>
        </w:rPr>
        <w:t xml:space="preserve"> la bugetul inițial</w:t>
      </w:r>
      <w:r w:rsidR="002076C3" w:rsidRPr="006B2701">
        <w:rPr>
          <w:rFonts w:ascii="Tahoma" w:hAnsi="Tahoma" w:cs="Tahoma"/>
          <w:sz w:val="24"/>
          <w:szCs w:val="24"/>
          <w:lang w:val="ro-RO"/>
        </w:rPr>
        <w:t xml:space="preserve"> și </w:t>
      </w:r>
      <w:r w:rsidR="00622CC3" w:rsidRPr="006B2701">
        <w:rPr>
          <w:rFonts w:ascii="Tahoma" w:hAnsi="Tahoma" w:cs="Tahoma"/>
          <w:sz w:val="24"/>
          <w:szCs w:val="24"/>
          <w:lang w:val="ro-RO"/>
        </w:rPr>
        <w:t>cu 0,</w:t>
      </w:r>
      <w:r w:rsidR="00FD1589" w:rsidRPr="006B2701">
        <w:rPr>
          <w:rFonts w:ascii="Tahoma" w:hAnsi="Tahoma" w:cs="Tahoma"/>
          <w:sz w:val="24"/>
          <w:szCs w:val="24"/>
          <w:lang w:val="ro-RO"/>
        </w:rPr>
        <w:t>01</w:t>
      </w:r>
      <w:r w:rsidR="00A85E7C" w:rsidRPr="006B2701">
        <w:rPr>
          <w:rFonts w:ascii="Tahoma" w:hAnsi="Tahoma" w:cs="Tahoma"/>
          <w:sz w:val="24"/>
          <w:szCs w:val="24"/>
          <w:lang w:val="ro-RO"/>
        </w:rPr>
        <w:t xml:space="preserve"> </w:t>
      </w:r>
      <w:r w:rsidR="006A193A" w:rsidRPr="006B2701">
        <w:rPr>
          <w:rFonts w:ascii="Tahoma" w:hAnsi="Tahoma" w:cs="Tahoma"/>
          <w:sz w:val="24"/>
          <w:szCs w:val="24"/>
          <w:lang w:val="ro-RO"/>
        </w:rPr>
        <w:t xml:space="preserve">puncte procentuale comparativ cu ținta stabilită la ultima rectificare bugetară pe anul </w:t>
      </w:r>
      <w:r w:rsidR="00A85E7C" w:rsidRPr="006B2701">
        <w:rPr>
          <w:rFonts w:ascii="Tahoma" w:hAnsi="Tahoma" w:cs="Tahoma"/>
          <w:sz w:val="24"/>
          <w:szCs w:val="24"/>
          <w:lang w:val="ro-RO"/>
        </w:rPr>
        <w:t>202</w:t>
      </w:r>
      <w:r w:rsidR="00FD1589" w:rsidRPr="006B2701">
        <w:rPr>
          <w:rFonts w:ascii="Tahoma" w:hAnsi="Tahoma" w:cs="Tahoma"/>
          <w:sz w:val="24"/>
          <w:szCs w:val="24"/>
          <w:lang w:val="ro-RO"/>
        </w:rPr>
        <w:t>2</w:t>
      </w:r>
      <w:r w:rsidRPr="006B2701">
        <w:rPr>
          <w:rFonts w:ascii="Tahoma" w:hAnsi="Tahoma" w:cs="Tahoma"/>
          <w:sz w:val="24"/>
          <w:szCs w:val="24"/>
          <w:lang w:val="ro-RO"/>
        </w:rPr>
        <w:t>.</w:t>
      </w:r>
    </w:p>
    <w:p w14:paraId="671266FF" w14:textId="6A6EA084" w:rsidR="00FD1589" w:rsidRPr="006B2701" w:rsidRDefault="00FD1589" w:rsidP="00FB298E">
      <w:pPr>
        <w:spacing w:line="276" w:lineRule="auto"/>
        <w:jc w:val="both"/>
        <w:rPr>
          <w:rFonts w:ascii="Tahoma" w:hAnsi="Tahoma" w:cs="Tahoma"/>
          <w:sz w:val="24"/>
          <w:szCs w:val="24"/>
          <w:lang w:val="ro-RO"/>
        </w:rPr>
      </w:pPr>
      <w:r w:rsidRPr="006B2701">
        <w:rPr>
          <w:rFonts w:ascii="Tahoma" w:hAnsi="Tahoma" w:cs="Tahoma"/>
          <w:sz w:val="24"/>
          <w:szCs w:val="24"/>
          <w:lang w:val="ro-RO"/>
        </w:rPr>
        <w:t>În termeni nominali soldul bugetului general consolidat a depășit ținta stabilită de Legea nr.312/2021 și la bugetul inițial cu 3.782,8 milioane lei și cu 611,8 milioane lei față de plafonul stabilit la ultima rectificare bugetară pe anul 2022.</w:t>
      </w:r>
    </w:p>
    <w:p w14:paraId="04DE6BCE" w14:textId="581CA85E" w:rsidR="00BA5E33" w:rsidRPr="006B2701" w:rsidRDefault="00BA5E33" w:rsidP="00FB298E">
      <w:pPr>
        <w:spacing w:line="276" w:lineRule="auto"/>
        <w:jc w:val="both"/>
        <w:rPr>
          <w:rFonts w:ascii="Tahoma" w:hAnsi="Tahoma" w:cs="Tahoma"/>
          <w:sz w:val="24"/>
          <w:szCs w:val="24"/>
          <w:lang w:val="ro-RO"/>
        </w:rPr>
      </w:pPr>
      <w:r w:rsidRPr="006B2701">
        <w:rPr>
          <w:rFonts w:ascii="Tahoma" w:hAnsi="Tahoma" w:cs="Tahoma"/>
          <w:sz w:val="24"/>
          <w:szCs w:val="24"/>
          <w:lang w:val="ro-RO"/>
        </w:rPr>
        <w:t>Ca urmare a evoluției deficitului bugetului general consolidat</w:t>
      </w:r>
      <w:r w:rsidR="0014770A" w:rsidRPr="006B2701">
        <w:rPr>
          <w:rFonts w:ascii="Tahoma" w:hAnsi="Tahoma" w:cs="Tahoma"/>
          <w:sz w:val="24"/>
          <w:szCs w:val="24"/>
          <w:lang w:val="ro-RO"/>
        </w:rPr>
        <w:t>,</w:t>
      </w:r>
      <w:r w:rsidRPr="006B2701">
        <w:rPr>
          <w:rFonts w:ascii="Tahoma" w:hAnsi="Tahoma" w:cs="Tahoma"/>
          <w:sz w:val="24"/>
          <w:szCs w:val="24"/>
          <w:lang w:val="ro-RO"/>
        </w:rPr>
        <w:t xml:space="preserve"> soldul primar al bugetului general consolidat </w:t>
      </w:r>
      <w:r w:rsidR="00AC014F" w:rsidRPr="006B2701">
        <w:rPr>
          <w:rFonts w:ascii="Tahoma" w:hAnsi="Tahoma" w:cs="Tahoma"/>
          <w:sz w:val="24"/>
          <w:szCs w:val="24"/>
          <w:lang w:val="ro-RO"/>
        </w:rPr>
        <w:t>s-a redus</w:t>
      </w:r>
      <w:r w:rsidR="00591FF9" w:rsidRPr="006B2701">
        <w:rPr>
          <w:rFonts w:ascii="Tahoma" w:hAnsi="Tahoma" w:cs="Tahoma"/>
          <w:sz w:val="24"/>
          <w:szCs w:val="24"/>
          <w:lang w:val="ro-RO"/>
        </w:rPr>
        <w:t>,</w:t>
      </w:r>
      <w:r w:rsidR="00C74B89" w:rsidRPr="006B2701">
        <w:rPr>
          <w:rFonts w:ascii="Tahoma" w:hAnsi="Tahoma" w:cs="Tahoma"/>
          <w:sz w:val="24"/>
          <w:szCs w:val="24"/>
          <w:lang w:val="ro-RO"/>
        </w:rPr>
        <w:t xml:space="preserve"> </w:t>
      </w:r>
      <w:r w:rsidRPr="006B2701">
        <w:rPr>
          <w:rFonts w:ascii="Tahoma" w:hAnsi="Tahoma" w:cs="Tahoma"/>
          <w:sz w:val="24"/>
          <w:szCs w:val="24"/>
          <w:lang w:val="ro-RO"/>
        </w:rPr>
        <w:t xml:space="preserve">în termeni nominali, cu </w:t>
      </w:r>
      <w:r w:rsidR="00FD1589" w:rsidRPr="006B2701">
        <w:rPr>
          <w:rFonts w:ascii="Tahoma" w:hAnsi="Tahoma" w:cs="Tahoma"/>
          <w:sz w:val="24"/>
          <w:szCs w:val="24"/>
          <w:lang w:val="ro-RO"/>
        </w:rPr>
        <w:t xml:space="preserve">5.373,3 </w:t>
      </w:r>
      <w:r w:rsidRPr="006B2701">
        <w:rPr>
          <w:rFonts w:ascii="Tahoma" w:hAnsi="Tahoma" w:cs="Tahoma"/>
          <w:sz w:val="24"/>
          <w:szCs w:val="24"/>
          <w:lang w:val="ro-RO"/>
        </w:rPr>
        <w:t xml:space="preserve">milioane lei comparativ cu plafonul stabilit </w:t>
      </w:r>
      <w:r w:rsidR="00AF28B7" w:rsidRPr="006B2701">
        <w:rPr>
          <w:rFonts w:ascii="Tahoma" w:hAnsi="Tahoma" w:cs="Tahoma"/>
          <w:sz w:val="24"/>
          <w:szCs w:val="24"/>
          <w:lang w:val="ro-RO"/>
        </w:rPr>
        <w:t>de Legea nr.</w:t>
      </w:r>
      <w:r w:rsidR="00FD1589" w:rsidRPr="006B2701">
        <w:rPr>
          <w:rFonts w:ascii="Tahoma" w:hAnsi="Tahoma" w:cs="Tahoma"/>
          <w:sz w:val="24"/>
          <w:szCs w:val="24"/>
          <w:lang w:val="ro-RO"/>
        </w:rPr>
        <w:t>312</w:t>
      </w:r>
      <w:r w:rsidR="00627F87" w:rsidRPr="006B2701">
        <w:rPr>
          <w:rFonts w:ascii="Tahoma" w:hAnsi="Tahoma" w:cs="Tahoma"/>
          <w:sz w:val="24"/>
          <w:szCs w:val="24"/>
          <w:lang w:val="ro-RO"/>
        </w:rPr>
        <w:t>/2021</w:t>
      </w:r>
      <w:r w:rsidR="00AF28B7" w:rsidRPr="006B2701">
        <w:rPr>
          <w:rFonts w:ascii="Tahoma" w:hAnsi="Tahoma" w:cs="Tahoma"/>
          <w:sz w:val="24"/>
          <w:szCs w:val="24"/>
          <w:lang w:val="ro-RO"/>
        </w:rPr>
        <w:t xml:space="preserve"> și la bugetul inițial</w:t>
      </w:r>
      <w:r w:rsidR="006A193A" w:rsidRPr="006B2701">
        <w:rPr>
          <w:rFonts w:ascii="Tahoma" w:hAnsi="Tahoma" w:cs="Tahoma"/>
          <w:sz w:val="24"/>
          <w:szCs w:val="24"/>
          <w:lang w:val="ro-RO"/>
        </w:rPr>
        <w:t xml:space="preserve"> iar comparativ cu </w:t>
      </w:r>
      <w:r w:rsidR="0008211D" w:rsidRPr="006B2701">
        <w:rPr>
          <w:rFonts w:ascii="Tahoma" w:hAnsi="Tahoma" w:cs="Tahoma"/>
          <w:sz w:val="24"/>
          <w:szCs w:val="24"/>
          <w:lang w:val="ro-RO"/>
        </w:rPr>
        <w:t xml:space="preserve">plafonul </w:t>
      </w:r>
      <w:r w:rsidR="006A193A" w:rsidRPr="006B2701">
        <w:rPr>
          <w:rFonts w:ascii="Tahoma" w:hAnsi="Tahoma" w:cs="Tahoma"/>
          <w:sz w:val="24"/>
          <w:szCs w:val="24"/>
          <w:lang w:val="ro-RO"/>
        </w:rPr>
        <w:t xml:space="preserve">stabilit la ultima rectificare bugetară </w:t>
      </w:r>
      <w:r w:rsidR="00FD1589" w:rsidRPr="006B2701">
        <w:rPr>
          <w:rFonts w:ascii="Tahoma" w:hAnsi="Tahoma" w:cs="Tahoma"/>
          <w:sz w:val="24"/>
          <w:szCs w:val="24"/>
          <w:lang w:val="ro-RO"/>
        </w:rPr>
        <w:t xml:space="preserve">a crescut cu -319,6 </w:t>
      </w:r>
      <w:r w:rsidR="006A193A" w:rsidRPr="006B2701">
        <w:rPr>
          <w:rFonts w:ascii="Tahoma" w:hAnsi="Tahoma" w:cs="Tahoma"/>
          <w:sz w:val="24"/>
          <w:szCs w:val="24"/>
          <w:lang w:val="ro-RO"/>
        </w:rPr>
        <w:t>milioane lei</w:t>
      </w:r>
      <w:r w:rsidRPr="006B2701">
        <w:rPr>
          <w:rFonts w:ascii="Tahoma" w:hAnsi="Tahoma" w:cs="Tahoma"/>
          <w:sz w:val="24"/>
          <w:szCs w:val="24"/>
          <w:lang w:val="ro-RO"/>
        </w:rPr>
        <w:t>.</w:t>
      </w:r>
    </w:p>
    <w:p w14:paraId="2D6815D6" w14:textId="55276081" w:rsidR="00416C83" w:rsidRPr="006B2701" w:rsidRDefault="0026696A" w:rsidP="00416C83">
      <w:pPr>
        <w:spacing w:line="276" w:lineRule="auto"/>
        <w:jc w:val="both"/>
        <w:rPr>
          <w:rFonts w:ascii="Tahoma" w:hAnsi="Tahoma" w:cs="Tahoma"/>
          <w:sz w:val="24"/>
          <w:szCs w:val="24"/>
          <w:lang w:val="ro-RO"/>
        </w:rPr>
      </w:pPr>
      <w:r w:rsidRPr="006B2701">
        <w:rPr>
          <w:rFonts w:ascii="Tahoma" w:hAnsi="Tahoma" w:cs="Tahoma"/>
          <w:sz w:val="24"/>
          <w:szCs w:val="24"/>
          <w:lang w:val="ro-RO"/>
        </w:rPr>
        <w:t xml:space="preserve">Soldul nominal al bugetului de stat a fost de </w:t>
      </w:r>
      <w:r w:rsidR="00AC6157" w:rsidRPr="006B2701">
        <w:rPr>
          <w:rFonts w:ascii="Tahoma" w:hAnsi="Tahoma" w:cs="Tahoma"/>
          <w:sz w:val="24"/>
          <w:szCs w:val="24"/>
          <w:lang w:val="ro-RO"/>
        </w:rPr>
        <w:t>–</w:t>
      </w:r>
      <w:r w:rsidR="009D0C7D" w:rsidRPr="006B2701">
        <w:rPr>
          <w:rFonts w:ascii="Tahoma" w:hAnsi="Tahoma" w:cs="Tahoma"/>
          <w:sz w:val="24"/>
          <w:szCs w:val="24"/>
          <w:lang w:val="ro-RO"/>
        </w:rPr>
        <w:t>82.766,4</w:t>
      </w:r>
      <w:r w:rsidRPr="006B2701">
        <w:rPr>
          <w:rFonts w:ascii="Tahoma" w:hAnsi="Tahoma" w:cs="Tahoma"/>
          <w:sz w:val="24"/>
          <w:szCs w:val="24"/>
          <w:lang w:val="ro-RO"/>
        </w:rPr>
        <w:t xml:space="preserve"> milioane lei</w:t>
      </w:r>
      <w:r w:rsidR="009D0C7D" w:rsidRPr="006B2701">
        <w:rPr>
          <w:rFonts w:ascii="Tahoma" w:hAnsi="Tahoma" w:cs="Tahoma"/>
          <w:sz w:val="24"/>
          <w:szCs w:val="24"/>
          <w:lang w:val="ro-RO"/>
        </w:rPr>
        <w:t>,</w:t>
      </w:r>
      <w:r w:rsidRPr="006B2701">
        <w:rPr>
          <w:rFonts w:ascii="Tahoma" w:hAnsi="Tahoma" w:cs="Tahoma"/>
          <w:sz w:val="24"/>
          <w:szCs w:val="24"/>
          <w:lang w:val="ro-RO"/>
        </w:rPr>
        <w:t xml:space="preserve"> cu </w:t>
      </w:r>
      <w:r w:rsidR="009D0C7D" w:rsidRPr="006B2701">
        <w:rPr>
          <w:rFonts w:ascii="Tahoma" w:hAnsi="Tahoma" w:cs="Tahoma"/>
          <w:sz w:val="24"/>
          <w:szCs w:val="24"/>
          <w:lang w:val="ro-RO"/>
        </w:rPr>
        <w:t xml:space="preserve">2.518,8 </w:t>
      </w:r>
      <w:r w:rsidRPr="006B2701">
        <w:rPr>
          <w:rFonts w:ascii="Tahoma" w:hAnsi="Tahoma" w:cs="Tahoma"/>
          <w:sz w:val="24"/>
          <w:szCs w:val="24"/>
          <w:lang w:val="ro-RO"/>
        </w:rPr>
        <w:t xml:space="preserve">milioane lei </w:t>
      </w:r>
      <w:r w:rsidR="009D0C7D" w:rsidRPr="006B2701">
        <w:rPr>
          <w:rFonts w:ascii="Tahoma" w:hAnsi="Tahoma" w:cs="Tahoma"/>
          <w:sz w:val="24"/>
          <w:szCs w:val="24"/>
          <w:lang w:val="ro-RO"/>
        </w:rPr>
        <w:t>sub</w:t>
      </w:r>
      <w:r w:rsidRPr="006B2701">
        <w:rPr>
          <w:rFonts w:ascii="Tahoma" w:hAnsi="Tahoma" w:cs="Tahoma"/>
          <w:sz w:val="24"/>
          <w:szCs w:val="24"/>
          <w:lang w:val="ro-RO"/>
        </w:rPr>
        <w:t xml:space="preserve"> plafonul stabilit de Legea nr.</w:t>
      </w:r>
      <w:r w:rsidR="009D0C7D" w:rsidRPr="006B2701">
        <w:rPr>
          <w:rFonts w:ascii="Tahoma" w:hAnsi="Tahoma" w:cs="Tahoma"/>
          <w:sz w:val="24"/>
          <w:szCs w:val="24"/>
          <w:lang w:val="ro-RO"/>
        </w:rPr>
        <w:t>312</w:t>
      </w:r>
      <w:r w:rsidR="00627F87" w:rsidRPr="006B2701">
        <w:rPr>
          <w:rFonts w:ascii="Tahoma" w:hAnsi="Tahoma" w:cs="Tahoma"/>
          <w:sz w:val="24"/>
          <w:szCs w:val="24"/>
          <w:lang w:val="ro-RO"/>
        </w:rPr>
        <w:t>/2021</w:t>
      </w:r>
      <w:r w:rsidRPr="006B2701">
        <w:rPr>
          <w:rFonts w:ascii="Tahoma" w:hAnsi="Tahoma" w:cs="Tahoma"/>
          <w:sz w:val="24"/>
          <w:szCs w:val="24"/>
          <w:lang w:val="ro-RO"/>
        </w:rPr>
        <w:t xml:space="preserve"> și avut în vedere la elaborarea legilor bugetare anuale inițiale și cu </w:t>
      </w:r>
      <w:r w:rsidR="009D0C7D" w:rsidRPr="006B2701">
        <w:rPr>
          <w:rFonts w:ascii="Tahoma" w:hAnsi="Tahoma" w:cs="Tahoma"/>
          <w:sz w:val="24"/>
          <w:szCs w:val="24"/>
          <w:lang w:val="ro-RO"/>
        </w:rPr>
        <w:t xml:space="preserve">11.828,8 </w:t>
      </w:r>
      <w:r w:rsidRPr="006B2701">
        <w:rPr>
          <w:rFonts w:ascii="Tahoma" w:hAnsi="Tahoma" w:cs="Tahoma"/>
          <w:sz w:val="24"/>
          <w:szCs w:val="24"/>
          <w:lang w:val="ro-RO"/>
        </w:rPr>
        <w:t xml:space="preserve">milioane lei </w:t>
      </w:r>
      <w:r w:rsidR="00627F87" w:rsidRPr="006B2701">
        <w:rPr>
          <w:rFonts w:ascii="Tahoma" w:hAnsi="Tahoma" w:cs="Tahoma"/>
          <w:sz w:val="24"/>
          <w:szCs w:val="24"/>
          <w:lang w:val="ro-RO"/>
        </w:rPr>
        <w:t xml:space="preserve">sub </w:t>
      </w:r>
      <w:r w:rsidRPr="006B2701">
        <w:rPr>
          <w:rFonts w:ascii="Tahoma" w:hAnsi="Tahoma" w:cs="Tahoma"/>
          <w:sz w:val="24"/>
          <w:szCs w:val="24"/>
          <w:lang w:val="ro-RO"/>
        </w:rPr>
        <w:t>ținta stabilită la ultima rectificare bugetară.</w:t>
      </w:r>
    </w:p>
    <w:p w14:paraId="104A3E57" w14:textId="36156C15" w:rsidR="00416C83" w:rsidRPr="006B2701" w:rsidRDefault="00D0161D" w:rsidP="00416C83">
      <w:pPr>
        <w:spacing w:line="276" w:lineRule="auto"/>
        <w:jc w:val="both"/>
        <w:rPr>
          <w:rFonts w:ascii="Tahoma" w:hAnsi="Tahoma" w:cs="Tahoma"/>
          <w:sz w:val="24"/>
          <w:szCs w:val="24"/>
          <w:lang w:val="ro-RO"/>
        </w:rPr>
      </w:pPr>
      <w:r w:rsidRPr="006B2701">
        <w:rPr>
          <w:rFonts w:ascii="Tahoma" w:hAnsi="Tahoma" w:cs="Tahoma"/>
          <w:sz w:val="24"/>
          <w:szCs w:val="24"/>
          <w:lang w:val="ro-RO"/>
        </w:rPr>
        <w:t xml:space="preserve">Soldul nominal în cazul </w:t>
      </w:r>
      <w:r w:rsidR="00367996" w:rsidRPr="006B2701">
        <w:rPr>
          <w:rFonts w:ascii="Tahoma" w:hAnsi="Tahoma" w:cs="Tahoma"/>
          <w:sz w:val="24"/>
          <w:szCs w:val="24"/>
          <w:lang w:val="ro-RO"/>
        </w:rPr>
        <w:t xml:space="preserve">bugetului </w:t>
      </w:r>
      <w:r w:rsidR="008C3241" w:rsidRPr="006B2701">
        <w:rPr>
          <w:rFonts w:ascii="Tahoma" w:hAnsi="Tahoma" w:cs="Tahoma"/>
          <w:sz w:val="24"/>
          <w:szCs w:val="24"/>
          <w:lang w:val="ro-RO"/>
        </w:rPr>
        <w:t xml:space="preserve">asigurărilor sociale de stat </w:t>
      </w:r>
      <w:r w:rsidR="007D3008" w:rsidRPr="006B2701">
        <w:rPr>
          <w:rFonts w:ascii="Tahoma" w:hAnsi="Tahoma" w:cs="Tahoma"/>
          <w:sz w:val="24"/>
          <w:szCs w:val="24"/>
          <w:lang w:val="ro-RO"/>
        </w:rPr>
        <w:t xml:space="preserve">a fost de </w:t>
      </w:r>
      <w:r w:rsidR="0072589A" w:rsidRPr="006B2701">
        <w:rPr>
          <w:rFonts w:ascii="Tahoma" w:hAnsi="Tahoma" w:cs="Tahoma"/>
          <w:sz w:val="24"/>
          <w:szCs w:val="24"/>
          <w:lang w:val="ro-RO"/>
        </w:rPr>
        <w:t>-872,0</w:t>
      </w:r>
      <w:r w:rsidRPr="006B2701">
        <w:rPr>
          <w:rFonts w:ascii="Tahoma" w:hAnsi="Tahoma" w:cs="Tahoma"/>
          <w:sz w:val="24"/>
          <w:szCs w:val="24"/>
          <w:lang w:val="ro-RO"/>
        </w:rPr>
        <w:t xml:space="preserve"> milioane lei cu </w:t>
      </w:r>
      <w:r w:rsidR="0072589A" w:rsidRPr="006B2701">
        <w:rPr>
          <w:rFonts w:ascii="Tahoma" w:hAnsi="Tahoma" w:cs="Tahoma"/>
          <w:sz w:val="24"/>
          <w:szCs w:val="24"/>
          <w:lang w:val="ro-RO"/>
        </w:rPr>
        <w:t xml:space="preserve">-910,9 </w:t>
      </w:r>
      <w:r w:rsidRPr="006B2701">
        <w:rPr>
          <w:rFonts w:ascii="Tahoma" w:hAnsi="Tahoma" w:cs="Tahoma"/>
          <w:sz w:val="24"/>
          <w:szCs w:val="24"/>
          <w:lang w:val="ro-RO"/>
        </w:rPr>
        <w:t>mili</w:t>
      </w:r>
      <w:r w:rsidR="0008211D" w:rsidRPr="006B2701">
        <w:rPr>
          <w:rFonts w:ascii="Tahoma" w:hAnsi="Tahoma" w:cs="Tahoma"/>
          <w:sz w:val="24"/>
          <w:szCs w:val="24"/>
          <w:lang w:val="ro-RO"/>
        </w:rPr>
        <w:t>o</w:t>
      </w:r>
      <w:r w:rsidRPr="006B2701">
        <w:rPr>
          <w:rFonts w:ascii="Tahoma" w:hAnsi="Tahoma" w:cs="Tahoma"/>
          <w:sz w:val="24"/>
          <w:szCs w:val="24"/>
          <w:lang w:val="ro-RO"/>
        </w:rPr>
        <w:t>ane lei su</w:t>
      </w:r>
      <w:r w:rsidR="0008211D" w:rsidRPr="006B2701">
        <w:rPr>
          <w:rFonts w:ascii="Tahoma" w:hAnsi="Tahoma" w:cs="Tahoma"/>
          <w:sz w:val="24"/>
          <w:szCs w:val="24"/>
          <w:lang w:val="ro-RO"/>
        </w:rPr>
        <w:t>b</w:t>
      </w:r>
      <w:r w:rsidRPr="006B2701">
        <w:rPr>
          <w:rFonts w:ascii="Tahoma" w:hAnsi="Tahoma" w:cs="Tahoma"/>
          <w:sz w:val="24"/>
          <w:szCs w:val="24"/>
          <w:lang w:val="ro-RO"/>
        </w:rPr>
        <w:t xml:space="preserve"> </w:t>
      </w:r>
      <w:r w:rsidR="007D3008" w:rsidRPr="006B2701">
        <w:rPr>
          <w:rFonts w:ascii="Tahoma" w:hAnsi="Tahoma" w:cs="Tahoma"/>
          <w:sz w:val="24"/>
          <w:szCs w:val="24"/>
          <w:lang w:val="ro-RO"/>
        </w:rPr>
        <w:t>plafonul avut în vedere la elaborarea bugetului inițial și stabilit de Legea nr.</w:t>
      </w:r>
      <w:r w:rsidR="0072589A" w:rsidRPr="006B2701">
        <w:rPr>
          <w:rFonts w:ascii="Tahoma" w:hAnsi="Tahoma" w:cs="Tahoma"/>
          <w:sz w:val="24"/>
          <w:szCs w:val="24"/>
          <w:lang w:val="ro-RO"/>
        </w:rPr>
        <w:t>312</w:t>
      </w:r>
      <w:r w:rsidR="008C3241" w:rsidRPr="006B2701">
        <w:rPr>
          <w:rFonts w:ascii="Tahoma" w:hAnsi="Tahoma" w:cs="Tahoma"/>
          <w:sz w:val="24"/>
          <w:szCs w:val="24"/>
          <w:lang w:val="ro-RO"/>
        </w:rPr>
        <w:t>/2021</w:t>
      </w:r>
      <w:r w:rsidR="007D3008" w:rsidRPr="006B2701">
        <w:rPr>
          <w:rFonts w:ascii="Tahoma" w:hAnsi="Tahoma" w:cs="Tahoma"/>
          <w:sz w:val="24"/>
          <w:szCs w:val="24"/>
          <w:lang w:val="ro-RO"/>
        </w:rPr>
        <w:t xml:space="preserve"> și cu </w:t>
      </w:r>
      <w:r w:rsidR="0072589A" w:rsidRPr="006B2701">
        <w:rPr>
          <w:rFonts w:ascii="Tahoma" w:hAnsi="Tahoma" w:cs="Tahoma"/>
          <w:sz w:val="24"/>
          <w:szCs w:val="24"/>
          <w:lang w:val="ro-RO"/>
        </w:rPr>
        <w:t>-914,0</w:t>
      </w:r>
      <w:r w:rsidR="007D3008" w:rsidRPr="006B2701">
        <w:rPr>
          <w:rFonts w:ascii="Tahoma" w:hAnsi="Tahoma" w:cs="Tahoma"/>
          <w:sz w:val="24"/>
          <w:szCs w:val="24"/>
          <w:lang w:val="ro-RO"/>
        </w:rPr>
        <w:t xml:space="preserve"> milioane lei sub plafonul stabilit </w:t>
      </w:r>
      <w:r w:rsidR="0008211D" w:rsidRPr="006B2701">
        <w:rPr>
          <w:rFonts w:ascii="Tahoma" w:hAnsi="Tahoma" w:cs="Tahoma"/>
          <w:sz w:val="24"/>
          <w:szCs w:val="24"/>
          <w:lang w:val="ro-RO"/>
        </w:rPr>
        <w:t>la ultima rectificare bu</w:t>
      </w:r>
      <w:r w:rsidR="001A6229" w:rsidRPr="006B2701">
        <w:rPr>
          <w:rFonts w:ascii="Tahoma" w:hAnsi="Tahoma" w:cs="Tahoma"/>
          <w:sz w:val="24"/>
          <w:szCs w:val="24"/>
          <w:lang w:val="ro-RO"/>
        </w:rPr>
        <w:t>getară.</w:t>
      </w:r>
    </w:p>
    <w:p w14:paraId="6EE01F84" w14:textId="30F3E849" w:rsidR="004733FA" w:rsidRPr="006B2701" w:rsidRDefault="004733FA" w:rsidP="00416C83">
      <w:pPr>
        <w:spacing w:line="276" w:lineRule="auto"/>
        <w:jc w:val="both"/>
        <w:rPr>
          <w:rFonts w:ascii="Tahoma" w:hAnsi="Tahoma" w:cs="Tahoma"/>
          <w:sz w:val="24"/>
          <w:szCs w:val="24"/>
          <w:lang w:val="ro-RO"/>
        </w:rPr>
      </w:pPr>
      <w:r w:rsidRPr="006B2701">
        <w:rPr>
          <w:rFonts w:ascii="Tahoma" w:hAnsi="Tahoma" w:cs="Tahoma"/>
          <w:sz w:val="24"/>
          <w:szCs w:val="24"/>
          <w:lang w:val="ro-RO"/>
        </w:rPr>
        <w:t xml:space="preserve">Soldurile bugetare în cazul bugetului fondului național unic de asigurări sociale de sănătate, bugetului fondului pentru șomaj, bugetului instituțiilor finanțate din venituri proprii s-au încadrat în plafoanele stabilite la ultima rectificare bugetară pe anul 2022. </w:t>
      </w:r>
    </w:p>
    <w:p w14:paraId="28B2069F" w14:textId="490E2196" w:rsidR="002944EA" w:rsidRPr="006B2701" w:rsidRDefault="002944EA" w:rsidP="00416C83">
      <w:pPr>
        <w:spacing w:line="276" w:lineRule="auto"/>
        <w:jc w:val="both"/>
        <w:rPr>
          <w:rFonts w:ascii="Tahoma" w:hAnsi="Tahoma" w:cs="Tahoma"/>
          <w:sz w:val="24"/>
          <w:szCs w:val="24"/>
          <w:lang w:val="ro-RO"/>
        </w:rPr>
      </w:pPr>
    </w:p>
    <w:p w14:paraId="3E2B4651" w14:textId="5DDA82CD" w:rsidR="002944EA" w:rsidRPr="006B2701" w:rsidRDefault="0073616C" w:rsidP="00416C83">
      <w:pPr>
        <w:spacing w:line="276" w:lineRule="auto"/>
        <w:jc w:val="both"/>
        <w:rPr>
          <w:rFonts w:ascii="Tahoma" w:hAnsi="Tahoma" w:cs="Tahoma"/>
          <w:sz w:val="24"/>
          <w:szCs w:val="24"/>
          <w:lang w:val="ro-RO"/>
        </w:rPr>
      </w:pPr>
      <w:r>
        <w:rPr>
          <w:rFonts w:ascii="Tahoma" w:hAnsi="Tahoma" w:cs="Tahoma"/>
          <w:sz w:val="24"/>
          <w:szCs w:val="24"/>
          <w:lang w:val="ro-RO"/>
        </w:rPr>
        <w:lastRenderedPageBreak/>
        <w:pict w14:anchorId="00692C70">
          <v:shape id="_x0000_i1033" type="#_x0000_t75" style="width:486.35pt;height:370.85pt">
            <v:imagedata r:id="rId15" o:title=""/>
          </v:shape>
        </w:pict>
      </w:r>
    </w:p>
    <w:p w14:paraId="25AFA6E0" w14:textId="77777777" w:rsidR="00416C83" w:rsidRPr="006B2701" w:rsidRDefault="00416C83" w:rsidP="00416C83">
      <w:pPr>
        <w:spacing w:line="276" w:lineRule="auto"/>
        <w:jc w:val="both"/>
        <w:rPr>
          <w:rFonts w:ascii="Tahoma" w:hAnsi="Tahoma" w:cs="Tahoma"/>
          <w:sz w:val="24"/>
          <w:szCs w:val="24"/>
          <w:lang w:val="ro-RO"/>
        </w:rPr>
      </w:pPr>
    </w:p>
    <w:p w14:paraId="0AA130C0" w14:textId="09BD7F03" w:rsidR="00BA5E33" w:rsidRPr="006B2701" w:rsidRDefault="00BA5E33" w:rsidP="00416C83">
      <w:pPr>
        <w:spacing w:line="276" w:lineRule="auto"/>
        <w:jc w:val="both"/>
        <w:rPr>
          <w:rFonts w:ascii="Tahoma" w:hAnsi="Tahoma" w:cs="Tahoma"/>
          <w:sz w:val="24"/>
          <w:szCs w:val="24"/>
          <w:lang w:val="ro-RO"/>
        </w:rPr>
      </w:pPr>
      <w:r w:rsidRPr="006B2701">
        <w:rPr>
          <w:rFonts w:ascii="Tahoma" w:hAnsi="Tahoma" w:cs="Tahoma"/>
          <w:sz w:val="24"/>
          <w:szCs w:val="24"/>
          <w:lang w:val="ro-RO"/>
        </w:rPr>
        <w:t xml:space="preserve">Cheltuielile bugetului general consolidat (exclusiv asistența financiară din partea UE sau alți donatori) efectuate în anul </w:t>
      </w:r>
      <w:r w:rsidR="008C3241" w:rsidRPr="006B2701">
        <w:rPr>
          <w:rFonts w:ascii="Tahoma" w:hAnsi="Tahoma" w:cs="Tahoma"/>
          <w:sz w:val="24"/>
          <w:szCs w:val="24"/>
          <w:lang w:val="ro-RO"/>
        </w:rPr>
        <w:t>202</w:t>
      </w:r>
      <w:r w:rsidR="004733FA" w:rsidRPr="006B2701">
        <w:rPr>
          <w:rFonts w:ascii="Tahoma" w:hAnsi="Tahoma" w:cs="Tahoma"/>
          <w:sz w:val="24"/>
          <w:szCs w:val="24"/>
          <w:lang w:val="ro-RO"/>
        </w:rPr>
        <w:t>2</w:t>
      </w:r>
      <w:r w:rsidR="008C3241" w:rsidRPr="006B2701">
        <w:rPr>
          <w:rFonts w:ascii="Tahoma" w:hAnsi="Tahoma" w:cs="Tahoma"/>
          <w:sz w:val="24"/>
          <w:szCs w:val="24"/>
          <w:lang w:val="ro-RO"/>
        </w:rPr>
        <w:t xml:space="preserve"> </w:t>
      </w:r>
      <w:r w:rsidRPr="006B2701">
        <w:rPr>
          <w:rFonts w:ascii="Tahoma" w:hAnsi="Tahoma" w:cs="Tahoma"/>
          <w:sz w:val="24"/>
          <w:szCs w:val="24"/>
          <w:lang w:val="ro-RO"/>
        </w:rPr>
        <w:t xml:space="preserve">au fost în sumă de </w:t>
      </w:r>
      <w:r w:rsidR="004733FA" w:rsidRPr="006B2701">
        <w:rPr>
          <w:rFonts w:ascii="Tahoma" w:hAnsi="Tahoma" w:cs="Tahoma"/>
          <w:sz w:val="24"/>
          <w:szCs w:val="24"/>
          <w:lang w:val="ro-RO"/>
        </w:rPr>
        <w:t>490.530,8</w:t>
      </w:r>
      <w:r w:rsidRPr="006B2701">
        <w:rPr>
          <w:rFonts w:ascii="Tahoma" w:hAnsi="Tahoma" w:cs="Tahoma"/>
          <w:sz w:val="24"/>
          <w:szCs w:val="24"/>
          <w:lang w:val="ro-RO"/>
        </w:rPr>
        <w:t xml:space="preserve"> milioane lei cu </w:t>
      </w:r>
      <w:r w:rsidR="004733FA" w:rsidRPr="006B2701">
        <w:rPr>
          <w:rFonts w:ascii="Tahoma" w:hAnsi="Tahoma" w:cs="Tahoma"/>
          <w:sz w:val="24"/>
          <w:szCs w:val="24"/>
          <w:lang w:val="ro-RO"/>
        </w:rPr>
        <w:t xml:space="preserve">34.561,4 </w:t>
      </w:r>
      <w:r w:rsidRPr="006B2701">
        <w:rPr>
          <w:rFonts w:ascii="Tahoma" w:hAnsi="Tahoma" w:cs="Tahoma"/>
          <w:sz w:val="24"/>
          <w:szCs w:val="24"/>
          <w:lang w:val="ro-RO"/>
        </w:rPr>
        <w:t xml:space="preserve">milioane lei </w:t>
      </w:r>
      <w:r w:rsidR="00153A5E" w:rsidRPr="006B2701">
        <w:rPr>
          <w:rFonts w:ascii="Tahoma" w:hAnsi="Tahoma" w:cs="Tahoma"/>
          <w:sz w:val="24"/>
          <w:szCs w:val="24"/>
          <w:lang w:val="ro-RO"/>
        </w:rPr>
        <w:t xml:space="preserve">peste </w:t>
      </w:r>
      <w:r w:rsidR="007D3008" w:rsidRPr="006B2701">
        <w:rPr>
          <w:rFonts w:ascii="Tahoma" w:hAnsi="Tahoma" w:cs="Tahoma"/>
          <w:sz w:val="24"/>
          <w:szCs w:val="24"/>
          <w:lang w:val="ro-RO"/>
        </w:rPr>
        <w:t>plafonul avut în vedere la elaborarea legilor bugetare și stabilit de Legea nr.</w:t>
      </w:r>
      <w:r w:rsidR="004733FA" w:rsidRPr="006B2701">
        <w:rPr>
          <w:rFonts w:ascii="Tahoma" w:hAnsi="Tahoma" w:cs="Tahoma"/>
          <w:sz w:val="24"/>
          <w:szCs w:val="24"/>
          <w:lang w:val="ro-RO"/>
        </w:rPr>
        <w:t>312</w:t>
      </w:r>
      <w:r w:rsidR="00334A59" w:rsidRPr="006B2701">
        <w:rPr>
          <w:rFonts w:ascii="Tahoma" w:hAnsi="Tahoma" w:cs="Tahoma"/>
          <w:sz w:val="24"/>
          <w:szCs w:val="24"/>
          <w:lang w:val="ro-RO"/>
        </w:rPr>
        <w:t>/2021</w:t>
      </w:r>
      <w:r w:rsidR="000E7BF5" w:rsidRPr="006B2701">
        <w:rPr>
          <w:rFonts w:ascii="Tahoma" w:hAnsi="Tahoma" w:cs="Tahoma"/>
          <w:sz w:val="24"/>
          <w:szCs w:val="24"/>
          <w:lang w:val="ro-RO"/>
        </w:rPr>
        <w:t>.</w:t>
      </w:r>
      <w:r w:rsidR="008D5896" w:rsidRPr="006B2701">
        <w:rPr>
          <w:rFonts w:ascii="Tahoma" w:hAnsi="Tahoma" w:cs="Tahoma"/>
          <w:sz w:val="24"/>
          <w:szCs w:val="24"/>
          <w:lang w:val="ro-RO"/>
        </w:rPr>
        <w:t xml:space="preserve"> Comparativ cu plafonul stabilit la ultima rectificare bugetară cheltuielile bugetului general consolidat</w:t>
      </w:r>
      <w:r w:rsidR="00990FAD" w:rsidRPr="006B2701">
        <w:rPr>
          <w:rFonts w:ascii="Tahoma" w:hAnsi="Tahoma" w:cs="Tahoma"/>
          <w:sz w:val="24"/>
          <w:szCs w:val="24"/>
          <w:lang w:val="ro-RO"/>
        </w:rPr>
        <w:t xml:space="preserve"> </w:t>
      </w:r>
      <w:r w:rsidR="008D5896" w:rsidRPr="006B2701">
        <w:rPr>
          <w:rFonts w:ascii="Tahoma" w:hAnsi="Tahoma" w:cs="Tahoma"/>
          <w:sz w:val="24"/>
          <w:szCs w:val="24"/>
          <w:lang w:val="ro-RO"/>
        </w:rPr>
        <w:t xml:space="preserve">(exclusiv asistența financiară din partea UE sau alți donatori) au fost cu </w:t>
      </w:r>
      <w:r w:rsidR="004733FA" w:rsidRPr="006B2701">
        <w:rPr>
          <w:rFonts w:ascii="Tahoma" w:hAnsi="Tahoma" w:cs="Tahoma"/>
          <w:sz w:val="24"/>
          <w:szCs w:val="24"/>
          <w:lang w:val="ro-RO"/>
        </w:rPr>
        <w:t xml:space="preserve">3.655,0 </w:t>
      </w:r>
      <w:r w:rsidR="008D5896" w:rsidRPr="006B2701">
        <w:rPr>
          <w:rFonts w:ascii="Tahoma" w:hAnsi="Tahoma" w:cs="Tahoma"/>
          <w:sz w:val="24"/>
          <w:szCs w:val="24"/>
          <w:lang w:val="ro-RO"/>
        </w:rPr>
        <w:t>milioane lei</w:t>
      </w:r>
      <w:r w:rsidR="00F226DB" w:rsidRPr="006B2701">
        <w:rPr>
          <w:rFonts w:ascii="Tahoma" w:hAnsi="Tahoma" w:cs="Tahoma"/>
          <w:sz w:val="24"/>
          <w:szCs w:val="24"/>
          <w:lang w:val="ro-RO"/>
        </w:rPr>
        <w:t xml:space="preserve"> mai mici</w:t>
      </w:r>
      <w:r w:rsidR="007D3008" w:rsidRPr="006B2701">
        <w:rPr>
          <w:rFonts w:ascii="Tahoma" w:hAnsi="Tahoma" w:cs="Tahoma"/>
          <w:sz w:val="24"/>
          <w:szCs w:val="24"/>
          <w:lang w:val="ro-RO"/>
        </w:rPr>
        <w:t xml:space="preserve"> încadrându-se astfel în plafonul stabilit</w:t>
      </w:r>
      <w:r w:rsidR="00F226DB" w:rsidRPr="006B2701">
        <w:rPr>
          <w:rFonts w:ascii="Tahoma" w:hAnsi="Tahoma" w:cs="Tahoma"/>
          <w:sz w:val="24"/>
          <w:szCs w:val="24"/>
          <w:lang w:val="ro-RO"/>
        </w:rPr>
        <w:t>.</w:t>
      </w:r>
    </w:p>
    <w:p w14:paraId="64D7DC09" w14:textId="406FA10F" w:rsidR="00BA5E33" w:rsidRPr="006B2701" w:rsidRDefault="00BA5E33" w:rsidP="00416C83">
      <w:pPr>
        <w:spacing w:line="276" w:lineRule="auto"/>
        <w:jc w:val="both"/>
        <w:rPr>
          <w:rFonts w:ascii="Tahoma" w:hAnsi="Tahoma" w:cs="Tahoma"/>
          <w:sz w:val="24"/>
          <w:szCs w:val="24"/>
          <w:lang w:val="ro-RO"/>
        </w:rPr>
      </w:pPr>
      <w:r w:rsidRPr="006B2701">
        <w:rPr>
          <w:rFonts w:ascii="Tahoma" w:hAnsi="Tahoma" w:cs="Tahoma"/>
          <w:sz w:val="24"/>
          <w:szCs w:val="24"/>
          <w:lang w:val="ro-RO"/>
        </w:rPr>
        <w:t xml:space="preserve">Cheltuielile bugetare (exclusiv asistența financiară din partea UE sau alți donatori) au înregistrat depășiri </w:t>
      </w:r>
      <w:r w:rsidR="008A3CE4" w:rsidRPr="006B2701">
        <w:rPr>
          <w:rFonts w:ascii="Tahoma" w:hAnsi="Tahoma" w:cs="Tahoma"/>
          <w:sz w:val="24"/>
          <w:szCs w:val="24"/>
          <w:lang w:val="ro-RO"/>
        </w:rPr>
        <w:t xml:space="preserve">ale </w:t>
      </w:r>
      <w:r w:rsidR="007D3008" w:rsidRPr="006B2701">
        <w:rPr>
          <w:rFonts w:ascii="Tahoma" w:hAnsi="Tahoma" w:cs="Tahoma"/>
          <w:sz w:val="24"/>
          <w:szCs w:val="24"/>
          <w:lang w:val="ro-RO"/>
        </w:rPr>
        <w:t>plafo</w:t>
      </w:r>
      <w:r w:rsidR="008A3CE4" w:rsidRPr="006B2701">
        <w:rPr>
          <w:rFonts w:ascii="Tahoma" w:hAnsi="Tahoma" w:cs="Tahoma"/>
          <w:sz w:val="24"/>
          <w:szCs w:val="24"/>
          <w:lang w:val="ro-RO"/>
        </w:rPr>
        <w:t>a</w:t>
      </w:r>
      <w:r w:rsidR="007D3008" w:rsidRPr="006B2701">
        <w:rPr>
          <w:rFonts w:ascii="Tahoma" w:hAnsi="Tahoma" w:cs="Tahoma"/>
          <w:sz w:val="24"/>
          <w:szCs w:val="24"/>
          <w:lang w:val="ro-RO"/>
        </w:rPr>
        <w:t>n</w:t>
      </w:r>
      <w:r w:rsidR="008A3CE4" w:rsidRPr="006B2701">
        <w:rPr>
          <w:rFonts w:ascii="Tahoma" w:hAnsi="Tahoma" w:cs="Tahoma"/>
          <w:sz w:val="24"/>
          <w:szCs w:val="24"/>
          <w:lang w:val="ro-RO"/>
        </w:rPr>
        <w:t>elor</w:t>
      </w:r>
      <w:r w:rsidR="007D3008" w:rsidRPr="006B2701">
        <w:rPr>
          <w:rFonts w:ascii="Tahoma" w:hAnsi="Tahoma" w:cs="Tahoma"/>
          <w:sz w:val="24"/>
          <w:szCs w:val="24"/>
          <w:lang w:val="ro-RO"/>
        </w:rPr>
        <w:t xml:space="preserve"> avut</w:t>
      </w:r>
      <w:r w:rsidR="008A3CE4" w:rsidRPr="006B2701">
        <w:rPr>
          <w:rFonts w:ascii="Tahoma" w:hAnsi="Tahoma" w:cs="Tahoma"/>
          <w:sz w:val="24"/>
          <w:szCs w:val="24"/>
          <w:lang w:val="ro-RO"/>
        </w:rPr>
        <w:t>e</w:t>
      </w:r>
      <w:r w:rsidR="007D3008" w:rsidRPr="006B2701">
        <w:rPr>
          <w:rFonts w:ascii="Tahoma" w:hAnsi="Tahoma" w:cs="Tahoma"/>
          <w:sz w:val="24"/>
          <w:szCs w:val="24"/>
          <w:lang w:val="ro-RO"/>
        </w:rPr>
        <w:t xml:space="preserve"> în vedere la elaborarea legilor bugetare și stabilit</w:t>
      </w:r>
      <w:r w:rsidR="008A3CE4" w:rsidRPr="006B2701">
        <w:rPr>
          <w:rFonts w:ascii="Tahoma" w:hAnsi="Tahoma" w:cs="Tahoma"/>
          <w:sz w:val="24"/>
          <w:szCs w:val="24"/>
          <w:lang w:val="ro-RO"/>
        </w:rPr>
        <w:t>e</w:t>
      </w:r>
      <w:r w:rsidR="007D3008" w:rsidRPr="006B2701">
        <w:rPr>
          <w:rFonts w:ascii="Tahoma" w:hAnsi="Tahoma" w:cs="Tahoma"/>
          <w:sz w:val="24"/>
          <w:szCs w:val="24"/>
          <w:lang w:val="ro-RO"/>
        </w:rPr>
        <w:t xml:space="preserve"> de Legea nr.</w:t>
      </w:r>
      <w:r w:rsidR="004733FA" w:rsidRPr="006B2701">
        <w:rPr>
          <w:rFonts w:ascii="Tahoma" w:hAnsi="Tahoma" w:cs="Tahoma"/>
          <w:sz w:val="24"/>
          <w:szCs w:val="24"/>
          <w:lang w:val="ro-RO"/>
        </w:rPr>
        <w:t>312</w:t>
      </w:r>
      <w:r w:rsidR="00334A59" w:rsidRPr="006B2701">
        <w:rPr>
          <w:rFonts w:ascii="Tahoma" w:hAnsi="Tahoma" w:cs="Tahoma"/>
          <w:sz w:val="24"/>
          <w:szCs w:val="24"/>
          <w:lang w:val="ro-RO"/>
        </w:rPr>
        <w:t>/2021</w:t>
      </w:r>
      <w:r w:rsidR="008A3CE4" w:rsidRPr="006B2701">
        <w:rPr>
          <w:rFonts w:ascii="Tahoma" w:hAnsi="Tahoma" w:cs="Tahoma"/>
          <w:sz w:val="24"/>
          <w:szCs w:val="24"/>
          <w:lang w:val="ro-RO"/>
        </w:rPr>
        <w:t xml:space="preserve"> </w:t>
      </w:r>
      <w:r w:rsidR="004A329C" w:rsidRPr="006B2701">
        <w:rPr>
          <w:rFonts w:ascii="Tahoma" w:hAnsi="Tahoma" w:cs="Tahoma"/>
          <w:sz w:val="24"/>
          <w:szCs w:val="24"/>
          <w:lang w:val="ro-RO"/>
        </w:rPr>
        <w:t>în cazul</w:t>
      </w:r>
      <w:r w:rsidRPr="006B2701">
        <w:rPr>
          <w:rFonts w:ascii="Tahoma" w:hAnsi="Tahoma" w:cs="Tahoma"/>
          <w:sz w:val="24"/>
          <w:szCs w:val="24"/>
          <w:lang w:val="ro-RO"/>
        </w:rPr>
        <w:t xml:space="preserve"> </w:t>
      </w:r>
      <w:r w:rsidR="00075F4B" w:rsidRPr="006B2701">
        <w:rPr>
          <w:rFonts w:ascii="Tahoma" w:hAnsi="Tahoma" w:cs="Tahoma"/>
          <w:sz w:val="24"/>
          <w:szCs w:val="24"/>
          <w:lang w:val="ro-RO"/>
        </w:rPr>
        <w:t>bugetului de stat</w:t>
      </w:r>
      <w:r w:rsidR="00A141C5" w:rsidRPr="006B2701">
        <w:rPr>
          <w:rFonts w:ascii="Tahoma" w:hAnsi="Tahoma" w:cs="Tahoma"/>
          <w:sz w:val="24"/>
          <w:szCs w:val="24"/>
          <w:lang w:val="ro-RO"/>
        </w:rPr>
        <w:t xml:space="preserve"> </w:t>
      </w:r>
      <w:r w:rsidR="00075F4B" w:rsidRPr="006B2701">
        <w:rPr>
          <w:rFonts w:ascii="Tahoma" w:hAnsi="Tahoma" w:cs="Tahoma"/>
          <w:sz w:val="24"/>
          <w:szCs w:val="24"/>
          <w:lang w:val="ro-RO"/>
        </w:rPr>
        <w:t>(+</w:t>
      </w:r>
      <w:r w:rsidR="004733FA" w:rsidRPr="006B2701">
        <w:rPr>
          <w:rFonts w:ascii="Tahoma" w:hAnsi="Tahoma" w:cs="Tahoma"/>
          <w:sz w:val="24"/>
          <w:szCs w:val="24"/>
          <w:lang w:val="ro-RO"/>
        </w:rPr>
        <w:t>25.610,7</w:t>
      </w:r>
      <w:r w:rsidR="00D726FB" w:rsidRPr="006B2701">
        <w:rPr>
          <w:rFonts w:ascii="Tahoma" w:hAnsi="Tahoma" w:cs="Tahoma"/>
          <w:sz w:val="24"/>
          <w:szCs w:val="24"/>
          <w:lang w:val="ro-RO"/>
        </w:rPr>
        <w:t xml:space="preserve"> </w:t>
      </w:r>
      <w:r w:rsidR="00075F4B" w:rsidRPr="006B2701">
        <w:rPr>
          <w:rFonts w:ascii="Tahoma" w:hAnsi="Tahoma" w:cs="Tahoma"/>
          <w:sz w:val="24"/>
          <w:szCs w:val="24"/>
          <w:lang w:val="ro-RO"/>
        </w:rPr>
        <w:t xml:space="preserve">milioane lei); </w:t>
      </w:r>
      <w:r w:rsidRPr="006B2701">
        <w:rPr>
          <w:rFonts w:ascii="Tahoma" w:hAnsi="Tahoma" w:cs="Tahoma"/>
          <w:sz w:val="24"/>
          <w:szCs w:val="24"/>
          <w:lang w:val="ro-RO"/>
        </w:rPr>
        <w:t>bugetului centralizat al unităților administrativ-teritoriale</w:t>
      </w:r>
      <w:r w:rsidR="00DE4C37" w:rsidRPr="006B2701">
        <w:rPr>
          <w:rFonts w:ascii="Tahoma" w:hAnsi="Tahoma" w:cs="Tahoma"/>
          <w:sz w:val="24"/>
          <w:szCs w:val="24"/>
          <w:lang w:val="ro-RO"/>
        </w:rPr>
        <w:t xml:space="preserve"> </w:t>
      </w:r>
      <w:r w:rsidR="00075F4B" w:rsidRPr="006B2701">
        <w:rPr>
          <w:rFonts w:ascii="Tahoma" w:hAnsi="Tahoma" w:cs="Tahoma"/>
          <w:sz w:val="24"/>
          <w:szCs w:val="24"/>
          <w:lang w:val="ro-RO"/>
        </w:rPr>
        <w:t>(+</w:t>
      </w:r>
      <w:r w:rsidR="008A0221" w:rsidRPr="006B2701">
        <w:rPr>
          <w:rFonts w:ascii="Tahoma" w:hAnsi="Tahoma" w:cs="Tahoma"/>
          <w:sz w:val="24"/>
          <w:szCs w:val="24"/>
          <w:lang w:val="ro-RO"/>
        </w:rPr>
        <w:t>10.331,8</w:t>
      </w:r>
      <w:r w:rsidR="00075F4B" w:rsidRPr="006B2701">
        <w:rPr>
          <w:rFonts w:ascii="Tahoma" w:hAnsi="Tahoma" w:cs="Tahoma"/>
          <w:sz w:val="24"/>
          <w:szCs w:val="24"/>
          <w:lang w:val="ro-RO"/>
        </w:rPr>
        <w:t xml:space="preserve"> milioane lei)</w:t>
      </w:r>
      <w:r w:rsidRPr="006B2701">
        <w:rPr>
          <w:rFonts w:ascii="Tahoma" w:hAnsi="Tahoma" w:cs="Tahoma"/>
          <w:sz w:val="24"/>
          <w:szCs w:val="24"/>
          <w:lang w:val="ro-RO"/>
        </w:rPr>
        <w:t>,</w:t>
      </w:r>
      <w:r w:rsidR="00A141C5" w:rsidRPr="006B2701">
        <w:rPr>
          <w:rFonts w:ascii="Tahoma" w:hAnsi="Tahoma" w:cs="Tahoma"/>
          <w:sz w:val="24"/>
          <w:szCs w:val="24"/>
          <w:lang w:val="ro-RO"/>
        </w:rPr>
        <w:t xml:space="preserve"> </w:t>
      </w:r>
      <w:r w:rsidR="00075F4B" w:rsidRPr="006B2701">
        <w:rPr>
          <w:rFonts w:ascii="Tahoma" w:hAnsi="Tahoma" w:cs="Tahoma"/>
          <w:sz w:val="24"/>
          <w:szCs w:val="24"/>
          <w:lang w:val="ro-RO"/>
        </w:rPr>
        <w:t>bugetului asigurărilor p</w:t>
      </w:r>
      <w:r w:rsidR="00F226DB" w:rsidRPr="006B2701">
        <w:rPr>
          <w:rFonts w:ascii="Tahoma" w:hAnsi="Tahoma" w:cs="Tahoma"/>
          <w:sz w:val="24"/>
          <w:szCs w:val="24"/>
          <w:lang w:val="ro-RO"/>
        </w:rPr>
        <w:t>entru șomaj</w:t>
      </w:r>
      <w:r w:rsidR="00DE4C37" w:rsidRPr="006B2701">
        <w:rPr>
          <w:rFonts w:ascii="Tahoma" w:hAnsi="Tahoma" w:cs="Tahoma"/>
          <w:sz w:val="24"/>
          <w:szCs w:val="24"/>
          <w:lang w:val="ro-RO"/>
        </w:rPr>
        <w:t xml:space="preserve"> </w:t>
      </w:r>
      <w:r w:rsidR="00F226DB" w:rsidRPr="006B2701">
        <w:rPr>
          <w:rFonts w:ascii="Tahoma" w:hAnsi="Tahoma" w:cs="Tahoma"/>
          <w:sz w:val="24"/>
          <w:szCs w:val="24"/>
          <w:lang w:val="ro-RO"/>
        </w:rPr>
        <w:t>(+</w:t>
      </w:r>
      <w:r w:rsidR="008A0221" w:rsidRPr="006B2701">
        <w:rPr>
          <w:rFonts w:ascii="Tahoma" w:hAnsi="Tahoma" w:cs="Tahoma"/>
          <w:sz w:val="24"/>
          <w:szCs w:val="24"/>
          <w:lang w:val="ro-RO"/>
        </w:rPr>
        <w:t>214</w:t>
      </w:r>
      <w:r w:rsidR="00D726FB" w:rsidRPr="006B2701">
        <w:rPr>
          <w:rFonts w:ascii="Tahoma" w:hAnsi="Tahoma" w:cs="Tahoma"/>
          <w:sz w:val="24"/>
          <w:szCs w:val="24"/>
          <w:lang w:val="ro-RO"/>
        </w:rPr>
        <w:t>,</w:t>
      </w:r>
      <w:r w:rsidR="00334A59" w:rsidRPr="006B2701">
        <w:rPr>
          <w:rFonts w:ascii="Tahoma" w:hAnsi="Tahoma" w:cs="Tahoma"/>
          <w:sz w:val="24"/>
          <w:szCs w:val="24"/>
          <w:lang w:val="ro-RO"/>
        </w:rPr>
        <w:t>2</w:t>
      </w:r>
      <w:r w:rsidR="00D726FB" w:rsidRPr="006B2701">
        <w:rPr>
          <w:rFonts w:ascii="Tahoma" w:hAnsi="Tahoma" w:cs="Tahoma"/>
          <w:sz w:val="24"/>
          <w:szCs w:val="24"/>
          <w:lang w:val="ro-RO"/>
        </w:rPr>
        <w:t xml:space="preserve"> </w:t>
      </w:r>
      <w:r w:rsidR="00F226DB" w:rsidRPr="006B2701">
        <w:rPr>
          <w:rFonts w:ascii="Tahoma" w:hAnsi="Tahoma" w:cs="Tahoma"/>
          <w:sz w:val="24"/>
          <w:szCs w:val="24"/>
          <w:lang w:val="ro-RO"/>
        </w:rPr>
        <w:t>milioane lei),</w:t>
      </w:r>
      <w:r w:rsidR="005363FF" w:rsidRPr="006B2701">
        <w:rPr>
          <w:rFonts w:ascii="Tahoma" w:hAnsi="Tahoma" w:cs="Tahoma"/>
          <w:sz w:val="24"/>
          <w:szCs w:val="24"/>
          <w:lang w:val="ro-RO"/>
        </w:rPr>
        <w:t xml:space="preserve"> </w:t>
      </w:r>
      <w:r w:rsidR="00F45746" w:rsidRPr="006B2701">
        <w:rPr>
          <w:rFonts w:ascii="Tahoma" w:hAnsi="Tahoma" w:cs="Tahoma"/>
          <w:sz w:val="24"/>
          <w:szCs w:val="24"/>
          <w:lang w:val="ro-RO"/>
        </w:rPr>
        <w:t>bugetului Fondului național unic de asigurări sociale de sănătate</w:t>
      </w:r>
      <w:r w:rsidR="00990FAD" w:rsidRPr="006B2701">
        <w:rPr>
          <w:rFonts w:ascii="Tahoma" w:hAnsi="Tahoma" w:cs="Tahoma"/>
          <w:sz w:val="24"/>
          <w:szCs w:val="24"/>
          <w:lang w:val="ro-RO"/>
        </w:rPr>
        <w:t xml:space="preserve"> </w:t>
      </w:r>
      <w:r w:rsidR="00075F4B" w:rsidRPr="006B2701">
        <w:rPr>
          <w:rFonts w:ascii="Tahoma" w:hAnsi="Tahoma" w:cs="Tahoma"/>
          <w:sz w:val="24"/>
          <w:szCs w:val="24"/>
          <w:lang w:val="ro-RO"/>
        </w:rPr>
        <w:t>(+</w:t>
      </w:r>
      <w:r w:rsidR="008A0221" w:rsidRPr="006B2701">
        <w:rPr>
          <w:rFonts w:ascii="Tahoma" w:hAnsi="Tahoma" w:cs="Tahoma"/>
          <w:sz w:val="24"/>
          <w:szCs w:val="24"/>
          <w:lang w:val="ro-RO"/>
        </w:rPr>
        <w:t>3.535,6</w:t>
      </w:r>
      <w:r w:rsidR="00D726FB" w:rsidRPr="006B2701">
        <w:rPr>
          <w:rFonts w:ascii="Tahoma" w:hAnsi="Tahoma" w:cs="Tahoma"/>
          <w:sz w:val="24"/>
          <w:szCs w:val="24"/>
          <w:lang w:val="ro-RO"/>
        </w:rPr>
        <w:t xml:space="preserve"> </w:t>
      </w:r>
      <w:r w:rsidR="00075F4B" w:rsidRPr="006B2701">
        <w:rPr>
          <w:rFonts w:ascii="Tahoma" w:hAnsi="Tahoma" w:cs="Tahoma"/>
          <w:sz w:val="24"/>
          <w:szCs w:val="24"/>
          <w:lang w:val="ro-RO"/>
        </w:rPr>
        <w:t>milioane lei)</w:t>
      </w:r>
      <w:r w:rsidR="00F45746" w:rsidRPr="006B2701">
        <w:rPr>
          <w:rFonts w:ascii="Tahoma" w:hAnsi="Tahoma" w:cs="Tahoma"/>
          <w:sz w:val="24"/>
          <w:szCs w:val="24"/>
          <w:lang w:val="ro-RO"/>
        </w:rPr>
        <w:t xml:space="preserve">, </w:t>
      </w:r>
      <w:r w:rsidR="008A0221" w:rsidRPr="006B2701">
        <w:rPr>
          <w:rFonts w:ascii="Tahoma" w:hAnsi="Tahoma" w:cs="Tahoma"/>
          <w:sz w:val="24"/>
          <w:szCs w:val="24"/>
          <w:lang w:val="ro-RO"/>
        </w:rPr>
        <w:t>bugetului instituțiilor/activităților finanțate din venituri proprii (+2846,3 milioane lei)</w:t>
      </w:r>
      <w:r w:rsidR="00334A59" w:rsidRPr="006B2701">
        <w:rPr>
          <w:rFonts w:ascii="Tahoma" w:hAnsi="Tahoma" w:cs="Tahoma"/>
          <w:sz w:val="24"/>
          <w:szCs w:val="24"/>
          <w:lang w:val="ro-RO"/>
        </w:rPr>
        <w:t xml:space="preserve"> și a </w:t>
      </w:r>
      <w:r w:rsidR="008A0221" w:rsidRPr="006B2701">
        <w:rPr>
          <w:rFonts w:ascii="Tahoma" w:hAnsi="Tahoma" w:cs="Tahoma"/>
          <w:sz w:val="24"/>
          <w:szCs w:val="24"/>
          <w:lang w:val="ro-RO"/>
        </w:rPr>
        <w:t>altor bugete componente ale bugetului general consolidat</w:t>
      </w:r>
      <w:r w:rsidR="008A0221" w:rsidRPr="006B2701">
        <w:rPr>
          <w:rFonts w:ascii="Tahoma" w:hAnsi="Tahoma" w:cs="Tahoma"/>
          <w:color w:val="FF0000"/>
          <w:sz w:val="24"/>
          <w:szCs w:val="24"/>
          <w:lang w:val="ro-RO"/>
        </w:rPr>
        <w:t xml:space="preserve"> </w:t>
      </w:r>
      <w:r w:rsidR="008A0221" w:rsidRPr="006B2701">
        <w:rPr>
          <w:rFonts w:ascii="Tahoma" w:hAnsi="Tahoma" w:cs="Tahoma"/>
          <w:sz w:val="24"/>
          <w:szCs w:val="24"/>
          <w:lang w:val="ro-RO"/>
        </w:rPr>
        <w:t xml:space="preserve">(+3.082,5 milioane lei) </w:t>
      </w:r>
      <w:r w:rsidRPr="006B2701">
        <w:rPr>
          <w:rFonts w:ascii="Tahoma" w:hAnsi="Tahoma" w:cs="Tahoma"/>
          <w:sz w:val="24"/>
          <w:szCs w:val="24"/>
          <w:lang w:val="ro-RO"/>
        </w:rPr>
        <w:t>în timp</w:t>
      </w:r>
      <w:r w:rsidR="004A329C" w:rsidRPr="006B2701">
        <w:rPr>
          <w:rFonts w:ascii="Tahoma" w:hAnsi="Tahoma" w:cs="Tahoma"/>
          <w:sz w:val="24"/>
          <w:szCs w:val="24"/>
          <w:lang w:val="ro-RO"/>
        </w:rPr>
        <w:t xml:space="preserve"> </w:t>
      </w:r>
      <w:r w:rsidRPr="006B2701">
        <w:rPr>
          <w:rFonts w:ascii="Tahoma" w:hAnsi="Tahoma" w:cs="Tahoma"/>
          <w:sz w:val="24"/>
          <w:szCs w:val="24"/>
          <w:lang w:val="ro-RO"/>
        </w:rPr>
        <w:t>ce niveluri sub</w:t>
      </w:r>
      <w:r w:rsidR="004A329C" w:rsidRPr="006B2701">
        <w:rPr>
          <w:rFonts w:ascii="Tahoma" w:hAnsi="Tahoma" w:cs="Tahoma"/>
          <w:sz w:val="24"/>
          <w:szCs w:val="24"/>
          <w:lang w:val="ro-RO"/>
        </w:rPr>
        <w:t xml:space="preserve"> </w:t>
      </w:r>
      <w:r w:rsidRPr="006B2701">
        <w:rPr>
          <w:rFonts w:ascii="Tahoma" w:hAnsi="Tahoma" w:cs="Tahoma"/>
          <w:sz w:val="24"/>
          <w:szCs w:val="24"/>
          <w:lang w:val="ro-RO"/>
        </w:rPr>
        <w:t>cele prevăzute</w:t>
      </w:r>
      <w:r w:rsidR="004A329C" w:rsidRPr="006B2701">
        <w:rPr>
          <w:rFonts w:ascii="Tahoma" w:hAnsi="Tahoma" w:cs="Tahoma"/>
          <w:sz w:val="24"/>
          <w:szCs w:val="24"/>
          <w:lang w:val="ro-RO"/>
        </w:rPr>
        <w:t xml:space="preserve"> </w:t>
      </w:r>
      <w:r w:rsidRPr="006B2701">
        <w:rPr>
          <w:rFonts w:ascii="Tahoma" w:hAnsi="Tahoma" w:cs="Tahoma"/>
          <w:sz w:val="24"/>
          <w:szCs w:val="24"/>
          <w:lang w:val="ro-RO"/>
        </w:rPr>
        <w:t>s-au înregistrat în cazu</w:t>
      </w:r>
      <w:r w:rsidR="008A3CE4" w:rsidRPr="006B2701">
        <w:rPr>
          <w:rFonts w:ascii="Tahoma" w:hAnsi="Tahoma" w:cs="Tahoma"/>
          <w:sz w:val="24"/>
          <w:szCs w:val="24"/>
          <w:lang w:val="ro-RO"/>
        </w:rPr>
        <w:t xml:space="preserve">l </w:t>
      </w:r>
      <w:r w:rsidR="008A0221" w:rsidRPr="006B2701">
        <w:rPr>
          <w:rFonts w:ascii="Tahoma" w:hAnsi="Tahoma" w:cs="Tahoma"/>
          <w:sz w:val="24"/>
          <w:szCs w:val="24"/>
          <w:lang w:val="ro-RO"/>
        </w:rPr>
        <w:t xml:space="preserve">bugetului asigurărilor sociale de stat </w:t>
      </w:r>
      <w:r w:rsidR="00334A59" w:rsidRPr="006B2701">
        <w:rPr>
          <w:rFonts w:ascii="Tahoma" w:hAnsi="Tahoma" w:cs="Tahoma"/>
          <w:sz w:val="24"/>
          <w:szCs w:val="24"/>
          <w:lang w:val="ro-RO"/>
        </w:rPr>
        <w:t>(</w:t>
      </w:r>
      <w:r w:rsidR="005E2FD6" w:rsidRPr="006B2701">
        <w:rPr>
          <w:rFonts w:ascii="Tahoma" w:hAnsi="Tahoma" w:cs="Tahoma"/>
          <w:sz w:val="24"/>
          <w:szCs w:val="24"/>
          <w:lang w:val="ro-RO"/>
        </w:rPr>
        <w:t>-</w:t>
      </w:r>
      <w:r w:rsidR="008A0221" w:rsidRPr="006B2701">
        <w:rPr>
          <w:rFonts w:ascii="Tahoma" w:hAnsi="Tahoma" w:cs="Tahoma"/>
          <w:sz w:val="24"/>
          <w:szCs w:val="24"/>
          <w:lang w:val="ro-RO"/>
        </w:rPr>
        <w:t>500</w:t>
      </w:r>
      <w:r w:rsidR="005E2FD6" w:rsidRPr="006B2701">
        <w:rPr>
          <w:rFonts w:ascii="Tahoma" w:hAnsi="Tahoma" w:cs="Tahoma"/>
          <w:sz w:val="24"/>
          <w:szCs w:val="24"/>
          <w:lang w:val="ro-RO"/>
        </w:rPr>
        <w:t>,</w:t>
      </w:r>
      <w:r w:rsidR="008A0221" w:rsidRPr="006B2701">
        <w:rPr>
          <w:rFonts w:ascii="Tahoma" w:hAnsi="Tahoma" w:cs="Tahoma"/>
          <w:sz w:val="24"/>
          <w:szCs w:val="24"/>
          <w:lang w:val="ro-RO"/>
        </w:rPr>
        <w:t>8</w:t>
      </w:r>
      <w:r w:rsidR="00334A59" w:rsidRPr="006B2701">
        <w:rPr>
          <w:rFonts w:ascii="Tahoma" w:hAnsi="Tahoma" w:cs="Tahoma"/>
          <w:sz w:val="24"/>
          <w:szCs w:val="24"/>
          <w:lang w:val="ro-RO"/>
        </w:rPr>
        <w:t xml:space="preserve"> milioane lei)</w:t>
      </w:r>
      <w:r w:rsidRPr="006B2701">
        <w:rPr>
          <w:rFonts w:ascii="Tahoma" w:hAnsi="Tahoma" w:cs="Tahoma"/>
          <w:sz w:val="24"/>
          <w:szCs w:val="24"/>
          <w:lang w:val="ro-RO"/>
        </w:rPr>
        <w:t xml:space="preserve">. </w:t>
      </w:r>
    </w:p>
    <w:p w14:paraId="697DADA5" w14:textId="287F0A1F" w:rsidR="00A141C5" w:rsidRPr="006B2701" w:rsidRDefault="00075F4B" w:rsidP="00416C83">
      <w:pPr>
        <w:spacing w:line="276" w:lineRule="auto"/>
        <w:jc w:val="both"/>
        <w:rPr>
          <w:rFonts w:ascii="Tahoma" w:hAnsi="Tahoma" w:cs="Tahoma"/>
          <w:sz w:val="24"/>
          <w:szCs w:val="24"/>
          <w:lang w:val="ro-RO"/>
        </w:rPr>
      </w:pPr>
      <w:r w:rsidRPr="006B2701">
        <w:rPr>
          <w:rFonts w:ascii="Tahoma" w:hAnsi="Tahoma" w:cs="Tahoma"/>
          <w:sz w:val="24"/>
          <w:szCs w:val="24"/>
          <w:lang w:val="ro-RO"/>
        </w:rPr>
        <w:t>Comparativ cu plafonul stabilit la ultima rectificare bugetară cheltuielile bugetare (exclusiv asistența financiară din partea UE sau alți donatori) s-au situat sub plafon în ca</w:t>
      </w:r>
      <w:r w:rsidR="00A141C5" w:rsidRPr="006B2701">
        <w:rPr>
          <w:rFonts w:ascii="Tahoma" w:hAnsi="Tahoma" w:cs="Tahoma"/>
          <w:sz w:val="24"/>
          <w:szCs w:val="24"/>
          <w:lang w:val="ro-RO"/>
        </w:rPr>
        <w:t>zul bugetului d</w:t>
      </w:r>
      <w:r w:rsidRPr="006B2701">
        <w:rPr>
          <w:rFonts w:ascii="Tahoma" w:hAnsi="Tahoma" w:cs="Tahoma"/>
          <w:sz w:val="24"/>
          <w:szCs w:val="24"/>
          <w:lang w:val="ro-RO"/>
        </w:rPr>
        <w:t>e</w:t>
      </w:r>
      <w:r w:rsidR="00A141C5" w:rsidRPr="006B2701">
        <w:rPr>
          <w:rFonts w:ascii="Tahoma" w:hAnsi="Tahoma" w:cs="Tahoma"/>
          <w:sz w:val="24"/>
          <w:szCs w:val="24"/>
          <w:lang w:val="ro-RO"/>
        </w:rPr>
        <w:t xml:space="preserve"> </w:t>
      </w:r>
      <w:r w:rsidR="007E498B" w:rsidRPr="006B2701">
        <w:rPr>
          <w:rFonts w:ascii="Tahoma" w:hAnsi="Tahoma" w:cs="Tahoma"/>
          <w:sz w:val="24"/>
          <w:szCs w:val="24"/>
          <w:lang w:val="ro-RO"/>
        </w:rPr>
        <w:t>stat (-7.</w:t>
      </w:r>
      <w:r w:rsidR="008A0221" w:rsidRPr="006B2701">
        <w:rPr>
          <w:rFonts w:ascii="Tahoma" w:hAnsi="Tahoma" w:cs="Tahoma"/>
          <w:sz w:val="24"/>
          <w:szCs w:val="24"/>
          <w:lang w:val="ro-RO"/>
        </w:rPr>
        <w:t>080,3</w:t>
      </w:r>
      <w:r w:rsidRPr="006B2701">
        <w:rPr>
          <w:rFonts w:ascii="Tahoma" w:hAnsi="Tahoma" w:cs="Tahoma"/>
          <w:sz w:val="24"/>
          <w:szCs w:val="24"/>
          <w:lang w:val="ro-RO"/>
        </w:rPr>
        <w:t xml:space="preserve"> milioane lei), bugetului Fondului național unic de asigurări sociale de sănătate(</w:t>
      </w:r>
      <w:r w:rsidR="00334A59" w:rsidRPr="006B2701">
        <w:rPr>
          <w:rFonts w:ascii="Tahoma" w:hAnsi="Tahoma" w:cs="Tahoma"/>
          <w:sz w:val="24"/>
          <w:szCs w:val="24"/>
          <w:lang w:val="ro-RO"/>
        </w:rPr>
        <w:t>-</w:t>
      </w:r>
      <w:r w:rsidR="008A0221" w:rsidRPr="006B2701">
        <w:rPr>
          <w:rFonts w:ascii="Tahoma" w:hAnsi="Tahoma" w:cs="Tahoma"/>
          <w:sz w:val="24"/>
          <w:szCs w:val="24"/>
          <w:lang w:val="ro-RO"/>
        </w:rPr>
        <w:t>206,7</w:t>
      </w:r>
      <w:r w:rsidR="007E498B" w:rsidRPr="006B2701">
        <w:rPr>
          <w:rFonts w:ascii="Tahoma" w:hAnsi="Tahoma" w:cs="Tahoma"/>
          <w:sz w:val="24"/>
          <w:szCs w:val="24"/>
          <w:lang w:val="ro-RO"/>
        </w:rPr>
        <w:t xml:space="preserve"> </w:t>
      </w:r>
      <w:r w:rsidR="008A0221" w:rsidRPr="006B2701">
        <w:rPr>
          <w:rFonts w:ascii="Tahoma" w:hAnsi="Tahoma" w:cs="Tahoma"/>
          <w:sz w:val="24"/>
          <w:szCs w:val="24"/>
          <w:lang w:val="ro-RO"/>
        </w:rPr>
        <w:t>milioane lei)</w:t>
      </w:r>
      <w:r w:rsidRPr="006B2701">
        <w:rPr>
          <w:rFonts w:ascii="Tahoma" w:hAnsi="Tahoma" w:cs="Tahoma"/>
          <w:sz w:val="24"/>
          <w:szCs w:val="24"/>
          <w:lang w:val="ro-RO"/>
        </w:rPr>
        <w:t xml:space="preserve"> </w:t>
      </w:r>
      <w:r w:rsidR="00334A59" w:rsidRPr="006B2701">
        <w:rPr>
          <w:rFonts w:ascii="Tahoma" w:hAnsi="Tahoma" w:cs="Tahoma"/>
          <w:sz w:val="24"/>
          <w:szCs w:val="24"/>
          <w:lang w:val="ro-RO"/>
        </w:rPr>
        <w:t>și</w:t>
      </w:r>
      <w:r w:rsidR="008A0221" w:rsidRPr="006B2701">
        <w:rPr>
          <w:rFonts w:ascii="Tahoma" w:hAnsi="Tahoma" w:cs="Tahoma"/>
          <w:sz w:val="24"/>
          <w:szCs w:val="24"/>
          <w:lang w:val="ro-RO"/>
        </w:rPr>
        <w:t xml:space="preserve"> a altor bugete componente ale bugetului general consolidat </w:t>
      </w:r>
      <w:r w:rsidR="008A0221" w:rsidRPr="006B2701">
        <w:rPr>
          <w:rFonts w:ascii="Tahoma" w:hAnsi="Tahoma" w:cs="Tahoma"/>
          <w:sz w:val="24"/>
          <w:szCs w:val="24"/>
          <w:lang w:val="ro-RO"/>
        </w:rPr>
        <w:lastRenderedPageBreak/>
        <w:t>(-1.101,6 milioane lei)</w:t>
      </w:r>
      <w:r w:rsidR="00334A59" w:rsidRPr="006B2701">
        <w:rPr>
          <w:rFonts w:ascii="Tahoma" w:hAnsi="Tahoma" w:cs="Tahoma"/>
          <w:sz w:val="24"/>
          <w:szCs w:val="24"/>
          <w:lang w:val="ro-RO"/>
        </w:rPr>
        <w:t xml:space="preserve"> </w:t>
      </w:r>
      <w:r w:rsidRPr="006B2701">
        <w:rPr>
          <w:rFonts w:ascii="Tahoma" w:hAnsi="Tahoma" w:cs="Tahoma"/>
          <w:sz w:val="24"/>
          <w:szCs w:val="24"/>
          <w:lang w:val="ro-RO"/>
        </w:rPr>
        <w:t xml:space="preserve">și au depășit plafonul stabilit în cazul </w:t>
      </w:r>
      <w:r w:rsidR="00A141C5" w:rsidRPr="006B2701">
        <w:rPr>
          <w:rFonts w:ascii="Tahoma" w:hAnsi="Tahoma" w:cs="Tahoma"/>
          <w:sz w:val="24"/>
          <w:szCs w:val="24"/>
          <w:lang w:val="ro-RO"/>
        </w:rPr>
        <w:t>bugetului centralizat al unităților administrativ-teritoriale</w:t>
      </w:r>
      <w:r w:rsidR="00F1009B" w:rsidRPr="006B2701">
        <w:rPr>
          <w:rFonts w:ascii="Tahoma" w:hAnsi="Tahoma" w:cs="Tahoma"/>
          <w:sz w:val="24"/>
          <w:szCs w:val="24"/>
          <w:lang w:val="ro-RO"/>
        </w:rPr>
        <w:t xml:space="preserve"> </w:t>
      </w:r>
      <w:r w:rsidR="00A141C5" w:rsidRPr="006B2701">
        <w:rPr>
          <w:rFonts w:ascii="Tahoma" w:hAnsi="Tahoma" w:cs="Tahoma"/>
          <w:sz w:val="24"/>
          <w:szCs w:val="24"/>
          <w:lang w:val="ro-RO"/>
        </w:rPr>
        <w:t>(+</w:t>
      </w:r>
      <w:r w:rsidR="008A0221" w:rsidRPr="006B2701">
        <w:rPr>
          <w:rFonts w:ascii="Tahoma" w:hAnsi="Tahoma" w:cs="Tahoma"/>
          <w:sz w:val="24"/>
          <w:szCs w:val="24"/>
          <w:lang w:val="ro-RO"/>
        </w:rPr>
        <w:t>2.638,1</w:t>
      </w:r>
      <w:r w:rsidR="00A141C5" w:rsidRPr="006B2701">
        <w:rPr>
          <w:rFonts w:ascii="Tahoma" w:hAnsi="Tahoma" w:cs="Tahoma"/>
          <w:sz w:val="24"/>
          <w:szCs w:val="24"/>
          <w:lang w:val="ro-RO"/>
        </w:rPr>
        <w:t xml:space="preserve"> milioane lei)</w:t>
      </w:r>
      <w:r w:rsidR="008A0221" w:rsidRPr="006B2701">
        <w:rPr>
          <w:rFonts w:ascii="Tahoma" w:hAnsi="Tahoma" w:cs="Tahoma"/>
          <w:sz w:val="24"/>
          <w:szCs w:val="24"/>
          <w:lang w:val="ro-RO"/>
        </w:rPr>
        <w:t>,</w:t>
      </w:r>
      <w:r w:rsidR="00A141C5" w:rsidRPr="006B2701">
        <w:rPr>
          <w:rFonts w:ascii="Tahoma" w:hAnsi="Tahoma" w:cs="Tahoma"/>
          <w:sz w:val="24"/>
          <w:szCs w:val="24"/>
          <w:lang w:val="ro-RO"/>
        </w:rPr>
        <w:t xml:space="preserve"> </w:t>
      </w:r>
      <w:r w:rsidR="008A0221" w:rsidRPr="006B2701">
        <w:rPr>
          <w:rFonts w:ascii="Tahoma" w:hAnsi="Tahoma" w:cs="Tahoma"/>
          <w:sz w:val="24"/>
          <w:szCs w:val="24"/>
          <w:lang w:val="ro-RO"/>
        </w:rPr>
        <w:t>în cazul bugetului asigurărilor sociale de stat (+68,0 milioane lei) în cazul bugetului asigurărilor pentru șomaj (+55,6 milioane lei) și în cazul bugetului instituțiilor/activităților finanțate din venituri proprii (+1.438,3 milioane lei).</w:t>
      </w:r>
    </w:p>
    <w:p w14:paraId="56B28145" w14:textId="280F7A41" w:rsidR="001E36A5" w:rsidRPr="006B2701" w:rsidRDefault="00BA5E33" w:rsidP="00416C83">
      <w:pPr>
        <w:spacing w:line="276" w:lineRule="auto"/>
        <w:jc w:val="both"/>
        <w:rPr>
          <w:rFonts w:ascii="Tahoma" w:hAnsi="Tahoma" w:cs="Tahoma"/>
          <w:sz w:val="24"/>
          <w:szCs w:val="24"/>
          <w:lang w:val="ro-RO"/>
        </w:rPr>
      </w:pPr>
      <w:r w:rsidRPr="006B2701">
        <w:rPr>
          <w:rFonts w:ascii="Tahoma" w:hAnsi="Tahoma" w:cs="Tahoma"/>
          <w:sz w:val="24"/>
          <w:szCs w:val="24"/>
          <w:lang w:val="ro-RO"/>
        </w:rPr>
        <w:t xml:space="preserve">Cheltuielile de personal ale bugetului general consolidat în anul </w:t>
      </w:r>
      <w:r w:rsidR="00010602" w:rsidRPr="006B2701">
        <w:rPr>
          <w:rFonts w:ascii="Tahoma" w:hAnsi="Tahoma" w:cs="Tahoma"/>
          <w:sz w:val="24"/>
          <w:szCs w:val="24"/>
          <w:lang w:val="ro-RO"/>
        </w:rPr>
        <w:t>202</w:t>
      </w:r>
      <w:r w:rsidR="008A0221" w:rsidRPr="006B2701">
        <w:rPr>
          <w:rFonts w:ascii="Tahoma" w:hAnsi="Tahoma" w:cs="Tahoma"/>
          <w:sz w:val="24"/>
          <w:szCs w:val="24"/>
          <w:lang w:val="ro-RO"/>
        </w:rPr>
        <w:t>2</w:t>
      </w:r>
      <w:r w:rsidR="00010602" w:rsidRPr="006B2701">
        <w:rPr>
          <w:rFonts w:ascii="Tahoma" w:hAnsi="Tahoma" w:cs="Tahoma"/>
          <w:sz w:val="24"/>
          <w:szCs w:val="24"/>
          <w:lang w:val="ro-RO"/>
        </w:rPr>
        <w:t xml:space="preserve"> </w:t>
      </w:r>
      <w:r w:rsidRPr="006B2701">
        <w:rPr>
          <w:rFonts w:ascii="Tahoma" w:hAnsi="Tahoma" w:cs="Tahoma"/>
          <w:sz w:val="24"/>
          <w:szCs w:val="24"/>
          <w:lang w:val="ro-RO"/>
        </w:rPr>
        <w:t xml:space="preserve">au fost în sumă de </w:t>
      </w:r>
      <w:r w:rsidR="008A0221" w:rsidRPr="006B2701">
        <w:rPr>
          <w:rFonts w:ascii="Tahoma" w:hAnsi="Tahoma" w:cs="Tahoma"/>
          <w:sz w:val="24"/>
          <w:szCs w:val="24"/>
          <w:lang w:val="ro-RO"/>
        </w:rPr>
        <w:t>117.683,4</w:t>
      </w:r>
      <w:r w:rsidRPr="006B2701">
        <w:rPr>
          <w:rFonts w:ascii="Tahoma" w:hAnsi="Tahoma" w:cs="Tahoma"/>
          <w:sz w:val="24"/>
          <w:szCs w:val="24"/>
          <w:lang w:val="ro-RO"/>
        </w:rPr>
        <w:t xml:space="preserve"> milioane lei cu </w:t>
      </w:r>
      <w:r w:rsidR="009F357F" w:rsidRPr="006B2701">
        <w:rPr>
          <w:rFonts w:ascii="Tahoma" w:hAnsi="Tahoma" w:cs="Tahoma"/>
          <w:sz w:val="24"/>
          <w:szCs w:val="24"/>
          <w:lang w:val="ro-RO"/>
        </w:rPr>
        <w:t>2.276,4</w:t>
      </w:r>
      <w:r w:rsidR="002D1A0B" w:rsidRPr="006B2701">
        <w:rPr>
          <w:rFonts w:ascii="Tahoma" w:hAnsi="Tahoma" w:cs="Tahoma"/>
          <w:sz w:val="24"/>
          <w:szCs w:val="24"/>
          <w:lang w:val="ro-RO"/>
        </w:rPr>
        <w:t xml:space="preserve"> </w:t>
      </w:r>
      <w:r w:rsidRPr="006B2701">
        <w:rPr>
          <w:rFonts w:ascii="Tahoma" w:hAnsi="Tahoma" w:cs="Tahoma"/>
          <w:sz w:val="24"/>
          <w:szCs w:val="24"/>
          <w:lang w:val="ro-RO"/>
        </w:rPr>
        <w:t xml:space="preserve">milioane lei </w:t>
      </w:r>
      <w:r w:rsidR="001E36A5" w:rsidRPr="006B2701">
        <w:rPr>
          <w:rFonts w:ascii="Tahoma" w:hAnsi="Tahoma" w:cs="Tahoma"/>
          <w:sz w:val="24"/>
          <w:szCs w:val="24"/>
          <w:lang w:val="ro-RO"/>
        </w:rPr>
        <w:t>peste plafonul avut în vedere la elaborarea legilor bugetare și stabilit de Legea nr.</w:t>
      </w:r>
      <w:r w:rsidR="009F357F" w:rsidRPr="006B2701">
        <w:rPr>
          <w:rFonts w:ascii="Tahoma" w:hAnsi="Tahoma" w:cs="Tahoma"/>
          <w:sz w:val="24"/>
          <w:szCs w:val="24"/>
          <w:lang w:val="ro-RO"/>
        </w:rPr>
        <w:t>312</w:t>
      </w:r>
      <w:r w:rsidR="001E36A5" w:rsidRPr="006B2701">
        <w:rPr>
          <w:rFonts w:ascii="Tahoma" w:hAnsi="Tahoma" w:cs="Tahoma"/>
          <w:sz w:val="24"/>
          <w:szCs w:val="24"/>
          <w:lang w:val="ro-RO"/>
        </w:rPr>
        <w:t>/</w:t>
      </w:r>
      <w:r w:rsidR="00334A59" w:rsidRPr="006B2701">
        <w:rPr>
          <w:rFonts w:ascii="Tahoma" w:hAnsi="Tahoma" w:cs="Tahoma"/>
          <w:sz w:val="24"/>
          <w:szCs w:val="24"/>
          <w:lang w:val="ro-RO"/>
        </w:rPr>
        <w:t>2021</w:t>
      </w:r>
      <w:r w:rsidR="001E36A5" w:rsidRPr="006B2701">
        <w:rPr>
          <w:rFonts w:ascii="Tahoma" w:hAnsi="Tahoma" w:cs="Tahoma"/>
          <w:sz w:val="24"/>
          <w:szCs w:val="24"/>
          <w:lang w:val="ro-RO"/>
        </w:rPr>
        <w:t>.</w:t>
      </w:r>
    </w:p>
    <w:p w14:paraId="48213E81" w14:textId="3EFB4DD1" w:rsidR="00BA5E33" w:rsidRPr="006B2701" w:rsidRDefault="001E36A5" w:rsidP="00416C83">
      <w:pPr>
        <w:spacing w:line="276" w:lineRule="auto"/>
        <w:jc w:val="both"/>
        <w:rPr>
          <w:rFonts w:ascii="Tahoma" w:hAnsi="Tahoma" w:cs="Tahoma"/>
          <w:sz w:val="24"/>
          <w:szCs w:val="24"/>
          <w:lang w:val="ro-RO"/>
        </w:rPr>
      </w:pPr>
      <w:r w:rsidRPr="006B2701">
        <w:rPr>
          <w:rFonts w:ascii="Tahoma" w:hAnsi="Tahoma" w:cs="Tahoma"/>
          <w:sz w:val="24"/>
          <w:szCs w:val="24"/>
          <w:lang w:val="ro-RO"/>
        </w:rPr>
        <w:t xml:space="preserve">Cheltuielile de personal ale bugetului general consolidat s-au încadrat în plafonul stabilit la ultima rectificare bugetară fiind cu </w:t>
      </w:r>
      <w:r w:rsidR="009F357F" w:rsidRPr="006B2701">
        <w:rPr>
          <w:rFonts w:ascii="Tahoma" w:hAnsi="Tahoma" w:cs="Tahoma"/>
          <w:sz w:val="24"/>
          <w:szCs w:val="24"/>
          <w:lang w:val="ro-RO"/>
        </w:rPr>
        <w:t>732,8</w:t>
      </w:r>
      <w:r w:rsidR="007E498B" w:rsidRPr="006B2701">
        <w:rPr>
          <w:rFonts w:ascii="Tahoma" w:hAnsi="Tahoma" w:cs="Tahoma"/>
          <w:sz w:val="24"/>
          <w:szCs w:val="24"/>
          <w:lang w:val="ro-RO"/>
        </w:rPr>
        <w:t xml:space="preserve"> </w:t>
      </w:r>
      <w:r w:rsidRPr="006B2701">
        <w:rPr>
          <w:rFonts w:ascii="Tahoma" w:hAnsi="Tahoma" w:cs="Tahoma"/>
          <w:sz w:val="24"/>
          <w:szCs w:val="24"/>
          <w:lang w:val="ro-RO"/>
        </w:rPr>
        <w:t xml:space="preserve">milioane lei sub acesta. </w:t>
      </w:r>
    </w:p>
    <w:p w14:paraId="24064107" w14:textId="13A4DBED" w:rsidR="00975135" w:rsidRPr="006B2701" w:rsidRDefault="00BA5E33" w:rsidP="00416C83">
      <w:pPr>
        <w:spacing w:line="276" w:lineRule="auto"/>
        <w:jc w:val="both"/>
        <w:rPr>
          <w:rFonts w:ascii="Tahoma" w:hAnsi="Tahoma" w:cs="Tahoma"/>
          <w:sz w:val="24"/>
          <w:szCs w:val="24"/>
          <w:lang w:val="ro-RO"/>
        </w:rPr>
      </w:pPr>
      <w:r w:rsidRPr="006B2701">
        <w:rPr>
          <w:rFonts w:ascii="Tahoma" w:hAnsi="Tahoma" w:cs="Tahoma"/>
          <w:sz w:val="24"/>
          <w:szCs w:val="24"/>
          <w:lang w:val="ro-RO"/>
        </w:rPr>
        <w:t xml:space="preserve">Cheltuielile de personal au </w:t>
      </w:r>
      <w:r w:rsidR="001E36A5" w:rsidRPr="006B2701">
        <w:rPr>
          <w:rFonts w:ascii="Tahoma" w:hAnsi="Tahoma" w:cs="Tahoma"/>
          <w:sz w:val="24"/>
          <w:szCs w:val="24"/>
          <w:lang w:val="ro-RO"/>
        </w:rPr>
        <w:t>depășit plafonul nominal avut în vedere la elaborarea legilor bugetare inițiale și stabilit de Legea nr.</w:t>
      </w:r>
      <w:r w:rsidR="009F357F" w:rsidRPr="006B2701">
        <w:rPr>
          <w:rFonts w:ascii="Tahoma" w:hAnsi="Tahoma" w:cs="Tahoma"/>
          <w:sz w:val="24"/>
          <w:szCs w:val="24"/>
          <w:lang w:val="ro-RO"/>
        </w:rPr>
        <w:t>312</w:t>
      </w:r>
      <w:r w:rsidR="001E36A5" w:rsidRPr="006B2701">
        <w:rPr>
          <w:rFonts w:ascii="Tahoma" w:hAnsi="Tahoma" w:cs="Tahoma"/>
          <w:sz w:val="24"/>
          <w:szCs w:val="24"/>
          <w:lang w:val="ro-RO"/>
        </w:rPr>
        <w:t>/</w:t>
      </w:r>
      <w:r w:rsidR="00334A59" w:rsidRPr="006B2701">
        <w:rPr>
          <w:rFonts w:ascii="Tahoma" w:hAnsi="Tahoma" w:cs="Tahoma"/>
          <w:sz w:val="24"/>
          <w:szCs w:val="24"/>
          <w:lang w:val="ro-RO"/>
        </w:rPr>
        <w:t xml:space="preserve">2021 </w:t>
      </w:r>
      <w:r w:rsidRPr="006B2701">
        <w:rPr>
          <w:rFonts w:ascii="Tahoma" w:hAnsi="Tahoma" w:cs="Tahoma"/>
          <w:sz w:val="24"/>
          <w:szCs w:val="24"/>
          <w:lang w:val="ro-RO"/>
        </w:rPr>
        <w:t xml:space="preserve">în cazul </w:t>
      </w:r>
      <w:r w:rsidR="00717D50" w:rsidRPr="006B2701">
        <w:rPr>
          <w:rFonts w:ascii="Tahoma" w:hAnsi="Tahoma" w:cs="Tahoma"/>
          <w:sz w:val="24"/>
          <w:szCs w:val="24"/>
          <w:lang w:val="ro-RO"/>
        </w:rPr>
        <w:t>bugetului de stat(+</w:t>
      </w:r>
      <w:r w:rsidR="009F357F" w:rsidRPr="006B2701">
        <w:rPr>
          <w:rFonts w:ascii="Tahoma" w:hAnsi="Tahoma" w:cs="Tahoma"/>
          <w:sz w:val="24"/>
          <w:szCs w:val="24"/>
          <w:lang w:val="ro-RO"/>
        </w:rPr>
        <w:t>1.584,7</w:t>
      </w:r>
      <w:r w:rsidR="00717D50" w:rsidRPr="006B2701">
        <w:rPr>
          <w:rFonts w:ascii="Tahoma" w:hAnsi="Tahoma" w:cs="Tahoma"/>
          <w:sz w:val="24"/>
          <w:szCs w:val="24"/>
          <w:lang w:val="ro-RO"/>
        </w:rPr>
        <w:t xml:space="preserve"> milioane lei);</w:t>
      </w:r>
      <w:r w:rsidR="007E498B" w:rsidRPr="006B2701">
        <w:rPr>
          <w:rFonts w:ascii="Tahoma" w:hAnsi="Tahoma" w:cs="Tahoma"/>
          <w:sz w:val="24"/>
          <w:szCs w:val="24"/>
          <w:lang w:val="ro-RO"/>
        </w:rPr>
        <w:t xml:space="preserve"> </w:t>
      </w:r>
      <w:r w:rsidR="005523AC" w:rsidRPr="006B2701">
        <w:rPr>
          <w:rFonts w:ascii="Tahoma" w:hAnsi="Tahoma" w:cs="Tahoma"/>
          <w:sz w:val="24"/>
          <w:szCs w:val="24"/>
          <w:lang w:val="ro-RO"/>
        </w:rPr>
        <w:t xml:space="preserve">bugetului centralizat al unităților administrativ-teritoriale </w:t>
      </w:r>
      <w:r w:rsidR="00A141C5" w:rsidRPr="006B2701">
        <w:rPr>
          <w:rFonts w:ascii="Tahoma" w:hAnsi="Tahoma" w:cs="Tahoma"/>
          <w:sz w:val="24"/>
          <w:szCs w:val="24"/>
          <w:lang w:val="ro-RO"/>
        </w:rPr>
        <w:t>(+</w:t>
      </w:r>
      <w:r w:rsidR="009F357F" w:rsidRPr="006B2701">
        <w:rPr>
          <w:rFonts w:ascii="Tahoma" w:hAnsi="Tahoma" w:cs="Tahoma"/>
          <w:sz w:val="24"/>
          <w:szCs w:val="24"/>
          <w:lang w:val="ro-RO"/>
        </w:rPr>
        <w:t>725,7</w:t>
      </w:r>
      <w:r w:rsidR="001E36A5" w:rsidRPr="006B2701">
        <w:rPr>
          <w:rFonts w:ascii="Tahoma" w:hAnsi="Tahoma" w:cs="Tahoma"/>
          <w:sz w:val="24"/>
          <w:szCs w:val="24"/>
          <w:lang w:val="ro-RO"/>
        </w:rPr>
        <w:t xml:space="preserve"> milioane lei)</w:t>
      </w:r>
      <w:r w:rsidR="00717D50" w:rsidRPr="006B2701">
        <w:rPr>
          <w:rFonts w:ascii="Tahoma" w:hAnsi="Tahoma" w:cs="Tahoma"/>
          <w:sz w:val="24"/>
          <w:szCs w:val="24"/>
          <w:lang w:val="ro-RO"/>
        </w:rPr>
        <w:t>; bugetului asigurărilor pentru șomaj (+</w:t>
      </w:r>
      <w:r w:rsidR="009F357F" w:rsidRPr="006B2701">
        <w:rPr>
          <w:rFonts w:ascii="Tahoma" w:hAnsi="Tahoma" w:cs="Tahoma"/>
          <w:sz w:val="24"/>
          <w:szCs w:val="24"/>
          <w:lang w:val="ro-RO"/>
        </w:rPr>
        <w:t>8</w:t>
      </w:r>
      <w:r w:rsidR="00717D50" w:rsidRPr="006B2701">
        <w:rPr>
          <w:rFonts w:ascii="Tahoma" w:hAnsi="Tahoma" w:cs="Tahoma"/>
          <w:sz w:val="24"/>
          <w:szCs w:val="24"/>
          <w:lang w:val="ro-RO"/>
        </w:rPr>
        <w:t>,7 milioane lei)</w:t>
      </w:r>
      <w:r w:rsidR="009F357F" w:rsidRPr="006B2701">
        <w:rPr>
          <w:rFonts w:ascii="Tahoma" w:hAnsi="Tahoma" w:cs="Tahoma"/>
          <w:sz w:val="24"/>
          <w:szCs w:val="24"/>
          <w:lang w:val="ro-RO"/>
        </w:rPr>
        <w:t>, bugetului Fondului național unic de asigurări sociale de sănătate(+1,2)</w:t>
      </w:r>
      <w:r w:rsidR="00FE26E1" w:rsidRPr="006B2701">
        <w:rPr>
          <w:rFonts w:ascii="Tahoma" w:hAnsi="Tahoma" w:cs="Tahoma"/>
          <w:sz w:val="24"/>
          <w:szCs w:val="24"/>
          <w:lang w:val="ro-RO"/>
        </w:rPr>
        <w:t xml:space="preserve"> </w:t>
      </w:r>
      <w:r w:rsidR="001E36A5" w:rsidRPr="006B2701">
        <w:rPr>
          <w:rFonts w:ascii="Tahoma" w:hAnsi="Tahoma" w:cs="Tahoma"/>
          <w:sz w:val="24"/>
          <w:szCs w:val="24"/>
          <w:lang w:val="ro-RO"/>
        </w:rPr>
        <w:t>și a bugetului instituțiilor/activităților finanțate din venituri proprii (+</w:t>
      </w:r>
      <w:r w:rsidR="009F357F" w:rsidRPr="006B2701">
        <w:rPr>
          <w:rFonts w:ascii="Tahoma" w:hAnsi="Tahoma" w:cs="Tahoma"/>
          <w:sz w:val="24"/>
          <w:szCs w:val="24"/>
          <w:lang w:val="ro-RO"/>
        </w:rPr>
        <w:t>10,1</w:t>
      </w:r>
      <w:r w:rsidR="00717D50" w:rsidRPr="006B2701">
        <w:rPr>
          <w:rFonts w:ascii="Tahoma" w:hAnsi="Tahoma" w:cs="Tahoma"/>
          <w:sz w:val="24"/>
          <w:szCs w:val="24"/>
          <w:lang w:val="ro-RO"/>
        </w:rPr>
        <w:t xml:space="preserve"> </w:t>
      </w:r>
      <w:r w:rsidR="001E36A5" w:rsidRPr="006B2701">
        <w:rPr>
          <w:rFonts w:ascii="Tahoma" w:hAnsi="Tahoma" w:cs="Tahoma"/>
          <w:sz w:val="24"/>
          <w:szCs w:val="24"/>
          <w:lang w:val="ro-RO"/>
        </w:rPr>
        <w:t>milioane lei)</w:t>
      </w:r>
      <w:r w:rsidR="00975135" w:rsidRPr="006B2701">
        <w:rPr>
          <w:rFonts w:ascii="Tahoma" w:hAnsi="Tahoma" w:cs="Tahoma"/>
          <w:sz w:val="24"/>
          <w:szCs w:val="24"/>
          <w:lang w:val="ro-RO"/>
        </w:rPr>
        <w:t xml:space="preserve"> în timp ce în cazul </w:t>
      </w:r>
      <w:r w:rsidR="00374FC1" w:rsidRPr="006B2701">
        <w:rPr>
          <w:rFonts w:ascii="Tahoma" w:hAnsi="Tahoma" w:cs="Tahoma"/>
          <w:sz w:val="24"/>
          <w:szCs w:val="24"/>
          <w:lang w:val="ro-RO"/>
        </w:rPr>
        <w:t>celorlalte</w:t>
      </w:r>
      <w:r w:rsidR="00975135" w:rsidRPr="006B2701">
        <w:rPr>
          <w:rFonts w:ascii="Tahoma" w:hAnsi="Tahoma" w:cs="Tahoma"/>
          <w:sz w:val="24"/>
          <w:szCs w:val="24"/>
          <w:lang w:val="ro-RO"/>
        </w:rPr>
        <w:t xml:space="preserve"> bugete acestea s-au situat sub plafonul stabilit.</w:t>
      </w:r>
    </w:p>
    <w:p w14:paraId="309CD7DB" w14:textId="1638AD12" w:rsidR="005523AC" w:rsidRPr="006B2701" w:rsidRDefault="005523AC" w:rsidP="00416C83">
      <w:pPr>
        <w:spacing w:line="276" w:lineRule="auto"/>
        <w:jc w:val="both"/>
        <w:rPr>
          <w:rFonts w:ascii="Tahoma" w:hAnsi="Tahoma" w:cs="Tahoma"/>
          <w:sz w:val="24"/>
          <w:szCs w:val="24"/>
          <w:lang w:val="ro-RO"/>
        </w:rPr>
      </w:pPr>
      <w:r w:rsidRPr="006B2701">
        <w:rPr>
          <w:rFonts w:ascii="Tahoma" w:hAnsi="Tahoma" w:cs="Tahoma"/>
          <w:sz w:val="24"/>
          <w:szCs w:val="24"/>
          <w:lang w:val="ro-RO"/>
        </w:rPr>
        <w:t xml:space="preserve">Comparativ cu plafonul stabilit la ultima rectificare bugetară cheltuielile de personal s-au situat sub acest plafon </w:t>
      </w:r>
      <w:r w:rsidR="00F1009B" w:rsidRPr="006B2701">
        <w:rPr>
          <w:rFonts w:ascii="Tahoma" w:hAnsi="Tahoma" w:cs="Tahoma"/>
          <w:sz w:val="24"/>
          <w:szCs w:val="24"/>
          <w:lang w:val="ro-RO"/>
        </w:rPr>
        <w:t>î</w:t>
      </w:r>
      <w:r w:rsidRPr="006B2701">
        <w:rPr>
          <w:rFonts w:ascii="Tahoma" w:hAnsi="Tahoma" w:cs="Tahoma"/>
          <w:sz w:val="24"/>
          <w:szCs w:val="24"/>
          <w:lang w:val="ro-RO"/>
        </w:rPr>
        <w:t xml:space="preserve">n cazul majorității bugetelor componente la bugetului general consolidat cu excepția cheltuielilor de personal de la </w:t>
      </w:r>
      <w:r w:rsidR="009F357F" w:rsidRPr="006B2701">
        <w:rPr>
          <w:rFonts w:ascii="Tahoma" w:hAnsi="Tahoma" w:cs="Tahoma"/>
          <w:sz w:val="24"/>
          <w:szCs w:val="24"/>
          <w:lang w:val="ro-RO"/>
        </w:rPr>
        <w:t>bugetului instituțiilor/activităților finanțate din venituri proprii</w:t>
      </w:r>
      <w:r w:rsidRPr="006B2701">
        <w:rPr>
          <w:rFonts w:ascii="Tahoma" w:hAnsi="Tahoma" w:cs="Tahoma"/>
          <w:sz w:val="24"/>
          <w:szCs w:val="24"/>
          <w:lang w:val="ro-RO"/>
        </w:rPr>
        <w:t xml:space="preserve"> unde plafonul a fost depășit cu </w:t>
      </w:r>
      <w:r w:rsidR="009F357F" w:rsidRPr="006B2701">
        <w:rPr>
          <w:rFonts w:ascii="Tahoma" w:hAnsi="Tahoma" w:cs="Tahoma"/>
          <w:sz w:val="24"/>
          <w:szCs w:val="24"/>
          <w:lang w:val="ro-RO"/>
        </w:rPr>
        <w:t>3,9</w:t>
      </w:r>
      <w:r w:rsidRPr="006B2701">
        <w:rPr>
          <w:rFonts w:ascii="Tahoma" w:hAnsi="Tahoma" w:cs="Tahoma"/>
          <w:sz w:val="24"/>
          <w:szCs w:val="24"/>
          <w:lang w:val="ro-RO"/>
        </w:rPr>
        <w:t xml:space="preserve"> milioane lei.</w:t>
      </w:r>
    </w:p>
    <w:p w14:paraId="1DD82843" w14:textId="6ADE2516" w:rsidR="005300E5" w:rsidRPr="006B2701" w:rsidRDefault="005300E5">
      <w:pPr>
        <w:rPr>
          <w:rFonts w:ascii="Arial" w:hAnsi="Arial" w:cs="Arial"/>
          <w:sz w:val="24"/>
          <w:szCs w:val="24"/>
          <w:lang w:val="ro-RO"/>
        </w:rPr>
      </w:pPr>
      <w:r w:rsidRPr="006B2701">
        <w:rPr>
          <w:rFonts w:ascii="Arial" w:hAnsi="Arial" w:cs="Arial"/>
          <w:sz w:val="24"/>
          <w:szCs w:val="24"/>
          <w:lang w:val="ro-RO"/>
        </w:rPr>
        <w:br w:type="page"/>
      </w:r>
    </w:p>
    <w:p w14:paraId="41A3782B" w14:textId="20854F1B" w:rsidR="00BA5E33" w:rsidRPr="006B2701" w:rsidRDefault="00BA5E33" w:rsidP="00A2048A">
      <w:pPr>
        <w:spacing w:line="276" w:lineRule="auto"/>
        <w:jc w:val="both"/>
        <w:rPr>
          <w:rFonts w:ascii="Tahoma" w:hAnsi="Tahoma" w:cs="Tahoma"/>
          <w:b/>
          <w:bCs/>
          <w:color w:val="000000"/>
          <w:sz w:val="24"/>
          <w:szCs w:val="24"/>
          <w:lang w:val="ro-RO"/>
        </w:rPr>
      </w:pPr>
      <w:r w:rsidRPr="006B2701">
        <w:rPr>
          <w:rFonts w:ascii="Arial" w:hAnsi="Arial" w:cs="Arial"/>
          <w:b/>
          <w:bCs/>
          <w:color w:val="000000"/>
          <w:sz w:val="24"/>
          <w:szCs w:val="24"/>
          <w:lang w:val="ro-RO"/>
        </w:rPr>
        <w:lastRenderedPageBreak/>
        <w:t>III.</w:t>
      </w:r>
      <w:r w:rsidR="005363FF" w:rsidRPr="006B2701">
        <w:rPr>
          <w:rFonts w:ascii="Arial" w:hAnsi="Arial" w:cs="Arial"/>
          <w:b/>
          <w:bCs/>
          <w:color w:val="000000"/>
          <w:sz w:val="24"/>
          <w:szCs w:val="24"/>
          <w:lang w:val="ro-RO"/>
        </w:rPr>
        <w:t>4</w:t>
      </w:r>
      <w:r w:rsidRPr="006B2701">
        <w:rPr>
          <w:rFonts w:ascii="Arial" w:hAnsi="Arial" w:cs="Arial"/>
          <w:b/>
          <w:bCs/>
          <w:color w:val="000000"/>
          <w:sz w:val="24"/>
          <w:szCs w:val="24"/>
          <w:lang w:val="ro-RO"/>
        </w:rPr>
        <w:t xml:space="preserve">. </w:t>
      </w:r>
      <w:r w:rsidRPr="006B2701">
        <w:rPr>
          <w:rFonts w:ascii="Tahoma" w:hAnsi="Tahoma" w:cs="Tahoma"/>
          <w:b/>
          <w:bCs/>
          <w:color w:val="000000"/>
          <w:sz w:val="24"/>
          <w:szCs w:val="24"/>
          <w:lang w:val="ro-RO"/>
        </w:rPr>
        <w:t xml:space="preserve">Execuția bugetară pe anul </w:t>
      </w:r>
      <w:r w:rsidR="00D17F58" w:rsidRPr="006B2701">
        <w:rPr>
          <w:rFonts w:ascii="Tahoma" w:hAnsi="Tahoma" w:cs="Tahoma"/>
          <w:b/>
          <w:bCs/>
          <w:color w:val="000000"/>
          <w:sz w:val="24"/>
          <w:szCs w:val="24"/>
          <w:lang w:val="ro-RO"/>
        </w:rPr>
        <w:t>202</w:t>
      </w:r>
      <w:r w:rsidR="008044D1" w:rsidRPr="006B2701">
        <w:rPr>
          <w:rFonts w:ascii="Tahoma" w:hAnsi="Tahoma" w:cs="Tahoma"/>
          <w:b/>
          <w:bCs/>
          <w:color w:val="000000"/>
          <w:sz w:val="24"/>
          <w:szCs w:val="24"/>
          <w:lang w:val="ro-RO"/>
        </w:rPr>
        <w:t>2</w:t>
      </w:r>
    </w:p>
    <w:p w14:paraId="3745D3E0" w14:textId="77777777" w:rsidR="005232B3" w:rsidRPr="006B2701" w:rsidRDefault="005232B3" w:rsidP="00A2048A">
      <w:pPr>
        <w:spacing w:line="276" w:lineRule="auto"/>
        <w:jc w:val="both"/>
        <w:rPr>
          <w:rFonts w:ascii="Tahoma" w:hAnsi="Tahoma" w:cs="Tahoma"/>
          <w:b/>
          <w:bCs/>
          <w:color w:val="000000"/>
          <w:sz w:val="24"/>
          <w:szCs w:val="24"/>
          <w:lang w:val="ro-RO"/>
        </w:rPr>
      </w:pPr>
    </w:p>
    <w:p w14:paraId="0CDE1271" w14:textId="71D8C962" w:rsidR="00BA5E33" w:rsidRPr="006B2701" w:rsidRDefault="00BA5E33" w:rsidP="00A2048A">
      <w:pPr>
        <w:spacing w:line="276" w:lineRule="auto"/>
        <w:jc w:val="both"/>
        <w:rPr>
          <w:rFonts w:ascii="Tahoma" w:hAnsi="Tahoma" w:cs="Tahoma"/>
          <w:b/>
          <w:bCs/>
          <w:sz w:val="24"/>
          <w:szCs w:val="24"/>
          <w:lang w:val="ro-RO"/>
        </w:rPr>
      </w:pPr>
      <w:r w:rsidRPr="006B2701">
        <w:rPr>
          <w:rFonts w:ascii="Tahoma" w:hAnsi="Tahoma" w:cs="Tahoma"/>
          <w:b/>
          <w:bCs/>
          <w:color w:val="000000"/>
          <w:sz w:val="24"/>
          <w:szCs w:val="24"/>
          <w:lang w:val="ro-RO"/>
        </w:rPr>
        <w:t>III.</w:t>
      </w:r>
      <w:r w:rsidR="005363FF" w:rsidRPr="006B2701">
        <w:rPr>
          <w:rFonts w:ascii="Tahoma" w:hAnsi="Tahoma" w:cs="Tahoma"/>
          <w:b/>
          <w:bCs/>
          <w:color w:val="000000"/>
          <w:sz w:val="24"/>
          <w:szCs w:val="24"/>
          <w:lang w:val="ro-RO"/>
        </w:rPr>
        <w:t>4</w:t>
      </w:r>
      <w:r w:rsidRPr="006B2701">
        <w:rPr>
          <w:rFonts w:ascii="Tahoma" w:hAnsi="Tahoma" w:cs="Tahoma"/>
          <w:b/>
          <w:bCs/>
          <w:color w:val="000000"/>
          <w:sz w:val="24"/>
          <w:szCs w:val="24"/>
          <w:lang w:val="ro-RO"/>
        </w:rPr>
        <w:t>.</w:t>
      </w:r>
      <w:r w:rsidRPr="006B2701">
        <w:rPr>
          <w:rFonts w:ascii="Tahoma" w:hAnsi="Tahoma" w:cs="Tahoma"/>
          <w:b/>
          <w:bCs/>
          <w:sz w:val="24"/>
          <w:szCs w:val="24"/>
          <w:lang w:val="ro-RO"/>
        </w:rPr>
        <w:t xml:space="preserve">1. Execuția bugetară </w:t>
      </w:r>
    </w:p>
    <w:p w14:paraId="21D5D04F" w14:textId="77777777" w:rsidR="00256FDC" w:rsidRPr="006B2701" w:rsidRDefault="00256FDC" w:rsidP="00A2048A">
      <w:pPr>
        <w:spacing w:line="276" w:lineRule="auto"/>
        <w:jc w:val="both"/>
        <w:rPr>
          <w:rFonts w:ascii="Tahoma" w:hAnsi="Tahoma" w:cs="Tahoma"/>
          <w:b/>
          <w:bCs/>
          <w:sz w:val="24"/>
          <w:szCs w:val="24"/>
          <w:lang w:val="ro-RO"/>
        </w:rPr>
      </w:pPr>
    </w:p>
    <w:p w14:paraId="587FB2BA" w14:textId="097C3B5F" w:rsidR="00BA5E33" w:rsidRPr="006B2701" w:rsidRDefault="00BA5E33" w:rsidP="008044D1">
      <w:pPr>
        <w:shd w:val="clear" w:color="auto" w:fill="E2EFD9" w:themeFill="accent6" w:themeFillTint="33"/>
        <w:spacing w:line="276" w:lineRule="auto"/>
        <w:jc w:val="both"/>
        <w:rPr>
          <w:rFonts w:ascii="Tahoma" w:hAnsi="Tahoma" w:cs="Tahoma"/>
          <w:sz w:val="24"/>
          <w:szCs w:val="24"/>
          <w:lang w:val="ro-RO"/>
        </w:rPr>
      </w:pPr>
      <w:r w:rsidRPr="006B2701">
        <w:rPr>
          <w:rFonts w:ascii="Tahoma" w:hAnsi="Tahoma" w:cs="Tahoma"/>
          <w:sz w:val="24"/>
          <w:szCs w:val="24"/>
          <w:lang w:val="ro-RO"/>
        </w:rPr>
        <w:t xml:space="preserve">Conform datelor definitive, execuția bugetului general consolidat, în perioada 1 ianuarie – 31 decembrie </w:t>
      </w:r>
      <w:r w:rsidR="00010602" w:rsidRPr="006B2701">
        <w:rPr>
          <w:rFonts w:ascii="Tahoma" w:hAnsi="Tahoma" w:cs="Tahoma"/>
          <w:sz w:val="24"/>
          <w:szCs w:val="24"/>
          <w:lang w:val="ro-RO"/>
        </w:rPr>
        <w:t>202</w:t>
      </w:r>
      <w:r w:rsidR="00F87F2F" w:rsidRPr="006B2701">
        <w:rPr>
          <w:rFonts w:ascii="Tahoma" w:hAnsi="Tahoma" w:cs="Tahoma"/>
          <w:sz w:val="24"/>
          <w:szCs w:val="24"/>
          <w:lang w:val="ro-RO"/>
        </w:rPr>
        <w:t>2</w:t>
      </w:r>
      <w:r w:rsidRPr="006B2701">
        <w:rPr>
          <w:rFonts w:ascii="Tahoma" w:hAnsi="Tahoma" w:cs="Tahoma"/>
          <w:sz w:val="24"/>
          <w:szCs w:val="24"/>
          <w:lang w:val="ro-RO"/>
        </w:rPr>
        <w:t xml:space="preserve">, s-a încheiat cu un deficit cash de </w:t>
      </w:r>
      <w:r w:rsidR="00F87F2F" w:rsidRPr="006B2701">
        <w:rPr>
          <w:rFonts w:ascii="Tahoma" w:hAnsi="Tahoma" w:cs="Tahoma"/>
          <w:sz w:val="24"/>
          <w:szCs w:val="24"/>
          <w:lang w:val="ro-RO"/>
        </w:rPr>
        <w:t>80,</w:t>
      </w:r>
      <w:r w:rsidR="009F357F" w:rsidRPr="006B2701">
        <w:rPr>
          <w:rFonts w:ascii="Tahoma" w:hAnsi="Tahoma" w:cs="Tahoma"/>
          <w:sz w:val="24"/>
          <w:szCs w:val="24"/>
          <w:lang w:val="ro-RO"/>
        </w:rPr>
        <w:t>77</w:t>
      </w:r>
      <w:r w:rsidR="00F45746" w:rsidRPr="006B2701">
        <w:rPr>
          <w:rFonts w:ascii="Tahoma" w:hAnsi="Tahoma" w:cs="Tahoma"/>
          <w:sz w:val="24"/>
          <w:szCs w:val="24"/>
          <w:lang w:val="ro-RO"/>
        </w:rPr>
        <w:t xml:space="preserve"> </w:t>
      </w:r>
      <w:r w:rsidRPr="006B2701">
        <w:rPr>
          <w:rFonts w:ascii="Tahoma" w:hAnsi="Tahoma" w:cs="Tahoma"/>
          <w:sz w:val="24"/>
          <w:szCs w:val="24"/>
          <w:lang w:val="ro-RO"/>
        </w:rPr>
        <w:t xml:space="preserve">miliarde lei, respectiv </w:t>
      </w:r>
      <w:r w:rsidR="00F87F2F" w:rsidRPr="006B2701">
        <w:rPr>
          <w:rFonts w:ascii="Tahoma" w:hAnsi="Tahoma" w:cs="Tahoma"/>
          <w:sz w:val="24"/>
          <w:szCs w:val="24"/>
          <w:lang w:val="ro-RO"/>
        </w:rPr>
        <w:t>5,7</w:t>
      </w:r>
      <w:r w:rsidR="009F357F" w:rsidRPr="006B2701">
        <w:rPr>
          <w:rFonts w:ascii="Tahoma" w:hAnsi="Tahoma" w:cs="Tahoma"/>
          <w:sz w:val="24"/>
          <w:szCs w:val="24"/>
          <w:lang w:val="ro-RO"/>
        </w:rPr>
        <w:t>3</w:t>
      </w:r>
      <w:r w:rsidRPr="006B2701">
        <w:rPr>
          <w:rFonts w:ascii="Tahoma" w:hAnsi="Tahoma" w:cs="Tahoma"/>
          <w:sz w:val="24"/>
          <w:szCs w:val="24"/>
          <w:lang w:val="ro-RO"/>
        </w:rPr>
        <w:t>% din PIB</w:t>
      </w:r>
      <w:r w:rsidR="009F357F" w:rsidRPr="006B2701">
        <w:rPr>
          <w:rFonts w:ascii="Tahoma" w:hAnsi="Tahoma" w:cs="Tahoma"/>
          <w:sz w:val="24"/>
          <w:szCs w:val="24"/>
          <w:lang w:val="ro-RO"/>
        </w:rPr>
        <w:t>.</w:t>
      </w:r>
    </w:p>
    <w:p w14:paraId="43DBDBF8" w14:textId="6E3D667C" w:rsidR="00230E14" w:rsidRPr="006B2701" w:rsidRDefault="00230E14" w:rsidP="00350347">
      <w:pPr>
        <w:shd w:val="clear" w:color="auto" w:fill="E2EFD9" w:themeFill="accent6" w:themeFillTint="33"/>
        <w:spacing w:after="120" w:line="276" w:lineRule="auto"/>
        <w:jc w:val="both"/>
        <w:rPr>
          <w:rFonts w:ascii="Tahoma" w:hAnsi="Tahoma" w:cs="Tahoma"/>
          <w:sz w:val="24"/>
          <w:szCs w:val="24"/>
          <w:lang w:val="ro-RO"/>
        </w:rPr>
      </w:pPr>
      <w:r w:rsidRPr="006B2701">
        <w:rPr>
          <w:rFonts w:ascii="Tahoma" w:hAnsi="Tahoma" w:cs="Tahoma"/>
          <w:sz w:val="24"/>
          <w:szCs w:val="24"/>
          <w:lang w:val="ro-RO"/>
        </w:rPr>
        <w:t>Comparativ cu anul anterior</w:t>
      </w:r>
      <w:r w:rsidR="0084171F" w:rsidRPr="006B2701">
        <w:rPr>
          <w:rFonts w:ascii="Tahoma" w:hAnsi="Tahoma" w:cs="Tahoma"/>
          <w:sz w:val="24"/>
          <w:szCs w:val="24"/>
          <w:lang w:val="ro-RO"/>
        </w:rPr>
        <w:t>,</w:t>
      </w:r>
      <w:r w:rsidRPr="006B2701">
        <w:rPr>
          <w:rFonts w:ascii="Tahoma" w:hAnsi="Tahoma" w:cs="Tahoma"/>
          <w:sz w:val="24"/>
          <w:szCs w:val="24"/>
          <w:lang w:val="ro-RO"/>
        </w:rPr>
        <w:t xml:space="preserve"> deficitul bugetului general consolidat în anul 202</w:t>
      </w:r>
      <w:r w:rsidR="00F87F2F" w:rsidRPr="006B2701">
        <w:rPr>
          <w:rFonts w:ascii="Tahoma" w:hAnsi="Tahoma" w:cs="Tahoma"/>
          <w:sz w:val="24"/>
          <w:szCs w:val="24"/>
          <w:lang w:val="ro-RO"/>
        </w:rPr>
        <w:t>2</w:t>
      </w:r>
      <w:r w:rsidRPr="006B2701">
        <w:rPr>
          <w:rFonts w:ascii="Tahoma" w:hAnsi="Tahoma" w:cs="Tahoma"/>
          <w:sz w:val="24"/>
          <w:szCs w:val="24"/>
          <w:lang w:val="ro-RO"/>
        </w:rPr>
        <w:t xml:space="preserve">, în bază cash, </w:t>
      </w:r>
      <w:r w:rsidR="002F7276" w:rsidRPr="006B2701">
        <w:rPr>
          <w:rFonts w:ascii="Tahoma" w:hAnsi="Tahoma" w:cs="Tahoma"/>
          <w:sz w:val="24"/>
          <w:szCs w:val="24"/>
          <w:lang w:val="ro-RO"/>
        </w:rPr>
        <w:t xml:space="preserve">s-a </w:t>
      </w:r>
      <w:r w:rsidR="00517E82" w:rsidRPr="006B2701">
        <w:rPr>
          <w:rFonts w:ascii="Tahoma" w:hAnsi="Tahoma" w:cs="Tahoma"/>
          <w:sz w:val="24"/>
          <w:szCs w:val="24"/>
          <w:lang w:val="ro-RO"/>
        </w:rPr>
        <w:t xml:space="preserve">redus cu </w:t>
      </w:r>
      <w:r w:rsidR="00CC1B57" w:rsidRPr="006B2701">
        <w:rPr>
          <w:rFonts w:ascii="Tahoma" w:hAnsi="Tahoma" w:cs="Tahoma"/>
          <w:sz w:val="24"/>
          <w:szCs w:val="24"/>
          <w:lang w:val="ro-RO"/>
        </w:rPr>
        <w:t>un</w:t>
      </w:r>
      <w:r w:rsidRPr="006B2701">
        <w:rPr>
          <w:rFonts w:ascii="Tahoma" w:hAnsi="Tahoma" w:cs="Tahoma"/>
          <w:sz w:val="24"/>
          <w:szCs w:val="24"/>
          <w:lang w:val="ro-RO"/>
        </w:rPr>
        <w:t xml:space="preserve"> punct procentual de la </w:t>
      </w:r>
      <w:r w:rsidR="00F87F2F" w:rsidRPr="006B2701">
        <w:rPr>
          <w:rFonts w:ascii="Tahoma" w:hAnsi="Tahoma" w:cs="Tahoma"/>
          <w:sz w:val="24"/>
          <w:szCs w:val="24"/>
          <w:lang w:val="ro-RO"/>
        </w:rPr>
        <w:t>6,7</w:t>
      </w:r>
      <w:r w:rsidR="009F357F" w:rsidRPr="006B2701">
        <w:rPr>
          <w:rFonts w:ascii="Tahoma" w:hAnsi="Tahoma" w:cs="Tahoma"/>
          <w:sz w:val="24"/>
          <w:szCs w:val="24"/>
          <w:lang w:val="ro-RO"/>
        </w:rPr>
        <w:t>3</w:t>
      </w:r>
      <w:r w:rsidRPr="006B2701">
        <w:rPr>
          <w:rFonts w:ascii="Tahoma" w:hAnsi="Tahoma" w:cs="Tahoma"/>
          <w:sz w:val="24"/>
          <w:szCs w:val="24"/>
          <w:lang w:val="ro-RO"/>
        </w:rPr>
        <w:t>% din PIB în 20</w:t>
      </w:r>
      <w:r w:rsidR="00517E82" w:rsidRPr="006B2701">
        <w:rPr>
          <w:rFonts w:ascii="Tahoma" w:hAnsi="Tahoma" w:cs="Tahoma"/>
          <w:sz w:val="24"/>
          <w:szCs w:val="24"/>
          <w:lang w:val="ro-RO"/>
        </w:rPr>
        <w:t>2</w:t>
      </w:r>
      <w:r w:rsidR="00F87F2F" w:rsidRPr="006B2701">
        <w:rPr>
          <w:rFonts w:ascii="Tahoma" w:hAnsi="Tahoma" w:cs="Tahoma"/>
          <w:sz w:val="24"/>
          <w:szCs w:val="24"/>
          <w:lang w:val="ro-RO"/>
        </w:rPr>
        <w:t>1</w:t>
      </w:r>
      <w:r w:rsidRPr="006B2701">
        <w:rPr>
          <w:rFonts w:ascii="Tahoma" w:hAnsi="Tahoma" w:cs="Tahoma"/>
          <w:sz w:val="24"/>
          <w:szCs w:val="24"/>
          <w:lang w:val="ro-RO"/>
        </w:rPr>
        <w:t xml:space="preserve"> la </w:t>
      </w:r>
      <w:r w:rsidR="00F87F2F" w:rsidRPr="006B2701">
        <w:rPr>
          <w:rFonts w:ascii="Tahoma" w:hAnsi="Tahoma" w:cs="Tahoma"/>
          <w:sz w:val="24"/>
          <w:szCs w:val="24"/>
          <w:lang w:val="ro-RO"/>
        </w:rPr>
        <w:t>5,7</w:t>
      </w:r>
      <w:r w:rsidR="009F357F" w:rsidRPr="006B2701">
        <w:rPr>
          <w:rFonts w:ascii="Tahoma" w:hAnsi="Tahoma" w:cs="Tahoma"/>
          <w:sz w:val="24"/>
          <w:szCs w:val="24"/>
          <w:lang w:val="ro-RO"/>
        </w:rPr>
        <w:t>3</w:t>
      </w:r>
      <w:r w:rsidRPr="006B2701">
        <w:rPr>
          <w:rFonts w:ascii="Tahoma" w:hAnsi="Tahoma" w:cs="Tahoma"/>
          <w:sz w:val="24"/>
          <w:szCs w:val="24"/>
          <w:lang w:val="ro-RO"/>
        </w:rPr>
        <w:t>% din PIB în anul 202</w:t>
      </w:r>
      <w:r w:rsidR="00F87F2F" w:rsidRPr="006B2701">
        <w:rPr>
          <w:rFonts w:ascii="Tahoma" w:hAnsi="Tahoma" w:cs="Tahoma"/>
          <w:sz w:val="24"/>
          <w:szCs w:val="24"/>
          <w:lang w:val="ro-RO"/>
        </w:rPr>
        <w:t>2</w:t>
      </w:r>
      <w:r w:rsidRPr="006B2701">
        <w:rPr>
          <w:rFonts w:ascii="Tahoma" w:hAnsi="Tahoma" w:cs="Tahoma"/>
          <w:sz w:val="24"/>
          <w:szCs w:val="24"/>
          <w:lang w:val="ro-RO"/>
        </w:rPr>
        <w:t>.</w:t>
      </w:r>
    </w:p>
    <w:p w14:paraId="0DE7FEA5" w14:textId="2F7416EE" w:rsidR="00BA5E33" w:rsidRPr="006B2701" w:rsidRDefault="00256FDC" w:rsidP="00350347">
      <w:pPr>
        <w:spacing w:before="240" w:after="120" w:line="276" w:lineRule="auto"/>
        <w:ind w:firstLine="618"/>
        <w:jc w:val="center"/>
        <w:rPr>
          <w:rFonts w:ascii="Arial" w:hAnsi="Arial" w:cs="Arial"/>
          <w:b/>
          <w:bCs/>
          <w:sz w:val="24"/>
          <w:szCs w:val="24"/>
          <w:lang w:val="ro-RO"/>
        </w:rPr>
      </w:pPr>
      <w:r w:rsidRPr="006B2701">
        <w:rPr>
          <w:rFonts w:ascii="Arial" w:hAnsi="Arial" w:cs="Arial"/>
          <w:b/>
          <w:bCs/>
          <w:sz w:val="24"/>
          <w:szCs w:val="24"/>
          <w:lang w:val="ro-RO"/>
        </w:rPr>
        <w:t>So</w:t>
      </w:r>
      <w:r w:rsidR="00441778" w:rsidRPr="006B2701">
        <w:rPr>
          <w:rFonts w:ascii="Arial" w:hAnsi="Arial" w:cs="Arial"/>
          <w:b/>
          <w:bCs/>
          <w:sz w:val="24"/>
          <w:szCs w:val="24"/>
          <w:lang w:val="ro-RO"/>
        </w:rPr>
        <w:t>l</w:t>
      </w:r>
      <w:r w:rsidRPr="006B2701">
        <w:rPr>
          <w:rFonts w:ascii="Arial" w:hAnsi="Arial" w:cs="Arial"/>
          <w:b/>
          <w:bCs/>
          <w:sz w:val="24"/>
          <w:szCs w:val="24"/>
          <w:lang w:val="ro-RO"/>
        </w:rPr>
        <w:t>dul bugetar</w:t>
      </w:r>
    </w:p>
    <w:p w14:paraId="13A0648E" w14:textId="4E256ABE" w:rsidR="00F87F2F" w:rsidRPr="006B2701" w:rsidRDefault="0073616C" w:rsidP="00F87F2F">
      <w:pPr>
        <w:spacing w:after="120" w:line="276" w:lineRule="auto"/>
        <w:jc w:val="center"/>
        <w:rPr>
          <w:rFonts w:ascii="Arial" w:hAnsi="Arial" w:cs="Arial"/>
          <w:b/>
          <w:bCs/>
          <w:sz w:val="24"/>
          <w:szCs w:val="24"/>
          <w:lang w:val="ro-RO"/>
        </w:rPr>
      </w:pPr>
      <w:r>
        <w:rPr>
          <w:rFonts w:ascii="Arial" w:hAnsi="Arial" w:cs="Arial"/>
          <w:b/>
          <w:bCs/>
          <w:sz w:val="24"/>
          <w:szCs w:val="24"/>
          <w:lang w:val="ro-RO"/>
        </w:rPr>
        <w:pict w14:anchorId="6AD024EC">
          <v:shape id="_x0000_i1034" type="#_x0000_t75" style="width:478.2pt;height:86.95pt">
            <v:imagedata r:id="rId16" o:title=""/>
          </v:shape>
        </w:pict>
      </w:r>
    </w:p>
    <w:p w14:paraId="3B75ABB0" w14:textId="340337D1" w:rsidR="00BA5E33" w:rsidRPr="006B2701" w:rsidRDefault="00BA5E33" w:rsidP="000F5753">
      <w:pPr>
        <w:spacing w:line="276" w:lineRule="auto"/>
        <w:jc w:val="center"/>
        <w:rPr>
          <w:noProof/>
          <w:lang w:val="ro-RO" w:eastAsia="ro-RO"/>
        </w:rPr>
      </w:pPr>
    </w:p>
    <w:p w14:paraId="0645036B" w14:textId="1131B5B1" w:rsidR="00BA5E33" w:rsidRPr="006B2701" w:rsidRDefault="00BA5E33" w:rsidP="005C7AC1">
      <w:pPr>
        <w:numPr>
          <w:ilvl w:val="1"/>
          <w:numId w:val="1"/>
        </w:numPr>
        <w:tabs>
          <w:tab w:val="clear" w:pos="360"/>
          <w:tab w:val="num" w:pos="0"/>
        </w:tabs>
        <w:spacing w:before="240" w:line="276" w:lineRule="auto"/>
        <w:jc w:val="both"/>
        <w:rPr>
          <w:rFonts w:ascii="Arial" w:hAnsi="Arial" w:cs="Arial"/>
          <w:b/>
          <w:bCs/>
          <w:sz w:val="24"/>
          <w:szCs w:val="24"/>
          <w:lang w:val="ro-RO"/>
        </w:rPr>
      </w:pPr>
      <w:r w:rsidRPr="006B2701">
        <w:rPr>
          <w:rFonts w:ascii="Arial" w:hAnsi="Arial" w:cs="Arial"/>
          <w:b/>
          <w:bCs/>
          <w:sz w:val="24"/>
          <w:szCs w:val="24"/>
          <w:lang w:val="ro-RO"/>
        </w:rPr>
        <w:t>III.</w:t>
      </w:r>
      <w:r w:rsidR="008135E9" w:rsidRPr="006B2701">
        <w:rPr>
          <w:rFonts w:ascii="Arial" w:hAnsi="Arial" w:cs="Arial"/>
          <w:b/>
          <w:bCs/>
          <w:sz w:val="24"/>
          <w:szCs w:val="24"/>
          <w:lang w:val="ro-RO"/>
        </w:rPr>
        <w:t>4</w:t>
      </w:r>
      <w:r w:rsidRPr="006B2701">
        <w:rPr>
          <w:rFonts w:ascii="Arial" w:hAnsi="Arial" w:cs="Arial"/>
          <w:b/>
          <w:bCs/>
          <w:sz w:val="24"/>
          <w:szCs w:val="24"/>
          <w:lang w:val="ro-RO"/>
        </w:rPr>
        <w:t xml:space="preserve">.1.1 Veniturile bugetului general consolidat </w:t>
      </w:r>
    </w:p>
    <w:p w14:paraId="20A0CE41" w14:textId="77777777" w:rsidR="009736D5" w:rsidRPr="006B2701" w:rsidRDefault="009736D5" w:rsidP="00526E27">
      <w:pPr>
        <w:numPr>
          <w:ilvl w:val="1"/>
          <w:numId w:val="1"/>
        </w:numPr>
        <w:tabs>
          <w:tab w:val="clear" w:pos="360"/>
          <w:tab w:val="num" w:pos="0"/>
        </w:tabs>
        <w:spacing w:line="276" w:lineRule="auto"/>
        <w:jc w:val="both"/>
        <w:rPr>
          <w:rFonts w:ascii="Arial" w:hAnsi="Arial" w:cs="Arial"/>
          <w:b/>
          <w:bCs/>
          <w:sz w:val="24"/>
          <w:szCs w:val="24"/>
          <w:lang w:val="ro-RO"/>
        </w:rPr>
      </w:pPr>
    </w:p>
    <w:p w14:paraId="51D61230" w14:textId="3B172A9E" w:rsidR="00E35F88" w:rsidRPr="006B2701" w:rsidRDefault="00BA5E33" w:rsidP="00F87F2F">
      <w:pPr>
        <w:shd w:val="clear" w:color="auto" w:fill="E2EFD9" w:themeFill="accent6" w:themeFillTint="33"/>
        <w:spacing w:after="240" w:line="276" w:lineRule="auto"/>
        <w:ind w:firstLine="720"/>
        <w:jc w:val="both"/>
        <w:rPr>
          <w:rFonts w:ascii="Tahoma" w:hAnsi="Tahoma" w:cs="Tahoma"/>
          <w:sz w:val="24"/>
          <w:szCs w:val="24"/>
          <w:lang w:val="ro-RO"/>
        </w:rPr>
      </w:pPr>
      <w:r w:rsidRPr="006B2701">
        <w:rPr>
          <w:rFonts w:ascii="Tahoma" w:hAnsi="Tahoma" w:cs="Tahoma"/>
          <w:sz w:val="24"/>
          <w:szCs w:val="24"/>
          <w:lang w:val="ro-RO"/>
        </w:rPr>
        <w:t xml:space="preserve">Veniturile bugetului general consolidat, în anul </w:t>
      </w:r>
      <w:r w:rsidR="00570472" w:rsidRPr="006B2701">
        <w:rPr>
          <w:rFonts w:ascii="Tahoma" w:hAnsi="Tahoma" w:cs="Tahoma"/>
          <w:sz w:val="24"/>
          <w:szCs w:val="24"/>
          <w:lang w:val="ro-RO"/>
        </w:rPr>
        <w:t>202</w:t>
      </w:r>
      <w:r w:rsidR="00F87F2F" w:rsidRPr="006B2701">
        <w:rPr>
          <w:rFonts w:ascii="Tahoma" w:hAnsi="Tahoma" w:cs="Tahoma"/>
          <w:sz w:val="24"/>
          <w:szCs w:val="24"/>
          <w:lang w:val="ro-RO"/>
        </w:rPr>
        <w:t>2</w:t>
      </w:r>
      <w:r w:rsidRPr="006B2701">
        <w:rPr>
          <w:rFonts w:ascii="Tahoma" w:hAnsi="Tahoma" w:cs="Tahoma"/>
          <w:sz w:val="24"/>
          <w:szCs w:val="24"/>
          <w:lang w:val="ro-RO"/>
        </w:rPr>
        <w:t xml:space="preserve">, au totalizat </w:t>
      </w:r>
      <w:r w:rsidR="00F87F2F" w:rsidRPr="006B2701">
        <w:rPr>
          <w:rFonts w:ascii="Tahoma" w:hAnsi="Tahoma" w:cs="Tahoma"/>
          <w:sz w:val="24"/>
          <w:szCs w:val="24"/>
          <w:lang w:val="ro-RO"/>
        </w:rPr>
        <w:t>460,2</w:t>
      </w:r>
      <w:r w:rsidR="009F357F" w:rsidRPr="006B2701">
        <w:rPr>
          <w:rFonts w:ascii="Tahoma" w:hAnsi="Tahoma" w:cs="Tahoma"/>
          <w:sz w:val="24"/>
          <w:szCs w:val="24"/>
          <w:lang w:val="ro-RO"/>
        </w:rPr>
        <w:t>0</w:t>
      </w:r>
      <w:r w:rsidR="00256FDC" w:rsidRPr="006B2701">
        <w:rPr>
          <w:rFonts w:ascii="Tahoma" w:hAnsi="Tahoma" w:cs="Tahoma"/>
          <w:sz w:val="24"/>
          <w:szCs w:val="24"/>
          <w:lang w:val="ro-RO"/>
        </w:rPr>
        <w:t xml:space="preserve"> </w:t>
      </w:r>
      <w:r w:rsidRPr="006B2701">
        <w:rPr>
          <w:rFonts w:ascii="Tahoma" w:hAnsi="Tahoma" w:cs="Tahoma"/>
          <w:sz w:val="24"/>
          <w:szCs w:val="24"/>
          <w:lang w:val="ro-RO"/>
        </w:rPr>
        <w:t xml:space="preserve">miliarde lei, reprezentând </w:t>
      </w:r>
      <w:r w:rsidR="00570472" w:rsidRPr="006B2701">
        <w:rPr>
          <w:rFonts w:ascii="Tahoma" w:hAnsi="Tahoma" w:cs="Tahoma"/>
          <w:sz w:val="24"/>
          <w:szCs w:val="24"/>
          <w:lang w:val="ro-RO"/>
        </w:rPr>
        <w:t>32,</w:t>
      </w:r>
      <w:r w:rsidR="00F87F2F" w:rsidRPr="006B2701">
        <w:rPr>
          <w:rFonts w:ascii="Tahoma" w:hAnsi="Tahoma" w:cs="Tahoma"/>
          <w:sz w:val="24"/>
          <w:szCs w:val="24"/>
          <w:lang w:val="ro-RO"/>
        </w:rPr>
        <w:t>6</w:t>
      </w:r>
      <w:r w:rsidRPr="006B2701">
        <w:rPr>
          <w:rFonts w:ascii="Tahoma" w:hAnsi="Tahoma" w:cs="Tahoma"/>
          <w:sz w:val="24"/>
          <w:szCs w:val="24"/>
          <w:lang w:val="ro-RO"/>
        </w:rPr>
        <w:t xml:space="preserve">% din PIB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un grad de realizare față de estimările anuale de </w:t>
      </w:r>
      <w:r w:rsidR="00132E23" w:rsidRPr="006B2701">
        <w:rPr>
          <w:rFonts w:ascii="Tahoma" w:hAnsi="Tahoma" w:cs="Tahoma"/>
          <w:sz w:val="24"/>
          <w:szCs w:val="24"/>
          <w:lang w:val="ro-RO"/>
        </w:rPr>
        <w:t>96,7</w:t>
      </w:r>
      <w:r w:rsidRPr="006B2701">
        <w:rPr>
          <w:rFonts w:ascii="Tahoma" w:hAnsi="Tahoma" w:cs="Tahoma"/>
          <w:sz w:val="24"/>
          <w:szCs w:val="24"/>
          <w:lang w:val="ro-RO"/>
        </w:rPr>
        <w:t>%.</w:t>
      </w:r>
    </w:p>
    <w:p w14:paraId="75FE2D1D" w14:textId="35F171BF" w:rsidR="001A6403" w:rsidRPr="006B2701" w:rsidRDefault="0073616C" w:rsidP="00416C83">
      <w:pPr>
        <w:spacing w:after="240" w:line="276" w:lineRule="auto"/>
        <w:jc w:val="both"/>
        <w:rPr>
          <w:rFonts w:ascii="Arial" w:hAnsi="Arial" w:cs="Arial"/>
          <w:sz w:val="24"/>
          <w:szCs w:val="24"/>
          <w:lang w:val="ro-RO"/>
        </w:rPr>
      </w:pPr>
      <w:r>
        <w:rPr>
          <w:rFonts w:ascii="Arial" w:hAnsi="Arial" w:cs="Arial"/>
          <w:noProof/>
          <w:sz w:val="24"/>
          <w:szCs w:val="24"/>
          <w:lang w:val="ro-RO"/>
        </w:rPr>
        <w:pict w14:anchorId="7C03B987">
          <v:shape id="_x0000_i1035" type="#_x0000_t75" style="width:480.9pt;height:296.15pt">
            <v:imagedata r:id="rId17" o:title=""/>
          </v:shape>
        </w:pict>
      </w:r>
    </w:p>
    <w:p w14:paraId="25B00BF0" w14:textId="332761B3" w:rsidR="00BA5E33" w:rsidRPr="006B2701" w:rsidRDefault="00BA5E33" w:rsidP="00F033F2">
      <w:pPr>
        <w:spacing w:line="276" w:lineRule="auto"/>
        <w:ind w:firstLine="720"/>
        <w:jc w:val="both"/>
        <w:rPr>
          <w:rFonts w:ascii="Tahoma" w:hAnsi="Tahoma" w:cs="Tahoma"/>
          <w:sz w:val="24"/>
          <w:szCs w:val="24"/>
          <w:lang w:val="ro-RO"/>
        </w:rPr>
      </w:pPr>
      <w:r w:rsidRPr="006B2701">
        <w:rPr>
          <w:rFonts w:ascii="Tahoma" w:hAnsi="Tahoma" w:cs="Tahoma"/>
          <w:sz w:val="24"/>
          <w:szCs w:val="24"/>
          <w:lang w:val="ro-RO"/>
        </w:rPr>
        <w:lastRenderedPageBreak/>
        <w:t>Comparativ cu programul anual de încasări veniturile bugetare au înregistrat următoarele evoluții:</w:t>
      </w:r>
    </w:p>
    <w:p w14:paraId="616D96DB" w14:textId="3F4D7653" w:rsidR="00C06A05" w:rsidRPr="006B2701" w:rsidRDefault="00BA5E33" w:rsidP="00D528A1">
      <w:pPr>
        <w:pStyle w:val="ListParagraph"/>
        <w:numPr>
          <w:ilvl w:val="0"/>
          <w:numId w:val="4"/>
        </w:numPr>
        <w:spacing w:before="120" w:line="276" w:lineRule="auto"/>
        <w:ind w:left="1152" w:hanging="357"/>
        <w:jc w:val="both"/>
        <w:rPr>
          <w:rFonts w:ascii="Tahoma" w:hAnsi="Tahoma" w:cs="Tahoma"/>
          <w:sz w:val="24"/>
          <w:szCs w:val="24"/>
          <w:lang w:val="ro-RO" w:eastAsia="x-none"/>
        </w:rPr>
      </w:pPr>
      <w:r w:rsidRPr="006B2701">
        <w:rPr>
          <w:rFonts w:ascii="Tahoma" w:hAnsi="Tahoma" w:cs="Tahoma"/>
          <w:sz w:val="24"/>
          <w:szCs w:val="24"/>
          <w:lang w:val="ro-RO" w:eastAsia="x-none"/>
        </w:rPr>
        <w:t>Încasările din veniturile fiscale</w:t>
      </w:r>
      <w:r w:rsidR="00416C83" w:rsidRPr="006B2701">
        <w:rPr>
          <w:rFonts w:ascii="Tahoma" w:hAnsi="Tahoma" w:cs="Tahoma"/>
          <w:sz w:val="24"/>
          <w:szCs w:val="24"/>
          <w:lang w:val="ro-RO" w:eastAsia="x-none"/>
        </w:rPr>
        <w:t xml:space="preserve"> </w:t>
      </w:r>
      <w:r w:rsidR="00132E23" w:rsidRPr="006B2701">
        <w:rPr>
          <w:rFonts w:ascii="Tahoma" w:hAnsi="Tahoma" w:cs="Tahoma"/>
          <w:sz w:val="24"/>
          <w:szCs w:val="24"/>
          <w:lang w:val="ro-RO" w:eastAsia="x-none"/>
        </w:rPr>
        <w:t>s-au situat sub</w:t>
      </w:r>
      <w:r w:rsidR="00570472" w:rsidRPr="006B2701">
        <w:rPr>
          <w:rFonts w:ascii="Tahoma" w:hAnsi="Tahoma" w:cs="Tahoma"/>
          <w:sz w:val="24"/>
          <w:szCs w:val="24"/>
          <w:lang w:val="ro-RO" w:eastAsia="x-none"/>
        </w:rPr>
        <w:t xml:space="preserve"> nivelului programat </w:t>
      </w:r>
      <w:r w:rsidR="00052F45" w:rsidRPr="006B2701">
        <w:rPr>
          <w:rFonts w:ascii="Tahoma" w:hAnsi="Tahoma" w:cs="Tahoma"/>
          <w:sz w:val="24"/>
          <w:szCs w:val="24"/>
          <w:lang w:val="ro-RO" w:eastAsia="x-none"/>
        </w:rPr>
        <w:t xml:space="preserve">a se realiza în anul </w:t>
      </w:r>
      <w:r w:rsidR="00570472" w:rsidRPr="006B2701">
        <w:rPr>
          <w:rFonts w:ascii="Tahoma" w:hAnsi="Tahoma" w:cs="Tahoma"/>
          <w:sz w:val="24"/>
          <w:szCs w:val="24"/>
          <w:lang w:val="ro-RO" w:eastAsia="x-none"/>
        </w:rPr>
        <w:t>202</w:t>
      </w:r>
      <w:r w:rsidR="00132E23" w:rsidRPr="006B2701">
        <w:rPr>
          <w:rFonts w:ascii="Tahoma" w:hAnsi="Tahoma" w:cs="Tahoma"/>
          <w:sz w:val="24"/>
          <w:szCs w:val="24"/>
          <w:lang w:val="ro-RO" w:eastAsia="x-none"/>
        </w:rPr>
        <w:t>2</w:t>
      </w:r>
      <w:r w:rsidRPr="006B2701">
        <w:rPr>
          <w:rFonts w:ascii="Tahoma" w:hAnsi="Tahoma" w:cs="Tahoma"/>
          <w:sz w:val="24"/>
          <w:szCs w:val="24"/>
          <w:lang w:val="ro-RO" w:eastAsia="x-none"/>
        </w:rPr>
        <w:t xml:space="preserve">, gradul de realizare fiind de </w:t>
      </w:r>
      <w:r w:rsidR="00132E23" w:rsidRPr="006B2701">
        <w:rPr>
          <w:rFonts w:ascii="Tahoma" w:hAnsi="Tahoma" w:cs="Tahoma"/>
          <w:sz w:val="24"/>
          <w:szCs w:val="24"/>
          <w:lang w:val="ro-RO" w:eastAsia="x-none"/>
        </w:rPr>
        <w:t>98</w:t>
      </w:r>
      <w:r w:rsidR="00570472" w:rsidRPr="006B2701">
        <w:rPr>
          <w:rFonts w:ascii="Tahoma" w:hAnsi="Tahoma" w:cs="Tahoma"/>
          <w:sz w:val="24"/>
          <w:szCs w:val="24"/>
          <w:lang w:val="ro-RO" w:eastAsia="x-none"/>
        </w:rPr>
        <w:t>,6</w:t>
      </w:r>
      <w:r w:rsidRPr="006B2701">
        <w:rPr>
          <w:rFonts w:ascii="Tahoma" w:hAnsi="Tahoma" w:cs="Tahoma"/>
          <w:sz w:val="24"/>
          <w:szCs w:val="24"/>
          <w:lang w:val="ro-RO" w:eastAsia="x-none"/>
        </w:rPr>
        <w:t xml:space="preserve">%, fiind influențate de evoluția </w:t>
      </w:r>
      <w:r w:rsidR="00132E23" w:rsidRPr="006B2701">
        <w:rPr>
          <w:rFonts w:ascii="Tahoma" w:hAnsi="Tahoma" w:cs="Tahoma"/>
          <w:sz w:val="24"/>
          <w:szCs w:val="24"/>
          <w:lang w:val="ro-RO" w:eastAsia="x-none"/>
        </w:rPr>
        <w:t xml:space="preserve">impozitelor și taxelor pe bunuri și servicii. </w:t>
      </w:r>
    </w:p>
    <w:p w14:paraId="7C530ECD" w14:textId="320B5D68" w:rsidR="00BA5E33" w:rsidRPr="006B2701" w:rsidRDefault="00BA5E33" w:rsidP="00D528A1">
      <w:pPr>
        <w:pStyle w:val="ListParagraph"/>
        <w:numPr>
          <w:ilvl w:val="0"/>
          <w:numId w:val="4"/>
        </w:numPr>
        <w:spacing w:before="120" w:line="276" w:lineRule="auto"/>
        <w:ind w:left="1152" w:hanging="357"/>
        <w:jc w:val="both"/>
        <w:rPr>
          <w:rFonts w:ascii="Tahoma" w:hAnsi="Tahoma" w:cs="Tahoma"/>
          <w:sz w:val="24"/>
          <w:szCs w:val="24"/>
          <w:lang w:val="ro-RO" w:eastAsia="x-none"/>
        </w:rPr>
      </w:pPr>
      <w:r w:rsidRPr="006B2701">
        <w:rPr>
          <w:rFonts w:ascii="Tahoma" w:hAnsi="Tahoma" w:cs="Tahoma"/>
          <w:sz w:val="24"/>
          <w:szCs w:val="24"/>
          <w:lang w:val="ro-RO" w:eastAsia="x-none"/>
        </w:rPr>
        <w:t xml:space="preserve">Încasările din contribuții de asigurări au fost </w:t>
      </w:r>
      <w:r w:rsidR="00132E23" w:rsidRPr="006B2701">
        <w:rPr>
          <w:rFonts w:ascii="Tahoma" w:hAnsi="Tahoma" w:cs="Tahoma"/>
          <w:sz w:val="24"/>
          <w:szCs w:val="24"/>
          <w:lang w:val="ro-RO" w:eastAsia="x-none"/>
        </w:rPr>
        <w:t>inferioare</w:t>
      </w:r>
      <w:r w:rsidR="00D528A1" w:rsidRPr="006B2701">
        <w:rPr>
          <w:rFonts w:ascii="Tahoma" w:hAnsi="Tahoma" w:cs="Tahoma"/>
          <w:sz w:val="24"/>
          <w:szCs w:val="24"/>
          <w:lang w:val="ro-RO" w:eastAsia="x-none"/>
        </w:rPr>
        <w:t xml:space="preserve"> </w:t>
      </w:r>
      <w:r w:rsidRPr="006B2701">
        <w:rPr>
          <w:rFonts w:ascii="Tahoma" w:hAnsi="Tahoma" w:cs="Tahoma"/>
          <w:sz w:val="24"/>
          <w:szCs w:val="24"/>
          <w:lang w:val="ro-RO" w:eastAsia="x-none"/>
        </w:rPr>
        <w:t xml:space="preserve">programului de încasări, gradul de realizare fiind de </w:t>
      </w:r>
      <w:r w:rsidR="00132E23" w:rsidRPr="006B2701">
        <w:rPr>
          <w:rFonts w:ascii="Tahoma" w:hAnsi="Tahoma" w:cs="Tahoma"/>
          <w:sz w:val="24"/>
          <w:szCs w:val="24"/>
          <w:lang w:val="ro-RO" w:eastAsia="x-none"/>
        </w:rPr>
        <w:t>98,8</w:t>
      </w:r>
      <w:r w:rsidRPr="006B2701">
        <w:rPr>
          <w:rFonts w:ascii="Tahoma" w:hAnsi="Tahoma" w:cs="Tahoma"/>
          <w:sz w:val="24"/>
          <w:szCs w:val="24"/>
          <w:lang w:val="ro-RO" w:eastAsia="x-none"/>
        </w:rPr>
        <w:t xml:space="preserve">%. </w:t>
      </w:r>
      <w:r w:rsidR="00F1374C" w:rsidRPr="006B2701">
        <w:rPr>
          <w:rFonts w:ascii="Tahoma" w:hAnsi="Tahoma" w:cs="Tahoma"/>
          <w:sz w:val="24"/>
          <w:szCs w:val="24"/>
          <w:lang w:val="ro-RO" w:eastAsia="x-none"/>
        </w:rPr>
        <w:t>Nerealizarea</w:t>
      </w:r>
      <w:r w:rsidR="00D528A1" w:rsidRPr="006B2701">
        <w:rPr>
          <w:rFonts w:ascii="Tahoma" w:hAnsi="Tahoma" w:cs="Tahoma"/>
          <w:sz w:val="24"/>
          <w:szCs w:val="24"/>
          <w:lang w:val="ro-RO" w:eastAsia="x-none"/>
        </w:rPr>
        <w:t xml:space="preserve"> </w:t>
      </w:r>
      <w:r w:rsidR="00A7316D" w:rsidRPr="006B2701">
        <w:rPr>
          <w:rFonts w:ascii="Tahoma" w:hAnsi="Tahoma" w:cs="Tahoma"/>
          <w:sz w:val="24"/>
          <w:szCs w:val="24"/>
          <w:lang w:val="ro-RO" w:eastAsia="x-none"/>
        </w:rPr>
        <w:t>programului a fost determinată</w:t>
      </w:r>
      <w:r w:rsidR="004F31E1" w:rsidRPr="006B2701">
        <w:rPr>
          <w:rFonts w:ascii="Tahoma" w:hAnsi="Tahoma" w:cs="Tahoma"/>
          <w:sz w:val="24"/>
          <w:szCs w:val="24"/>
          <w:lang w:val="ro-RO" w:eastAsia="x-none"/>
        </w:rPr>
        <w:t xml:space="preserve"> </w:t>
      </w:r>
      <w:r w:rsidRPr="006B2701">
        <w:rPr>
          <w:rFonts w:ascii="Tahoma" w:hAnsi="Tahoma" w:cs="Tahoma"/>
          <w:sz w:val="24"/>
          <w:szCs w:val="24"/>
          <w:lang w:val="ro-RO" w:eastAsia="x-none"/>
        </w:rPr>
        <w:t xml:space="preserve">de încasările </w:t>
      </w:r>
      <w:r w:rsidR="00F1374C" w:rsidRPr="006B2701">
        <w:rPr>
          <w:rFonts w:ascii="Tahoma" w:hAnsi="Tahoma" w:cs="Tahoma"/>
          <w:sz w:val="24"/>
          <w:szCs w:val="24"/>
          <w:lang w:val="ro-RO" w:eastAsia="x-none"/>
        </w:rPr>
        <w:t>inferi</w:t>
      </w:r>
      <w:r w:rsidR="00D528A1" w:rsidRPr="006B2701">
        <w:rPr>
          <w:rFonts w:ascii="Tahoma" w:hAnsi="Tahoma" w:cs="Tahoma"/>
          <w:sz w:val="24"/>
          <w:szCs w:val="24"/>
          <w:lang w:val="ro-RO" w:eastAsia="x-none"/>
        </w:rPr>
        <w:t xml:space="preserve">oare </w:t>
      </w:r>
      <w:r w:rsidRPr="006B2701">
        <w:rPr>
          <w:rFonts w:ascii="Tahoma" w:hAnsi="Tahoma" w:cs="Tahoma"/>
          <w:sz w:val="24"/>
          <w:szCs w:val="24"/>
          <w:lang w:val="ro-RO" w:eastAsia="x-none"/>
        </w:rPr>
        <w:t xml:space="preserve">programului anual în cazul veniturilor din contribuții de asigurări încasate </w:t>
      </w:r>
      <w:r w:rsidR="00712209" w:rsidRPr="006B2701">
        <w:rPr>
          <w:rFonts w:ascii="Tahoma" w:hAnsi="Tahoma" w:cs="Tahoma"/>
          <w:sz w:val="24"/>
          <w:szCs w:val="24"/>
          <w:lang w:val="ro-RO" w:eastAsia="x-none"/>
        </w:rPr>
        <w:t>la bugetul de stat (</w:t>
      </w:r>
      <w:r w:rsidR="00F1374C" w:rsidRPr="006B2701">
        <w:rPr>
          <w:rFonts w:ascii="Tahoma" w:hAnsi="Tahoma" w:cs="Tahoma"/>
          <w:sz w:val="24"/>
          <w:szCs w:val="24"/>
          <w:lang w:val="ro-RO" w:eastAsia="x-none"/>
        </w:rPr>
        <w:t>97,8</w:t>
      </w:r>
      <w:r w:rsidR="00712209" w:rsidRPr="006B2701">
        <w:rPr>
          <w:rFonts w:ascii="Tahoma" w:hAnsi="Tahoma" w:cs="Tahoma"/>
          <w:sz w:val="24"/>
          <w:szCs w:val="24"/>
          <w:lang w:val="ro-RO" w:eastAsia="x-none"/>
        </w:rPr>
        <w:t xml:space="preserve">%), </w:t>
      </w:r>
      <w:r w:rsidRPr="006B2701">
        <w:rPr>
          <w:rFonts w:ascii="Tahoma" w:hAnsi="Tahoma" w:cs="Tahoma"/>
          <w:sz w:val="24"/>
          <w:szCs w:val="24"/>
          <w:lang w:val="ro-RO" w:eastAsia="x-none"/>
        </w:rPr>
        <w:t xml:space="preserve">la </w:t>
      </w:r>
      <w:r w:rsidR="00485AC9" w:rsidRPr="006B2701">
        <w:rPr>
          <w:rFonts w:ascii="Tahoma" w:hAnsi="Tahoma" w:cs="Tahoma"/>
          <w:sz w:val="24"/>
          <w:szCs w:val="24"/>
          <w:lang w:val="ro-RO" w:eastAsia="x-none"/>
        </w:rPr>
        <w:t>bugetul asigurărilor sociale de stat (</w:t>
      </w:r>
      <w:r w:rsidR="00F1374C" w:rsidRPr="006B2701">
        <w:rPr>
          <w:rFonts w:ascii="Tahoma" w:hAnsi="Tahoma" w:cs="Tahoma"/>
          <w:sz w:val="24"/>
          <w:szCs w:val="24"/>
          <w:lang w:val="ro-RO" w:eastAsia="x-none"/>
        </w:rPr>
        <w:t>98,8</w:t>
      </w:r>
      <w:r w:rsidR="00A2048A" w:rsidRPr="006B2701">
        <w:rPr>
          <w:rFonts w:ascii="Tahoma" w:hAnsi="Tahoma" w:cs="Tahoma"/>
          <w:sz w:val="24"/>
          <w:szCs w:val="24"/>
          <w:lang w:val="ro-RO" w:eastAsia="x-none"/>
        </w:rPr>
        <w:t>%)</w:t>
      </w:r>
      <w:r w:rsidR="00B66848" w:rsidRPr="006B2701">
        <w:rPr>
          <w:rFonts w:ascii="Tahoma" w:hAnsi="Tahoma" w:cs="Tahoma"/>
          <w:sz w:val="24"/>
          <w:szCs w:val="24"/>
          <w:lang w:val="ro-RO" w:eastAsia="x-none"/>
        </w:rPr>
        <w:t>,</w:t>
      </w:r>
      <w:r w:rsidR="00485AC9" w:rsidRPr="006B2701">
        <w:rPr>
          <w:rFonts w:ascii="Tahoma" w:hAnsi="Tahoma" w:cs="Tahoma"/>
          <w:sz w:val="24"/>
          <w:szCs w:val="24"/>
          <w:lang w:val="ro-RO" w:eastAsia="x-none"/>
        </w:rPr>
        <w:t xml:space="preserve"> </w:t>
      </w:r>
      <w:r w:rsidR="00B66848" w:rsidRPr="006B2701">
        <w:rPr>
          <w:rFonts w:ascii="Tahoma" w:hAnsi="Tahoma" w:cs="Tahoma"/>
          <w:sz w:val="24"/>
          <w:szCs w:val="24"/>
          <w:lang w:val="ro-RO" w:eastAsia="x-none"/>
        </w:rPr>
        <w:t>la bugetul asigurărilor pentru șomaj (</w:t>
      </w:r>
      <w:r w:rsidR="00F1374C" w:rsidRPr="006B2701">
        <w:rPr>
          <w:rFonts w:ascii="Tahoma" w:hAnsi="Tahoma" w:cs="Tahoma"/>
          <w:sz w:val="24"/>
          <w:szCs w:val="24"/>
          <w:lang w:val="ro-RO" w:eastAsia="x-none"/>
        </w:rPr>
        <w:t>97,5</w:t>
      </w:r>
      <w:r w:rsidR="00B66848" w:rsidRPr="006B2701">
        <w:rPr>
          <w:rFonts w:ascii="Tahoma" w:hAnsi="Tahoma" w:cs="Tahoma"/>
          <w:sz w:val="24"/>
          <w:szCs w:val="24"/>
          <w:lang w:val="ro-RO" w:eastAsia="x-none"/>
        </w:rPr>
        <w:t xml:space="preserve">%) </w:t>
      </w:r>
      <w:r w:rsidR="00A2048A" w:rsidRPr="006B2701">
        <w:rPr>
          <w:rFonts w:ascii="Tahoma" w:hAnsi="Tahoma" w:cs="Tahoma"/>
          <w:sz w:val="24"/>
          <w:szCs w:val="24"/>
          <w:lang w:val="ro-RO" w:eastAsia="x-none"/>
        </w:rPr>
        <w:t>precum și a celor de la bugetul fondului național unic de asigurări sociale de sănătate (</w:t>
      </w:r>
      <w:r w:rsidR="00F1374C" w:rsidRPr="006B2701">
        <w:rPr>
          <w:rFonts w:ascii="Tahoma" w:hAnsi="Tahoma" w:cs="Tahoma"/>
          <w:sz w:val="24"/>
          <w:szCs w:val="24"/>
          <w:lang w:val="ro-RO" w:eastAsia="x-none"/>
        </w:rPr>
        <w:t>99</w:t>
      </w:r>
      <w:r w:rsidR="00A2048A" w:rsidRPr="006B2701">
        <w:rPr>
          <w:rFonts w:ascii="Tahoma" w:hAnsi="Tahoma" w:cs="Tahoma"/>
          <w:sz w:val="24"/>
          <w:szCs w:val="24"/>
          <w:lang w:val="ro-RO" w:eastAsia="x-none"/>
        </w:rPr>
        <w:t>%).</w:t>
      </w:r>
    </w:p>
    <w:p w14:paraId="196BD113" w14:textId="3B158B5D" w:rsidR="00BA5E33" w:rsidRPr="006B2701" w:rsidRDefault="00BA5E33" w:rsidP="007E711E">
      <w:pPr>
        <w:pStyle w:val="ListParagraph"/>
        <w:numPr>
          <w:ilvl w:val="0"/>
          <w:numId w:val="4"/>
        </w:numPr>
        <w:spacing w:before="120" w:line="276" w:lineRule="auto"/>
        <w:ind w:left="1152" w:hanging="357"/>
        <w:jc w:val="both"/>
        <w:rPr>
          <w:rFonts w:ascii="Tahoma" w:hAnsi="Tahoma" w:cs="Tahoma"/>
          <w:sz w:val="24"/>
          <w:szCs w:val="24"/>
          <w:lang w:val="ro-RO" w:eastAsia="x-none"/>
        </w:rPr>
      </w:pPr>
      <w:r w:rsidRPr="006B2701">
        <w:rPr>
          <w:rFonts w:ascii="Tahoma" w:hAnsi="Tahoma" w:cs="Tahoma"/>
          <w:sz w:val="24"/>
          <w:szCs w:val="24"/>
          <w:lang w:val="ro-RO" w:eastAsia="x-none"/>
        </w:rPr>
        <w:t xml:space="preserve">Încasările din veniturile nefiscale </w:t>
      </w:r>
      <w:r w:rsidR="00485AC9" w:rsidRPr="006B2701">
        <w:rPr>
          <w:rFonts w:ascii="Tahoma" w:hAnsi="Tahoma" w:cs="Tahoma"/>
          <w:sz w:val="24"/>
          <w:szCs w:val="24"/>
          <w:lang w:val="ro-RO" w:eastAsia="x-none"/>
        </w:rPr>
        <w:t xml:space="preserve">au </w:t>
      </w:r>
      <w:r w:rsidR="00A2048A" w:rsidRPr="006B2701">
        <w:rPr>
          <w:rFonts w:ascii="Tahoma" w:hAnsi="Tahoma" w:cs="Tahoma"/>
          <w:sz w:val="24"/>
          <w:szCs w:val="24"/>
          <w:lang w:val="ro-RO" w:eastAsia="x-none"/>
        </w:rPr>
        <w:t xml:space="preserve">fost inferioare </w:t>
      </w:r>
      <w:r w:rsidRPr="006B2701">
        <w:rPr>
          <w:rFonts w:ascii="Tahoma" w:hAnsi="Tahoma" w:cs="Tahoma"/>
          <w:sz w:val="24"/>
          <w:szCs w:val="24"/>
          <w:lang w:val="ro-RO" w:eastAsia="x-none"/>
        </w:rPr>
        <w:t>programul</w:t>
      </w:r>
      <w:r w:rsidR="00A2048A" w:rsidRPr="006B2701">
        <w:rPr>
          <w:rFonts w:ascii="Tahoma" w:hAnsi="Tahoma" w:cs="Tahoma"/>
          <w:sz w:val="24"/>
          <w:szCs w:val="24"/>
          <w:lang w:val="ro-RO" w:eastAsia="x-none"/>
        </w:rPr>
        <w:t>ui</w:t>
      </w:r>
      <w:r w:rsidRPr="006B2701">
        <w:rPr>
          <w:rFonts w:ascii="Tahoma" w:hAnsi="Tahoma" w:cs="Tahoma"/>
          <w:sz w:val="24"/>
          <w:szCs w:val="24"/>
          <w:lang w:val="ro-RO" w:eastAsia="x-none"/>
        </w:rPr>
        <w:t xml:space="preserve"> anual, gradul de realizare fiind de </w:t>
      </w:r>
      <w:r w:rsidR="00132E23" w:rsidRPr="006B2701">
        <w:rPr>
          <w:rFonts w:ascii="Tahoma" w:hAnsi="Tahoma" w:cs="Tahoma"/>
          <w:sz w:val="24"/>
          <w:szCs w:val="24"/>
          <w:lang w:val="ro-RO" w:eastAsia="x-none"/>
        </w:rPr>
        <w:t>94,5</w:t>
      </w:r>
      <w:r w:rsidRPr="006B2701">
        <w:rPr>
          <w:rFonts w:ascii="Tahoma" w:hAnsi="Tahoma" w:cs="Tahoma"/>
          <w:sz w:val="24"/>
          <w:szCs w:val="24"/>
          <w:lang w:val="ro-RO" w:eastAsia="x-none"/>
        </w:rPr>
        <w:t>%;</w:t>
      </w:r>
    </w:p>
    <w:p w14:paraId="58409074" w14:textId="4802C975" w:rsidR="00BA5E33" w:rsidRPr="006B2701" w:rsidRDefault="00BA5E33" w:rsidP="007E711E">
      <w:pPr>
        <w:pStyle w:val="ListParagraph"/>
        <w:numPr>
          <w:ilvl w:val="0"/>
          <w:numId w:val="4"/>
        </w:numPr>
        <w:spacing w:before="120" w:line="276" w:lineRule="auto"/>
        <w:ind w:left="1152" w:hanging="357"/>
        <w:jc w:val="both"/>
        <w:rPr>
          <w:rFonts w:ascii="Tahoma" w:hAnsi="Tahoma" w:cs="Tahoma"/>
          <w:b/>
          <w:bCs/>
          <w:sz w:val="24"/>
          <w:szCs w:val="24"/>
          <w:lang w:val="ro-RO" w:eastAsia="x-none"/>
        </w:rPr>
      </w:pPr>
      <w:r w:rsidRPr="006B2701">
        <w:rPr>
          <w:rFonts w:ascii="Tahoma" w:hAnsi="Tahoma" w:cs="Tahoma"/>
          <w:sz w:val="24"/>
          <w:szCs w:val="24"/>
          <w:lang w:val="ro-RO" w:eastAsia="x-none"/>
        </w:rPr>
        <w:t xml:space="preserve">Încasările din sumele primite de la UE și alți donatori </w:t>
      </w:r>
      <w:r w:rsidR="00C674FF" w:rsidRPr="006B2701">
        <w:rPr>
          <w:rFonts w:ascii="Tahoma" w:hAnsi="Tahoma" w:cs="Tahoma"/>
          <w:sz w:val="24"/>
          <w:szCs w:val="24"/>
          <w:lang w:val="ro-RO" w:eastAsia="x-none"/>
        </w:rPr>
        <w:t xml:space="preserve">(inclusiv asistența financiară nerambursabila aferentă PNRR) </w:t>
      </w:r>
      <w:r w:rsidRPr="006B2701">
        <w:rPr>
          <w:rFonts w:ascii="Tahoma" w:hAnsi="Tahoma" w:cs="Tahoma"/>
          <w:sz w:val="24"/>
          <w:szCs w:val="24"/>
          <w:lang w:val="ro-RO" w:eastAsia="x-none"/>
        </w:rPr>
        <w:t xml:space="preserve">în contul plăților efectuate s-au situat sub programul anual, gradul de realizare înregistrat fiind de </w:t>
      </w:r>
      <w:r w:rsidR="00D528A1" w:rsidRPr="006B2701">
        <w:rPr>
          <w:rFonts w:ascii="Tahoma" w:hAnsi="Tahoma" w:cs="Tahoma"/>
          <w:sz w:val="24"/>
          <w:szCs w:val="24"/>
          <w:lang w:val="ro-RO" w:eastAsia="x-none"/>
        </w:rPr>
        <w:t>8</w:t>
      </w:r>
      <w:r w:rsidR="00132E23" w:rsidRPr="006B2701">
        <w:rPr>
          <w:rFonts w:ascii="Tahoma" w:hAnsi="Tahoma" w:cs="Tahoma"/>
          <w:sz w:val="24"/>
          <w:szCs w:val="24"/>
          <w:lang w:val="ro-RO" w:eastAsia="x-none"/>
        </w:rPr>
        <w:t>5</w:t>
      </w:r>
      <w:r w:rsidR="00D528A1" w:rsidRPr="006B2701">
        <w:rPr>
          <w:rFonts w:ascii="Tahoma" w:hAnsi="Tahoma" w:cs="Tahoma"/>
          <w:sz w:val="24"/>
          <w:szCs w:val="24"/>
          <w:lang w:val="ro-RO" w:eastAsia="x-none"/>
        </w:rPr>
        <w:t>,0</w:t>
      </w:r>
      <w:r w:rsidRPr="006B2701">
        <w:rPr>
          <w:rFonts w:ascii="Tahoma" w:hAnsi="Tahoma" w:cs="Tahoma"/>
          <w:sz w:val="24"/>
          <w:szCs w:val="24"/>
          <w:lang w:val="ro-RO" w:eastAsia="x-none"/>
        </w:rPr>
        <w:t>%.</w:t>
      </w:r>
    </w:p>
    <w:p w14:paraId="7AD5F6A5" w14:textId="77777777" w:rsidR="00C00405" w:rsidRPr="006B2701" w:rsidRDefault="00C00405" w:rsidP="009B6398">
      <w:pPr>
        <w:pStyle w:val="ListParagraph"/>
        <w:spacing w:after="120" w:line="276" w:lineRule="auto"/>
        <w:ind w:left="0"/>
        <w:jc w:val="center"/>
        <w:rPr>
          <w:rFonts w:ascii="Arial" w:hAnsi="Arial" w:cs="Arial"/>
          <w:b/>
          <w:bCs/>
          <w:sz w:val="24"/>
          <w:szCs w:val="24"/>
          <w:lang w:val="ro-RO"/>
        </w:rPr>
      </w:pPr>
    </w:p>
    <w:p w14:paraId="0BF08B8B" w14:textId="3DC99E98" w:rsidR="00BA5E33" w:rsidRPr="006B2701" w:rsidRDefault="00BA5E33" w:rsidP="009B6398">
      <w:pPr>
        <w:pStyle w:val="ListParagraph"/>
        <w:spacing w:after="120" w:line="276" w:lineRule="auto"/>
        <w:ind w:left="0"/>
        <w:jc w:val="center"/>
        <w:rPr>
          <w:rFonts w:ascii="Arial" w:hAnsi="Arial" w:cs="Arial"/>
          <w:b/>
          <w:bCs/>
          <w:sz w:val="24"/>
          <w:szCs w:val="24"/>
          <w:lang w:val="ro-RO"/>
        </w:rPr>
      </w:pPr>
      <w:r w:rsidRPr="006B2701">
        <w:rPr>
          <w:rFonts w:ascii="Arial" w:hAnsi="Arial" w:cs="Arial"/>
          <w:b/>
          <w:bCs/>
          <w:sz w:val="24"/>
          <w:szCs w:val="24"/>
          <w:lang w:val="ro-RO"/>
        </w:rPr>
        <w:t>Structura veniturilor bugetare</w:t>
      </w:r>
    </w:p>
    <w:p w14:paraId="26260F11" w14:textId="3B090665" w:rsidR="003E2894" w:rsidRPr="006B2701" w:rsidRDefault="0073616C" w:rsidP="00A2048A">
      <w:pPr>
        <w:spacing w:line="276" w:lineRule="auto"/>
        <w:rPr>
          <w:rFonts w:ascii="Arial" w:hAnsi="Arial" w:cs="Arial"/>
          <w:b/>
          <w:bCs/>
          <w:sz w:val="24"/>
          <w:szCs w:val="24"/>
          <w:lang w:val="ro-RO"/>
        </w:rPr>
      </w:pPr>
      <w:r>
        <w:rPr>
          <w:rFonts w:ascii="Arial" w:hAnsi="Arial" w:cs="Arial"/>
          <w:b/>
          <w:bCs/>
          <w:noProof/>
          <w:sz w:val="24"/>
          <w:szCs w:val="24"/>
          <w:lang w:val="ro-RO"/>
        </w:rPr>
        <w:pict w14:anchorId="1AEAC15E">
          <v:shape id="_x0000_i1036" type="#_x0000_t75" style="width:266.95pt;height:248.6pt">
            <v:imagedata r:id="rId18" o:title=""/>
          </v:shape>
        </w:pict>
      </w:r>
      <w:r>
        <w:rPr>
          <w:rFonts w:ascii="Arial" w:hAnsi="Arial" w:cs="Arial"/>
          <w:b/>
          <w:bCs/>
          <w:noProof/>
          <w:sz w:val="24"/>
          <w:szCs w:val="24"/>
          <w:lang w:val="ro-RO"/>
        </w:rPr>
        <w:pict w14:anchorId="2868D03A">
          <v:shape id="_x0000_i1037" type="#_x0000_t75" style="width:213.95pt;height:248.6pt">
            <v:imagedata r:id="rId19" o:title=""/>
          </v:shape>
        </w:pict>
      </w:r>
    </w:p>
    <w:p w14:paraId="1D1CC22A" w14:textId="77CD41BB" w:rsidR="00BA5E33" w:rsidRPr="006B2701" w:rsidRDefault="00BA5E33" w:rsidP="000F5753">
      <w:pPr>
        <w:spacing w:line="276" w:lineRule="auto"/>
        <w:jc w:val="both"/>
        <w:rPr>
          <w:rFonts w:ascii="Arial" w:hAnsi="Arial" w:cs="Arial"/>
          <w:color w:val="FF0000"/>
          <w:sz w:val="24"/>
          <w:szCs w:val="24"/>
          <w:lang w:val="ro-RO"/>
        </w:rPr>
      </w:pPr>
    </w:p>
    <w:p w14:paraId="06B1C750" w14:textId="3B656E2F" w:rsidR="00F1374C" w:rsidRPr="006B2701" w:rsidRDefault="00BA5E33" w:rsidP="000F5753">
      <w:pPr>
        <w:spacing w:line="276" w:lineRule="auto"/>
        <w:ind w:firstLine="624"/>
        <w:jc w:val="both"/>
        <w:rPr>
          <w:rFonts w:ascii="Tahoma" w:hAnsi="Tahoma" w:cs="Tahoma"/>
          <w:sz w:val="24"/>
          <w:szCs w:val="24"/>
          <w:lang w:val="ro-RO"/>
        </w:rPr>
      </w:pPr>
      <w:r w:rsidRPr="006B2701">
        <w:rPr>
          <w:rFonts w:ascii="Tahoma" w:hAnsi="Tahoma" w:cs="Tahoma"/>
          <w:sz w:val="24"/>
          <w:szCs w:val="24"/>
          <w:lang w:val="ro-RO"/>
        </w:rPr>
        <w:t>Din punct de vedere al ponderii principalelor categorii de impozite în total venituri încasate, s-au înregistrat creșteri</w:t>
      </w:r>
      <w:r w:rsidR="00D34FBD" w:rsidRPr="006B2701">
        <w:rPr>
          <w:rFonts w:ascii="Tahoma" w:hAnsi="Tahoma" w:cs="Tahoma"/>
          <w:sz w:val="24"/>
          <w:szCs w:val="24"/>
          <w:lang w:val="ro-RO"/>
        </w:rPr>
        <w:t>, comparativ cu anul anterior,</w:t>
      </w:r>
      <w:r w:rsidRPr="006B2701">
        <w:rPr>
          <w:rFonts w:ascii="Tahoma" w:hAnsi="Tahoma" w:cs="Tahoma"/>
          <w:sz w:val="24"/>
          <w:szCs w:val="24"/>
          <w:lang w:val="ro-RO"/>
        </w:rPr>
        <w:t xml:space="preserve"> </w:t>
      </w:r>
      <w:r w:rsidR="00F83F60" w:rsidRPr="006B2701">
        <w:rPr>
          <w:rFonts w:ascii="Tahoma" w:hAnsi="Tahoma" w:cs="Tahoma"/>
          <w:sz w:val="24"/>
          <w:szCs w:val="24"/>
          <w:lang w:val="ro-RO"/>
        </w:rPr>
        <w:t xml:space="preserve">în principal </w:t>
      </w:r>
      <w:r w:rsidRPr="006B2701">
        <w:rPr>
          <w:rFonts w:ascii="Tahoma" w:hAnsi="Tahoma" w:cs="Tahoma"/>
          <w:sz w:val="24"/>
          <w:szCs w:val="24"/>
          <w:lang w:val="ro-RO"/>
        </w:rPr>
        <w:t xml:space="preserve">în cazul </w:t>
      </w:r>
      <w:r w:rsidR="003F1CBA" w:rsidRPr="006B2701">
        <w:rPr>
          <w:rFonts w:ascii="Tahoma" w:hAnsi="Tahoma" w:cs="Tahoma"/>
          <w:sz w:val="24"/>
          <w:szCs w:val="24"/>
          <w:lang w:val="ro-RO"/>
        </w:rPr>
        <w:t xml:space="preserve">veniturilor </w:t>
      </w:r>
      <w:r w:rsidR="00331431" w:rsidRPr="006B2701">
        <w:rPr>
          <w:rFonts w:ascii="Tahoma" w:hAnsi="Tahoma" w:cs="Tahoma"/>
          <w:sz w:val="24"/>
          <w:szCs w:val="24"/>
          <w:lang w:val="ro-RO"/>
        </w:rPr>
        <w:t xml:space="preserve">din </w:t>
      </w:r>
      <w:r w:rsidR="00353CF8" w:rsidRPr="006B2701">
        <w:rPr>
          <w:rFonts w:ascii="Tahoma" w:hAnsi="Tahoma" w:cs="Tahoma"/>
          <w:sz w:val="24"/>
          <w:szCs w:val="24"/>
          <w:lang w:val="ro-RO"/>
        </w:rPr>
        <w:t xml:space="preserve">impozitului pe </w:t>
      </w:r>
      <w:r w:rsidR="001845C9" w:rsidRPr="006B2701">
        <w:rPr>
          <w:rFonts w:ascii="Tahoma" w:hAnsi="Tahoma" w:cs="Tahoma"/>
          <w:sz w:val="24"/>
          <w:szCs w:val="24"/>
          <w:lang w:val="ro-RO"/>
        </w:rPr>
        <w:t>profit</w:t>
      </w:r>
      <w:r w:rsidR="00353CF8" w:rsidRPr="006B2701">
        <w:rPr>
          <w:rFonts w:ascii="Tahoma" w:hAnsi="Tahoma" w:cs="Tahoma"/>
          <w:sz w:val="24"/>
          <w:szCs w:val="24"/>
          <w:lang w:val="ro-RO"/>
        </w:rPr>
        <w:t xml:space="preserve"> cu 0,</w:t>
      </w:r>
      <w:r w:rsidR="00C674FF" w:rsidRPr="006B2701">
        <w:rPr>
          <w:rFonts w:ascii="Tahoma" w:hAnsi="Tahoma" w:cs="Tahoma"/>
          <w:sz w:val="24"/>
          <w:szCs w:val="24"/>
          <w:lang w:val="ro-RO"/>
        </w:rPr>
        <w:t>5</w:t>
      </w:r>
      <w:r w:rsidR="00353CF8" w:rsidRPr="006B2701">
        <w:rPr>
          <w:rFonts w:ascii="Tahoma" w:hAnsi="Tahoma" w:cs="Tahoma"/>
          <w:sz w:val="24"/>
          <w:szCs w:val="24"/>
          <w:lang w:val="ro-RO"/>
        </w:rPr>
        <w:t xml:space="preserve"> puncte procentuale</w:t>
      </w:r>
      <w:r w:rsidR="00F1374C" w:rsidRPr="006B2701">
        <w:rPr>
          <w:rFonts w:ascii="Tahoma" w:hAnsi="Tahoma" w:cs="Tahoma"/>
          <w:sz w:val="24"/>
          <w:szCs w:val="24"/>
          <w:lang w:val="ro-RO"/>
        </w:rPr>
        <w:t xml:space="preserve">, din alte impozite și taxe pe bunuri și servicii cu </w:t>
      </w:r>
      <w:r w:rsidR="00C674FF" w:rsidRPr="006B2701">
        <w:rPr>
          <w:rFonts w:ascii="Tahoma" w:hAnsi="Tahoma" w:cs="Tahoma"/>
          <w:sz w:val="24"/>
          <w:szCs w:val="24"/>
          <w:lang w:val="ro-RO"/>
        </w:rPr>
        <w:t>2,8</w:t>
      </w:r>
      <w:r w:rsidR="00F1374C" w:rsidRPr="006B2701">
        <w:rPr>
          <w:rFonts w:ascii="Tahoma" w:hAnsi="Tahoma" w:cs="Tahoma"/>
          <w:sz w:val="24"/>
          <w:szCs w:val="24"/>
          <w:lang w:val="ro-RO"/>
        </w:rPr>
        <w:t xml:space="preserve"> puncte procentuale, veniturilor nefiscale cu </w:t>
      </w:r>
      <w:r w:rsidR="00C674FF" w:rsidRPr="006B2701">
        <w:rPr>
          <w:rFonts w:ascii="Tahoma" w:hAnsi="Tahoma" w:cs="Tahoma"/>
          <w:sz w:val="24"/>
          <w:szCs w:val="24"/>
          <w:lang w:val="ro-RO"/>
        </w:rPr>
        <w:t>1,7</w:t>
      </w:r>
      <w:r w:rsidR="00F1374C" w:rsidRPr="006B2701">
        <w:rPr>
          <w:rFonts w:ascii="Tahoma" w:hAnsi="Tahoma" w:cs="Tahoma"/>
          <w:sz w:val="24"/>
          <w:szCs w:val="24"/>
          <w:lang w:val="ro-RO"/>
        </w:rPr>
        <w:t xml:space="preserve"> puncte procentuale  </w:t>
      </w:r>
      <w:r w:rsidR="001845C9" w:rsidRPr="006B2701">
        <w:rPr>
          <w:rFonts w:ascii="Tahoma" w:hAnsi="Tahoma" w:cs="Tahoma"/>
          <w:sz w:val="24"/>
          <w:szCs w:val="24"/>
          <w:lang w:val="ro-RO"/>
        </w:rPr>
        <w:t xml:space="preserve">și a </w:t>
      </w:r>
      <w:r w:rsidR="00F1374C" w:rsidRPr="006B2701">
        <w:rPr>
          <w:rFonts w:ascii="Tahoma" w:hAnsi="Tahoma" w:cs="Tahoma"/>
          <w:sz w:val="24"/>
          <w:szCs w:val="24"/>
          <w:lang w:val="ro-RO"/>
        </w:rPr>
        <w:t>celor din sumele primite de la UE, donații și PNRR cu 0,</w:t>
      </w:r>
      <w:r w:rsidR="00C674FF" w:rsidRPr="006B2701">
        <w:rPr>
          <w:rFonts w:ascii="Tahoma" w:hAnsi="Tahoma" w:cs="Tahoma"/>
          <w:sz w:val="24"/>
          <w:szCs w:val="24"/>
          <w:lang w:val="ro-RO"/>
        </w:rPr>
        <w:t>4</w:t>
      </w:r>
      <w:r w:rsidR="00F1374C" w:rsidRPr="006B2701">
        <w:rPr>
          <w:rFonts w:ascii="Tahoma" w:hAnsi="Tahoma" w:cs="Tahoma"/>
          <w:sz w:val="24"/>
          <w:szCs w:val="24"/>
          <w:lang w:val="ro-RO"/>
        </w:rPr>
        <w:t xml:space="preserve"> puncte procentuale.</w:t>
      </w:r>
    </w:p>
    <w:p w14:paraId="7AD537BE" w14:textId="41D98903" w:rsidR="00353CF8" w:rsidRPr="006B2701" w:rsidRDefault="00F1374C" w:rsidP="00F1374C">
      <w:pPr>
        <w:spacing w:line="276" w:lineRule="auto"/>
        <w:ind w:firstLine="624"/>
        <w:jc w:val="both"/>
        <w:rPr>
          <w:rFonts w:ascii="Tahoma" w:hAnsi="Tahoma" w:cs="Tahoma"/>
          <w:sz w:val="24"/>
          <w:szCs w:val="24"/>
          <w:lang w:val="ro-RO"/>
        </w:rPr>
      </w:pPr>
      <w:r w:rsidRPr="006B2701">
        <w:rPr>
          <w:rFonts w:ascii="Tahoma" w:hAnsi="Tahoma" w:cs="Tahoma"/>
          <w:sz w:val="24"/>
          <w:szCs w:val="24"/>
          <w:lang w:val="ro-RO"/>
        </w:rPr>
        <w:lastRenderedPageBreak/>
        <w:t xml:space="preserve"> </w:t>
      </w:r>
      <w:r w:rsidR="00BA5E33" w:rsidRPr="006B2701">
        <w:rPr>
          <w:rFonts w:ascii="Tahoma" w:hAnsi="Tahoma" w:cs="Tahoma"/>
          <w:sz w:val="24"/>
          <w:szCs w:val="24"/>
          <w:lang w:val="ro-RO"/>
        </w:rPr>
        <w:t>În paralel, s-au înregistrat diminuări</w:t>
      </w:r>
      <w:r w:rsidR="005D5A9A" w:rsidRPr="006B2701">
        <w:rPr>
          <w:rFonts w:ascii="Tahoma" w:hAnsi="Tahoma" w:cs="Tahoma"/>
          <w:sz w:val="24"/>
          <w:szCs w:val="24"/>
          <w:lang w:val="ro-RO"/>
        </w:rPr>
        <w:t>,</w:t>
      </w:r>
      <w:r w:rsidR="00BA5E33" w:rsidRPr="006B2701">
        <w:rPr>
          <w:rFonts w:ascii="Tahoma" w:hAnsi="Tahoma" w:cs="Tahoma"/>
          <w:sz w:val="24"/>
          <w:szCs w:val="24"/>
          <w:lang w:val="ro-RO"/>
        </w:rPr>
        <w:t xml:space="preserve"> </w:t>
      </w:r>
      <w:r w:rsidR="00F83F60" w:rsidRPr="006B2701">
        <w:rPr>
          <w:rFonts w:ascii="Tahoma" w:hAnsi="Tahoma" w:cs="Tahoma"/>
          <w:sz w:val="24"/>
          <w:szCs w:val="24"/>
          <w:lang w:val="ro-RO"/>
        </w:rPr>
        <w:t>în principal</w:t>
      </w:r>
      <w:r w:rsidR="005D5A9A" w:rsidRPr="006B2701">
        <w:rPr>
          <w:rFonts w:ascii="Tahoma" w:hAnsi="Tahoma" w:cs="Tahoma"/>
          <w:sz w:val="24"/>
          <w:szCs w:val="24"/>
          <w:lang w:val="ro-RO"/>
        </w:rPr>
        <w:t>,</w:t>
      </w:r>
      <w:r w:rsidR="00F83F60" w:rsidRPr="006B2701">
        <w:rPr>
          <w:rFonts w:ascii="Tahoma" w:hAnsi="Tahoma" w:cs="Tahoma"/>
          <w:sz w:val="24"/>
          <w:szCs w:val="24"/>
          <w:lang w:val="ro-RO"/>
        </w:rPr>
        <w:t xml:space="preserve"> </w:t>
      </w:r>
      <w:r w:rsidR="00BA5E33" w:rsidRPr="006B2701">
        <w:rPr>
          <w:rFonts w:ascii="Tahoma" w:hAnsi="Tahoma" w:cs="Tahoma"/>
          <w:sz w:val="24"/>
          <w:szCs w:val="24"/>
          <w:lang w:val="ro-RO"/>
        </w:rPr>
        <w:t>în</w:t>
      </w:r>
      <w:r w:rsidR="00D215A4" w:rsidRPr="006B2701">
        <w:rPr>
          <w:rFonts w:ascii="Tahoma" w:hAnsi="Tahoma" w:cs="Tahoma"/>
          <w:sz w:val="24"/>
          <w:szCs w:val="24"/>
          <w:lang w:val="ro-RO"/>
        </w:rPr>
        <w:t xml:space="preserve"> </w:t>
      </w:r>
      <w:r w:rsidR="009D6E0D" w:rsidRPr="006B2701">
        <w:rPr>
          <w:rFonts w:ascii="Tahoma" w:hAnsi="Tahoma" w:cs="Tahoma"/>
          <w:sz w:val="24"/>
          <w:szCs w:val="24"/>
          <w:lang w:val="ro-RO"/>
        </w:rPr>
        <w:t xml:space="preserve">cazul veniturilor </w:t>
      </w:r>
      <w:r w:rsidR="00353CF8" w:rsidRPr="006B2701">
        <w:rPr>
          <w:rFonts w:ascii="Tahoma" w:hAnsi="Tahoma" w:cs="Tahoma"/>
          <w:sz w:val="24"/>
          <w:szCs w:val="24"/>
          <w:lang w:val="ro-RO"/>
        </w:rPr>
        <w:t xml:space="preserve">din </w:t>
      </w:r>
      <w:r w:rsidR="001845C9" w:rsidRPr="006B2701">
        <w:rPr>
          <w:rFonts w:ascii="Tahoma" w:hAnsi="Tahoma" w:cs="Tahoma"/>
          <w:sz w:val="24"/>
          <w:szCs w:val="24"/>
          <w:lang w:val="ro-RO"/>
        </w:rPr>
        <w:t>accize</w:t>
      </w:r>
      <w:r w:rsidR="00353CF8" w:rsidRPr="006B2701">
        <w:rPr>
          <w:rFonts w:ascii="Tahoma" w:hAnsi="Tahoma" w:cs="Tahoma"/>
          <w:sz w:val="24"/>
          <w:szCs w:val="24"/>
          <w:lang w:val="ro-RO"/>
        </w:rPr>
        <w:t xml:space="preserve"> cu </w:t>
      </w:r>
      <w:r w:rsidR="00C674FF" w:rsidRPr="006B2701">
        <w:rPr>
          <w:rFonts w:ascii="Tahoma" w:hAnsi="Tahoma" w:cs="Tahoma"/>
          <w:sz w:val="24"/>
          <w:szCs w:val="24"/>
          <w:lang w:val="ro-RO"/>
        </w:rPr>
        <w:t>1,8</w:t>
      </w:r>
      <w:r w:rsidR="00353CF8" w:rsidRPr="006B2701">
        <w:rPr>
          <w:rFonts w:ascii="Tahoma" w:hAnsi="Tahoma" w:cs="Tahoma"/>
          <w:sz w:val="24"/>
          <w:szCs w:val="24"/>
          <w:lang w:val="ro-RO"/>
        </w:rPr>
        <w:t xml:space="preserve"> puncte procentuale; </w:t>
      </w:r>
      <w:r w:rsidRPr="006B2701">
        <w:rPr>
          <w:rFonts w:ascii="Tahoma" w:hAnsi="Tahoma" w:cs="Tahoma"/>
          <w:sz w:val="24"/>
          <w:szCs w:val="24"/>
          <w:lang w:val="ro-RO"/>
        </w:rPr>
        <w:t>din impozitele și taxele pe proprietate cu 0,</w:t>
      </w:r>
      <w:r w:rsidR="00C674FF" w:rsidRPr="006B2701">
        <w:rPr>
          <w:rFonts w:ascii="Tahoma" w:hAnsi="Tahoma" w:cs="Tahoma"/>
          <w:sz w:val="24"/>
          <w:szCs w:val="24"/>
          <w:lang w:val="ro-RO"/>
        </w:rPr>
        <w:t>2</w:t>
      </w:r>
      <w:r w:rsidRPr="006B2701">
        <w:rPr>
          <w:rFonts w:ascii="Tahoma" w:hAnsi="Tahoma" w:cs="Tahoma"/>
          <w:sz w:val="24"/>
          <w:szCs w:val="24"/>
          <w:lang w:val="ro-RO"/>
        </w:rPr>
        <w:t xml:space="preserve"> puncte procentuale și </w:t>
      </w:r>
      <w:r w:rsidR="001845C9" w:rsidRPr="006B2701">
        <w:rPr>
          <w:rFonts w:ascii="Tahoma" w:hAnsi="Tahoma" w:cs="Tahoma"/>
          <w:sz w:val="24"/>
          <w:szCs w:val="24"/>
          <w:lang w:val="ro-RO"/>
        </w:rPr>
        <w:t xml:space="preserve">din contribuții de asigurări cu </w:t>
      </w:r>
      <w:r w:rsidR="00C674FF" w:rsidRPr="006B2701">
        <w:rPr>
          <w:rFonts w:ascii="Tahoma" w:hAnsi="Tahoma" w:cs="Tahoma"/>
          <w:sz w:val="24"/>
          <w:szCs w:val="24"/>
          <w:lang w:val="ro-RO"/>
        </w:rPr>
        <w:t>3,2</w:t>
      </w:r>
      <w:r w:rsidR="001845C9" w:rsidRPr="006B2701">
        <w:rPr>
          <w:rFonts w:ascii="Tahoma" w:hAnsi="Tahoma" w:cs="Tahoma"/>
          <w:sz w:val="24"/>
          <w:szCs w:val="24"/>
          <w:lang w:val="ro-RO"/>
        </w:rPr>
        <w:t xml:space="preserve"> puncte procentuale</w:t>
      </w:r>
      <w:r w:rsidRPr="006B2701">
        <w:rPr>
          <w:rFonts w:ascii="Tahoma" w:hAnsi="Tahoma" w:cs="Tahoma"/>
          <w:sz w:val="24"/>
          <w:szCs w:val="24"/>
          <w:lang w:val="ro-RO"/>
        </w:rPr>
        <w:t>.</w:t>
      </w:r>
      <w:r w:rsidR="001845C9" w:rsidRPr="006B2701">
        <w:rPr>
          <w:rFonts w:ascii="Tahoma" w:hAnsi="Tahoma" w:cs="Tahoma"/>
          <w:sz w:val="24"/>
          <w:szCs w:val="24"/>
          <w:lang w:val="ro-RO"/>
        </w:rPr>
        <w:t xml:space="preserve"> </w:t>
      </w:r>
    </w:p>
    <w:p w14:paraId="1D117F6C" w14:textId="2EB00751" w:rsidR="00BA5E33" w:rsidRPr="006B2701" w:rsidRDefault="00BA5E33" w:rsidP="00C141AA">
      <w:pPr>
        <w:spacing w:after="120" w:line="276" w:lineRule="auto"/>
        <w:ind w:firstLine="706"/>
        <w:jc w:val="both"/>
        <w:rPr>
          <w:rFonts w:ascii="Arial" w:hAnsi="Arial" w:cs="Arial"/>
          <w:sz w:val="24"/>
          <w:szCs w:val="24"/>
          <w:lang w:val="ro-RO"/>
        </w:rPr>
      </w:pPr>
      <w:r w:rsidRPr="006B2701">
        <w:rPr>
          <w:rFonts w:ascii="Arial" w:hAnsi="Arial" w:cs="Arial"/>
          <w:sz w:val="24"/>
          <w:szCs w:val="24"/>
          <w:lang w:val="ro-RO"/>
        </w:rPr>
        <w:t xml:space="preserve">Comparativ cu anul anterior, </w:t>
      </w:r>
      <w:r w:rsidRPr="006B2701">
        <w:rPr>
          <w:rFonts w:ascii="Arial" w:hAnsi="Arial" w:cs="Arial"/>
          <w:b/>
          <w:sz w:val="24"/>
          <w:szCs w:val="24"/>
          <w:lang w:val="ro-RO"/>
        </w:rPr>
        <w:t>veniturile bugetului general consolidat</w:t>
      </w:r>
      <w:r w:rsidRPr="006B2701">
        <w:rPr>
          <w:rFonts w:ascii="Arial" w:hAnsi="Arial" w:cs="Arial"/>
          <w:sz w:val="24"/>
          <w:szCs w:val="24"/>
          <w:lang w:val="ro-RO"/>
        </w:rPr>
        <w:t xml:space="preserve">, în anul </w:t>
      </w:r>
      <w:r w:rsidR="00E93388" w:rsidRPr="006B2701">
        <w:rPr>
          <w:rFonts w:ascii="Arial" w:hAnsi="Arial" w:cs="Arial"/>
          <w:sz w:val="24"/>
          <w:szCs w:val="24"/>
          <w:lang w:val="ro-RO"/>
        </w:rPr>
        <w:t>202</w:t>
      </w:r>
      <w:r w:rsidR="003E52F2" w:rsidRPr="006B2701">
        <w:rPr>
          <w:rFonts w:ascii="Arial" w:hAnsi="Arial" w:cs="Arial"/>
          <w:sz w:val="24"/>
          <w:szCs w:val="24"/>
          <w:lang w:val="ro-RO"/>
        </w:rPr>
        <w:t>2</w:t>
      </w:r>
      <w:r w:rsidRPr="006B2701">
        <w:rPr>
          <w:rFonts w:ascii="Arial" w:hAnsi="Arial" w:cs="Arial"/>
          <w:sz w:val="24"/>
          <w:szCs w:val="24"/>
          <w:lang w:val="ro-RO"/>
        </w:rPr>
        <w:t xml:space="preserve">, </w:t>
      </w:r>
      <w:r w:rsidR="00F83F60" w:rsidRPr="006B2701">
        <w:rPr>
          <w:rFonts w:ascii="Arial" w:hAnsi="Arial" w:cs="Arial"/>
          <w:sz w:val="24"/>
          <w:szCs w:val="24"/>
          <w:lang w:val="ro-RO"/>
        </w:rPr>
        <w:t xml:space="preserve">au crescut cu </w:t>
      </w:r>
      <w:r w:rsidR="003E52F2" w:rsidRPr="006B2701">
        <w:rPr>
          <w:rFonts w:ascii="Arial" w:hAnsi="Arial" w:cs="Arial"/>
          <w:sz w:val="24"/>
          <w:szCs w:val="24"/>
          <w:lang w:val="ro-RO"/>
        </w:rPr>
        <w:t>21,2</w:t>
      </w:r>
      <w:r w:rsidR="00F83F60" w:rsidRPr="006B2701">
        <w:rPr>
          <w:rFonts w:ascii="Arial" w:hAnsi="Arial" w:cs="Arial"/>
          <w:sz w:val="24"/>
          <w:szCs w:val="24"/>
          <w:lang w:val="ro-RO"/>
        </w:rPr>
        <w:t>%</w:t>
      </w:r>
      <w:r w:rsidR="00353CF8" w:rsidRPr="006B2701">
        <w:rPr>
          <w:rFonts w:ascii="Arial" w:hAnsi="Arial" w:cs="Arial"/>
          <w:sz w:val="24"/>
          <w:szCs w:val="24"/>
          <w:lang w:val="ro-RO"/>
        </w:rPr>
        <w:t>(+</w:t>
      </w:r>
      <w:r w:rsidR="003E52F2" w:rsidRPr="006B2701">
        <w:rPr>
          <w:rFonts w:ascii="Arial" w:hAnsi="Arial" w:cs="Arial"/>
          <w:sz w:val="24"/>
          <w:szCs w:val="24"/>
          <w:lang w:val="ro-RO"/>
        </w:rPr>
        <w:t>80,</w:t>
      </w:r>
      <w:r w:rsidR="0096379F" w:rsidRPr="006B2701">
        <w:rPr>
          <w:rFonts w:ascii="Arial" w:hAnsi="Arial" w:cs="Arial"/>
          <w:sz w:val="24"/>
          <w:szCs w:val="24"/>
          <w:lang w:val="ro-RO"/>
        </w:rPr>
        <w:t>49</w:t>
      </w:r>
      <w:r w:rsidR="00353CF8" w:rsidRPr="006B2701">
        <w:rPr>
          <w:rFonts w:ascii="Arial" w:hAnsi="Arial" w:cs="Arial"/>
          <w:sz w:val="24"/>
          <w:szCs w:val="24"/>
          <w:lang w:val="ro-RO"/>
        </w:rPr>
        <w:t xml:space="preserve"> miliarde lei)</w:t>
      </w:r>
      <w:r w:rsidRPr="006B2701">
        <w:rPr>
          <w:rFonts w:ascii="Arial" w:hAnsi="Arial" w:cs="Arial"/>
          <w:sz w:val="24"/>
          <w:szCs w:val="24"/>
          <w:lang w:val="ro-RO"/>
        </w:rPr>
        <w:t xml:space="preserve"> iar ca procent în PIB</w:t>
      </w:r>
      <w:r w:rsidR="0077021C" w:rsidRPr="006B2701">
        <w:rPr>
          <w:rFonts w:ascii="Arial" w:hAnsi="Arial" w:cs="Arial"/>
          <w:sz w:val="24"/>
          <w:szCs w:val="24"/>
          <w:lang w:val="ro-RO"/>
        </w:rPr>
        <w:t xml:space="preserve"> cu </w:t>
      </w:r>
      <w:r w:rsidR="003E52F2" w:rsidRPr="006B2701">
        <w:rPr>
          <w:rFonts w:ascii="Arial" w:hAnsi="Arial" w:cs="Arial"/>
          <w:sz w:val="24"/>
          <w:szCs w:val="24"/>
          <w:lang w:val="ro-RO"/>
        </w:rPr>
        <w:t>0,6</w:t>
      </w:r>
      <w:r w:rsidRPr="006B2701">
        <w:rPr>
          <w:rFonts w:ascii="Arial" w:hAnsi="Arial" w:cs="Arial"/>
          <w:sz w:val="24"/>
          <w:szCs w:val="24"/>
          <w:lang w:val="ro-RO"/>
        </w:rPr>
        <w:t xml:space="preserve"> </w:t>
      </w:r>
      <w:r w:rsidR="006E5056" w:rsidRPr="006B2701">
        <w:rPr>
          <w:rFonts w:ascii="Arial" w:hAnsi="Arial" w:cs="Arial"/>
          <w:sz w:val="24"/>
          <w:szCs w:val="24"/>
          <w:lang w:val="ro-RO"/>
        </w:rPr>
        <w:t>puncte procentuale</w:t>
      </w:r>
      <w:r w:rsidRPr="006B2701">
        <w:rPr>
          <w:rFonts w:ascii="Arial" w:hAnsi="Arial" w:cs="Arial"/>
          <w:sz w:val="24"/>
          <w:szCs w:val="24"/>
          <w:lang w:val="ro-RO"/>
        </w:rPr>
        <w:t xml:space="preserve"> de la </w:t>
      </w:r>
      <w:r w:rsidR="003E52F2" w:rsidRPr="006B2701">
        <w:rPr>
          <w:rFonts w:ascii="Arial" w:hAnsi="Arial" w:cs="Arial"/>
          <w:sz w:val="24"/>
          <w:szCs w:val="24"/>
          <w:lang w:val="ro-RO"/>
        </w:rPr>
        <w:t>32</w:t>
      </w:r>
      <w:r w:rsidRPr="006B2701">
        <w:rPr>
          <w:rFonts w:ascii="Arial" w:hAnsi="Arial" w:cs="Arial"/>
          <w:sz w:val="24"/>
          <w:szCs w:val="24"/>
          <w:lang w:val="ro-RO"/>
        </w:rPr>
        <w:t xml:space="preserve">% în </w:t>
      </w:r>
      <w:r w:rsidR="00263A40" w:rsidRPr="006B2701">
        <w:rPr>
          <w:rFonts w:ascii="Arial" w:hAnsi="Arial" w:cs="Arial"/>
          <w:sz w:val="24"/>
          <w:szCs w:val="24"/>
          <w:lang w:val="ro-RO"/>
        </w:rPr>
        <w:t>202</w:t>
      </w:r>
      <w:r w:rsidR="003E52F2" w:rsidRPr="006B2701">
        <w:rPr>
          <w:rFonts w:ascii="Arial" w:hAnsi="Arial" w:cs="Arial"/>
          <w:sz w:val="24"/>
          <w:szCs w:val="24"/>
          <w:lang w:val="ro-RO"/>
        </w:rPr>
        <w:t>1</w:t>
      </w:r>
      <w:r w:rsidR="00263A40" w:rsidRPr="006B2701">
        <w:rPr>
          <w:rFonts w:ascii="Arial" w:hAnsi="Arial" w:cs="Arial"/>
          <w:sz w:val="24"/>
          <w:szCs w:val="24"/>
          <w:lang w:val="ro-RO"/>
        </w:rPr>
        <w:t xml:space="preserve"> </w:t>
      </w:r>
      <w:r w:rsidRPr="006B2701">
        <w:rPr>
          <w:rFonts w:ascii="Arial" w:hAnsi="Arial" w:cs="Arial"/>
          <w:sz w:val="24"/>
          <w:szCs w:val="24"/>
          <w:lang w:val="ro-RO"/>
        </w:rPr>
        <w:t xml:space="preserve">la </w:t>
      </w:r>
      <w:r w:rsidR="00263A40" w:rsidRPr="006B2701">
        <w:rPr>
          <w:rFonts w:ascii="Arial" w:hAnsi="Arial" w:cs="Arial"/>
          <w:sz w:val="24"/>
          <w:szCs w:val="24"/>
          <w:lang w:val="ro-RO"/>
        </w:rPr>
        <w:t>32,</w:t>
      </w:r>
      <w:r w:rsidR="003E52F2" w:rsidRPr="006B2701">
        <w:rPr>
          <w:rFonts w:ascii="Arial" w:hAnsi="Arial" w:cs="Arial"/>
          <w:sz w:val="24"/>
          <w:szCs w:val="24"/>
          <w:lang w:val="ro-RO"/>
        </w:rPr>
        <w:t>6</w:t>
      </w:r>
      <w:r w:rsidRPr="006B2701">
        <w:rPr>
          <w:rFonts w:ascii="Arial" w:hAnsi="Arial" w:cs="Arial"/>
          <w:sz w:val="24"/>
          <w:szCs w:val="24"/>
          <w:lang w:val="ro-RO"/>
        </w:rPr>
        <w:t xml:space="preserve">% în </w:t>
      </w:r>
      <w:r w:rsidR="00263A40" w:rsidRPr="006B2701">
        <w:rPr>
          <w:rFonts w:ascii="Arial" w:hAnsi="Arial" w:cs="Arial"/>
          <w:sz w:val="24"/>
          <w:szCs w:val="24"/>
          <w:lang w:val="ro-RO"/>
        </w:rPr>
        <w:t>202</w:t>
      </w:r>
      <w:r w:rsidR="003E52F2" w:rsidRPr="006B2701">
        <w:rPr>
          <w:rFonts w:ascii="Arial" w:hAnsi="Arial" w:cs="Arial"/>
          <w:sz w:val="24"/>
          <w:szCs w:val="24"/>
          <w:lang w:val="ro-RO"/>
        </w:rPr>
        <w:t>2</w:t>
      </w:r>
      <w:r w:rsidRPr="006B2701">
        <w:rPr>
          <w:rFonts w:ascii="Arial" w:hAnsi="Arial" w:cs="Arial"/>
          <w:sz w:val="24"/>
          <w:szCs w:val="24"/>
          <w:lang w:val="ro-RO"/>
        </w:rPr>
        <w:t>.</w:t>
      </w:r>
    </w:p>
    <w:p w14:paraId="22F97934" w14:textId="64D673CD" w:rsidR="00013829" w:rsidRPr="006B2701" w:rsidRDefault="00BF0DB4" w:rsidP="0096379F">
      <w:pPr>
        <w:shd w:val="clear" w:color="auto" w:fill="E2EFD9" w:themeFill="accent6" w:themeFillTint="33"/>
        <w:spacing w:before="120" w:after="120" w:line="276" w:lineRule="auto"/>
        <w:jc w:val="both"/>
        <w:rPr>
          <w:rFonts w:ascii="Tahoma" w:hAnsi="Tahoma" w:cs="Tahoma"/>
          <w:b/>
          <w:sz w:val="24"/>
          <w:szCs w:val="24"/>
          <w:lang w:val="ro-RO"/>
        </w:rPr>
      </w:pPr>
      <w:r w:rsidRPr="006B2701">
        <w:rPr>
          <w:rFonts w:ascii="Tahoma" w:hAnsi="Tahoma" w:cs="Tahoma"/>
          <w:b/>
          <w:sz w:val="24"/>
          <w:szCs w:val="24"/>
          <w:lang w:val="ro-RO"/>
        </w:rPr>
        <w:t>Veniturile d</w:t>
      </w:r>
      <w:r w:rsidR="00013829" w:rsidRPr="006B2701">
        <w:rPr>
          <w:rFonts w:ascii="Tahoma" w:hAnsi="Tahoma" w:cs="Tahoma"/>
          <w:b/>
          <w:sz w:val="24"/>
          <w:szCs w:val="24"/>
          <w:lang w:val="ro-RO"/>
        </w:rPr>
        <w:t>in economia internă</w:t>
      </w:r>
      <w:r w:rsidR="00CD743D" w:rsidRPr="006B2701">
        <w:rPr>
          <w:rFonts w:ascii="Tahoma" w:hAnsi="Tahoma" w:cs="Tahoma"/>
          <w:b/>
          <w:sz w:val="24"/>
          <w:szCs w:val="24"/>
          <w:lang w:val="ro-RO"/>
        </w:rPr>
        <w:t xml:space="preserve"> </w:t>
      </w:r>
      <w:r w:rsidRPr="006B2701">
        <w:rPr>
          <w:rFonts w:ascii="Tahoma" w:hAnsi="Tahoma" w:cs="Tahoma"/>
          <w:b/>
          <w:sz w:val="24"/>
          <w:szCs w:val="24"/>
          <w:lang w:val="ro-RO"/>
        </w:rPr>
        <w:t xml:space="preserve">(exclusiv fondurile externe nerambursabile și donațiile) </w:t>
      </w:r>
      <w:r w:rsidRPr="006B2701">
        <w:rPr>
          <w:rFonts w:ascii="Tahoma" w:hAnsi="Tahoma" w:cs="Tahoma"/>
          <w:sz w:val="24"/>
          <w:szCs w:val="24"/>
          <w:lang w:val="ro-RO"/>
        </w:rPr>
        <w:t xml:space="preserve">au fost în sumă de </w:t>
      </w:r>
      <w:r w:rsidR="003E52F2" w:rsidRPr="006B2701">
        <w:rPr>
          <w:rFonts w:ascii="Tahoma" w:hAnsi="Tahoma" w:cs="Tahoma"/>
          <w:sz w:val="24"/>
          <w:szCs w:val="24"/>
          <w:lang w:val="ro-RO"/>
        </w:rPr>
        <w:t>411,7</w:t>
      </w:r>
      <w:r w:rsidR="0096379F" w:rsidRPr="006B2701">
        <w:rPr>
          <w:rFonts w:ascii="Tahoma" w:hAnsi="Tahoma" w:cs="Tahoma"/>
          <w:sz w:val="24"/>
          <w:szCs w:val="24"/>
          <w:lang w:val="ro-RO"/>
        </w:rPr>
        <w:t>7</w:t>
      </w:r>
      <w:r w:rsidRPr="006B2701">
        <w:rPr>
          <w:rFonts w:ascii="Tahoma" w:hAnsi="Tahoma" w:cs="Tahoma"/>
          <w:sz w:val="24"/>
          <w:szCs w:val="24"/>
          <w:lang w:val="ro-RO"/>
        </w:rPr>
        <w:t xml:space="preserve"> miliarde lei </w:t>
      </w:r>
      <w:r w:rsidR="00263A40" w:rsidRPr="006B2701">
        <w:rPr>
          <w:rFonts w:ascii="Tahoma" w:hAnsi="Tahoma" w:cs="Tahoma"/>
          <w:sz w:val="24"/>
          <w:szCs w:val="24"/>
          <w:lang w:val="ro-RO"/>
        </w:rPr>
        <w:t xml:space="preserve">în creștere cu </w:t>
      </w:r>
      <w:r w:rsidR="003E52F2" w:rsidRPr="006B2701">
        <w:rPr>
          <w:rFonts w:ascii="Tahoma" w:hAnsi="Tahoma" w:cs="Tahoma"/>
          <w:sz w:val="24"/>
          <w:szCs w:val="24"/>
          <w:lang w:val="ro-RO"/>
        </w:rPr>
        <w:t>20,7</w:t>
      </w:r>
      <w:r w:rsidR="00013829" w:rsidRPr="006B2701">
        <w:rPr>
          <w:rFonts w:ascii="Tahoma" w:hAnsi="Tahoma" w:cs="Tahoma"/>
          <w:sz w:val="24"/>
          <w:szCs w:val="24"/>
          <w:lang w:val="ro-RO"/>
        </w:rPr>
        <w:t xml:space="preserve">% comparativ cu cele încasate în anul </w:t>
      </w:r>
      <w:r w:rsidR="00263A40" w:rsidRPr="006B2701">
        <w:rPr>
          <w:rFonts w:ascii="Tahoma" w:hAnsi="Tahoma" w:cs="Tahoma"/>
          <w:sz w:val="24"/>
          <w:szCs w:val="24"/>
          <w:lang w:val="ro-RO"/>
        </w:rPr>
        <w:t>202</w:t>
      </w:r>
      <w:r w:rsidR="003E52F2" w:rsidRPr="006B2701">
        <w:rPr>
          <w:rFonts w:ascii="Tahoma" w:hAnsi="Tahoma" w:cs="Tahoma"/>
          <w:sz w:val="24"/>
          <w:szCs w:val="24"/>
          <w:lang w:val="ro-RO"/>
        </w:rPr>
        <w:t>1</w:t>
      </w:r>
      <w:r w:rsidR="00013829" w:rsidRPr="006B2701">
        <w:rPr>
          <w:rFonts w:ascii="Tahoma" w:hAnsi="Tahoma" w:cs="Tahoma"/>
          <w:sz w:val="24"/>
          <w:szCs w:val="24"/>
          <w:lang w:val="ro-RO"/>
        </w:rPr>
        <w:t>.</w:t>
      </w:r>
      <w:bookmarkStart w:id="8" w:name="_GoBack"/>
      <w:bookmarkEnd w:id="8"/>
    </w:p>
    <w:p w14:paraId="6704E4E0" w14:textId="34E22514" w:rsidR="0077021C" w:rsidRPr="006B2701" w:rsidRDefault="00BA5E33" w:rsidP="0096379F">
      <w:pPr>
        <w:shd w:val="clear" w:color="auto" w:fill="E2EFD9" w:themeFill="accent6" w:themeFillTint="33"/>
        <w:spacing w:before="120" w:after="120" w:line="276" w:lineRule="auto"/>
        <w:jc w:val="both"/>
        <w:rPr>
          <w:rFonts w:ascii="Tahoma" w:hAnsi="Tahoma" w:cs="Tahoma"/>
          <w:sz w:val="24"/>
          <w:szCs w:val="24"/>
          <w:lang w:val="ro-RO"/>
        </w:rPr>
      </w:pPr>
      <w:r w:rsidRPr="006B2701">
        <w:rPr>
          <w:rFonts w:ascii="Tahoma" w:hAnsi="Tahoma" w:cs="Tahoma"/>
          <w:b/>
          <w:sz w:val="24"/>
          <w:szCs w:val="24"/>
          <w:lang w:val="ro-RO"/>
        </w:rPr>
        <w:t>Veniturile fiscale</w:t>
      </w:r>
      <w:r w:rsidRPr="006B2701">
        <w:rPr>
          <w:rFonts w:ascii="Tahoma" w:hAnsi="Tahoma" w:cs="Tahoma"/>
          <w:sz w:val="24"/>
          <w:szCs w:val="24"/>
          <w:lang w:val="ro-RO"/>
        </w:rPr>
        <w:t xml:space="preserve"> </w:t>
      </w:r>
      <w:r w:rsidR="005936F9" w:rsidRPr="006B2701">
        <w:rPr>
          <w:rFonts w:ascii="Tahoma" w:hAnsi="Tahoma" w:cs="Tahoma"/>
          <w:sz w:val="24"/>
          <w:szCs w:val="24"/>
          <w:lang w:val="ro-RO"/>
        </w:rPr>
        <w:t xml:space="preserve">au </w:t>
      </w:r>
      <w:r w:rsidR="00263A40" w:rsidRPr="006B2701">
        <w:rPr>
          <w:rFonts w:ascii="Tahoma" w:hAnsi="Tahoma" w:cs="Tahoma"/>
          <w:sz w:val="24"/>
          <w:szCs w:val="24"/>
          <w:lang w:val="ro-RO"/>
        </w:rPr>
        <w:t>crescut</w:t>
      </w:r>
      <w:r w:rsidR="00FA7157" w:rsidRPr="006B2701">
        <w:rPr>
          <w:rFonts w:ascii="Tahoma" w:hAnsi="Tahoma" w:cs="Tahoma"/>
          <w:sz w:val="24"/>
          <w:szCs w:val="24"/>
          <w:lang w:val="ro-RO"/>
        </w:rPr>
        <w:t xml:space="preserve">, </w:t>
      </w:r>
      <w:r w:rsidRPr="006B2701">
        <w:rPr>
          <w:rFonts w:ascii="Tahoma" w:hAnsi="Tahoma" w:cs="Tahoma"/>
          <w:sz w:val="24"/>
          <w:szCs w:val="24"/>
          <w:lang w:val="ro-RO"/>
        </w:rPr>
        <w:t>în termeni nominali</w:t>
      </w:r>
      <w:r w:rsidR="00FA7157" w:rsidRPr="006B2701">
        <w:rPr>
          <w:rFonts w:ascii="Tahoma" w:hAnsi="Tahoma" w:cs="Tahoma"/>
          <w:sz w:val="24"/>
          <w:szCs w:val="24"/>
          <w:lang w:val="ro-RO"/>
        </w:rPr>
        <w:t>,</w:t>
      </w:r>
      <w:r w:rsidRPr="006B2701">
        <w:rPr>
          <w:rFonts w:ascii="Tahoma" w:hAnsi="Tahoma" w:cs="Tahoma"/>
          <w:sz w:val="24"/>
          <w:szCs w:val="24"/>
          <w:lang w:val="ro-RO"/>
        </w:rPr>
        <w:t xml:space="preserve"> cu </w:t>
      </w:r>
      <w:r w:rsidR="00263A40" w:rsidRPr="006B2701">
        <w:rPr>
          <w:rFonts w:ascii="Tahoma" w:hAnsi="Tahoma" w:cs="Tahoma"/>
          <w:sz w:val="24"/>
          <w:szCs w:val="24"/>
          <w:lang w:val="ro-RO"/>
        </w:rPr>
        <w:t>23,</w:t>
      </w:r>
      <w:r w:rsidR="003E52F2" w:rsidRPr="006B2701">
        <w:rPr>
          <w:rFonts w:ascii="Tahoma" w:hAnsi="Tahoma" w:cs="Tahoma"/>
          <w:sz w:val="24"/>
          <w:szCs w:val="24"/>
          <w:lang w:val="ro-RO"/>
        </w:rPr>
        <w:t>8</w:t>
      </w:r>
      <w:r w:rsidRPr="006B2701">
        <w:rPr>
          <w:rFonts w:ascii="Tahoma" w:hAnsi="Tahoma" w:cs="Tahoma"/>
          <w:sz w:val="24"/>
          <w:szCs w:val="24"/>
          <w:lang w:val="ro-RO"/>
        </w:rPr>
        <w:t xml:space="preserve">% față de anul precedent, iar ca procent în PIB </w:t>
      </w:r>
      <w:r w:rsidR="007B2519" w:rsidRPr="006B2701">
        <w:rPr>
          <w:rFonts w:ascii="Tahoma" w:hAnsi="Tahoma" w:cs="Tahoma"/>
          <w:sz w:val="24"/>
          <w:szCs w:val="24"/>
          <w:lang w:val="ro-RO"/>
        </w:rPr>
        <w:t xml:space="preserve">cu </w:t>
      </w:r>
      <w:r w:rsidR="003E52F2" w:rsidRPr="006B2701">
        <w:rPr>
          <w:rFonts w:ascii="Tahoma" w:hAnsi="Tahoma" w:cs="Tahoma"/>
          <w:sz w:val="24"/>
          <w:szCs w:val="24"/>
          <w:lang w:val="ro-RO"/>
        </w:rPr>
        <w:t>0,6</w:t>
      </w:r>
      <w:r w:rsidR="007B2519" w:rsidRPr="006B2701">
        <w:rPr>
          <w:rFonts w:ascii="Tahoma" w:hAnsi="Tahoma" w:cs="Tahoma"/>
          <w:sz w:val="24"/>
          <w:szCs w:val="24"/>
          <w:lang w:val="ro-RO"/>
        </w:rPr>
        <w:t xml:space="preserve"> puncte procentuale de la </w:t>
      </w:r>
      <w:r w:rsidR="003E52F2" w:rsidRPr="006B2701">
        <w:rPr>
          <w:rFonts w:ascii="Tahoma" w:hAnsi="Tahoma" w:cs="Tahoma"/>
          <w:sz w:val="24"/>
          <w:szCs w:val="24"/>
          <w:lang w:val="ro-RO"/>
        </w:rPr>
        <w:t>15,7</w:t>
      </w:r>
      <w:r w:rsidR="007B2519" w:rsidRPr="006B2701">
        <w:rPr>
          <w:rFonts w:ascii="Tahoma" w:hAnsi="Tahoma" w:cs="Tahoma"/>
          <w:sz w:val="24"/>
          <w:szCs w:val="24"/>
          <w:lang w:val="ro-RO"/>
        </w:rPr>
        <w:t xml:space="preserve">% din PIB în anul </w:t>
      </w:r>
      <w:r w:rsidR="00263A40" w:rsidRPr="006B2701">
        <w:rPr>
          <w:rFonts w:ascii="Tahoma" w:hAnsi="Tahoma" w:cs="Tahoma"/>
          <w:sz w:val="24"/>
          <w:szCs w:val="24"/>
          <w:lang w:val="ro-RO"/>
        </w:rPr>
        <w:t>202</w:t>
      </w:r>
      <w:r w:rsidR="003E52F2" w:rsidRPr="006B2701">
        <w:rPr>
          <w:rFonts w:ascii="Tahoma" w:hAnsi="Tahoma" w:cs="Tahoma"/>
          <w:sz w:val="24"/>
          <w:szCs w:val="24"/>
          <w:lang w:val="ro-RO"/>
        </w:rPr>
        <w:t>1</w:t>
      </w:r>
      <w:r w:rsidR="00263A40" w:rsidRPr="006B2701">
        <w:rPr>
          <w:rFonts w:ascii="Tahoma" w:hAnsi="Tahoma" w:cs="Tahoma"/>
          <w:sz w:val="24"/>
          <w:szCs w:val="24"/>
          <w:lang w:val="ro-RO"/>
        </w:rPr>
        <w:t xml:space="preserve"> </w:t>
      </w:r>
      <w:r w:rsidR="0077021C" w:rsidRPr="006B2701">
        <w:rPr>
          <w:rFonts w:ascii="Tahoma" w:hAnsi="Tahoma" w:cs="Tahoma"/>
          <w:sz w:val="24"/>
          <w:szCs w:val="24"/>
          <w:lang w:val="ro-RO"/>
        </w:rPr>
        <w:t xml:space="preserve">la </w:t>
      </w:r>
      <w:r w:rsidR="003E52F2" w:rsidRPr="006B2701">
        <w:rPr>
          <w:rFonts w:ascii="Tahoma" w:hAnsi="Tahoma" w:cs="Tahoma"/>
          <w:sz w:val="24"/>
          <w:szCs w:val="24"/>
          <w:lang w:val="ro-RO"/>
        </w:rPr>
        <w:t>16,3</w:t>
      </w:r>
      <w:r w:rsidR="0077021C" w:rsidRPr="006B2701">
        <w:rPr>
          <w:rFonts w:ascii="Tahoma" w:hAnsi="Tahoma" w:cs="Tahoma"/>
          <w:sz w:val="24"/>
          <w:szCs w:val="24"/>
          <w:lang w:val="ro-RO"/>
        </w:rPr>
        <w:t>% din PIB</w:t>
      </w:r>
      <w:r w:rsidR="007B2519" w:rsidRPr="006B2701">
        <w:rPr>
          <w:rFonts w:ascii="Tahoma" w:hAnsi="Tahoma" w:cs="Tahoma"/>
          <w:sz w:val="24"/>
          <w:szCs w:val="24"/>
          <w:lang w:val="ro-RO"/>
        </w:rPr>
        <w:t xml:space="preserve"> în anul </w:t>
      </w:r>
      <w:r w:rsidR="00263A40" w:rsidRPr="006B2701">
        <w:rPr>
          <w:rFonts w:ascii="Tahoma" w:hAnsi="Tahoma" w:cs="Tahoma"/>
          <w:sz w:val="24"/>
          <w:szCs w:val="24"/>
          <w:lang w:val="ro-RO"/>
        </w:rPr>
        <w:t>202</w:t>
      </w:r>
      <w:r w:rsidR="003E52F2" w:rsidRPr="006B2701">
        <w:rPr>
          <w:rFonts w:ascii="Tahoma" w:hAnsi="Tahoma" w:cs="Tahoma"/>
          <w:sz w:val="24"/>
          <w:szCs w:val="24"/>
          <w:lang w:val="ro-RO"/>
        </w:rPr>
        <w:t>2</w:t>
      </w:r>
      <w:r w:rsidR="0077021C" w:rsidRPr="006B2701">
        <w:rPr>
          <w:rFonts w:ascii="Tahoma" w:hAnsi="Tahoma" w:cs="Tahoma"/>
          <w:sz w:val="24"/>
          <w:szCs w:val="24"/>
          <w:lang w:val="ro-RO"/>
        </w:rPr>
        <w:t>.</w:t>
      </w:r>
    </w:p>
    <w:p w14:paraId="05AE8178" w14:textId="527911EC" w:rsidR="0043335D" w:rsidRPr="006B2701" w:rsidRDefault="0043335D" w:rsidP="005C003E">
      <w:pPr>
        <w:spacing w:before="120" w:after="120" w:line="276" w:lineRule="auto"/>
        <w:jc w:val="both"/>
        <w:rPr>
          <w:rFonts w:ascii="Tahoma" w:hAnsi="Tahoma" w:cs="Tahoma"/>
          <w:sz w:val="24"/>
          <w:szCs w:val="24"/>
          <w:lang w:val="ro-RO"/>
        </w:rPr>
      </w:pPr>
      <w:r w:rsidRPr="006B2701">
        <w:rPr>
          <w:rFonts w:ascii="Tahoma" w:hAnsi="Tahoma" w:cs="Tahoma"/>
          <w:sz w:val="24"/>
          <w:szCs w:val="24"/>
          <w:lang w:val="ro-RO"/>
        </w:rPr>
        <w:t xml:space="preserve">Încasările din </w:t>
      </w:r>
      <w:r w:rsidRPr="006B2701">
        <w:rPr>
          <w:rFonts w:ascii="Tahoma" w:hAnsi="Tahoma" w:cs="Tahoma"/>
          <w:b/>
          <w:sz w:val="24"/>
          <w:szCs w:val="24"/>
          <w:lang w:val="ro-RO"/>
        </w:rPr>
        <w:t>impozitul pe profit</w:t>
      </w:r>
      <w:r w:rsidRPr="006B2701">
        <w:rPr>
          <w:rFonts w:ascii="Tahoma" w:hAnsi="Tahoma" w:cs="Tahoma"/>
          <w:sz w:val="24"/>
          <w:szCs w:val="24"/>
          <w:lang w:val="ro-RO"/>
        </w:rPr>
        <w:t xml:space="preserve"> în anul 202</w:t>
      </w:r>
      <w:r w:rsidR="00F1374C" w:rsidRPr="006B2701">
        <w:rPr>
          <w:rFonts w:ascii="Tahoma" w:hAnsi="Tahoma" w:cs="Tahoma"/>
          <w:sz w:val="24"/>
          <w:szCs w:val="24"/>
          <w:lang w:val="ro-RO"/>
        </w:rPr>
        <w:t>2</w:t>
      </w:r>
      <w:r w:rsidRPr="006B2701">
        <w:rPr>
          <w:rFonts w:ascii="Tahoma" w:hAnsi="Tahoma" w:cs="Tahoma"/>
          <w:sz w:val="24"/>
          <w:szCs w:val="24"/>
          <w:lang w:val="ro-RO"/>
        </w:rPr>
        <w:t xml:space="preserve"> au totalizat </w:t>
      </w:r>
      <w:r w:rsidR="00F1374C" w:rsidRPr="006B2701">
        <w:rPr>
          <w:rFonts w:ascii="Tahoma" w:hAnsi="Tahoma" w:cs="Tahoma"/>
          <w:sz w:val="24"/>
          <w:szCs w:val="24"/>
          <w:lang w:val="ro-RO"/>
        </w:rPr>
        <w:t>26,66</w:t>
      </w:r>
      <w:r w:rsidRPr="006B2701">
        <w:rPr>
          <w:rFonts w:ascii="Tahoma" w:hAnsi="Tahoma" w:cs="Tahoma"/>
          <w:sz w:val="24"/>
          <w:szCs w:val="24"/>
          <w:lang w:val="ro-RO"/>
        </w:rPr>
        <w:t xml:space="preserve"> miliarde lei, în creștere cu </w:t>
      </w:r>
      <w:r w:rsidR="00F1374C" w:rsidRPr="006B2701">
        <w:rPr>
          <w:rFonts w:ascii="Tahoma" w:hAnsi="Tahoma" w:cs="Tahoma"/>
          <w:sz w:val="24"/>
          <w:szCs w:val="24"/>
          <w:lang w:val="ro-RO"/>
        </w:rPr>
        <w:t>33,0</w:t>
      </w:r>
      <w:r w:rsidRPr="006B2701">
        <w:rPr>
          <w:rFonts w:ascii="Tahoma" w:hAnsi="Tahoma" w:cs="Tahoma"/>
          <w:sz w:val="24"/>
          <w:szCs w:val="24"/>
          <w:lang w:val="ro-RO"/>
        </w:rPr>
        <w:t>% față de anul 202</w:t>
      </w:r>
      <w:r w:rsidR="00F1374C" w:rsidRPr="006B2701">
        <w:rPr>
          <w:rFonts w:ascii="Tahoma" w:hAnsi="Tahoma" w:cs="Tahoma"/>
          <w:sz w:val="24"/>
          <w:szCs w:val="24"/>
          <w:lang w:val="ro-RO"/>
        </w:rPr>
        <w:t>1</w:t>
      </w:r>
      <w:r w:rsidRPr="006B2701">
        <w:rPr>
          <w:rFonts w:ascii="Tahoma" w:hAnsi="Tahoma" w:cs="Tahoma"/>
          <w:sz w:val="24"/>
          <w:szCs w:val="24"/>
          <w:lang w:val="ro-RO"/>
        </w:rPr>
        <w:t>,</w:t>
      </w:r>
      <w:r w:rsidR="005C003E" w:rsidRPr="006B2701">
        <w:rPr>
          <w:rFonts w:ascii="Tahoma" w:hAnsi="Tahoma" w:cs="Tahoma"/>
          <w:sz w:val="24"/>
          <w:szCs w:val="24"/>
          <w:lang w:val="ro-RO"/>
        </w:rPr>
        <w:t xml:space="preserve"> creștere</w:t>
      </w:r>
      <w:r w:rsidRPr="006B2701">
        <w:rPr>
          <w:rFonts w:ascii="Tahoma" w:hAnsi="Tahoma" w:cs="Tahoma"/>
          <w:sz w:val="24"/>
          <w:szCs w:val="24"/>
          <w:lang w:val="ro-RO"/>
        </w:rPr>
        <w:t xml:space="preserve"> </w:t>
      </w:r>
      <w:r w:rsidR="005C003E" w:rsidRPr="006B2701">
        <w:rPr>
          <w:rFonts w:ascii="Tahoma" w:hAnsi="Tahoma" w:cs="Tahoma"/>
          <w:bCs/>
          <w:noProof/>
          <w:sz w:val="24"/>
          <w:szCs w:val="24"/>
          <w:lang w:val="ro-RO" w:eastAsia="ro-RO"/>
        </w:rPr>
        <w:t>susținută atât de avansul încasărilor din impozitul pe profit de la agenții economici cu 29,3% (+5,6 miliarde lei), cât și de impozitul pe profit virat de băncile comerciale (+1 miliard lei)</w:t>
      </w:r>
      <w:r w:rsidRPr="006B2701">
        <w:rPr>
          <w:rFonts w:ascii="Tahoma" w:hAnsi="Tahoma" w:cs="Tahoma"/>
          <w:sz w:val="24"/>
          <w:szCs w:val="24"/>
          <w:lang w:val="ro-RO"/>
        </w:rPr>
        <w:t xml:space="preserve">. </w:t>
      </w:r>
    </w:p>
    <w:p w14:paraId="0B027C26" w14:textId="3BF5CA47" w:rsidR="0043335D" w:rsidRPr="006B2701" w:rsidRDefault="0043335D" w:rsidP="005C003E">
      <w:pPr>
        <w:spacing w:before="120" w:after="120" w:line="276" w:lineRule="auto"/>
        <w:jc w:val="both"/>
        <w:rPr>
          <w:rFonts w:ascii="Tahoma" w:hAnsi="Tahoma" w:cs="Tahoma"/>
          <w:sz w:val="24"/>
          <w:szCs w:val="24"/>
          <w:lang w:val="ro-RO"/>
        </w:rPr>
      </w:pPr>
      <w:r w:rsidRPr="006B2701">
        <w:rPr>
          <w:rFonts w:ascii="Tahoma" w:hAnsi="Tahoma" w:cs="Tahoma"/>
          <w:sz w:val="24"/>
          <w:szCs w:val="24"/>
          <w:lang w:val="ro-RO"/>
        </w:rPr>
        <w:t xml:space="preserve">Gradul de realizare înregistrat față de programul stabilit pentru această perioadă este de </w:t>
      </w:r>
      <w:r w:rsidR="005C003E" w:rsidRPr="006B2701">
        <w:rPr>
          <w:rFonts w:ascii="Tahoma" w:hAnsi="Tahoma" w:cs="Tahoma"/>
          <w:sz w:val="24"/>
          <w:szCs w:val="24"/>
          <w:lang w:val="ro-RO"/>
        </w:rPr>
        <w:t>97</w:t>
      </w:r>
      <w:r w:rsidRPr="006B2701">
        <w:rPr>
          <w:rFonts w:ascii="Tahoma" w:hAnsi="Tahoma" w:cs="Tahoma"/>
          <w:sz w:val="24"/>
          <w:szCs w:val="24"/>
          <w:lang w:val="ro-RO"/>
        </w:rPr>
        <w:t>,9% (-0,</w:t>
      </w:r>
      <w:r w:rsidR="005C003E" w:rsidRPr="006B2701">
        <w:rPr>
          <w:rFonts w:ascii="Tahoma" w:hAnsi="Tahoma" w:cs="Tahoma"/>
          <w:sz w:val="24"/>
          <w:szCs w:val="24"/>
          <w:lang w:val="ro-RO"/>
        </w:rPr>
        <w:t>56</w:t>
      </w:r>
      <w:r w:rsidRPr="006B2701">
        <w:rPr>
          <w:rFonts w:ascii="Tahoma" w:hAnsi="Tahoma" w:cs="Tahoma"/>
          <w:sz w:val="24"/>
          <w:szCs w:val="24"/>
          <w:lang w:val="ro-RO"/>
        </w:rPr>
        <w:t xml:space="preserve"> miliarde lei). </w:t>
      </w:r>
    </w:p>
    <w:p w14:paraId="27804915" w14:textId="51D8CC11" w:rsidR="0043335D" w:rsidRPr="006B2701" w:rsidRDefault="0043335D" w:rsidP="005C003E">
      <w:pPr>
        <w:tabs>
          <w:tab w:val="left" w:pos="426"/>
          <w:tab w:val="left" w:pos="720"/>
        </w:tabs>
        <w:spacing w:after="120" w:line="276" w:lineRule="auto"/>
        <w:jc w:val="both"/>
        <w:rPr>
          <w:rFonts w:ascii="Tahoma" w:hAnsi="Tahoma" w:cs="Tahoma"/>
          <w:sz w:val="24"/>
          <w:szCs w:val="24"/>
          <w:lang w:val="ro-RO"/>
        </w:rPr>
      </w:pPr>
      <w:r w:rsidRPr="006B2701">
        <w:rPr>
          <w:rFonts w:ascii="Tahoma" w:hAnsi="Tahoma" w:cs="Tahoma"/>
          <w:sz w:val="24"/>
          <w:szCs w:val="24"/>
          <w:lang w:val="ro-RO"/>
        </w:rPr>
        <w:t xml:space="preserve">Încasările din </w:t>
      </w:r>
      <w:r w:rsidRPr="006B2701">
        <w:rPr>
          <w:rFonts w:ascii="Tahoma" w:hAnsi="Tahoma" w:cs="Tahoma"/>
          <w:b/>
          <w:sz w:val="24"/>
          <w:szCs w:val="24"/>
          <w:lang w:val="ro-RO"/>
        </w:rPr>
        <w:t>impozitul pe venit</w:t>
      </w:r>
      <w:r w:rsidRPr="006B2701">
        <w:rPr>
          <w:rFonts w:ascii="Tahoma" w:hAnsi="Tahoma" w:cs="Tahoma"/>
          <w:sz w:val="24"/>
          <w:szCs w:val="24"/>
          <w:lang w:val="ro-RO"/>
        </w:rPr>
        <w:t xml:space="preserve"> în anul 202</w:t>
      </w:r>
      <w:r w:rsidR="005C003E" w:rsidRPr="006B2701">
        <w:rPr>
          <w:rFonts w:ascii="Tahoma" w:hAnsi="Tahoma" w:cs="Tahoma"/>
          <w:sz w:val="24"/>
          <w:szCs w:val="24"/>
          <w:lang w:val="ro-RO"/>
        </w:rPr>
        <w:t>2</w:t>
      </w:r>
      <w:r w:rsidRPr="006B2701">
        <w:rPr>
          <w:rFonts w:ascii="Tahoma" w:hAnsi="Tahoma" w:cs="Tahoma"/>
          <w:sz w:val="24"/>
          <w:szCs w:val="24"/>
          <w:lang w:val="ro-RO"/>
        </w:rPr>
        <w:t xml:space="preserve"> au totalizat </w:t>
      </w:r>
      <w:r w:rsidR="005C003E" w:rsidRPr="006B2701">
        <w:rPr>
          <w:rFonts w:ascii="Tahoma" w:hAnsi="Tahoma" w:cs="Tahoma"/>
          <w:sz w:val="24"/>
          <w:szCs w:val="24"/>
          <w:lang w:val="ro-RO"/>
        </w:rPr>
        <w:t>33,71</w:t>
      </w:r>
      <w:r w:rsidRPr="006B2701">
        <w:rPr>
          <w:rFonts w:ascii="Tahoma" w:hAnsi="Tahoma" w:cs="Tahoma"/>
          <w:sz w:val="24"/>
          <w:szCs w:val="24"/>
          <w:lang w:val="ro-RO"/>
        </w:rPr>
        <w:t xml:space="preserve"> miliarde lei, în creștere cu </w:t>
      </w:r>
      <w:r w:rsidR="005C003E" w:rsidRPr="006B2701">
        <w:rPr>
          <w:rFonts w:ascii="Tahoma" w:hAnsi="Tahoma" w:cs="Tahoma"/>
          <w:sz w:val="24"/>
          <w:szCs w:val="24"/>
          <w:lang w:val="ro-RO"/>
        </w:rPr>
        <w:t>20,3</w:t>
      </w:r>
      <w:r w:rsidRPr="006B2701">
        <w:rPr>
          <w:rFonts w:ascii="Tahoma" w:hAnsi="Tahoma" w:cs="Tahoma"/>
          <w:sz w:val="24"/>
          <w:szCs w:val="24"/>
          <w:lang w:val="ro-RO"/>
        </w:rPr>
        <w:t>% comparativ cu aceeași perioadă a anului precedent,</w:t>
      </w:r>
      <w:r w:rsidR="005C003E" w:rsidRPr="006B2701">
        <w:rPr>
          <w:rFonts w:asciiTheme="minorHAnsi" w:hAnsiTheme="minorHAnsi" w:cs="Liberation Serif"/>
          <w:color w:val="00000A"/>
          <w:kern w:val="1"/>
          <w:sz w:val="24"/>
          <w:szCs w:val="24"/>
          <w:lang w:val="ro-RO"/>
        </w:rPr>
        <w:t xml:space="preserve"> </w:t>
      </w:r>
      <w:r w:rsidR="005C003E" w:rsidRPr="006B2701">
        <w:rPr>
          <w:rFonts w:ascii="Tahoma" w:hAnsi="Tahoma" w:cs="Tahoma"/>
          <w:sz w:val="24"/>
          <w:szCs w:val="24"/>
          <w:lang w:val="ro-RO"/>
        </w:rPr>
        <w:t>cu un grad de realizare de 101,6% față de programul stabilit.</w:t>
      </w:r>
      <w:r w:rsidR="005C003E" w:rsidRPr="006B2701">
        <w:rPr>
          <w:rFonts w:ascii="Tahoma" w:hAnsi="Tahoma" w:cs="Tahoma"/>
          <w:sz w:val="24"/>
          <w:szCs w:val="24"/>
          <w:lang w:val="ro-RO"/>
        </w:rPr>
        <w:tab/>
      </w:r>
      <w:r w:rsidRPr="006B2701">
        <w:rPr>
          <w:rFonts w:ascii="Tahoma" w:hAnsi="Tahoma" w:cs="Tahoma"/>
          <w:sz w:val="24"/>
          <w:szCs w:val="24"/>
          <w:lang w:val="ro-RO"/>
        </w:rPr>
        <w:t xml:space="preserve"> </w:t>
      </w:r>
    </w:p>
    <w:p w14:paraId="54B74D6C" w14:textId="763B6B40" w:rsidR="005C003E" w:rsidRPr="006B2701" w:rsidRDefault="005C003E" w:rsidP="005C003E">
      <w:pPr>
        <w:tabs>
          <w:tab w:val="left" w:pos="284"/>
        </w:tabs>
        <w:autoSpaceDE w:val="0"/>
        <w:autoSpaceDN w:val="0"/>
        <w:adjustRightInd w:val="0"/>
        <w:spacing w:after="120" w:line="276" w:lineRule="auto"/>
        <w:jc w:val="both"/>
        <w:rPr>
          <w:rFonts w:ascii="Tahoma" w:hAnsi="Tahoma" w:cs="Tahoma"/>
          <w:sz w:val="24"/>
          <w:szCs w:val="24"/>
          <w:lang w:val="ro-RO"/>
        </w:rPr>
      </w:pPr>
      <w:r w:rsidRPr="006B2701">
        <w:rPr>
          <w:rFonts w:ascii="Tahoma" w:hAnsi="Tahoma" w:cs="Tahoma"/>
          <w:sz w:val="24"/>
          <w:szCs w:val="24"/>
          <w:lang w:val="ro-RO"/>
        </w:rPr>
        <w:t>În structură, încasările din impozitul pe venitul din salarii</w:t>
      </w:r>
      <w:r w:rsidRPr="006B2701">
        <w:rPr>
          <w:rStyle w:val="FootnoteReference"/>
          <w:rFonts w:ascii="Tahoma" w:hAnsi="Tahoma" w:cs="Tahoma"/>
          <w:sz w:val="24"/>
          <w:szCs w:val="24"/>
          <w:lang w:val="ro-RO"/>
        </w:rPr>
        <w:footnoteReference w:id="3"/>
      </w:r>
      <w:r w:rsidRPr="006B2701">
        <w:rPr>
          <w:rFonts w:ascii="Tahoma" w:hAnsi="Tahoma" w:cs="Tahoma"/>
          <w:sz w:val="24"/>
          <w:szCs w:val="24"/>
          <w:lang w:val="ro-RO"/>
        </w:rPr>
        <w:t xml:space="preserve"> înregistrează față de aceeași perioadă a anului 2021 o dinamică de 10,5%, sub evoluția fondului brut de salarii de 12,7%</w:t>
      </w:r>
      <w:r w:rsidRPr="006B2701">
        <w:rPr>
          <w:rStyle w:val="FootnoteReference"/>
          <w:rFonts w:ascii="Tahoma" w:hAnsi="Tahoma" w:cs="Tahoma"/>
          <w:sz w:val="24"/>
          <w:szCs w:val="24"/>
          <w:lang w:val="ro-RO"/>
        </w:rPr>
        <w:footnoteReference w:id="4"/>
      </w:r>
      <w:r w:rsidRPr="006B2701">
        <w:rPr>
          <w:rFonts w:ascii="Tahoma" w:hAnsi="Tahoma" w:cs="Tahoma"/>
          <w:sz w:val="24"/>
          <w:szCs w:val="24"/>
          <w:lang w:val="ro-RO"/>
        </w:rPr>
        <w:t>, fiind influențată și de extinderea facilității acordate  salariaților din sectorul agricol și industrie alimentară (efect negativ din scutirea de impozit pe venit din salarii,  conform Legii nr. 135/2022</w:t>
      </w:r>
      <w:r w:rsidRPr="006B2701">
        <w:rPr>
          <w:rStyle w:val="FootnoteReference"/>
          <w:rFonts w:ascii="Tahoma" w:hAnsi="Tahoma" w:cs="Tahoma"/>
          <w:sz w:val="24"/>
          <w:szCs w:val="24"/>
          <w:lang w:val="ro-RO"/>
        </w:rPr>
        <w:footnoteReference w:id="5"/>
      </w:r>
      <w:r w:rsidRPr="006B2701">
        <w:rPr>
          <w:rFonts w:ascii="Tahoma" w:hAnsi="Tahoma" w:cs="Tahoma"/>
          <w:sz w:val="24"/>
          <w:szCs w:val="24"/>
          <w:lang w:val="ro-RO"/>
        </w:rPr>
        <w:t>).</w:t>
      </w:r>
    </w:p>
    <w:p w14:paraId="51CA2D2D" w14:textId="6A1A9162" w:rsidR="005C003E" w:rsidRPr="006B2701" w:rsidRDefault="005C003E" w:rsidP="005C003E">
      <w:pPr>
        <w:shd w:val="clear" w:color="auto" w:fill="FFFFFF"/>
        <w:tabs>
          <w:tab w:val="left" w:pos="720"/>
        </w:tabs>
        <w:spacing w:after="120" w:line="276" w:lineRule="auto"/>
        <w:jc w:val="both"/>
        <w:rPr>
          <w:rFonts w:ascii="Tahoma" w:hAnsi="Tahoma" w:cs="Tahoma"/>
          <w:sz w:val="24"/>
          <w:szCs w:val="24"/>
          <w:lang w:val="ro-RO"/>
        </w:rPr>
      </w:pPr>
      <w:r w:rsidRPr="006B2701">
        <w:rPr>
          <w:rFonts w:ascii="Tahoma" w:hAnsi="Tahoma" w:cs="Tahoma"/>
          <w:sz w:val="24"/>
          <w:szCs w:val="24"/>
          <w:lang w:val="ro-RO"/>
        </w:rPr>
        <w:t>O evoluție pozitivă a veniturilor din această sursă a fost susținută și de sporul încasărilor din impozitul pe veniturile din dividende 79,9%</w:t>
      </w:r>
      <w:r w:rsidRPr="006B2701">
        <w:rPr>
          <w:rStyle w:val="FootnoteReference"/>
          <w:rFonts w:ascii="Tahoma" w:hAnsi="Tahoma" w:cs="Tahoma"/>
          <w:sz w:val="24"/>
          <w:szCs w:val="24"/>
          <w:lang w:val="ro-RO"/>
        </w:rPr>
        <w:footnoteReference w:id="6"/>
      </w:r>
      <w:r w:rsidRPr="006B2701">
        <w:rPr>
          <w:rFonts w:ascii="Tahoma" w:hAnsi="Tahoma" w:cs="Tahoma"/>
          <w:sz w:val="24"/>
          <w:szCs w:val="24"/>
          <w:lang w:val="ro-RO"/>
        </w:rPr>
        <w:t xml:space="preserve">(+2 miliarde lei, pe seama creșterii semnificative a dividendelor distribuite în baza </w:t>
      </w:r>
      <w:r w:rsidR="00712F33" w:rsidRPr="006B2701">
        <w:rPr>
          <w:rFonts w:ascii="Tahoma" w:hAnsi="Tahoma" w:cs="Tahoma"/>
          <w:sz w:val="24"/>
          <w:szCs w:val="24"/>
          <w:lang w:val="ro-RO"/>
        </w:rPr>
        <w:t>situațiilor</w:t>
      </w:r>
      <w:r w:rsidRPr="006B2701">
        <w:rPr>
          <w:rFonts w:ascii="Tahoma" w:hAnsi="Tahoma" w:cs="Tahoma"/>
          <w:sz w:val="24"/>
          <w:szCs w:val="24"/>
          <w:lang w:val="ro-RO"/>
        </w:rPr>
        <w:t xml:space="preserve"> financiare interimare întocmite în cursul anului 2022, cu reținerea cotei de impozit de 5%), impozitul pe venit aferent declarației unice 32,3% (creștere cu 0,7 miliarde lei, pe seama încasărilor din luna mai a anului curent</w:t>
      </w:r>
      <w:r w:rsidRPr="006B2701">
        <w:rPr>
          <w:rStyle w:val="FootnoteReference"/>
          <w:rFonts w:ascii="Tahoma" w:hAnsi="Tahoma" w:cs="Tahoma"/>
          <w:sz w:val="24"/>
          <w:szCs w:val="24"/>
          <w:lang w:val="ro-RO"/>
        </w:rPr>
        <w:footnoteReference w:id="7"/>
      </w:r>
      <w:r w:rsidRPr="006B2701">
        <w:rPr>
          <w:rFonts w:ascii="Tahoma" w:hAnsi="Tahoma" w:cs="Tahoma"/>
          <w:sz w:val="24"/>
          <w:szCs w:val="24"/>
          <w:lang w:val="ro-RO"/>
        </w:rPr>
        <w:t>) și impozitul pe veniturile din pensii (+25,1%, creștere în care este inclusă majorarea valorii punctului de pensie cu 10%</w:t>
      </w:r>
      <w:r w:rsidRPr="006B2701">
        <w:rPr>
          <w:rStyle w:val="FootnoteReference"/>
          <w:rFonts w:ascii="Tahoma" w:hAnsi="Tahoma" w:cs="Tahoma"/>
          <w:sz w:val="24"/>
          <w:szCs w:val="24"/>
          <w:lang w:val="ro-RO"/>
        </w:rPr>
        <w:footnoteReference w:id="8"/>
      </w:r>
      <w:r w:rsidRPr="006B2701">
        <w:rPr>
          <w:rFonts w:ascii="Tahoma" w:hAnsi="Tahoma" w:cs="Tahoma"/>
          <w:sz w:val="24"/>
          <w:szCs w:val="24"/>
          <w:lang w:val="ro-RO"/>
        </w:rPr>
        <w:t>).</w:t>
      </w:r>
    </w:p>
    <w:p w14:paraId="0C1AA441" w14:textId="0D226637" w:rsidR="0096379F" w:rsidRPr="006B2701" w:rsidRDefault="00BA5E33" w:rsidP="0096379F">
      <w:pPr>
        <w:shd w:val="clear" w:color="auto" w:fill="FFFFFF"/>
        <w:tabs>
          <w:tab w:val="left" w:pos="720"/>
        </w:tabs>
        <w:spacing w:after="120" w:line="276" w:lineRule="auto"/>
        <w:jc w:val="both"/>
        <w:rPr>
          <w:rFonts w:ascii="Tahoma" w:hAnsi="Tahoma" w:cs="Tahoma"/>
          <w:kern w:val="1"/>
          <w:sz w:val="24"/>
          <w:szCs w:val="24"/>
          <w:lang w:val="ro-RO"/>
        </w:rPr>
      </w:pPr>
      <w:r w:rsidRPr="006B2701">
        <w:rPr>
          <w:rFonts w:ascii="Tahoma" w:hAnsi="Tahoma" w:cs="Tahoma"/>
          <w:sz w:val="24"/>
          <w:szCs w:val="24"/>
          <w:lang w:val="ro-RO"/>
        </w:rPr>
        <w:lastRenderedPageBreak/>
        <w:t xml:space="preserve">Încasările din </w:t>
      </w:r>
      <w:r w:rsidRPr="006B2701">
        <w:rPr>
          <w:rFonts w:ascii="Tahoma" w:hAnsi="Tahoma" w:cs="Tahoma"/>
          <w:b/>
          <w:bCs/>
          <w:sz w:val="24"/>
          <w:szCs w:val="24"/>
          <w:lang w:val="ro-RO"/>
        </w:rPr>
        <w:t xml:space="preserve">impozitele </w:t>
      </w:r>
      <w:r w:rsidR="00CD743D" w:rsidRPr="006B2701">
        <w:rPr>
          <w:rFonts w:ascii="Tahoma" w:hAnsi="Tahoma" w:cs="Tahoma"/>
          <w:b/>
          <w:bCs/>
          <w:sz w:val="24"/>
          <w:szCs w:val="24"/>
          <w:lang w:val="ro-RO"/>
        </w:rPr>
        <w:t>și</w:t>
      </w:r>
      <w:r w:rsidRPr="006B2701">
        <w:rPr>
          <w:rFonts w:ascii="Tahoma" w:hAnsi="Tahoma" w:cs="Tahoma"/>
          <w:b/>
          <w:bCs/>
          <w:sz w:val="24"/>
          <w:szCs w:val="24"/>
          <w:lang w:val="ro-RO"/>
        </w:rPr>
        <w:t xml:space="preserve"> taxele pe proprietate </w:t>
      </w:r>
      <w:r w:rsidR="00EA776C" w:rsidRPr="006B2701">
        <w:rPr>
          <w:rFonts w:ascii="Tahoma" w:hAnsi="Tahoma" w:cs="Tahoma"/>
          <w:bCs/>
          <w:sz w:val="24"/>
          <w:szCs w:val="24"/>
          <w:lang w:val="ro-RO"/>
        </w:rPr>
        <w:t xml:space="preserve">au </w:t>
      </w:r>
      <w:r w:rsidR="0043335D" w:rsidRPr="006B2701">
        <w:rPr>
          <w:rFonts w:ascii="Tahoma" w:hAnsi="Tahoma" w:cs="Tahoma"/>
          <w:bCs/>
          <w:sz w:val="24"/>
          <w:szCs w:val="24"/>
          <w:lang w:val="ro-RO"/>
        </w:rPr>
        <w:t xml:space="preserve">fost superioare </w:t>
      </w:r>
      <w:r w:rsidRPr="006B2701">
        <w:rPr>
          <w:rFonts w:ascii="Tahoma" w:hAnsi="Tahoma" w:cs="Tahoma"/>
          <w:sz w:val="24"/>
          <w:szCs w:val="24"/>
          <w:lang w:val="ro-RO"/>
        </w:rPr>
        <w:t xml:space="preserve">cu </w:t>
      </w:r>
      <w:r w:rsidR="005C003E" w:rsidRPr="006B2701">
        <w:rPr>
          <w:rFonts w:ascii="Tahoma" w:hAnsi="Tahoma" w:cs="Tahoma"/>
          <w:sz w:val="24"/>
          <w:szCs w:val="24"/>
          <w:lang w:val="ro-RO"/>
        </w:rPr>
        <w:t>4,2</w:t>
      </w:r>
      <w:r w:rsidRPr="006B2701">
        <w:rPr>
          <w:rFonts w:ascii="Tahoma" w:hAnsi="Tahoma" w:cs="Tahoma"/>
          <w:sz w:val="24"/>
          <w:szCs w:val="24"/>
          <w:lang w:val="ro-RO"/>
        </w:rPr>
        <w:t>%</w:t>
      </w:r>
      <w:r w:rsidR="0043335D" w:rsidRPr="006B2701">
        <w:rPr>
          <w:rFonts w:ascii="Tahoma" w:hAnsi="Tahoma" w:cs="Tahoma"/>
          <w:sz w:val="24"/>
          <w:szCs w:val="24"/>
          <w:lang w:val="ro-RO"/>
        </w:rPr>
        <w:t>(+0,</w:t>
      </w:r>
      <w:r w:rsidR="005C003E" w:rsidRPr="006B2701">
        <w:rPr>
          <w:rFonts w:ascii="Tahoma" w:hAnsi="Tahoma" w:cs="Tahoma"/>
          <w:sz w:val="24"/>
          <w:szCs w:val="24"/>
          <w:lang w:val="ro-RO"/>
        </w:rPr>
        <w:t>27</w:t>
      </w:r>
      <w:r w:rsidR="0043335D" w:rsidRPr="006B2701">
        <w:rPr>
          <w:rFonts w:ascii="Tahoma" w:hAnsi="Tahoma" w:cs="Tahoma"/>
          <w:sz w:val="24"/>
          <w:szCs w:val="24"/>
          <w:lang w:val="ro-RO"/>
        </w:rPr>
        <w:t xml:space="preserve"> miliarde lei)</w:t>
      </w:r>
      <w:r w:rsidRPr="006B2701">
        <w:rPr>
          <w:rFonts w:ascii="Tahoma" w:hAnsi="Tahoma" w:cs="Tahoma"/>
          <w:sz w:val="24"/>
          <w:szCs w:val="24"/>
          <w:lang w:val="ro-RO"/>
        </w:rPr>
        <w:t xml:space="preserve"> comparativ cu anul </w:t>
      </w:r>
      <w:r w:rsidR="0043335D" w:rsidRPr="006B2701">
        <w:rPr>
          <w:rFonts w:ascii="Tahoma" w:hAnsi="Tahoma" w:cs="Tahoma"/>
          <w:sz w:val="24"/>
          <w:szCs w:val="24"/>
          <w:lang w:val="ro-RO"/>
        </w:rPr>
        <w:t>202</w:t>
      </w:r>
      <w:r w:rsidR="005C003E" w:rsidRPr="006B2701">
        <w:rPr>
          <w:rFonts w:ascii="Tahoma" w:hAnsi="Tahoma" w:cs="Tahoma"/>
          <w:sz w:val="24"/>
          <w:szCs w:val="24"/>
          <w:lang w:val="ro-RO"/>
        </w:rPr>
        <w:t>1</w:t>
      </w:r>
      <w:r w:rsidRPr="006B2701">
        <w:rPr>
          <w:rFonts w:ascii="Tahoma" w:hAnsi="Tahoma" w:cs="Tahoma"/>
          <w:sz w:val="24"/>
          <w:szCs w:val="24"/>
          <w:lang w:val="ro-RO"/>
        </w:rPr>
        <w:t xml:space="preserve">, gradul de realizare al programului fiind de </w:t>
      </w:r>
      <w:r w:rsidR="005C003E" w:rsidRPr="006B2701">
        <w:rPr>
          <w:rFonts w:ascii="Tahoma" w:hAnsi="Tahoma" w:cs="Tahoma"/>
          <w:sz w:val="24"/>
          <w:szCs w:val="24"/>
          <w:lang w:val="ro-RO"/>
        </w:rPr>
        <w:t>98,6</w:t>
      </w:r>
      <w:r w:rsidRPr="006B2701">
        <w:rPr>
          <w:rFonts w:ascii="Tahoma" w:hAnsi="Tahoma" w:cs="Tahoma"/>
          <w:sz w:val="24"/>
          <w:szCs w:val="24"/>
          <w:lang w:val="ro-RO"/>
        </w:rPr>
        <w:t>%</w:t>
      </w:r>
      <w:r w:rsidR="008322CB" w:rsidRPr="006B2701">
        <w:rPr>
          <w:rFonts w:ascii="Tahoma" w:hAnsi="Tahoma" w:cs="Tahoma"/>
          <w:kern w:val="1"/>
          <w:sz w:val="24"/>
          <w:szCs w:val="24"/>
          <w:lang w:val="ro-RO"/>
        </w:rPr>
        <w:t xml:space="preserve">. </w:t>
      </w:r>
      <w:r w:rsidR="007615C9" w:rsidRPr="006B2701">
        <w:rPr>
          <w:rFonts w:ascii="Tahoma" w:hAnsi="Tahoma" w:cs="Tahoma"/>
          <w:kern w:val="1"/>
          <w:sz w:val="24"/>
          <w:szCs w:val="24"/>
          <w:lang w:val="ro-RO"/>
        </w:rPr>
        <w:t xml:space="preserve">Nerealizarea programului anual s-a datorat evoluției </w:t>
      </w:r>
      <w:r w:rsidR="008322CB" w:rsidRPr="006B2701">
        <w:rPr>
          <w:rFonts w:ascii="Tahoma" w:hAnsi="Tahoma" w:cs="Tahoma"/>
          <w:kern w:val="1"/>
          <w:sz w:val="24"/>
          <w:szCs w:val="24"/>
          <w:lang w:val="ro-RO"/>
        </w:rPr>
        <w:t>veniturilor la buget</w:t>
      </w:r>
      <w:r w:rsidR="0084171F" w:rsidRPr="006B2701">
        <w:rPr>
          <w:rFonts w:ascii="Tahoma" w:hAnsi="Tahoma" w:cs="Tahoma"/>
          <w:kern w:val="1"/>
          <w:sz w:val="24"/>
          <w:szCs w:val="24"/>
          <w:lang w:val="ro-RO"/>
        </w:rPr>
        <w:t>e</w:t>
      </w:r>
      <w:r w:rsidR="008322CB" w:rsidRPr="006B2701">
        <w:rPr>
          <w:rFonts w:ascii="Tahoma" w:hAnsi="Tahoma" w:cs="Tahoma"/>
          <w:kern w:val="1"/>
          <w:sz w:val="24"/>
          <w:szCs w:val="24"/>
          <w:lang w:val="ro-RO"/>
        </w:rPr>
        <w:t>l</w:t>
      </w:r>
      <w:r w:rsidR="005C003E" w:rsidRPr="006B2701">
        <w:rPr>
          <w:rFonts w:ascii="Tahoma" w:hAnsi="Tahoma" w:cs="Tahoma"/>
          <w:kern w:val="1"/>
          <w:sz w:val="24"/>
          <w:szCs w:val="24"/>
          <w:lang w:val="ro-RO"/>
        </w:rPr>
        <w:t>e locale.</w:t>
      </w:r>
    </w:p>
    <w:p w14:paraId="4D5E3753" w14:textId="4A391D02" w:rsidR="005C003E" w:rsidRPr="006B2701" w:rsidRDefault="007615C9" w:rsidP="0096379F">
      <w:pPr>
        <w:shd w:val="clear" w:color="auto" w:fill="FFFFFF"/>
        <w:tabs>
          <w:tab w:val="left" w:pos="720"/>
        </w:tabs>
        <w:spacing w:after="120" w:line="276" w:lineRule="auto"/>
        <w:jc w:val="both"/>
        <w:rPr>
          <w:rFonts w:ascii="Tahoma" w:hAnsi="Tahoma" w:cs="Tahoma"/>
          <w:sz w:val="24"/>
          <w:szCs w:val="24"/>
          <w:lang w:val="ro-RO"/>
        </w:rPr>
      </w:pPr>
      <w:r w:rsidRPr="006B2701">
        <w:rPr>
          <w:rFonts w:ascii="Tahoma" w:hAnsi="Tahoma" w:cs="Tahoma"/>
          <w:kern w:val="1"/>
          <w:sz w:val="24"/>
          <w:szCs w:val="24"/>
          <w:lang w:val="ro-RO"/>
        </w:rPr>
        <w:t xml:space="preserve">Încasările din </w:t>
      </w:r>
      <w:r w:rsidRPr="006B2701">
        <w:rPr>
          <w:rFonts w:ascii="Tahoma" w:hAnsi="Tahoma" w:cs="Tahoma"/>
          <w:b/>
          <w:kern w:val="1"/>
          <w:sz w:val="24"/>
          <w:szCs w:val="24"/>
          <w:lang w:val="ro-RO"/>
        </w:rPr>
        <w:t>taxa pa valoarea adăugată</w:t>
      </w:r>
      <w:r w:rsidRPr="006B2701">
        <w:rPr>
          <w:rFonts w:ascii="Tahoma" w:hAnsi="Tahoma" w:cs="Tahoma"/>
          <w:kern w:val="1"/>
          <w:sz w:val="24"/>
          <w:szCs w:val="24"/>
          <w:lang w:val="ro-RO"/>
        </w:rPr>
        <w:t xml:space="preserve"> au înregistrat </w:t>
      </w:r>
      <w:r w:rsidR="005C003E" w:rsidRPr="006B2701">
        <w:rPr>
          <w:rFonts w:ascii="Tahoma" w:hAnsi="Tahoma" w:cs="Tahoma"/>
          <w:kern w:val="1"/>
          <w:sz w:val="24"/>
          <w:szCs w:val="24"/>
          <w:lang w:val="ro-RO"/>
        </w:rPr>
        <w:t>94,09</w:t>
      </w:r>
      <w:r w:rsidRPr="006B2701">
        <w:rPr>
          <w:rFonts w:ascii="Tahoma" w:hAnsi="Tahoma" w:cs="Tahoma"/>
          <w:kern w:val="1"/>
          <w:sz w:val="24"/>
          <w:szCs w:val="24"/>
          <w:lang w:val="ro-RO"/>
        </w:rPr>
        <w:t xml:space="preserve"> miliarde lei în anul 202</w:t>
      </w:r>
      <w:r w:rsidR="005C003E" w:rsidRPr="006B2701">
        <w:rPr>
          <w:rFonts w:ascii="Tahoma" w:hAnsi="Tahoma" w:cs="Tahoma"/>
          <w:kern w:val="1"/>
          <w:sz w:val="24"/>
          <w:szCs w:val="24"/>
          <w:lang w:val="ro-RO"/>
        </w:rPr>
        <w:t>2</w:t>
      </w:r>
      <w:r w:rsidRPr="006B2701">
        <w:rPr>
          <w:rFonts w:ascii="Tahoma" w:hAnsi="Tahoma" w:cs="Tahoma"/>
          <w:kern w:val="1"/>
          <w:sz w:val="24"/>
          <w:szCs w:val="24"/>
          <w:lang w:val="ro-RO"/>
        </w:rPr>
        <w:t xml:space="preserve"> (6,7% in PIB), în valori nominale</w:t>
      </w:r>
      <w:r w:rsidR="005C003E" w:rsidRPr="006B2701">
        <w:rPr>
          <w:rFonts w:ascii="Tahoma" w:hAnsi="Tahoma" w:cs="Tahoma"/>
          <w:kern w:val="1"/>
          <w:sz w:val="24"/>
          <w:szCs w:val="24"/>
          <w:lang w:val="ro-RO"/>
        </w:rPr>
        <w:t>,</w:t>
      </w:r>
      <w:r w:rsidRPr="006B2701">
        <w:rPr>
          <w:rFonts w:ascii="Tahoma" w:hAnsi="Tahoma" w:cs="Tahoma"/>
          <w:kern w:val="1"/>
          <w:sz w:val="24"/>
          <w:szCs w:val="24"/>
          <w:lang w:val="ro-RO"/>
        </w:rPr>
        <w:t xml:space="preserve"> în creștere cu </w:t>
      </w:r>
      <w:r w:rsidR="005C003E" w:rsidRPr="006B2701">
        <w:rPr>
          <w:rFonts w:ascii="Tahoma" w:hAnsi="Tahoma" w:cs="Tahoma"/>
          <w:kern w:val="1"/>
          <w:sz w:val="24"/>
          <w:szCs w:val="24"/>
          <w:lang w:val="ro-RO"/>
        </w:rPr>
        <w:t>18,6</w:t>
      </w:r>
      <w:r w:rsidRPr="006B2701">
        <w:rPr>
          <w:rFonts w:ascii="Tahoma" w:hAnsi="Tahoma" w:cs="Tahoma"/>
          <w:kern w:val="1"/>
          <w:sz w:val="24"/>
          <w:szCs w:val="24"/>
          <w:lang w:val="ro-RO"/>
        </w:rPr>
        <w:t>% față de nivelul înregistrat în anul 202</w:t>
      </w:r>
      <w:r w:rsidR="005C003E" w:rsidRPr="006B2701">
        <w:rPr>
          <w:rFonts w:ascii="Tahoma" w:hAnsi="Tahoma" w:cs="Tahoma"/>
          <w:kern w:val="1"/>
          <w:sz w:val="24"/>
          <w:szCs w:val="24"/>
          <w:lang w:val="ro-RO"/>
        </w:rPr>
        <w:t xml:space="preserve">1. </w:t>
      </w:r>
      <w:r w:rsidR="005C003E" w:rsidRPr="006B2701">
        <w:rPr>
          <w:rFonts w:ascii="Tahoma" w:hAnsi="Tahoma" w:cs="Tahoma"/>
          <w:sz w:val="24"/>
          <w:szCs w:val="24"/>
          <w:lang w:val="ro-RO"/>
        </w:rPr>
        <w:t>În raport cu programul anual, veniturile din această sursă înregistrează un grad de realizare de 98,8% (-1,1</w:t>
      </w:r>
      <w:r w:rsidR="00FD66BB" w:rsidRPr="006B2701">
        <w:rPr>
          <w:rFonts w:ascii="Tahoma" w:hAnsi="Tahoma" w:cs="Tahoma"/>
          <w:sz w:val="24"/>
          <w:szCs w:val="24"/>
          <w:lang w:val="ro-RO"/>
        </w:rPr>
        <w:t>4</w:t>
      </w:r>
      <w:r w:rsidR="005C003E" w:rsidRPr="006B2701">
        <w:rPr>
          <w:rFonts w:ascii="Tahoma" w:hAnsi="Tahoma" w:cs="Tahoma"/>
          <w:sz w:val="24"/>
          <w:szCs w:val="24"/>
          <w:lang w:val="ro-RO"/>
        </w:rPr>
        <w:t xml:space="preserve"> miliarde lei). </w:t>
      </w:r>
    </w:p>
    <w:p w14:paraId="0E19AFED" w14:textId="0820627D" w:rsidR="005C003E" w:rsidRPr="006B2701" w:rsidRDefault="005C003E" w:rsidP="00FD66BB">
      <w:pPr>
        <w:spacing w:after="120" w:line="276" w:lineRule="auto"/>
        <w:jc w:val="both"/>
        <w:rPr>
          <w:rFonts w:ascii="Tahoma" w:hAnsi="Tahoma" w:cs="Tahoma"/>
          <w:sz w:val="24"/>
          <w:szCs w:val="24"/>
          <w:lang w:val="ro-RO"/>
        </w:rPr>
      </w:pPr>
      <w:r w:rsidRPr="006B2701">
        <w:rPr>
          <w:rFonts w:ascii="Tahoma" w:hAnsi="Tahoma" w:cs="Tahoma"/>
          <w:sz w:val="24"/>
          <w:szCs w:val="24"/>
          <w:lang w:val="ro-RO"/>
        </w:rPr>
        <w:t>În structură, TVA încasată</w:t>
      </w:r>
      <w:r w:rsidRPr="006B2701">
        <w:rPr>
          <w:rFonts w:ascii="Tahoma" w:hAnsi="Tahoma" w:cs="Tahoma"/>
          <w:sz w:val="24"/>
          <w:szCs w:val="24"/>
          <w:vertAlign w:val="superscript"/>
          <w:lang w:val="ro-RO"/>
        </w:rPr>
        <w:footnoteReference w:id="9"/>
      </w:r>
      <w:r w:rsidRPr="006B2701">
        <w:rPr>
          <w:rFonts w:ascii="Tahoma" w:hAnsi="Tahoma" w:cs="Tahoma"/>
          <w:sz w:val="24"/>
          <w:szCs w:val="24"/>
          <w:lang w:val="ro-RO"/>
        </w:rPr>
        <w:t xml:space="preserve"> s-a majorat cu 17,8% (+18,4 miliarde lei) față de cele din anul 2021</w:t>
      </w:r>
      <w:r w:rsidRPr="006B2701">
        <w:rPr>
          <w:rFonts w:ascii="Tahoma" w:hAnsi="Tahoma" w:cs="Tahoma"/>
          <w:sz w:val="24"/>
          <w:szCs w:val="24"/>
          <w:vertAlign w:val="superscript"/>
          <w:lang w:val="ro-RO"/>
        </w:rPr>
        <w:footnoteReference w:id="10"/>
      </w:r>
      <w:r w:rsidRPr="006B2701">
        <w:rPr>
          <w:rFonts w:ascii="Tahoma" w:hAnsi="Tahoma" w:cs="Tahoma"/>
          <w:sz w:val="24"/>
          <w:szCs w:val="24"/>
          <w:vertAlign w:val="superscript"/>
          <w:lang w:val="ro-RO"/>
        </w:rPr>
        <w:t>,</w:t>
      </w:r>
      <w:r w:rsidRPr="006B2701">
        <w:rPr>
          <w:rFonts w:ascii="Tahoma" w:hAnsi="Tahoma" w:cs="Tahoma"/>
          <w:sz w:val="24"/>
          <w:szCs w:val="24"/>
          <w:lang w:val="ro-RO"/>
        </w:rPr>
        <w:t xml:space="preserve"> iar valoarea restituirilor de taxă pe valoare adăugată cu 15,0 % (-3,7 miliarde lei). În anul 2022 media TVA restituită a fost de 2,3 miliarde lei, situându-se peste  media de 2,0 miliarde lei înregistrată în perioada similară a anului precedent</w:t>
      </w:r>
      <w:r w:rsidR="00FD66BB" w:rsidRPr="006B2701">
        <w:rPr>
          <w:rFonts w:ascii="Tahoma" w:hAnsi="Tahoma" w:cs="Tahoma"/>
          <w:sz w:val="24"/>
          <w:szCs w:val="24"/>
          <w:lang w:val="ro-RO"/>
        </w:rPr>
        <w:t>.</w:t>
      </w:r>
    </w:p>
    <w:p w14:paraId="3F84202D" w14:textId="2CF8E158" w:rsidR="005C003E" w:rsidRPr="006B2701" w:rsidRDefault="005C003E" w:rsidP="00FD66BB">
      <w:pPr>
        <w:spacing w:after="120" w:line="276" w:lineRule="auto"/>
        <w:jc w:val="both"/>
        <w:rPr>
          <w:rFonts w:ascii="Tahoma" w:hAnsi="Tahoma" w:cs="Tahoma"/>
          <w:sz w:val="24"/>
          <w:szCs w:val="24"/>
          <w:lang w:val="ro-RO"/>
        </w:rPr>
      </w:pPr>
      <w:r w:rsidRPr="006B2701">
        <w:rPr>
          <w:rFonts w:ascii="Tahoma" w:hAnsi="Tahoma" w:cs="Tahoma"/>
          <w:sz w:val="24"/>
          <w:szCs w:val="24"/>
          <w:lang w:val="ro-RO"/>
        </w:rPr>
        <w:t xml:space="preserve">Activitățile economice care au înregistrat creșteri semnificative a TVA de plată, comparativ cu celelalte activități economice, au fost evidențiate pe codurile CAEN  35 (Producția si furnizarea de energie electrica și termică, gaze, apa caldă și aer condiționat), CAEN  41 (Construcții de clădiri), CAEN  46 (Comerț cu ridicata cu excepția comerțului cu autovehicule și motociclete) și CAEN 66 (Activități auxiliare pentru  intermedieri financiare, activități de asigurare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fonduri de pensii). Aceste ramuri economice au reprezentat 63% din totalul creșterii înregistrate în perioada analizată. </w:t>
      </w:r>
    </w:p>
    <w:p w14:paraId="2A4ED44D" w14:textId="0C451A4C" w:rsidR="00725A3F" w:rsidRPr="006B2701" w:rsidRDefault="00725A3F" w:rsidP="00725A3F">
      <w:pPr>
        <w:tabs>
          <w:tab w:val="left" w:pos="284"/>
        </w:tabs>
        <w:autoSpaceDE w:val="0"/>
        <w:adjustRightInd w:val="0"/>
        <w:spacing w:after="120" w:line="276" w:lineRule="auto"/>
        <w:jc w:val="both"/>
        <w:rPr>
          <w:rFonts w:ascii="Tahoma" w:hAnsi="Tahoma" w:cs="Tahoma"/>
          <w:sz w:val="24"/>
          <w:szCs w:val="24"/>
          <w:lang w:val="ro-RO"/>
        </w:rPr>
      </w:pPr>
      <w:r w:rsidRPr="006B2701">
        <w:rPr>
          <w:rFonts w:ascii="Tahoma" w:hAnsi="Tahoma" w:cs="Tahoma"/>
          <w:sz w:val="24"/>
          <w:szCs w:val="24"/>
          <w:lang w:val="ro-RO"/>
        </w:rPr>
        <w:t xml:space="preserve">Referitor la valoarea schimburilor </w:t>
      </w:r>
      <w:proofErr w:type="spellStart"/>
      <w:r w:rsidRPr="006B2701">
        <w:rPr>
          <w:rFonts w:ascii="Tahoma" w:hAnsi="Tahoma" w:cs="Tahoma"/>
          <w:sz w:val="24"/>
          <w:szCs w:val="24"/>
          <w:lang w:val="ro-RO"/>
        </w:rPr>
        <w:t>extracomunitare</w:t>
      </w:r>
      <w:proofErr w:type="spellEnd"/>
      <w:r w:rsidRPr="006B2701">
        <w:rPr>
          <w:rFonts w:ascii="Tahoma" w:hAnsi="Tahoma" w:cs="Tahoma"/>
          <w:sz w:val="24"/>
          <w:szCs w:val="24"/>
          <w:lang w:val="ro-RO"/>
        </w:rPr>
        <w:t xml:space="preserve"> de bunuri  (Extra-UE27)</w:t>
      </w:r>
      <w:r w:rsidRPr="006B2701">
        <w:rPr>
          <w:rStyle w:val="FootnoteReference"/>
          <w:rFonts w:ascii="Tahoma" w:hAnsi="Tahoma" w:cs="Tahoma"/>
          <w:sz w:val="24"/>
          <w:szCs w:val="24"/>
          <w:lang w:val="ro-RO"/>
        </w:rPr>
        <w:footnoteReference w:id="11"/>
      </w:r>
      <w:r w:rsidRPr="006B2701">
        <w:rPr>
          <w:rFonts w:ascii="Tahoma" w:hAnsi="Tahoma" w:cs="Tahoma"/>
          <w:sz w:val="24"/>
          <w:szCs w:val="24"/>
          <w:lang w:val="ro-RO"/>
        </w:rPr>
        <w:t xml:space="preserve"> aceasta au crescut cu 36% la importuri și cu 24,2% la exporturi (la valori exprimate în lei) în perioada 1.I-31.XII.2022 comparativ cu perioada similară a anului precedent. În ceea ce privește volumul cifrei de afaceri din </w:t>
      </w:r>
      <w:r w:rsidR="00712F33" w:rsidRPr="006B2701">
        <w:rPr>
          <w:rFonts w:ascii="Tahoma" w:hAnsi="Tahoma" w:cs="Tahoma"/>
          <w:sz w:val="24"/>
          <w:szCs w:val="24"/>
          <w:lang w:val="ro-RO"/>
        </w:rPr>
        <w:t>comerțul</w:t>
      </w:r>
      <w:r w:rsidRPr="006B2701">
        <w:rPr>
          <w:rFonts w:ascii="Tahoma" w:hAnsi="Tahoma" w:cs="Tahoma"/>
          <w:sz w:val="24"/>
          <w:szCs w:val="24"/>
          <w:lang w:val="ro-RO"/>
        </w:rPr>
        <w:t xml:space="preserve"> cu amănuntul</w:t>
      </w:r>
      <w:r w:rsidRPr="006B2701">
        <w:rPr>
          <w:rFonts w:ascii="Tahoma" w:hAnsi="Tahoma" w:cs="Tahoma"/>
          <w:kern w:val="24"/>
          <w:sz w:val="24"/>
          <w:szCs w:val="24"/>
          <w:vertAlign w:val="superscript"/>
          <w:lang w:val="ro-RO"/>
        </w:rPr>
        <w:footnoteReference w:id="12"/>
      </w:r>
      <w:r w:rsidRPr="006B2701">
        <w:rPr>
          <w:rFonts w:ascii="Tahoma" w:hAnsi="Tahoma" w:cs="Tahoma"/>
          <w:sz w:val="24"/>
          <w:szCs w:val="24"/>
          <w:lang w:val="ro-RO"/>
        </w:rPr>
        <w:t xml:space="preserve">(cu </w:t>
      </w:r>
      <w:r w:rsidR="00712F33" w:rsidRPr="006B2701">
        <w:rPr>
          <w:rFonts w:ascii="Tahoma" w:hAnsi="Tahoma" w:cs="Tahoma"/>
          <w:sz w:val="24"/>
          <w:szCs w:val="24"/>
          <w:lang w:val="ro-RO"/>
        </w:rPr>
        <w:t>excepția</w:t>
      </w:r>
      <w:r w:rsidRPr="006B2701">
        <w:rPr>
          <w:rFonts w:ascii="Tahoma" w:hAnsi="Tahoma" w:cs="Tahoma"/>
          <w:sz w:val="24"/>
          <w:szCs w:val="24"/>
          <w:lang w:val="ro-RO"/>
        </w:rPr>
        <w:t xml:space="preserve"> </w:t>
      </w:r>
      <w:r w:rsidR="00712F33" w:rsidRPr="006B2701">
        <w:rPr>
          <w:rFonts w:ascii="Tahoma" w:hAnsi="Tahoma" w:cs="Tahoma"/>
          <w:sz w:val="24"/>
          <w:szCs w:val="24"/>
          <w:lang w:val="ro-RO"/>
        </w:rPr>
        <w:t>comerțului</w:t>
      </w:r>
      <w:r w:rsidRPr="006B2701">
        <w:rPr>
          <w:rFonts w:ascii="Tahoma" w:hAnsi="Tahoma" w:cs="Tahoma"/>
          <w:sz w:val="24"/>
          <w:szCs w:val="24"/>
          <w:lang w:val="ro-RO"/>
        </w:rPr>
        <w:t xml:space="preserve"> cu autovehicule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motociclete), serie brută, în perioada 1.I-30.XII.2022, comparativ cu perioada 1.I-31.XII.2021, acesta a înregistrat o </w:t>
      </w:r>
      <w:r w:rsidR="00712F33" w:rsidRPr="006B2701">
        <w:rPr>
          <w:rFonts w:ascii="Tahoma" w:hAnsi="Tahoma" w:cs="Tahoma"/>
          <w:sz w:val="24"/>
          <w:szCs w:val="24"/>
          <w:lang w:val="ro-RO"/>
        </w:rPr>
        <w:t>creștere</w:t>
      </w:r>
      <w:r w:rsidRPr="006B2701">
        <w:rPr>
          <w:rFonts w:ascii="Tahoma" w:hAnsi="Tahoma" w:cs="Tahoma"/>
          <w:sz w:val="24"/>
          <w:szCs w:val="24"/>
          <w:lang w:val="ro-RO"/>
        </w:rPr>
        <w:t xml:space="preserve"> pe ansamblu cu 4,4%, datorită </w:t>
      </w:r>
      <w:r w:rsidR="00712F33" w:rsidRPr="006B2701">
        <w:rPr>
          <w:rFonts w:ascii="Tahoma" w:hAnsi="Tahoma" w:cs="Tahoma"/>
          <w:sz w:val="24"/>
          <w:szCs w:val="24"/>
          <w:lang w:val="ro-RO"/>
        </w:rPr>
        <w:t>creșterii</w:t>
      </w:r>
      <w:r w:rsidRPr="006B2701">
        <w:rPr>
          <w:rFonts w:ascii="Tahoma" w:hAnsi="Tahoma" w:cs="Tahoma"/>
          <w:sz w:val="24"/>
          <w:szCs w:val="24"/>
          <w:lang w:val="ro-RO"/>
        </w:rPr>
        <w:t xml:space="preserve"> vânzărilor de produse nealimentare (+4,5%), </w:t>
      </w:r>
      <w:r w:rsidR="00712F33" w:rsidRPr="006B2701">
        <w:rPr>
          <w:rFonts w:ascii="Tahoma" w:hAnsi="Tahoma" w:cs="Tahoma"/>
          <w:sz w:val="24"/>
          <w:szCs w:val="24"/>
          <w:lang w:val="ro-RO"/>
        </w:rPr>
        <w:t>comerțului</w:t>
      </w:r>
      <w:r w:rsidRPr="006B2701">
        <w:rPr>
          <w:rFonts w:ascii="Tahoma" w:hAnsi="Tahoma" w:cs="Tahoma"/>
          <w:sz w:val="24"/>
          <w:szCs w:val="24"/>
          <w:lang w:val="ro-RO"/>
        </w:rPr>
        <w:t xml:space="preserve"> cu amănuntul al </w:t>
      </w:r>
      <w:r w:rsidR="00712F33" w:rsidRPr="006B2701">
        <w:rPr>
          <w:rFonts w:ascii="Tahoma" w:hAnsi="Tahoma" w:cs="Tahoma"/>
          <w:sz w:val="24"/>
          <w:szCs w:val="24"/>
          <w:lang w:val="ro-RO"/>
        </w:rPr>
        <w:t>carburanților</w:t>
      </w:r>
      <w:r w:rsidRPr="006B2701">
        <w:rPr>
          <w:rFonts w:ascii="Tahoma" w:hAnsi="Tahoma" w:cs="Tahoma"/>
          <w:sz w:val="24"/>
          <w:szCs w:val="24"/>
          <w:lang w:val="ro-RO"/>
        </w:rPr>
        <w:t xml:space="preserve"> pentru autovehicule în magazine specializate (+9,6%)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vânzărilor de produse alimentare, băuturi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tutun (+1,4%).</w:t>
      </w:r>
    </w:p>
    <w:p w14:paraId="0F0983BC" w14:textId="58945FDB" w:rsidR="007615C9" w:rsidRPr="006B2701" w:rsidRDefault="007615C9" w:rsidP="005C003E">
      <w:pPr>
        <w:tabs>
          <w:tab w:val="left" w:pos="284"/>
        </w:tabs>
        <w:suppressAutoHyphens/>
        <w:autoSpaceDE w:val="0"/>
        <w:autoSpaceDN w:val="0"/>
        <w:adjustRightInd w:val="0"/>
        <w:spacing w:after="120" w:line="276" w:lineRule="auto"/>
        <w:jc w:val="both"/>
        <w:rPr>
          <w:rFonts w:ascii="Tahoma" w:eastAsia="SimSun" w:hAnsi="Tahoma" w:cs="Tahoma"/>
          <w:kern w:val="1"/>
          <w:sz w:val="24"/>
          <w:szCs w:val="24"/>
          <w:lang w:val="ro-RO" w:eastAsia="zh-CN"/>
        </w:rPr>
      </w:pPr>
      <w:r w:rsidRPr="006B2701">
        <w:rPr>
          <w:rFonts w:ascii="Tahoma" w:eastAsia="SimSun" w:hAnsi="Tahoma" w:cs="Tahoma"/>
          <w:kern w:val="1"/>
          <w:sz w:val="24"/>
          <w:szCs w:val="24"/>
          <w:lang w:val="ro-RO" w:eastAsia="zh-CN"/>
        </w:rPr>
        <w:t xml:space="preserve">Veniturile din </w:t>
      </w:r>
      <w:r w:rsidRPr="006B2701">
        <w:rPr>
          <w:rFonts w:ascii="Tahoma" w:eastAsia="SimSun" w:hAnsi="Tahoma" w:cs="Tahoma"/>
          <w:b/>
          <w:kern w:val="1"/>
          <w:sz w:val="24"/>
          <w:szCs w:val="24"/>
          <w:lang w:val="ro-RO" w:eastAsia="zh-CN"/>
        </w:rPr>
        <w:t>accize</w:t>
      </w:r>
      <w:r w:rsidRPr="006B2701">
        <w:rPr>
          <w:rFonts w:ascii="Tahoma" w:eastAsia="SimSun" w:hAnsi="Tahoma" w:cs="Tahoma"/>
          <w:kern w:val="1"/>
          <w:sz w:val="24"/>
          <w:szCs w:val="24"/>
          <w:lang w:val="ro-RO" w:eastAsia="zh-CN"/>
        </w:rPr>
        <w:t xml:space="preserve"> au însumat </w:t>
      </w:r>
      <w:r w:rsidR="00FD66BB" w:rsidRPr="006B2701">
        <w:rPr>
          <w:rFonts w:ascii="Tahoma" w:eastAsia="SimSun" w:hAnsi="Tahoma" w:cs="Tahoma"/>
          <w:kern w:val="1"/>
          <w:sz w:val="24"/>
          <w:szCs w:val="24"/>
          <w:lang w:val="ro-RO" w:eastAsia="zh-CN"/>
        </w:rPr>
        <w:t>35,31</w:t>
      </w:r>
      <w:r w:rsidRPr="006B2701">
        <w:rPr>
          <w:rFonts w:ascii="Tahoma" w:eastAsia="SimSun" w:hAnsi="Tahoma" w:cs="Tahoma"/>
          <w:kern w:val="1"/>
          <w:sz w:val="24"/>
          <w:szCs w:val="24"/>
          <w:lang w:val="ro-RO" w:eastAsia="zh-CN"/>
        </w:rPr>
        <w:t xml:space="preserve"> miliarde lei, în creștere cu </w:t>
      </w:r>
      <w:r w:rsidR="00FD66BB" w:rsidRPr="006B2701">
        <w:rPr>
          <w:rFonts w:ascii="Tahoma" w:eastAsia="SimSun" w:hAnsi="Tahoma" w:cs="Tahoma"/>
          <w:kern w:val="1"/>
          <w:sz w:val="24"/>
          <w:szCs w:val="24"/>
          <w:lang w:val="ro-RO" w:eastAsia="zh-CN"/>
        </w:rPr>
        <w:t>2,4</w:t>
      </w:r>
      <w:r w:rsidRPr="006B2701">
        <w:rPr>
          <w:rFonts w:ascii="Tahoma" w:eastAsia="SimSun" w:hAnsi="Tahoma" w:cs="Tahoma"/>
          <w:kern w:val="1"/>
          <w:sz w:val="24"/>
          <w:szCs w:val="24"/>
          <w:lang w:val="ro-RO" w:eastAsia="zh-CN"/>
        </w:rPr>
        <w:t>% comparativ cu aceeași perioadă a anului precedent (+</w:t>
      </w:r>
      <w:r w:rsidR="00FD66BB" w:rsidRPr="006B2701">
        <w:rPr>
          <w:rFonts w:ascii="Tahoma" w:eastAsia="SimSun" w:hAnsi="Tahoma" w:cs="Tahoma"/>
          <w:kern w:val="1"/>
          <w:sz w:val="24"/>
          <w:szCs w:val="24"/>
          <w:lang w:val="ro-RO" w:eastAsia="zh-CN"/>
        </w:rPr>
        <w:t>0</w:t>
      </w:r>
      <w:r w:rsidRPr="006B2701">
        <w:rPr>
          <w:rFonts w:ascii="Tahoma" w:eastAsia="SimSun" w:hAnsi="Tahoma" w:cs="Tahoma"/>
          <w:kern w:val="1"/>
          <w:sz w:val="24"/>
          <w:szCs w:val="24"/>
          <w:lang w:val="ro-RO" w:eastAsia="zh-CN"/>
        </w:rPr>
        <w:t>,8</w:t>
      </w:r>
      <w:r w:rsidR="00FD66BB" w:rsidRPr="006B2701">
        <w:rPr>
          <w:rFonts w:ascii="Tahoma" w:eastAsia="SimSun" w:hAnsi="Tahoma" w:cs="Tahoma"/>
          <w:kern w:val="1"/>
          <w:sz w:val="24"/>
          <w:szCs w:val="24"/>
          <w:lang w:val="ro-RO" w:eastAsia="zh-CN"/>
        </w:rPr>
        <w:t>3</w:t>
      </w:r>
      <w:r w:rsidRPr="006B2701">
        <w:rPr>
          <w:rFonts w:ascii="Tahoma" w:eastAsia="SimSun" w:hAnsi="Tahoma" w:cs="Tahoma"/>
          <w:kern w:val="1"/>
          <w:sz w:val="24"/>
          <w:szCs w:val="24"/>
          <w:lang w:val="ro-RO" w:eastAsia="zh-CN"/>
        </w:rPr>
        <w:t xml:space="preserve"> miliarde lei). Gradul de realizare </w:t>
      </w:r>
      <w:r w:rsidR="00F3094C" w:rsidRPr="006B2701">
        <w:rPr>
          <w:rFonts w:ascii="Tahoma" w:eastAsia="SimSun" w:hAnsi="Tahoma" w:cs="Tahoma"/>
          <w:kern w:val="1"/>
          <w:sz w:val="24"/>
          <w:szCs w:val="24"/>
          <w:lang w:val="ro-RO" w:eastAsia="zh-CN"/>
        </w:rPr>
        <w:t>al veniturilor din</w:t>
      </w:r>
      <w:r w:rsidRPr="006B2701">
        <w:rPr>
          <w:rFonts w:ascii="Tahoma" w:eastAsia="SimSun" w:hAnsi="Tahoma" w:cs="Tahoma"/>
          <w:kern w:val="1"/>
          <w:sz w:val="24"/>
          <w:szCs w:val="24"/>
          <w:lang w:val="ro-RO" w:eastAsia="zh-CN"/>
        </w:rPr>
        <w:t xml:space="preserve"> accize față de programul stabilit pentru această perioadă a fo</w:t>
      </w:r>
      <w:r w:rsidR="00F3094C" w:rsidRPr="006B2701">
        <w:rPr>
          <w:rFonts w:ascii="Tahoma" w:eastAsia="SimSun" w:hAnsi="Tahoma" w:cs="Tahoma"/>
          <w:kern w:val="1"/>
          <w:sz w:val="24"/>
          <w:szCs w:val="24"/>
          <w:lang w:val="ro-RO" w:eastAsia="zh-CN"/>
        </w:rPr>
        <w:t xml:space="preserve">st de </w:t>
      </w:r>
      <w:r w:rsidR="00FD66BB" w:rsidRPr="006B2701">
        <w:rPr>
          <w:rFonts w:ascii="Tahoma" w:eastAsia="SimSun" w:hAnsi="Tahoma" w:cs="Tahoma"/>
          <w:kern w:val="1"/>
          <w:sz w:val="24"/>
          <w:szCs w:val="24"/>
          <w:lang w:val="ro-RO" w:eastAsia="zh-CN"/>
        </w:rPr>
        <w:t>98,7</w:t>
      </w:r>
      <w:r w:rsidR="00F3094C" w:rsidRPr="006B2701">
        <w:rPr>
          <w:rFonts w:ascii="Tahoma" w:eastAsia="SimSun" w:hAnsi="Tahoma" w:cs="Tahoma"/>
          <w:kern w:val="1"/>
          <w:sz w:val="24"/>
          <w:szCs w:val="24"/>
          <w:lang w:val="ro-RO" w:eastAsia="zh-CN"/>
        </w:rPr>
        <w:t>% (-0,</w:t>
      </w:r>
      <w:r w:rsidR="00FD66BB" w:rsidRPr="006B2701">
        <w:rPr>
          <w:rFonts w:ascii="Tahoma" w:eastAsia="SimSun" w:hAnsi="Tahoma" w:cs="Tahoma"/>
          <w:kern w:val="1"/>
          <w:sz w:val="24"/>
          <w:szCs w:val="24"/>
          <w:lang w:val="ro-RO" w:eastAsia="zh-CN"/>
        </w:rPr>
        <w:t>46</w:t>
      </w:r>
      <w:r w:rsidR="00F3094C" w:rsidRPr="006B2701">
        <w:rPr>
          <w:rFonts w:ascii="Tahoma" w:eastAsia="SimSun" w:hAnsi="Tahoma" w:cs="Tahoma"/>
          <w:kern w:val="1"/>
          <w:sz w:val="24"/>
          <w:szCs w:val="24"/>
          <w:lang w:val="ro-RO" w:eastAsia="zh-CN"/>
        </w:rPr>
        <w:t xml:space="preserve"> miliarde lei)</w:t>
      </w:r>
      <w:r w:rsidRPr="006B2701">
        <w:rPr>
          <w:rFonts w:ascii="Tahoma" w:eastAsia="SimSun" w:hAnsi="Tahoma" w:cs="Tahoma"/>
          <w:kern w:val="1"/>
          <w:sz w:val="24"/>
          <w:szCs w:val="24"/>
          <w:lang w:val="ro-RO" w:eastAsia="zh-CN"/>
        </w:rPr>
        <w:t>.</w:t>
      </w:r>
    </w:p>
    <w:p w14:paraId="4476F5A0" w14:textId="6DFCDC40" w:rsidR="00FD66BB" w:rsidRPr="006B2701" w:rsidRDefault="00FD66BB" w:rsidP="00FD66BB">
      <w:pPr>
        <w:tabs>
          <w:tab w:val="left" w:pos="284"/>
        </w:tabs>
        <w:autoSpaceDE w:val="0"/>
        <w:autoSpaceDN w:val="0"/>
        <w:adjustRightInd w:val="0"/>
        <w:spacing w:after="120" w:line="276" w:lineRule="auto"/>
        <w:jc w:val="both"/>
        <w:rPr>
          <w:rFonts w:ascii="Tahoma" w:hAnsi="Tahoma" w:cs="Tahoma"/>
          <w:sz w:val="24"/>
          <w:szCs w:val="24"/>
          <w:lang w:val="ro-RO"/>
        </w:rPr>
      </w:pPr>
      <w:r w:rsidRPr="006B2701">
        <w:rPr>
          <w:rFonts w:ascii="Tahoma" w:hAnsi="Tahoma" w:cs="Tahoma"/>
          <w:sz w:val="24"/>
          <w:szCs w:val="24"/>
          <w:lang w:val="ro-RO"/>
        </w:rPr>
        <w:t xml:space="preserve">În structură, veniturile aferente accizelor încasate din vânzarea produselor energetice în perioada analizată înregistrează o creștere de 2,4% (+0,4 miliarde lei), pe fondul unui nivel majorat de la 1 ianuarie 2022 al accizelor pentru produsele energetice de 3,6% și în condițiile </w:t>
      </w:r>
      <w:r w:rsidRPr="006B2701">
        <w:rPr>
          <w:rFonts w:ascii="Tahoma" w:hAnsi="Tahoma" w:cs="Tahoma"/>
          <w:sz w:val="24"/>
          <w:szCs w:val="24"/>
          <w:lang w:val="ro-RO"/>
        </w:rPr>
        <w:lastRenderedPageBreak/>
        <w:t xml:space="preserve">unei scăderi cu 1% a încasărilor din lunile noiembrie și decembrie a anului </w:t>
      </w:r>
      <w:r w:rsidR="00B857E5" w:rsidRPr="006B2701">
        <w:rPr>
          <w:rFonts w:ascii="Tahoma" w:hAnsi="Tahoma" w:cs="Tahoma"/>
          <w:sz w:val="24"/>
          <w:szCs w:val="24"/>
          <w:lang w:val="ro-RO"/>
        </w:rPr>
        <w:t>2022</w:t>
      </w:r>
      <w:r w:rsidRPr="006B2701">
        <w:rPr>
          <w:rFonts w:ascii="Tahoma" w:hAnsi="Tahoma" w:cs="Tahoma"/>
          <w:sz w:val="24"/>
          <w:szCs w:val="24"/>
          <w:lang w:val="ro-RO"/>
        </w:rPr>
        <w:t xml:space="preserve"> față de aceeași perioadă a anului 2021.</w:t>
      </w:r>
    </w:p>
    <w:p w14:paraId="22B9E2C1" w14:textId="77777777" w:rsidR="00FD66BB" w:rsidRPr="006B2701" w:rsidRDefault="00FD66BB" w:rsidP="00FD66BB">
      <w:pPr>
        <w:tabs>
          <w:tab w:val="left" w:pos="284"/>
        </w:tabs>
        <w:autoSpaceDE w:val="0"/>
        <w:autoSpaceDN w:val="0"/>
        <w:adjustRightInd w:val="0"/>
        <w:spacing w:after="120" w:line="276" w:lineRule="auto"/>
        <w:jc w:val="both"/>
        <w:rPr>
          <w:rFonts w:ascii="Tahoma" w:hAnsi="Tahoma" w:cs="Tahoma"/>
          <w:sz w:val="24"/>
          <w:szCs w:val="24"/>
          <w:lang w:val="ro-RO"/>
        </w:rPr>
      </w:pPr>
      <w:r w:rsidRPr="006B2701">
        <w:rPr>
          <w:rFonts w:ascii="Tahoma" w:hAnsi="Tahoma" w:cs="Tahoma"/>
          <w:sz w:val="24"/>
          <w:szCs w:val="24"/>
          <w:lang w:val="ro-RO"/>
        </w:rPr>
        <w:t>Accizele încasate din vânzarea produselor pentru produsele din tutun înregistrează o creștere de 1,9% (+0,3 miliarde lei), în condițiile unui nivel majorat accizei la țigarete de 5,5% (de la 563,97 lei/1000 țigarete începând cu data de 1 aprilie 2021 la 594,97 lei/1000 țigarete începând cu data de 1 august 2022</w:t>
      </w:r>
      <w:r w:rsidRPr="006B2701">
        <w:rPr>
          <w:rStyle w:val="FootnoteReference"/>
          <w:rFonts w:ascii="Tahoma" w:eastAsiaTheme="minorHAnsi" w:hAnsi="Tahoma" w:cs="Tahoma"/>
          <w:color w:val="000000"/>
          <w:sz w:val="24"/>
          <w:szCs w:val="24"/>
          <w:lang w:val="ro-RO"/>
        </w:rPr>
        <w:footnoteReference w:id="13"/>
      </w:r>
      <w:r w:rsidRPr="006B2701">
        <w:rPr>
          <w:rFonts w:ascii="Tahoma" w:eastAsiaTheme="minorHAnsi" w:hAnsi="Tahoma" w:cs="Tahoma"/>
          <w:color w:val="000000"/>
          <w:sz w:val="24"/>
          <w:szCs w:val="24"/>
          <w:lang w:val="ro-RO"/>
        </w:rPr>
        <w:t xml:space="preserve">). </w:t>
      </w:r>
      <w:r w:rsidRPr="006B2701">
        <w:rPr>
          <w:rFonts w:ascii="Tahoma" w:hAnsi="Tahoma" w:cs="Tahoma"/>
          <w:sz w:val="24"/>
          <w:szCs w:val="24"/>
          <w:lang w:val="ro-RO"/>
        </w:rPr>
        <w:t>Încasările aferente lunilor noiembrie și decembrie 2022 pentru produsele din tutun înregistrează față de perioada similară a anului 2021 o scădere cu 5,9% (-0,2 miliarde lei).</w:t>
      </w:r>
    </w:p>
    <w:p w14:paraId="71E0E62F" w14:textId="29283472" w:rsidR="00BC3E11" w:rsidRPr="006B2701" w:rsidRDefault="00BC3E11" w:rsidP="00720008">
      <w:pPr>
        <w:tabs>
          <w:tab w:val="left" w:pos="284"/>
        </w:tabs>
        <w:suppressAutoHyphens/>
        <w:autoSpaceDE w:val="0"/>
        <w:autoSpaceDN w:val="0"/>
        <w:adjustRightInd w:val="0"/>
        <w:spacing w:after="120" w:line="276" w:lineRule="auto"/>
        <w:jc w:val="both"/>
        <w:rPr>
          <w:rFonts w:ascii="Tahoma" w:eastAsia="SimSun" w:hAnsi="Tahoma" w:cs="Tahoma"/>
          <w:kern w:val="1"/>
          <w:sz w:val="24"/>
          <w:szCs w:val="24"/>
          <w:lang w:val="ro-RO" w:eastAsia="zh-CN"/>
        </w:rPr>
      </w:pPr>
      <w:r w:rsidRPr="006B2701">
        <w:rPr>
          <w:rFonts w:ascii="Tahoma" w:hAnsi="Tahoma" w:cs="Tahoma"/>
          <w:sz w:val="24"/>
          <w:szCs w:val="24"/>
          <w:lang w:val="ro-RO"/>
        </w:rPr>
        <w:t xml:space="preserve">Încasările din </w:t>
      </w:r>
      <w:r w:rsidRPr="006B2701">
        <w:rPr>
          <w:rFonts w:ascii="Tahoma" w:hAnsi="Tahoma" w:cs="Tahoma"/>
          <w:b/>
          <w:sz w:val="24"/>
          <w:szCs w:val="24"/>
          <w:lang w:val="ro-RO"/>
        </w:rPr>
        <w:t>alte impozite și taxe generale pe bunuri și servicii</w:t>
      </w:r>
      <w:r w:rsidRPr="006B2701">
        <w:rPr>
          <w:rFonts w:ascii="Tahoma" w:hAnsi="Tahoma" w:cs="Tahoma"/>
          <w:sz w:val="24"/>
          <w:szCs w:val="24"/>
          <w:lang w:val="ro-RO"/>
        </w:rPr>
        <w:t xml:space="preserve"> au totalizat </w:t>
      </w:r>
      <w:r w:rsidR="00FD66BB" w:rsidRPr="006B2701">
        <w:rPr>
          <w:rFonts w:ascii="Tahoma" w:hAnsi="Tahoma" w:cs="Tahoma"/>
          <w:sz w:val="24"/>
          <w:szCs w:val="24"/>
          <w:lang w:val="ro-RO"/>
        </w:rPr>
        <w:t>19,</w:t>
      </w:r>
      <w:r w:rsidR="00B857E5" w:rsidRPr="006B2701">
        <w:rPr>
          <w:rFonts w:ascii="Tahoma" w:hAnsi="Tahoma" w:cs="Tahoma"/>
          <w:sz w:val="24"/>
          <w:szCs w:val="24"/>
          <w:lang w:val="ro-RO"/>
        </w:rPr>
        <w:t>1</w:t>
      </w:r>
      <w:r w:rsidR="00FD66BB" w:rsidRPr="006B2701">
        <w:rPr>
          <w:rFonts w:ascii="Tahoma" w:hAnsi="Tahoma" w:cs="Tahoma"/>
          <w:sz w:val="24"/>
          <w:szCs w:val="24"/>
          <w:lang w:val="ro-RO"/>
        </w:rPr>
        <w:t>6</w:t>
      </w:r>
      <w:r w:rsidRPr="006B2701">
        <w:rPr>
          <w:rFonts w:ascii="Tahoma" w:hAnsi="Tahoma" w:cs="Tahoma"/>
          <w:sz w:val="24"/>
          <w:szCs w:val="24"/>
          <w:lang w:val="ro-RO"/>
        </w:rPr>
        <w:t xml:space="preserve"> miliarde lei </w:t>
      </w:r>
      <w:r w:rsidR="00FD66BB" w:rsidRPr="006B2701">
        <w:rPr>
          <w:rFonts w:ascii="Tahoma" w:hAnsi="Tahoma" w:cs="Tahoma"/>
          <w:bCs/>
          <w:sz w:val="24"/>
          <w:szCs w:val="24"/>
          <w:lang w:val="ro-RO"/>
        </w:rPr>
        <w:t xml:space="preserve">înregistrând o creștere semnificativă de 13,68 miliarde lei față de anul 2021, pe seama evoluției încasărilor la bugetul de stat din impozitul pe veniturile suplimentare obținute ca urmare a </w:t>
      </w:r>
      <w:proofErr w:type="spellStart"/>
      <w:r w:rsidR="00FD66BB" w:rsidRPr="006B2701">
        <w:rPr>
          <w:rFonts w:ascii="Tahoma" w:hAnsi="Tahoma" w:cs="Tahoma"/>
          <w:bCs/>
          <w:sz w:val="24"/>
          <w:szCs w:val="24"/>
          <w:lang w:val="ro-RO"/>
        </w:rPr>
        <w:t>dereglementării</w:t>
      </w:r>
      <w:proofErr w:type="spellEnd"/>
      <w:r w:rsidR="00FD66BB" w:rsidRPr="006B2701">
        <w:rPr>
          <w:rFonts w:ascii="Tahoma" w:hAnsi="Tahoma" w:cs="Tahoma"/>
          <w:bCs/>
          <w:sz w:val="24"/>
          <w:szCs w:val="24"/>
          <w:lang w:val="ro-RO"/>
        </w:rPr>
        <w:t xml:space="preserve"> prețurilor din sectorul gazelor naturale (+6,7</w:t>
      </w:r>
      <w:r w:rsidR="00720008" w:rsidRPr="006B2701">
        <w:rPr>
          <w:rFonts w:ascii="Tahoma" w:hAnsi="Tahoma" w:cs="Tahoma"/>
          <w:bCs/>
          <w:sz w:val="24"/>
          <w:szCs w:val="24"/>
          <w:lang w:val="ro-RO"/>
        </w:rPr>
        <w:t xml:space="preserve"> miliarde lei), </w:t>
      </w:r>
      <w:r w:rsidR="00FD66BB" w:rsidRPr="006B2701">
        <w:rPr>
          <w:rFonts w:ascii="Tahoma" w:hAnsi="Tahoma" w:cs="Tahoma"/>
          <w:bCs/>
          <w:sz w:val="24"/>
          <w:szCs w:val="24"/>
          <w:lang w:val="ro-RO"/>
        </w:rPr>
        <w:t>a impozitului aplicat asupra venitului suplimentar realizat de producătorii de energie electrică în conformitate cu Legea nr. 259/2021 (+3,1 miliarde lei)</w:t>
      </w:r>
      <w:r w:rsidR="00720008" w:rsidRPr="006B2701">
        <w:rPr>
          <w:rFonts w:ascii="Tahoma" w:hAnsi="Tahoma" w:cs="Tahoma"/>
          <w:b/>
          <w:bCs/>
          <w:color w:val="000000"/>
          <w:sz w:val="24"/>
          <w:szCs w:val="24"/>
          <w:lang w:val="ro-RO"/>
        </w:rPr>
        <w:t xml:space="preserve"> </w:t>
      </w:r>
      <w:r w:rsidR="00720008" w:rsidRPr="006B2701">
        <w:rPr>
          <w:rFonts w:ascii="Tahoma" w:hAnsi="Tahoma" w:cs="Tahoma"/>
          <w:bCs/>
          <w:color w:val="000000"/>
          <w:sz w:val="24"/>
          <w:szCs w:val="24"/>
          <w:lang w:val="ro-RO"/>
        </w:rPr>
        <w:t>și a ve</w:t>
      </w:r>
      <w:r w:rsidR="00720008" w:rsidRPr="006B2701">
        <w:rPr>
          <w:rFonts w:ascii="Tahoma" w:hAnsi="Tahoma" w:cs="Tahoma"/>
          <w:bCs/>
          <w:sz w:val="24"/>
          <w:szCs w:val="24"/>
          <w:lang w:val="ro-RO"/>
        </w:rPr>
        <w:t xml:space="preserve">niturilor din </w:t>
      </w:r>
      <w:r w:rsidR="00712F33" w:rsidRPr="006B2701">
        <w:rPr>
          <w:rFonts w:ascii="Tahoma" w:hAnsi="Tahoma" w:cs="Tahoma"/>
          <w:bCs/>
          <w:sz w:val="24"/>
          <w:szCs w:val="24"/>
          <w:lang w:val="ro-RO"/>
        </w:rPr>
        <w:t>contribuția</w:t>
      </w:r>
      <w:r w:rsidR="00720008" w:rsidRPr="006B2701">
        <w:rPr>
          <w:rFonts w:ascii="Tahoma" w:hAnsi="Tahoma" w:cs="Tahoma"/>
          <w:bCs/>
          <w:sz w:val="24"/>
          <w:szCs w:val="24"/>
          <w:lang w:val="ro-RO"/>
        </w:rPr>
        <w:t xml:space="preserve"> la Fondul de </w:t>
      </w:r>
      <w:r w:rsidR="00712F33" w:rsidRPr="006B2701">
        <w:rPr>
          <w:rFonts w:ascii="Tahoma" w:hAnsi="Tahoma" w:cs="Tahoma"/>
          <w:bCs/>
          <w:sz w:val="24"/>
          <w:szCs w:val="24"/>
          <w:lang w:val="ro-RO"/>
        </w:rPr>
        <w:t>Tranziție</w:t>
      </w:r>
      <w:r w:rsidR="00720008" w:rsidRPr="006B2701">
        <w:rPr>
          <w:rFonts w:ascii="Tahoma" w:hAnsi="Tahoma" w:cs="Tahoma"/>
          <w:bCs/>
          <w:sz w:val="24"/>
          <w:szCs w:val="24"/>
          <w:lang w:val="ro-RO"/>
        </w:rPr>
        <w:t xml:space="preserve"> Energetica</w:t>
      </w:r>
      <w:r w:rsidR="00C66204" w:rsidRPr="006B2701">
        <w:rPr>
          <w:rFonts w:ascii="Tahoma" w:hAnsi="Tahoma" w:cs="Tahoma"/>
          <w:bCs/>
          <w:sz w:val="24"/>
          <w:szCs w:val="24"/>
          <w:lang w:val="ro-RO"/>
        </w:rPr>
        <w:t xml:space="preserve"> </w:t>
      </w:r>
      <w:r w:rsidR="00720008" w:rsidRPr="006B2701">
        <w:rPr>
          <w:rFonts w:ascii="Tahoma" w:hAnsi="Tahoma" w:cs="Tahoma"/>
          <w:bCs/>
          <w:sz w:val="24"/>
          <w:szCs w:val="24"/>
          <w:lang w:val="ro-RO"/>
        </w:rPr>
        <w:t>(+3,63 miliarde lei).</w:t>
      </w:r>
      <w:r w:rsidR="00FD66BB" w:rsidRPr="006B2701">
        <w:rPr>
          <w:rFonts w:ascii="Tahoma" w:hAnsi="Tahoma" w:cs="Tahoma"/>
          <w:bCs/>
          <w:sz w:val="24"/>
          <w:szCs w:val="24"/>
          <w:lang w:val="ro-RO"/>
        </w:rPr>
        <w:t xml:space="preserve">  </w:t>
      </w:r>
    </w:p>
    <w:p w14:paraId="17FCA498" w14:textId="41F1EB82" w:rsidR="00FD66BB" w:rsidRPr="006B2701" w:rsidRDefault="00FD66BB" w:rsidP="00720008">
      <w:pPr>
        <w:autoSpaceDE w:val="0"/>
        <w:autoSpaceDN w:val="0"/>
        <w:adjustRightInd w:val="0"/>
        <w:spacing w:after="120" w:line="276" w:lineRule="auto"/>
        <w:jc w:val="both"/>
        <w:rPr>
          <w:rFonts w:ascii="Tahoma" w:hAnsi="Tahoma" w:cs="Tahoma"/>
          <w:sz w:val="24"/>
          <w:szCs w:val="24"/>
          <w:lang w:val="ro-RO"/>
        </w:rPr>
      </w:pPr>
      <w:r w:rsidRPr="006B2701">
        <w:rPr>
          <w:rFonts w:ascii="Tahoma" w:hAnsi="Tahoma" w:cs="Tahoma"/>
          <w:bCs/>
          <w:sz w:val="24"/>
          <w:szCs w:val="24"/>
          <w:lang w:val="ro-RO"/>
        </w:rPr>
        <w:t>Gradul de realizare a programului este de 96,9% (-0,62 miliarde lei), fiind influențat de efectul modificărilor legislative ale O.U.G. nr. 27/2022 modificată și completată prin O.U.G. nr. 119/2022 asupra încasărilor din</w:t>
      </w:r>
      <w:r w:rsidRPr="006B2701">
        <w:rPr>
          <w:rFonts w:ascii="Tahoma" w:hAnsi="Tahoma" w:cs="Tahoma"/>
          <w:sz w:val="24"/>
          <w:szCs w:val="24"/>
          <w:lang w:val="ro-RO"/>
        </w:rPr>
        <w:t xml:space="preserve"> </w:t>
      </w:r>
      <w:r w:rsidRPr="006B2701">
        <w:rPr>
          <w:rFonts w:ascii="Tahoma" w:hAnsi="Tahoma" w:cs="Tahoma"/>
          <w:bCs/>
          <w:sz w:val="24"/>
          <w:szCs w:val="24"/>
          <w:lang w:val="ro-RO"/>
        </w:rPr>
        <w:t>impozitul pe veniturile suplimentare obținute ca urmare a reglementării prețurilor din sectorul gazelor naturale.</w:t>
      </w:r>
    </w:p>
    <w:p w14:paraId="1E7451BC" w14:textId="301765A7" w:rsidR="00B374A2" w:rsidRPr="006B2701" w:rsidRDefault="00BA5E33" w:rsidP="00230473">
      <w:pPr>
        <w:autoSpaceDE w:val="0"/>
        <w:autoSpaceDN w:val="0"/>
        <w:adjustRightInd w:val="0"/>
        <w:spacing w:line="276" w:lineRule="auto"/>
        <w:jc w:val="both"/>
        <w:rPr>
          <w:rFonts w:ascii="Tahoma" w:hAnsi="Tahoma" w:cs="Tahoma"/>
          <w:sz w:val="24"/>
          <w:szCs w:val="24"/>
          <w:lang w:val="ro-RO"/>
        </w:rPr>
      </w:pPr>
      <w:r w:rsidRPr="006B2701">
        <w:rPr>
          <w:rFonts w:ascii="Tahoma" w:hAnsi="Tahoma" w:cs="Tahoma"/>
          <w:sz w:val="24"/>
          <w:szCs w:val="24"/>
          <w:lang w:val="ro-RO"/>
        </w:rPr>
        <w:t xml:space="preserve">Încasările din </w:t>
      </w:r>
      <w:r w:rsidRPr="006B2701">
        <w:rPr>
          <w:rFonts w:ascii="Tahoma" w:hAnsi="Tahoma" w:cs="Tahoma"/>
          <w:b/>
          <w:bCs/>
          <w:sz w:val="24"/>
          <w:szCs w:val="24"/>
          <w:lang w:val="ro-RO"/>
        </w:rPr>
        <w:t>taxele pe utilizarea bunurilor, autorizarea utilizării bunurilor sau pe desfășurarea de activități</w:t>
      </w:r>
      <w:r w:rsidRPr="006B2701">
        <w:rPr>
          <w:rFonts w:ascii="Tahoma" w:hAnsi="Tahoma" w:cs="Tahoma"/>
          <w:sz w:val="24"/>
          <w:szCs w:val="24"/>
          <w:lang w:val="ro-RO"/>
        </w:rPr>
        <w:t xml:space="preserve"> </w:t>
      </w:r>
      <w:r w:rsidR="004F3FBC" w:rsidRPr="006B2701">
        <w:rPr>
          <w:rFonts w:ascii="Tahoma" w:hAnsi="Tahoma" w:cs="Tahoma"/>
          <w:sz w:val="24"/>
          <w:szCs w:val="24"/>
          <w:lang w:val="ro-RO"/>
        </w:rPr>
        <w:t xml:space="preserve">au totalizat </w:t>
      </w:r>
      <w:r w:rsidR="00720008" w:rsidRPr="006B2701">
        <w:rPr>
          <w:rFonts w:ascii="Tahoma" w:hAnsi="Tahoma" w:cs="Tahoma"/>
          <w:sz w:val="24"/>
          <w:szCs w:val="24"/>
          <w:lang w:val="ro-RO"/>
        </w:rPr>
        <w:t>6,72</w:t>
      </w:r>
      <w:r w:rsidR="004F3FBC" w:rsidRPr="006B2701">
        <w:rPr>
          <w:rFonts w:ascii="Tahoma" w:hAnsi="Tahoma" w:cs="Tahoma"/>
          <w:sz w:val="24"/>
          <w:szCs w:val="24"/>
          <w:lang w:val="ro-RO"/>
        </w:rPr>
        <w:t xml:space="preserve"> miliarde lei, cu </w:t>
      </w:r>
      <w:r w:rsidR="00720008" w:rsidRPr="006B2701">
        <w:rPr>
          <w:rFonts w:ascii="Tahoma" w:hAnsi="Tahoma" w:cs="Tahoma"/>
          <w:sz w:val="24"/>
          <w:szCs w:val="24"/>
          <w:lang w:val="ro-RO"/>
        </w:rPr>
        <w:t>22,6%</w:t>
      </w:r>
      <w:r w:rsidR="00B374A2" w:rsidRPr="006B2701">
        <w:rPr>
          <w:rFonts w:ascii="Tahoma" w:hAnsi="Tahoma" w:cs="Tahoma"/>
          <w:sz w:val="24"/>
          <w:szCs w:val="24"/>
          <w:lang w:val="ro-RO"/>
        </w:rPr>
        <w:t xml:space="preserve"> peste nivelul înregistrat în anul </w:t>
      </w:r>
      <w:r w:rsidR="001900C3" w:rsidRPr="006B2701">
        <w:rPr>
          <w:rFonts w:ascii="Tahoma" w:hAnsi="Tahoma" w:cs="Tahoma"/>
          <w:sz w:val="24"/>
          <w:szCs w:val="24"/>
          <w:lang w:val="ro-RO"/>
        </w:rPr>
        <w:t>202</w:t>
      </w:r>
      <w:r w:rsidR="00720008" w:rsidRPr="006B2701">
        <w:rPr>
          <w:rFonts w:ascii="Tahoma" w:hAnsi="Tahoma" w:cs="Tahoma"/>
          <w:sz w:val="24"/>
          <w:szCs w:val="24"/>
          <w:lang w:val="ro-RO"/>
        </w:rPr>
        <w:t>1</w:t>
      </w:r>
      <w:r w:rsidR="001900C3" w:rsidRPr="006B2701">
        <w:rPr>
          <w:rFonts w:ascii="Tahoma" w:hAnsi="Tahoma" w:cs="Tahoma"/>
          <w:sz w:val="24"/>
          <w:szCs w:val="24"/>
          <w:lang w:val="ro-RO"/>
        </w:rPr>
        <w:t>.</w:t>
      </w:r>
      <w:r w:rsidR="00B374A2" w:rsidRPr="006B2701">
        <w:rPr>
          <w:rFonts w:ascii="Tahoma" w:hAnsi="Tahoma" w:cs="Tahoma"/>
          <w:sz w:val="24"/>
          <w:szCs w:val="24"/>
          <w:lang w:val="ro-RO"/>
        </w:rPr>
        <w:t xml:space="preserve"> Gradul de realizare al programului </w:t>
      </w:r>
      <w:r w:rsidR="00720008" w:rsidRPr="006B2701">
        <w:rPr>
          <w:rFonts w:ascii="Tahoma" w:hAnsi="Tahoma" w:cs="Tahoma"/>
          <w:sz w:val="24"/>
          <w:szCs w:val="24"/>
          <w:lang w:val="ro-RO"/>
        </w:rPr>
        <w:t xml:space="preserve">anual </w:t>
      </w:r>
      <w:r w:rsidR="00B374A2" w:rsidRPr="006B2701">
        <w:rPr>
          <w:rFonts w:ascii="Tahoma" w:hAnsi="Tahoma" w:cs="Tahoma"/>
          <w:sz w:val="24"/>
          <w:szCs w:val="24"/>
          <w:lang w:val="ro-RO"/>
        </w:rPr>
        <w:t xml:space="preserve">a fost de </w:t>
      </w:r>
      <w:r w:rsidR="00720008" w:rsidRPr="006B2701">
        <w:rPr>
          <w:rFonts w:ascii="Tahoma" w:hAnsi="Tahoma" w:cs="Tahoma"/>
          <w:sz w:val="24"/>
          <w:szCs w:val="24"/>
          <w:lang w:val="ro-RO"/>
        </w:rPr>
        <w:t>92,3</w:t>
      </w:r>
      <w:r w:rsidR="00B374A2" w:rsidRPr="006B2701">
        <w:rPr>
          <w:rFonts w:ascii="Tahoma" w:hAnsi="Tahoma" w:cs="Tahoma"/>
          <w:sz w:val="24"/>
          <w:szCs w:val="24"/>
          <w:lang w:val="ro-RO"/>
        </w:rPr>
        <w:t>%.</w:t>
      </w:r>
    </w:p>
    <w:p w14:paraId="53B36789" w14:textId="77777777" w:rsidR="009312A9" w:rsidRPr="006B2701" w:rsidRDefault="00BC3E11" w:rsidP="00A80217">
      <w:pPr>
        <w:suppressAutoHyphens/>
        <w:autoSpaceDE w:val="0"/>
        <w:autoSpaceDN w:val="0"/>
        <w:adjustRightInd w:val="0"/>
        <w:spacing w:after="120" w:line="276" w:lineRule="auto"/>
        <w:jc w:val="both"/>
        <w:rPr>
          <w:rFonts w:ascii="Arial" w:hAnsi="Arial" w:cs="Arial"/>
          <w:sz w:val="24"/>
          <w:szCs w:val="24"/>
          <w:lang w:val="ro-RO"/>
        </w:rPr>
      </w:pPr>
      <w:r w:rsidRPr="006B2701">
        <w:rPr>
          <w:rFonts w:ascii="Tahoma" w:eastAsia="SimSun" w:hAnsi="Tahoma" w:cs="Tahoma"/>
          <w:bCs/>
          <w:color w:val="00000A"/>
          <w:kern w:val="1"/>
          <w:sz w:val="24"/>
          <w:szCs w:val="24"/>
          <w:lang w:val="ro-RO" w:eastAsia="zh-CN"/>
        </w:rPr>
        <w:t>Evoluția pozitivă a încasărilor c</w:t>
      </w:r>
      <w:r w:rsidR="00230473" w:rsidRPr="006B2701">
        <w:rPr>
          <w:rFonts w:ascii="Tahoma" w:eastAsia="SimSun" w:hAnsi="Tahoma" w:cs="Tahoma"/>
          <w:bCs/>
          <w:color w:val="00000A"/>
          <w:kern w:val="1"/>
          <w:sz w:val="24"/>
          <w:szCs w:val="24"/>
          <w:lang w:val="ro-RO" w:eastAsia="zh-CN"/>
        </w:rPr>
        <w:t>o</w:t>
      </w:r>
      <w:r w:rsidRPr="006B2701">
        <w:rPr>
          <w:rFonts w:ascii="Tahoma" w:eastAsia="SimSun" w:hAnsi="Tahoma" w:cs="Tahoma"/>
          <w:bCs/>
          <w:color w:val="00000A"/>
          <w:kern w:val="1"/>
          <w:sz w:val="24"/>
          <w:szCs w:val="24"/>
          <w:lang w:val="ro-RO" w:eastAsia="zh-CN"/>
        </w:rPr>
        <w:t>mparativ cu anul anterior a fost determinată în principal de dinamica încasărilor la bugetul de stat unde î</w:t>
      </w:r>
      <w:r w:rsidR="001900C3" w:rsidRPr="006B2701">
        <w:rPr>
          <w:rFonts w:ascii="Tahoma" w:eastAsia="SimSun" w:hAnsi="Tahoma" w:cs="Tahoma"/>
          <w:bCs/>
          <w:color w:val="00000A"/>
          <w:kern w:val="1"/>
          <w:sz w:val="24"/>
          <w:szCs w:val="24"/>
          <w:lang w:val="ro-RO" w:eastAsia="zh-CN"/>
        </w:rPr>
        <w:t xml:space="preserve">ncasările din taxele pentru jocurile de noroc </w:t>
      </w:r>
      <w:r w:rsidR="009312A9" w:rsidRPr="006B2701">
        <w:rPr>
          <w:rFonts w:ascii="Tahoma" w:hAnsi="Tahoma" w:cs="Tahoma"/>
          <w:bCs/>
          <w:sz w:val="24"/>
          <w:szCs w:val="24"/>
          <w:lang w:val="ro-RO"/>
        </w:rPr>
        <w:t>au înregistrat o creștere cu 40,7% față de aceeași perioadă aferentă anului precedent (+1,0 miliard lei), în condițiile unor majorări ale acestor taxe (O.G nr. 15/2022</w:t>
      </w:r>
      <w:r w:rsidR="009312A9" w:rsidRPr="006B2701">
        <w:rPr>
          <w:rFonts w:ascii="Tahoma" w:hAnsi="Tahoma" w:cs="Tahoma"/>
          <w:bCs/>
          <w:sz w:val="24"/>
          <w:szCs w:val="24"/>
          <w:vertAlign w:val="superscript"/>
          <w:lang w:val="ro-RO"/>
        </w:rPr>
        <w:footnoteReference w:id="14"/>
      </w:r>
      <w:r w:rsidR="009312A9" w:rsidRPr="006B2701">
        <w:rPr>
          <w:rFonts w:ascii="Tahoma" w:hAnsi="Tahoma" w:cs="Tahoma"/>
          <w:bCs/>
          <w:sz w:val="24"/>
          <w:szCs w:val="24"/>
          <w:lang w:val="ro-RO"/>
        </w:rPr>
        <w:t>).</w:t>
      </w:r>
    </w:p>
    <w:p w14:paraId="11E7EA65" w14:textId="0E90B3E8" w:rsidR="00674710" w:rsidRPr="006B2701" w:rsidRDefault="00BA5E33" w:rsidP="00A80217">
      <w:pPr>
        <w:suppressAutoHyphens/>
        <w:autoSpaceDE w:val="0"/>
        <w:autoSpaceDN w:val="0"/>
        <w:adjustRightInd w:val="0"/>
        <w:spacing w:after="120" w:line="276" w:lineRule="auto"/>
        <w:jc w:val="both"/>
        <w:rPr>
          <w:rFonts w:ascii="Tahoma" w:hAnsi="Tahoma" w:cs="Tahoma"/>
          <w:color w:val="00000A"/>
          <w:kern w:val="1"/>
          <w:sz w:val="24"/>
          <w:szCs w:val="24"/>
          <w:lang w:val="ro-RO"/>
        </w:rPr>
      </w:pPr>
      <w:r w:rsidRPr="006B2701">
        <w:rPr>
          <w:rFonts w:ascii="Arial" w:hAnsi="Arial" w:cs="Arial"/>
          <w:sz w:val="24"/>
          <w:szCs w:val="24"/>
          <w:lang w:val="ro-RO"/>
        </w:rPr>
        <w:t xml:space="preserve">Încasările din </w:t>
      </w:r>
      <w:r w:rsidRPr="006B2701">
        <w:rPr>
          <w:rFonts w:ascii="Arial" w:hAnsi="Arial" w:cs="Arial"/>
          <w:b/>
          <w:sz w:val="24"/>
          <w:szCs w:val="24"/>
          <w:lang w:val="ro-RO"/>
        </w:rPr>
        <w:t xml:space="preserve">impozitul pe comerțul exterior </w:t>
      </w:r>
      <w:proofErr w:type="spellStart"/>
      <w:r w:rsidRPr="006B2701">
        <w:rPr>
          <w:rFonts w:ascii="Arial" w:hAnsi="Arial" w:cs="Arial"/>
          <w:b/>
          <w:sz w:val="24"/>
          <w:szCs w:val="24"/>
          <w:lang w:val="ro-RO"/>
        </w:rPr>
        <w:t>şi</w:t>
      </w:r>
      <w:proofErr w:type="spellEnd"/>
      <w:r w:rsidRPr="006B2701">
        <w:rPr>
          <w:rFonts w:ascii="Arial" w:hAnsi="Arial" w:cs="Arial"/>
          <w:b/>
          <w:sz w:val="24"/>
          <w:szCs w:val="24"/>
          <w:lang w:val="ro-RO"/>
        </w:rPr>
        <w:t xml:space="preserve"> tranzacțiile internaționale</w:t>
      </w:r>
      <w:r w:rsidRPr="006B2701">
        <w:rPr>
          <w:rFonts w:ascii="Arial" w:hAnsi="Arial" w:cs="Arial"/>
          <w:sz w:val="24"/>
          <w:szCs w:val="24"/>
          <w:lang w:val="ro-RO"/>
        </w:rPr>
        <w:t xml:space="preserve"> au </w:t>
      </w:r>
      <w:r w:rsidR="00572B96" w:rsidRPr="006B2701">
        <w:rPr>
          <w:rFonts w:ascii="Arial" w:hAnsi="Arial" w:cs="Arial"/>
          <w:sz w:val="24"/>
          <w:szCs w:val="24"/>
          <w:lang w:val="ro-RO"/>
        </w:rPr>
        <w:t xml:space="preserve">fost în sumă de </w:t>
      </w:r>
      <w:r w:rsidR="00C66204" w:rsidRPr="006B2701">
        <w:rPr>
          <w:rFonts w:ascii="Arial" w:hAnsi="Arial" w:cs="Arial"/>
          <w:sz w:val="24"/>
          <w:szCs w:val="24"/>
          <w:lang w:val="ro-RO"/>
        </w:rPr>
        <w:t>1,94</w:t>
      </w:r>
      <w:r w:rsidR="00572B96" w:rsidRPr="006B2701">
        <w:rPr>
          <w:rFonts w:ascii="Arial" w:hAnsi="Arial" w:cs="Arial"/>
          <w:sz w:val="24"/>
          <w:szCs w:val="24"/>
          <w:lang w:val="ro-RO"/>
        </w:rPr>
        <w:t xml:space="preserve"> miliarde lei </w:t>
      </w:r>
      <w:r w:rsidRPr="006B2701">
        <w:rPr>
          <w:rFonts w:ascii="Arial" w:hAnsi="Arial" w:cs="Arial"/>
          <w:sz w:val="24"/>
          <w:szCs w:val="24"/>
          <w:lang w:val="ro-RO"/>
        </w:rPr>
        <w:t xml:space="preserve">cu </w:t>
      </w:r>
      <w:r w:rsidR="00C66204" w:rsidRPr="006B2701">
        <w:rPr>
          <w:rFonts w:ascii="Arial" w:hAnsi="Arial" w:cs="Arial"/>
          <w:sz w:val="24"/>
          <w:szCs w:val="24"/>
          <w:lang w:val="ro-RO"/>
        </w:rPr>
        <w:t>27,0</w:t>
      </w:r>
      <w:r w:rsidRPr="006B2701">
        <w:rPr>
          <w:rFonts w:ascii="Arial" w:hAnsi="Arial" w:cs="Arial"/>
          <w:sz w:val="24"/>
          <w:szCs w:val="24"/>
          <w:lang w:val="ro-RO"/>
        </w:rPr>
        <w:t>%</w:t>
      </w:r>
      <w:r w:rsidR="00572B96" w:rsidRPr="006B2701">
        <w:rPr>
          <w:rFonts w:ascii="Arial" w:hAnsi="Arial" w:cs="Arial"/>
          <w:sz w:val="24"/>
          <w:szCs w:val="24"/>
          <w:lang w:val="ro-RO"/>
        </w:rPr>
        <w:t xml:space="preserve"> mai mari </w:t>
      </w:r>
      <w:r w:rsidRPr="006B2701">
        <w:rPr>
          <w:rFonts w:ascii="Arial" w:hAnsi="Arial" w:cs="Arial"/>
          <w:sz w:val="24"/>
          <w:szCs w:val="24"/>
          <w:lang w:val="ro-RO"/>
        </w:rPr>
        <w:t xml:space="preserve"> comparativ </w:t>
      </w:r>
      <w:r w:rsidR="00C141AA" w:rsidRPr="006B2701">
        <w:rPr>
          <w:rFonts w:ascii="Arial" w:hAnsi="Arial" w:cs="Arial"/>
          <w:sz w:val="24"/>
          <w:szCs w:val="24"/>
          <w:lang w:val="ro-RO"/>
        </w:rPr>
        <w:t xml:space="preserve">cu </w:t>
      </w:r>
      <w:r w:rsidRPr="006B2701">
        <w:rPr>
          <w:rFonts w:ascii="Arial" w:hAnsi="Arial" w:cs="Arial"/>
          <w:sz w:val="24"/>
          <w:szCs w:val="24"/>
          <w:lang w:val="ro-RO"/>
        </w:rPr>
        <w:t>aceeași perioadă a anului precedent</w:t>
      </w:r>
      <w:r w:rsidR="00572B96" w:rsidRPr="006B2701">
        <w:rPr>
          <w:rFonts w:ascii="Arial" w:hAnsi="Arial" w:cs="Arial"/>
          <w:sz w:val="24"/>
          <w:szCs w:val="24"/>
          <w:lang w:val="ro-RO"/>
        </w:rPr>
        <w:t xml:space="preserve"> și s-au realizat în proporție de </w:t>
      </w:r>
      <w:r w:rsidR="00C66204" w:rsidRPr="006B2701">
        <w:rPr>
          <w:rFonts w:ascii="Arial" w:hAnsi="Arial" w:cs="Arial"/>
          <w:sz w:val="24"/>
          <w:szCs w:val="24"/>
          <w:lang w:val="ro-RO"/>
        </w:rPr>
        <w:t>91,2</w:t>
      </w:r>
      <w:r w:rsidR="003D10DF">
        <w:rPr>
          <w:rFonts w:ascii="Arial" w:hAnsi="Arial" w:cs="Arial"/>
          <w:sz w:val="24"/>
          <w:szCs w:val="24"/>
          <w:lang w:val="ro-RO"/>
        </w:rPr>
        <w:t>%</w:t>
      </w:r>
      <w:r w:rsidR="00572B96" w:rsidRPr="006B2701">
        <w:rPr>
          <w:rFonts w:ascii="Arial" w:hAnsi="Arial" w:cs="Arial"/>
          <w:sz w:val="24"/>
          <w:szCs w:val="24"/>
          <w:lang w:val="ro-RO"/>
        </w:rPr>
        <w:t xml:space="preserve"> comparativ cu programul anual</w:t>
      </w:r>
      <w:r w:rsidRPr="006B2701">
        <w:rPr>
          <w:rFonts w:ascii="Arial" w:hAnsi="Arial" w:cs="Arial"/>
          <w:sz w:val="24"/>
          <w:szCs w:val="24"/>
          <w:lang w:val="ro-RO"/>
        </w:rPr>
        <w:t xml:space="preserve"> </w:t>
      </w:r>
      <w:r w:rsidR="00050D8B" w:rsidRPr="006B2701">
        <w:rPr>
          <w:rFonts w:ascii="Arial" w:hAnsi="Arial" w:cs="Arial"/>
          <w:sz w:val="24"/>
          <w:szCs w:val="24"/>
          <w:lang w:val="ro-RO"/>
        </w:rPr>
        <w:t>pe fondul</w:t>
      </w:r>
      <w:r w:rsidR="00DF4D0D" w:rsidRPr="006B2701">
        <w:rPr>
          <w:rFonts w:ascii="Arial" w:hAnsi="Arial" w:cs="Arial"/>
          <w:sz w:val="24"/>
          <w:szCs w:val="24"/>
          <w:lang w:val="ro-RO"/>
        </w:rPr>
        <w:t xml:space="preserve"> </w:t>
      </w:r>
      <w:r w:rsidR="00572B96" w:rsidRPr="006B2701">
        <w:rPr>
          <w:rFonts w:ascii="Arial" w:hAnsi="Arial" w:cs="Arial"/>
          <w:sz w:val="24"/>
          <w:szCs w:val="24"/>
          <w:lang w:val="ro-RO"/>
        </w:rPr>
        <w:t xml:space="preserve">creșterii </w:t>
      </w:r>
      <w:r w:rsidR="0020052F" w:rsidRPr="006B2701">
        <w:rPr>
          <w:rFonts w:ascii="Arial" w:hAnsi="Arial" w:cs="Arial"/>
          <w:sz w:val="24"/>
          <w:szCs w:val="24"/>
          <w:lang w:val="ro-RO"/>
        </w:rPr>
        <w:t>valor</w:t>
      </w:r>
      <w:r w:rsidR="00417CD3" w:rsidRPr="006B2701">
        <w:rPr>
          <w:rFonts w:ascii="Arial" w:hAnsi="Arial" w:cs="Arial"/>
          <w:sz w:val="24"/>
          <w:szCs w:val="24"/>
          <w:lang w:val="ro-RO"/>
        </w:rPr>
        <w:t xml:space="preserve">ii schimburilor </w:t>
      </w:r>
      <w:proofErr w:type="spellStart"/>
      <w:r w:rsidR="00417CD3" w:rsidRPr="006B2701">
        <w:rPr>
          <w:rFonts w:ascii="Arial" w:hAnsi="Arial" w:cs="Arial"/>
          <w:sz w:val="24"/>
          <w:szCs w:val="24"/>
          <w:lang w:val="ro-RO"/>
        </w:rPr>
        <w:t>extracomunitare</w:t>
      </w:r>
      <w:proofErr w:type="spellEnd"/>
      <w:r w:rsidR="00417CD3" w:rsidRPr="006B2701">
        <w:rPr>
          <w:rFonts w:ascii="Arial" w:hAnsi="Arial" w:cs="Arial"/>
          <w:sz w:val="24"/>
          <w:szCs w:val="24"/>
          <w:lang w:val="ro-RO"/>
        </w:rPr>
        <w:t xml:space="preserve"> de bunuri (Extra-</w:t>
      </w:r>
      <w:r w:rsidR="00572B96" w:rsidRPr="006B2701">
        <w:rPr>
          <w:rFonts w:ascii="Arial" w:hAnsi="Arial" w:cs="Arial"/>
          <w:sz w:val="24"/>
          <w:szCs w:val="24"/>
          <w:lang w:val="ro-RO"/>
        </w:rPr>
        <w:t>UE27</w:t>
      </w:r>
      <w:r w:rsidR="00417CD3" w:rsidRPr="006B2701">
        <w:rPr>
          <w:rFonts w:ascii="Arial" w:hAnsi="Arial" w:cs="Arial"/>
          <w:sz w:val="24"/>
          <w:szCs w:val="24"/>
          <w:lang w:val="ro-RO"/>
        </w:rPr>
        <w:t xml:space="preserve">) cu </w:t>
      </w:r>
      <w:r w:rsidR="00D36677" w:rsidRPr="006B2701">
        <w:rPr>
          <w:rFonts w:ascii="Arial" w:hAnsi="Arial" w:cs="Arial"/>
          <w:sz w:val="24"/>
          <w:szCs w:val="24"/>
          <w:lang w:val="ro-RO"/>
        </w:rPr>
        <w:t>36,0</w:t>
      </w:r>
      <w:r w:rsidR="00572B96" w:rsidRPr="006B2701">
        <w:rPr>
          <w:rFonts w:ascii="Arial" w:hAnsi="Arial" w:cs="Arial"/>
          <w:sz w:val="24"/>
          <w:szCs w:val="24"/>
          <w:lang w:val="ro-RO"/>
        </w:rPr>
        <w:t>%</w:t>
      </w:r>
      <w:r w:rsidR="00D36677" w:rsidRPr="006B2701">
        <w:rPr>
          <w:rStyle w:val="FootnoteReference"/>
          <w:rFonts w:ascii="Arial" w:hAnsi="Arial"/>
          <w:sz w:val="24"/>
          <w:szCs w:val="24"/>
          <w:lang w:val="ro-RO"/>
        </w:rPr>
        <w:footnoteReference w:id="15"/>
      </w:r>
      <w:r w:rsidR="00572B96" w:rsidRPr="006B2701">
        <w:rPr>
          <w:rFonts w:ascii="Arial" w:hAnsi="Arial" w:cs="Arial"/>
          <w:sz w:val="24"/>
          <w:szCs w:val="24"/>
          <w:lang w:val="ro-RO"/>
        </w:rPr>
        <w:t xml:space="preserve"> la importuri.</w:t>
      </w:r>
    </w:p>
    <w:p w14:paraId="0A7725E2" w14:textId="27CF39A0" w:rsidR="00D36677" w:rsidRPr="006B2701" w:rsidRDefault="00D36677" w:rsidP="00D36677">
      <w:pPr>
        <w:autoSpaceDE w:val="0"/>
        <w:autoSpaceDN w:val="0"/>
        <w:adjustRightInd w:val="0"/>
        <w:spacing w:after="120" w:line="276" w:lineRule="auto"/>
        <w:jc w:val="both"/>
        <w:rPr>
          <w:rFonts w:ascii="Tahoma" w:hAnsi="Tahoma" w:cs="Tahoma"/>
          <w:sz w:val="24"/>
          <w:szCs w:val="24"/>
          <w:lang w:val="ro-RO"/>
        </w:rPr>
      </w:pPr>
      <w:r w:rsidRPr="006B2701">
        <w:rPr>
          <w:rFonts w:ascii="Tahoma" w:hAnsi="Tahoma" w:cs="Tahoma"/>
          <w:b/>
          <w:sz w:val="24"/>
          <w:szCs w:val="24"/>
          <w:lang w:val="ro-RO"/>
        </w:rPr>
        <w:t>Contribuțiile sociale</w:t>
      </w:r>
      <w:r w:rsidRPr="006B2701">
        <w:rPr>
          <w:rFonts w:ascii="Tahoma" w:hAnsi="Tahoma" w:cs="Tahoma"/>
          <w:sz w:val="24"/>
          <w:szCs w:val="24"/>
          <w:lang w:val="ro-RO"/>
        </w:rPr>
        <w:t xml:space="preserve"> încasate în anul 2022 în sumă de 139,92 miliarde lei, înregistrează, comparativ cu aceeași perioadă a anului precedent, o creștere de 9,7% (+12,43 miliarde lei), sub evoluția fondului brut de salarii la nivel de economie de 12,7%</w:t>
      </w:r>
      <w:r w:rsidRPr="006B2701">
        <w:rPr>
          <w:rStyle w:val="FootnoteReference"/>
          <w:rFonts w:ascii="Tahoma" w:hAnsi="Tahoma" w:cs="Tahoma"/>
          <w:sz w:val="24"/>
          <w:szCs w:val="24"/>
          <w:lang w:val="ro-RO"/>
        </w:rPr>
        <w:footnoteReference w:id="16"/>
      </w:r>
      <w:r w:rsidRPr="006B2701">
        <w:rPr>
          <w:rFonts w:ascii="Tahoma" w:hAnsi="Tahoma" w:cs="Tahoma"/>
          <w:sz w:val="24"/>
          <w:szCs w:val="24"/>
          <w:lang w:val="ro-RO"/>
        </w:rPr>
        <w:t>. Gradul de realizare al programului este de 98,8 % (-1,74 miliarde lei).</w:t>
      </w:r>
    </w:p>
    <w:p w14:paraId="0BA867F9" w14:textId="1BAE581E" w:rsidR="00D36677" w:rsidRPr="006B2701" w:rsidRDefault="00D36677" w:rsidP="00D36677">
      <w:pPr>
        <w:autoSpaceDE w:val="0"/>
        <w:autoSpaceDN w:val="0"/>
        <w:adjustRightInd w:val="0"/>
        <w:spacing w:after="120" w:line="276" w:lineRule="auto"/>
        <w:jc w:val="both"/>
        <w:rPr>
          <w:rFonts w:ascii="Tahoma" w:hAnsi="Tahoma" w:cs="Tahoma"/>
          <w:sz w:val="24"/>
          <w:szCs w:val="24"/>
          <w:lang w:val="ro-RO"/>
        </w:rPr>
      </w:pPr>
      <w:r w:rsidRPr="006B2701">
        <w:rPr>
          <w:rFonts w:ascii="Tahoma" w:hAnsi="Tahoma" w:cs="Tahoma"/>
          <w:sz w:val="24"/>
          <w:szCs w:val="24"/>
          <w:lang w:val="ro-RO"/>
        </w:rPr>
        <w:t xml:space="preserve">În perioada septembrie-decembrie 2022 evoluția contribuțiilor sociale de 11,3%, deși se situează sub creșterea fondului brut de salarii din perioada august-noiembrie 2022 de </w:t>
      </w:r>
      <w:r w:rsidRPr="006B2701">
        <w:rPr>
          <w:rFonts w:ascii="Tahoma" w:hAnsi="Tahoma" w:cs="Tahoma"/>
          <w:sz w:val="24"/>
          <w:szCs w:val="24"/>
          <w:lang w:val="ro-RO"/>
        </w:rPr>
        <w:lastRenderedPageBreak/>
        <w:t>14,0%, înregistrează o îmbunătățire față de evoluția încasărilor din contribuții sociale la 8 luni 2022 de 9,4%, fiind influențată de efectul măsurilor de extindere a facilităților acordate salariaților din domeniul construcțiilor, pentru salariații din sectorul agricol și al industriei alimentare</w:t>
      </w:r>
      <w:r w:rsidRPr="006B2701">
        <w:rPr>
          <w:rStyle w:val="FootnoteReference"/>
          <w:rFonts w:ascii="Tahoma" w:hAnsi="Tahoma" w:cs="Tahoma"/>
          <w:sz w:val="24"/>
          <w:szCs w:val="24"/>
          <w:lang w:val="ro-RO"/>
        </w:rPr>
        <w:footnoteReference w:id="17"/>
      </w:r>
      <w:r w:rsidRPr="006B2701">
        <w:rPr>
          <w:rFonts w:ascii="Tahoma" w:hAnsi="Tahoma" w:cs="Tahoma"/>
          <w:sz w:val="24"/>
          <w:szCs w:val="24"/>
          <w:lang w:val="ro-RO"/>
        </w:rPr>
        <w:t>, al modificării plafonului până la care se acordă facilitățile fiscale salariaților din domeniul construcțiilor, agricol și industriei alimentare de la 30.000 de lei lunar la 10.000 lei lunar</w:t>
      </w:r>
      <w:r w:rsidRPr="006B2701">
        <w:rPr>
          <w:rStyle w:val="FootnoteReference"/>
          <w:rFonts w:ascii="Tahoma" w:hAnsi="Tahoma" w:cs="Tahoma"/>
          <w:sz w:val="24"/>
          <w:szCs w:val="24"/>
          <w:lang w:val="ro-RO"/>
        </w:rPr>
        <w:footnoteReference w:id="18"/>
      </w:r>
      <w:r w:rsidRPr="006B2701">
        <w:rPr>
          <w:rFonts w:ascii="Tahoma" w:hAnsi="Tahoma" w:cs="Tahoma"/>
          <w:sz w:val="24"/>
          <w:szCs w:val="24"/>
          <w:lang w:val="ro-RO"/>
        </w:rPr>
        <w:t xml:space="preserve"> și al măsurii de stabilire a bazei de calcul lunar a contribuției de asigurări sociale și a contribuției de asigurări sociale de sănătate la nivelul unui salariu minim brut pe țară garantat în plată, pentru veniturile realizate în baza contractelor individuale de muncă cu timp parțial al căror nivel este situat sub nivelul salariului minim brut pe țară garantat în plată</w:t>
      </w:r>
      <w:r w:rsidRPr="006B2701">
        <w:rPr>
          <w:rStyle w:val="FootnoteReference"/>
          <w:rFonts w:ascii="Tahoma" w:hAnsi="Tahoma" w:cs="Tahoma"/>
          <w:sz w:val="24"/>
          <w:szCs w:val="24"/>
          <w:lang w:val="ro-RO"/>
        </w:rPr>
        <w:footnoteReference w:id="19"/>
      </w:r>
      <w:r w:rsidRPr="006B2701">
        <w:rPr>
          <w:rFonts w:ascii="Tahoma" w:hAnsi="Tahoma" w:cs="Tahoma"/>
          <w:sz w:val="24"/>
          <w:szCs w:val="24"/>
          <w:lang w:val="ro-RO"/>
        </w:rPr>
        <w:t>.</w:t>
      </w:r>
    </w:p>
    <w:p w14:paraId="3F11417A" w14:textId="13391388" w:rsidR="00D36677" w:rsidRPr="006B2701" w:rsidRDefault="00D36677" w:rsidP="00D36677">
      <w:pPr>
        <w:shd w:val="clear" w:color="auto" w:fill="FFFFFF" w:themeFill="background1"/>
        <w:autoSpaceDE w:val="0"/>
        <w:autoSpaceDN w:val="0"/>
        <w:adjustRightInd w:val="0"/>
        <w:spacing w:after="120" w:line="276" w:lineRule="auto"/>
        <w:jc w:val="both"/>
        <w:rPr>
          <w:rFonts w:ascii="Tahoma" w:hAnsi="Tahoma" w:cs="Tahoma"/>
          <w:sz w:val="24"/>
          <w:szCs w:val="24"/>
          <w:highlight w:val="yellow"/>
          <w:lang w:val="ro-RO"/>
        </w:rPr>
      </w:pPr>
      <w:r w:rsidRPr="006B2701">
        <w:rPr>
          <w:rFonts w:ascii="Tahoma" w:hAnsi="Tahoma" w:cs="Tahoma"/>
          <w:sz w:val="24"/>
          <w:szCs w:val="24"/>
          <w:lang w:val="ro-RO"/>
        </w:rPr>
        <w:t>Pe bugete, gradul de realizare al programului de încasări stabilit pentru anul 2022, se prezintă astfel: bugetul fondului național unic de asigurări sociale de sănătate (99,0%), bugetul asigurărilor sociale de stat (98,8%), bugetul de stat (97,8%) și bugetul asigurărilor pentru șomaj (97,5%).</w:t>
      </w:r>
    </w:p>
    <w:p w14:paraId="1409BA11" w14:textId="28F962F9" w:rsidR="00D36677" w:rsidRPr="006B2701" w:rsidRDefault="00D36677" w:rsidP="00D36677">
      <w:pPr>
        <w:shd w:val="clear" w:color="auto" w:fill="FFFFFF" w:themeFill="background1"/>
        <w:autoSpaceDE w:val="0"/>
        <w:autoSpaceDN w:val="0"/>
        <w:adjustRightInd w:val="0"/>
        <w:spacing w:after="120" w:line="276" w:lineRule="auto"/>
        <w:jc w:val="both"/>
        <w:rPr>
          <w:rFonts w:ascii="Tahoma" w:hAnsi="Tahoma" w:cs="Tahoma"/>
          <w:sz w:val="24"/>
          <w:szCs w:val="24"/>
          <w:lang w:val="ro-RO"/>
        </w:rPr>
      </w:pPr>
      <w:r w:rsidRPr="006B2701">
        <w:rPr>
          <w:rFonts w:ascii="Tahoma" w:hAnsi="Tahoma" w:cs="Tahoma"/>
          <w:sz w:val="24"/>
          <w:szCs w:val="24"/>
          <w:lang w:val="ro-RO"/>
        </w:rPr>
        <w:t>Comparativ cu anul 2021 s-au înregistrat creșteri ale contribuțiilor sociale încasate, pe bugete componente, astfel: bugetul Fondului național unic de asigurări sociale de sănătate (+</w:t>
      </w:r>
      <w:r w:rsidR="009312A9" w:rsidRPr="006B2701">
        <w:rPr>
          <w:rFonts w:ascii="Tahoma" w:hAnsi="Tahoma" w:cs="Tahoma"/>
          <w:sz w:val="24"/>
          <w:szCs w:val="24"/>
          <w:lang w:val="ro-RO"/>
        </w:rPr>
        <w:t>11,1</w:t>
      </w:r>
      <w:r w:rsidRPr="006B2701">
        <w:rPr>
          <w:rFonts w:ascii="Tahoma" w:hAnsi="Tahoma" w:cs="Tahoma"/>
          <w:sz w:val="24"/>
          <w:szCs w:val="24"/>
          <w:lang w:val="ro-RO"/>
        </w:rPr>
        <w:t>%, creștere care include și contribuția de asigurări sociale de sănătate aferentă veniturilor din pensii reglementată de OUG nr. 130/2021</w:t>
      </w:r>
      <w:r w:rsidRPr="006B2701">
        <w:rPr>
          <w:rStyle w:val="FootnoteReference"/>
          <w:rFonts w:ascii="Tahoma" w:hAnsi="Tahoma" w:cs="Tahoma"/>
          <w:sz w:val="24"/>
          <w:szCs w:val="24"/>
          <w:lang w:val="ro-RO"/>
        </w:rPr>
        <w:footnoteReference w:id="20"/>
      </w:r>
      <w:r w:rsidRPr="006B2701">
        <w:rPr>
          <w:rFonts w:ascii="Tahoma" w:hAnsi="Tahoma" w:cs="Tahoma"/>
          <w:sz w:val="24"/>
          <w:szCs w:val="24"/>
          <w:lang w:val="ro-RO"/>
        </w:rPr>
        <w:t>), bugetul asigurărilor sociale de stat (+9,8%), bugetul de stat (+4,9%) și bugetul asigurărilor pentru șomaj (+7,3%).</w:t>
      </w:r>
    </w:p>
    <w:p w14:paraId="39EE907B" w14:textId="625A9D66" w:rsidR="009B6398" w:rsidRPr="006B2701" w:rsidRDefault="009B6398" w:rsidP="00DD7FF1">
      <w:pPr>
        <w:spacing w:after="120" w:line="276" w:lineRule="auto"/>
        <w:jc w:val="both"/>
        <w:rPr>
          <w:rFonts w:ascii="Tahoma" w:hAnsi="Tahoma" w:cs="Tahoma"/>
          <w:sz w:val="24"/>
          <w:szCs w:val="24"/>
          <w:lang w:val="ro-RO"/>
        </w:rPr>
      </w:pPr>
      <w:r w:rsidRPr="006B2701">
        <w:rPr>
          <w:rFonts w:ascii="Tahoma" w:hAnsi="Tahoma" w:cs="Tahoma"/>
          <w:b/>
          <w:sz w:val="24"/>
          <w:szCs w:val="24"/>
          <w:lang w:val="ro-RO"/>
        </w:rPr>
        <w:t>Veniturile nefiscale</w:t>
      </w:r>
      <w:r w:rsidRPr="006B2701">
        <w:rPr>
          <w:rFonts w:ascii="Tahoma" w:hAnsi="Tahoma" w:cs="Tahoma"/>
          <w:sz w:val="24"/>
          <w:szCs w:val="24"/>
          <w:lang w:val="ro-RO"/>
        </w:rPr>
        <w:t xml:space="preserve"> au fost de </w:t>
      </w:r>
      <w:r w:rsidR="00DD7FF1" w:rsidRPr="006B2701">
        <w:rPr>
          <w:rFonts w:ascii="Tahoma" w:hAnsi="Tahoma" w:cs="Tahoma"/>
          <w:sz w:val="24"/>
          <w:szCs w:val="24"/>
          <w:lang w:val="ro-RO"/>
        </w:rPr>
        <w:t>39,</w:t>
      </w:r>
      <w:r w:rsidR="009312A9" w:rsidRPr="006B2701">
        <w:rPr>
          <w:rFonts w:ascii="Tahoma" w:hAnsi="Tahoma" w:cs="Tahoma"/>
          <w:sz w:val="24"/>
          <w:szCs w:val="24"/>
          <w:lang w:val="ro-RO"/>
        </w:rPr>
        <w:t>70</w:t>
      </w:r>
      <w:r w:rsidRPr="006B2701">
        <w:rPr>
          <w:rFonts w:ascii="Tahoma" w:hAnsi="Tahoma" w:cs="Tahoma"/>
          <w:sz w:val="24"/>
          <w:szCs w:val="24"/>
          <w:lang w:val="ro-RO"/>
        </w:rPr>
        <w:t xml:space="preserve"> m</w:t>
      </w:r>
      <w:r w:rsidR="003D10DF">
        <w:rPr>
          <w:rFonts w:ascii="Tahoma" w:hAnsi="Tahoma" w:cs="Tahoma"/>
          <w:sz w:val="24"/>
          <w:szCs w:val="24"/>
          <w:lang w:val="ro-RO"/>
        </w:rPr>
        <w:t>iliarde</w:t>
      </w:r>
      <w:r w:rsidRPr="006B2701">
        <w:rPr>
          <w:rFonts w:ascii="Tahoma" w:hAnsi="Tahoma" w:cs="Tahoma"/>
          <w:sz w:val="24"/>
          <w:szCs w:val="24"/>
          <w:lang w:val="ro-RO"/>
        </w:rPr>
        <w:t xml:space="preserve"> lei în </w:t>
      </w:r>
      <w:r w:rsidR="00191E9F" w:rsidRPr="006B2701">
        <w:rPr>
          <w:rFonts w:ascii="Tahoma" w:hAnsi="Tahoma" w:cs="Tahoma"/>
          <w:sz w:val="24"/>
          <w:szCs w:val="24"/>
          <w:lang w:val="ro-RO"/>
        </w:rPr>
        <w:t>202</w:t>
      </w:r>
      <w:r w:rsidR="00DD7FF1" w:rsidRPr="006B2701">
        <w:rPr>
          <w:rFonts w:ascii="Tahoma" w:hAnsi="Tahoma" w:cs="Tahoma"/>
          <w:sz w:val="24"/>
          <w:szCs w:val="24"/>
          <w:lang w:val="ro-RO"/>
        </w:rPr>
        <w:t>2</w:t>
      </w:r>
      <w:r w:rsidR="00191E9F" w:rsidRPr="006B2701">
        <w:rPr>
          <w:rFonts w:ascii="Tahoma" w:hAnsi="Tahoma" w:cs="Tahoma"/>
          <w:sz w:val="24"/>
          <w:szCs w:val="24"/>
          <w:lang w:val="ro-RO"/>
        </w:rPr>
        <w:t xml:space="preserve"> </w:t>
      </w:r>
      <w:r w:rsidRPr="006B2701">
        <w:rPr>
          <w:rFonts w:ascii="Tahoma" w:hAnsi="Tahoma" w:cs="Tahoma"/>
          <w:sz w:val="24"/>
          <w:szCs w:val="24"/>
          <w:lang w:val="ro-RO"/>
        </w:rPr>
        <w:t xml:space="preserve">în </w:t>
      </w:r>
      <w:r w:rsidR="00191E9F" w:rsidRPr="006B2701">
        <w:rPr>
          <w:rFonts w:ascii="Tahoma" w:hAnsi="Tahoma" w:cs="Tahoma"/>
          <w:sz w:val="24"/>
          <w:szCs w:val="24"/>
          <w:lang w:val="ro-RO"/>
        </w:rPr>
        <w:t xml:space="preserve">creștere </w:t>
      </w:r>
      <w:r w:rsidRPr="006B2701">
        <w:rPr>
          <w:rFonts w:ascii="Tahoma" w:hAnsi="Tahoma" w:cs="Tahoma"/>
          <w:sz w:val="24"/>
          <w:szCs w:val="24"/>
          <w:lang w:val="ro-RO"/>
        </w:rPr>
        <w:t xml:space="preserve">cu </w:t>
      </w:r>
      <w:r w:rsidR="00DD7FF1" w:rsidRPr="006B2701">
        <w:rPr>
          <w:rFonts w:ascii="Tahoma" w:hAnsi="Tahoma" w:cs="Tahoma"/>
          <w:sz w:val="24"/>
          <w:szCs w:val="24"/>
          <w:lang w:val="ro-RO"/>
        </w:rPr>
        <w:t>9,7</w:t>
      </w:r>
      <w:r w:rsidRPr="006B2701">
        <w:rPr>
          <w:rFonts w:ascii="Tahoma" w:hAnsi="Tahoma" w:cs="Tahoma"/>
          <w:sz w:val="24"/>
          <w:szCs w:val="24"/>
          <w:lang w:val="ro-RO"/>
        </w:rPr>
        <w:t>% față de încasările înregistrate în anul precedent.</w:t>
      </w:r>
    </w:p>
    <w:p w14:paraId="3E29DC12" w14:textId="213257C6" w:rsidR="00CE71FF" w:rsidRPr="006B2701" w:rsidRDefault="00CE71FF" w:rsidP="00DD7FF1">
      <w:pPr>
        <w:autoSpaceDE w:val="0"/>
        <w:autoSpaceDN w:val="0"/>
        <w:adjustRightInd w:val="0"/>
        <w:spacing w:after="120" w:line="276" w:lineRule="auto"/>
        <w:jc w:val="both"/>
        <w:rPr>
          <w:rFonts w:ascii="Tahoma" w:hAnsi="Tahoma" w:cs="Tahoma"/>
          <w:sz w:val="24"/>
          <w:szCs w:val="24"/>
          <w:lang w:val="ro-RO"/>
        </w:rPr>
      </w:pPr>
      <w:r w:rsidRPr="006B2701">
        <w:rPr>
          <w:rFonts w:ascii="Tahoma" w:hAnsi="Tahoma" w:cs="Tahoma"/>
          <w:sz w:val="24"/>
          <w:szCs w:val="24"/>
          <w:lang w:val="ro-RO"/>
        </w:rPr>
        <w:t xml:space="preserve">Creșterea încasărilor a fost determinată de evoluția înregistrată la </w:t>
      </w:r>
      <w:r w:rsidR="00DD7FF1" w:rsidRPr="006B2701">
        <w:rPr>
          <w:rFonts w:ascii="Tahoma" w:hAnsi="Tahoma" w:cs="Tahoma"/>
          <w:sz w:val="24"/>
          <w:szCs w:val="24"/>
          <w:lang w:val="ro-RO"/>
        </w:rPr>
        <w:t xml:space="preserve">bugetul de stat unde încasările au crescut cu 76,5%(+8,72 miliarde lei), </w:t>
      </w:r>
      <w:r w:rsidRPr="006B2701">
        <w:rPr>
          <w:rFonts w:ascii="Tahoma" w:hAnsi="Tahoma" w:cs="Tahoma"/>
          <w:sz w:val="24"/>
          <w:szCs w:val="24"/>
          <w:lang w:val="ro-RO"/>
        </w:rPr>
        <w:t xml:space="preserve">bugetele locale unde încasările au crescut cu </w:t>
      </w:r>
      <w:r w:rsidR="00DD7FF1" w:rsidRPr="006B2701">
        <w:rPr>
          <w:rFonts w:ascii="Tahoma" w:hAnsi="Tahoma" w:cs="Tahoma"/>
          <w:sz w:val="24"/>
          <w:szCs w:val="24"/>
          <w:lang w:val="ro-RO"/>
        </w:rPr>
        <w:t>10,8</w:t>
      </w:r>
      <w:r w:rsidRPr="006B2701">
        <w:rPr>
          <w:rFonts w:ascii="Tahoma" w:hAnsi="Tahoma" w:cs="Tahoma"/>
          <w:sz w:val="24"/>
          <w:szCs w:val="24"/>
          <w:lang w:val="ro-RO"/>
        </w:rPr>
        <w:t>%(+2,</w:t>
      </w:r>
      <w:r w:rsidR="00DD7FF1" w:rsidRPr="006B2701">
        <w:rPr>
          <w:rFonts w:ascii="Tahoma" w:hAnsi="Tahoma" w:cs="Tahoma"/>
          <w:sz w:val="24"/>
          <w:szCs w:val="24"/>
          <w:lang w:val="ro-RO"/>
        </w:rPr>
        <w:t>06</w:t>
      </w:r>
      <w:r w:rsidRPr="006B2701">
        <w:rPr>
          <w:rFonts w:ascii="Tahoma" w:hAnsi="Tahoma" w:cs="Tahoma"/>
          <w:sz w:val="24"/>
          <w:szCs w:val="24"/>
          <w:lang w:val="ro-RO"/>
        </w:rPr>
        <w:t xml:space="preserve"> miliarde lei) și la bugetul </w:t>
      </w:r>
      <w:r w:rsidR="00A7681D" w:rsidRPr="006B2701">
        <w:rPr>
          <w:rFonts w:ascii="Tahoma" w:hAnsi="Tahoma" w:cs="Tahoma"/>
          <w:sz w:val="24"/>
          <w:szCs w:val="24"/>
          <w:lang w:val="ro-RO"/>
        </w:rPr>
        <w:t>instituiților</w:t>
      </w:r>
      <w:r w:rsidRPr="006B2701">
        <w:rPr>
          <w:rFonts w:ascii="Tahoma" w:hAnsi="Tahoma" w:cs="Tahoma"/>
          <w:sz w:val="24"/>
          <w:szCs w:val="24"/>
          <w:lang w:val="ro-RO"/>
        </w:rPr>
        <w:t xml:space="preserve"> și </w:t>
      </w:r>
      <w:r w:rsidR="00A7681D" w:rsidRPr="006B2701">
        <w:rPr>
          <w:rFonts w:ascii="Tahoma" w:hAnsi="Tahoma" w:cs="Tahoma"/>
          <w:sz w:val="24"/>
          <w:szCs w:val="24"/>
          <w:lang w:val="ro-RO"/>
        </w:rPr>
        <w:t>activităților</w:t>
      </w:r>
      <w:r w:rsidRPr="006B2701">
        <w:rPr>
          <w:rFonts w:ascii="Tahoma" w:hAnsi="Tahoma" w:cs="Tahoma"/>
          <w:sz w:val="24"/>
          <w:szCs w:val="24"/>
          <w:lang w:val="ro-RO"/>
        </w:rPr>
        <w:t xml:space="preserve"> </w:t>
      </w:r>
      <w:r w:rsidR="00A7681D" w:rsidRPr="006B2701">
        <w:rPr>
          <w:rFonts w:ascii="Tahoma" w:hAnsi="Tahoma" w:cs="Tahoma"/>
          <w:sz w:val="24"/>
          <w:szCs w:val="24"/>
          <w:lang w:val="ro-RO"/>
        </w:rPr>
        <w:t>finanțate</w:t>
      </w:r>
      <w:r w:rsidRPr="006B2701">
        <w:rPr>
          <w:rFonts w:ascii="Tahoma" w:hAnsi="Tahoma" w:cs="Tahoma"/>
          <w:sz w:val="24"/>
          <w:szCs w:val="24"/>
          <w:lang w:val="ro-RO"/>
        </w:rPr>
        <w:t xml:space="preserve"> integral si/sau </w:t>
      </w:r>
      <w:r w:rsidR="00A7681D" w:rsidRPr="006B2701">
        <w:rPr>
          <w:rFonts w:ascii="Tahoma" w:hAnsi="Tahoma" w:cs="Tahoma"/>
          <w:sz w:val="24"/>
          <w:szCs w:val="24"/>
          <w:lang w:val="ro-RO"/>
        </w:rPr>
        <w:t>parțial</w:t>
      </w:r>
      <w:r w:rsidRPr="006B2701">
        <w:rPr>
          <w:rFonts w:ascii="Tahoma" w:hAnsi="Tahoma" w:cs="Tahoma"/>
          <w:sz w:val="24"/>
          <w:szCs w:val="24"/>
          <w:lang w:val="ro-RO"/>
        </w:rPr>
        <w:t xml:space="preserve"> din venituri proprii unde încasările au crescut cu </w:t>
      </w:r>
      <w:r w:rsidR="00DD7FF1" w:rsidRPr="006B2701">
        <w:rPr>
          <w:rFonts w:ascii="Tahoma" w:hAnsi="Tahoma" w:cs="Tahoma"/>
          <w:sz w:val="24"/>
          <w:szCs w:val="24"/>
          <w:lang w:val="ro-RO"/>
        </w:rPr>
        <w:t>27,4</w:t>
      </w:r>
      <w:r w:rsidRPr="006B2701">
        <w:rPr>
          <w:rFonts w:ascii="Tahoma" w:hAnsi="Tahoma" w:cs="Tahoma"/>
          <w:sz w:val="24"/>
          <w:szCs w:val="24"/>
          <w:lang w:val="ro-RO"/>
        </w:rPr>
        <w:t>%(+</w:t>
      </w:r>
      <w:r w:rsidR="00DD7FF1" w:rsidRPr="006B2701">
        <w:rPr>
          <w:rFonts w:ascii="Tahoma" w:hAnsi="Tahoma" w:cs="Tahoma"/>
          <w:sz w:val="24"/>
          <w:szCs w:val="24"/>
          <w:lang w:val="ro-RO"/>
        </w:rPr>
        <w:t>3,36</w:t>
      </w:r>
      <w:r w:rsidRPr="006B2701">
        <w:rPr>
          <w:rFonts w:ascii="Tahoma" w:hAnsi="Tahoma" w:cs="Tahoma"/>
          <w:sz w:val="24"/>
          <w:szCs w:val="24"/>
          <w:lang w:val="ro-RO"/>
        </w:rPr>
        <w:t xml:space="preserve"> miliarde lei).</w:t>
      </w:r>
    </w:p>
    <w:p w14:paraId="628D7066" w14:textId="0376044C" w:rsidR="00DD7FF1" w:rsidRPr="006B2701" w:rsidRDefault="00DD7FF1" w:rsidP="00DD7FF1">
      <w:pPr>
        <w:autoSpaceDE w:val="0"/>
        <w:autoSpaceDN w:val="0"/>
        <w:adjustRightInd w:val="0"/>
        <w:spacing w:after="120" w:line="276" w:lineRule="auto"/>
        <w:jc w:val="both"/>
        <w:rPr>
          <w:rFonts w:ascii="Tahoma" w:hAnsi="Tahoma" w:cs="Tahoma"/>
          <w:bCs/>
          <w:sz w:val="24"/>
          <w:szCs w:val="24"/>
          <w:lang w:val="ro-RO"/>
        </w:rPr>
      </w:pPr>
      <w:r w:rsidRPr="006B2701">
        <w:rPr>
          <w:rFonts w:ascii="Tahoma" w:hAnsi="Tahoma" w:cs="Tahoma"/>
          <w:sz w:val="24"/>
          <w:szCs w:val="24"/>
          <w:lang w:val="ro-RO"/>
        </w:rPr>
        <w:t xml:space="preserve">Evoluția încasărilor la </w:t>
      </w:r>
      <w:r w:rsidR="009B6398" w:rsidRPr="006B2701">
        <w:rPr>
          <w:rFonts w:ascii="Tahoma" w:hAnsi="Tahoma" w:cs="Tahoma"/>
          <w:sz w:val="24"/>
          <w:szCs w:val="24"/>
          <w:lang w:val="ro-RO"/>
        </w:rPr>
        <w:t xml:space="preserve">bugetul </w:t>
      </w:r>
      <w:r w:rsidR="005A4383" w:rsidRPr="006B2701">
        <w:rPr>
          <w:rFonts w:ascii="Tahoma" w:hAnsi="Tahoma" w:cs="Tahoma"/>
          <w:sz w:val="24"/>
          <w:szCs w:val="24"/>
          <w:lang w:val="ro-RO"/>
        </w:rPr>
        <w:t>d</w:t>
      </w:r>
      <w:r w:rsidR="009B6398" w:rsidRPr="006B2701">
        <w:rPr>
          <w:rFonts w:ascii="Tahoma" w:hAnsi="Tahoma" w:cs="Tahoma"/>
          <w:sz w:val="24"/>
          <w:szCs w:val="24"/>
          <w:lang w:val="ro-RO"/>
        </w:rPr>
        <w:t xml:space="preserve">e stat </w:t>
      </w:r>
      <w:r w:rsidRPr="006B2701">
        <w:rPr>
          <w:rFonts w:ascii="Tahoma" w:hAnsi="Tahoma" w:cs="Tahoma"/>
          <w:sz w:val="24"/>
          <w:szCs w:val="24"/>
          <w:lang w:val="ro-RO"/>
        </w:rPr>
        <w:t xml:space="preserve">a fost determinată </w:t>
      </w:r>
      <w:r w:rsidRPr="006B2701">
        <w:rPr>
          <w:rFonts w:ascii="Tahoma" w:hAnsi="Tahoma" w:cs="Tahoma"/>
          <w:bCs/>
          <w:sz w:val="24"/>
          <w:szCs w:val="24"/>
          <w:lang w:val="ro-RO"/>
        </w:rPr>
        <w:t xml:space="preserve"> de performanța veniturilor din proprietate (vărsăminte din veniturile nete ale B.N.R, venituri din dividende, dobânzi și redevențe petroliere). Gradul de realizare al veniturilor nefiscale este de 99,1% (-0,18 miliarde lei).</w:t>
      </w:r>
    </w:p>
    <w:p w14:paraId="01A2E52A" w14:textId="77777777" w:rsidR="00DD7FF1" w:rsidRPr="006B2701" w:rsidRDefault="00DD7FF1" w:rsidP="00DD7FF1">
      <w:pPr>
        <w:autoSpaceDE w:val="0"/>
        <w:autoSpaceDN w:val="0"/>
        <w:adjustRightInd w:val="0"/>
        <w:spacing w:after="120" w:line="276" w:lineRule="auto"/>
        <w:jc w:val="both"/>
        <w:rPr>
          <w:rFonts w:ascii="Tahoma" w:hAnsi="Tahoma" w:cs="Tahoma"/>
          <w:bCs/>
          <w:sz w:val="24"/>
          <w:szCs w:val="24"/>
          <w:lang w:val="ro-RO"/>
        </w:rPr>
      </w:pPr>
      <w:r w:rsidRPr="006B2701">
        <w:rPr>
          <w:rFonts w:ascii="Tahoma" w:hAnsi="Tahoma" w:cs="Tahoma"/>
          <w:bCs/>
          <w:sz w:val="24"/>
          <w:szCs w:val="24"/>
          <w:lang w:val="ro-RO"/>
        </w:rPr>
        <w:t xml:space="preserve">Vărsămintele din veniturile nete ale B.N.R. au înregistrat o creștere cu 150,4% (+2,0 miliarde lei) față de aceeași perioadă a anului precedent, gradul de realizare este de 109,1% (+0,3 miliarde lei). Creșterea veniturilor din concesiuni și închirieri cu 181,3% (+3,2 miliarde lei) în perioada analizată se datorează majorării încasărilor din redevențe petroliere, </w:t>
      </w:r>
      <w:r w:rsidRPr="006B2701">
        <w:rPr>
          <w:rFonts w:ascii="Tahoma" w:hAnsi="Tahoma" w:cs="Tahoma"/>
          <w:bCs/>
          <w:sz w:val="24"/>
          <w:szCs w:val="24"/>
          <w:lang w:val="ro-RO"/>
        </w:rPr>
        <w:lastRenderedPageBreak/>
        <w:t xml:space="preserve">influențate fiind de creșterea prețurilor la petrol și gaze naturale. Veniturile din dividende s-au majorat cu 79,1% (+3,1 miliarde lei), pe seama dividendelor aferente exercițiului financiar al anului 2021 virate de operatorii economici suplimentar față de nivelul programat pentru anul acesta, precum și a dividendelor aferente exercițiului financiar al anului 2019 și 2020 virate de către CEC BANK. </w:t>
      </w:r>
    </w:p>
    <w:p w14:paraId="117B6D6A" w14:textId="4278B05E" w:rsidR="00A80217" w:rsidRPr="006B2701" w:rsidRDefault="00BA5E33" w:rsidP="00A80217">
      <w:pPr>
        <w:autoSpaceDE w:val="0"/>
        <w:autoSpaceDN w:val="0"/>
        <w:adjustRightInd w:val="0"/>
        <w:spacing w:after="120" w:line="276" w:lineRule="auto"/>
        <w:jc w:val="both"/>
        <w:rPr>
          <w:rFonts w:ascii="Tahoma" w:hAnsi="Tahoma" w:cs="Tahoma"/>
          <w:color w:val="00000A"/>
          <w:kern w:val="1"/>
          <w:sz w:val="24"/>
          <w:szCs w:val="24"/>
          <w:lang w:val="ro-RO"/>
        </w:rPr>
      </w:pPr>
      <w:r w:rsidRPr="006B2701">
        <w:rPr>
          <w:rFonts w:ascii="Arial" w:hAnsi="Arial" w:cs="Arial"/>
          <w:b/>
          <w:sz w:val="24"/>
          <w:szCs w:val="24"/>
          <w:lang w:val="ro-RO"/>
        </w:rPr>
        <w:t>Sumele primite de la Uniunea Europeană</w:t>
      </w:r>
      <w:r w:rsidRPr="006B2701">
        <w:rPr>
          <w:rFonts w:ascii="Arial" w:hAnsi="Arial" w:cs="Arial"/>
          <w:sz w:val="24"/>
          <w:szCs w:val="24"/>
          <w:lang w:val="ro-RO"/>
        </w:rPr>
        <w:t xml:space="preserve"> în contul plăților efectuate (inclusiv donațiile</w:t>
      </w:r>
      <w:r w:rsidR="00725A3F" w:rsidRPr="006B2701">
        <w:rPr>
          <w:rFonts w:ascii="Arial" w:hAnsi="Arial" w:cs="Arial"/>
          <w:sz w:val="24"/>
          <w:szCs w:val="24"/>
          <w:lang w:val="ro-RO"/>
        </w:rPr>
        <w:t xml:space="preserve"> și sume aferente PNRR</w:t>
      </w:r>
      <w:r w:rsidRPr="006B2701">
        <w:rPr>
          <w:rFonts w:ascii="Arial" w:hAnsi="Arial" w:cs="Arial"/>
          <w:sz w:val="24"/>
          <w:szCs w:val="24"/>
          <w:lang w:val="ro-RO"/>
        </w:rPr>
        <w:t xml:space="preserve">), în anul </w:t>
      </w:r>
      <w:r w:rsidR="00CE71FF" w:rsidRPr="006B2701">
        <w:rPr>
          <w:rFonts w:ascii="Arial" w:hAnsi="Arial" w:cs="Arial"/>
          <w:sz w:val="24"/>
          <w:szCs w:val="24"/>
          <w:lang w:val="ro-RO"/>
        </w:rPr>
        <w:t>202</w:t>
      </w:r>
      <w:r w:rsidR="00DD7FF1" w:rsidRPr="006B2701">
        <w:rPr>
          <w:rFonts w:ascii="Arial" w:hAnsi="Arial" w:cs="Arial"/>
          <w:sz w:val="24"/>
          <w:szCs w:val="24"/>
          <w:lang w:val="ro-RO"/>
        </w:rPr>
        <w:t>2</w:t>
      </w:r>
      <w:r w:rsidRPr="006B2701">
        <w:rPr>
          <w:rFonts w:ascii="Arial" w:hAnsi="Arial" w:cs="Arial"/>
          <w:sz w:val="24"/>
          <w:szCs w:val="24"/>
          <w:lang w:val="ro-RO"/>
        </w:rPr>
        <w:t xml:space="preserve">, au fost în valoare de </w:t>
      </w:r>
      <w:r w:rsidR="00DD7FF1" w:rsidRPr="006B2701">
        <w:rPr>
          <w:rFonts w:ascii="Arial" w:hAnsi="Arial" w:cs="Arial"/>
          <w:sz w:val="24"/>
          <w:szCs w:val="24"/>
          <w:lang w:val="ro-RO"/>
        </w:rPr>
        <w:t>48,44</w:t>
      </w:r>
      <w:r w:rsidRPr="006B2701">
        <w:rPr>
          <w:rFonts w:ascii="Arial" w:hAnsi="Arial" w:cs="Arial"/>
          <w:sz w:val="24"/>
          <w:szCs w:val="24"/>
          <w:lang w:val="ro-RO"/>
        </w:rPr>
        <w:t xml:space="preserve"> miliarde lei, cu </w:t>
      </w:r>
      <w:r w:rsidR="00725A3F" w:rsidRPr="006B2701">
        <w:rPr>
          <w:rFonts w:ascii="Arial" w:hAnsi="Arial" w:cs="Arial"/>
          <w:sz w:val="24"/>
          <w:szCs w:val="24"/>
          <w:lang w:val="ro-RO"/>
        </w:rPr>
        <w:t>26,0</w:t>
      </w:r>
      <w:r w:rsidRPr="006B2701">
        <w:rPr>
          <w:rFonts w:ascii="Arial" w:hAnsi="Arial" w:cs="Arial"/>
          <w:sz w:val="24"/>
          <w:szCs w:val="24"/>
          <w:lang w:val="ro-RO"/>
        </w:rPr>
        <w:t xml:space="preserve">% </w:t>
      </w:r>
      <w:r w:rsidR="001837CD" w:rsidRPr="006B2701">
        <w:rPr>
          <w:rFonts w:ascii="Arial" w:hAnsi="Arial" w:cs="Arial"/>
          <w:sz w:val="24"/>
          <w:szCs w:val="24"/>
          <w:lang w:val="ro-RO"/>
        </w:rPr>
        <w:t>peste</w:t>
      </w:r>
      <w:r w:rsidR="002E2E9E" w:rsidRPr="006B2701">
        <w:rPr>
          <w:rFonts w:ascii="Arial" w:hAnsi="Arial" w:cs="Arial"/>
          <w:sz w:val="24"/>
          <w:szCs w:val="24"/>
          <w:lang w:val="ro-RO"/>
        </w:rPr>
        <w:t xml:space="preserve"> </w:t>
      </w:r>
      <w:r w:rsidR="00276011" w:rsidRPr="006B2701">
        <w:rPr>
          <w:rFonts w:ascii="Arial" w:hAnsi="Arial" w:cs="Arial"/>
          <w:sz w:val="24"/>
          <w:szCs w:val="24"/>
          <w:lang w:val="ro-RO"/>
        </w:rPr>
        <w:t xml:space="preserve">nivelul înregistrat în anul </w:t>
      </w:r>
      <w:r w:rsidR="00CE71FF" w:rsidRPr="006B2701">
        <w:rPr>
          <w:rFonts w:ascii="Arial" w:hAnsi="Arial" w:cs="Arial"/>
          <w:sz w:val="24"/>
          <w:szCs w:val="24"/>
          <w:lang w:val="ro-RO"/>
        </w:rPr>
        <w:t>202</w:t>
      </w:r>
      <w:r w:rsidR="00725A3F" w:rsidRPr="006B2701">
        <w:rPr>
          <w:rFonts w:ascii="Arial" w:hAnsi="Arial" w:cs="Arial"/>
          <w:sz w:val="24"/>
          <w:szCs w:val="24"/>
          <w:lang w:val="ro-RO"/>
        </w:rPr>
        <w:t>1</w:t>
      </w:r>
      <w:r w:rsidRPr="006B2701">
        <w:rPr>
          <w:rFonts w:ascii="Arial" w:hAnsi="Arial" w:cs="Arial"/>
          <w:sz w:val="24"/>
          <w:szCs w:val="24"/>
          <w:lang w:val="ro-RO"/>
        </w:rPr>
        <w:t xml:space="preserve">. </w:t>
      </w:r>
    </w:p>
    <w:p w14:paraId="79BFC4E1" w14:textId="553BC73F" w:rsidR="00A80217" w:rsidRPr="006B2701" w:rsidRDefault="001837CD" w:rsidP="00A80217">
      <w:pPr>
        <w:autoSpaceDE w:val="0"/>
        <w:autoSpaceDN w:val="0"/>
        <w:adjustRightInd w:val="0"/>
        <w:spacing w:after="120" w:line="276" w:lineRule="auto"/>
        <w:jc w:val="both"/>
        <w:rPr>
          <w:rFonts w:ascii="Tahoma" w:hAnsi="Tahoma" w:cs="Tahoma"/>
          <w:color w:val="00000A"/>
          <w:kern w:val="1"/>
          <w:sz w:val="24"/>
          <w:szCs w:val="24"/>
          <w:lang w:val="ro-RO"/>
        </w:rPr>
      </w:pPr>
      <w:r w:rsidRPr="006B2701">
        <w:rPr>
          <w:rFonts w:ascii="Arial" w:hAnsi="Arial" w:cs="Arial"/>
          <w:sz w:val="24"/>
          <w:szCs w:val="24"/>
          <w:lang w:val="ro-RO"/>
        </w:rPr>
        <w:t>De asemenea, ca raport în PIB, acestea au crescut cu 0,</w:t>
      </w:r>
      <w:r w:rsidR="00725A3F" w:rsidRPr="006B2701">
        <w:rPr>
          <w:rFonts w:ascii="Arial" w:hAnsi="Arial" w:cs="Arial"/>
          <w:sz w:val="24"/>
          <w:szCs w:val="24"/>
          <w:lang w:val="ro-RO"/>
        </w:rPr>
        <w:t>2</w:t>
      </w:r>
      <w:r w:rsidR="00CE71FF" w:rsidRPr="006B2701">
        <w:rPr>
          <w:rFonts w:ascii="Arial" w:hAnsi="Arial" w:cs="Arial"/>
          <w:sz w:val="24"/>
          <w:szCs w:val="24"/>
          <w:lang w:val="ro-RO"/>
        </w:rPr>
        <w:t xml:space="preserve"> </w:t>
      </w:r>
      <w:r w:rsidRPr="006B2701">
        <w:rPr>
          <w:rFonts w:ascii="Arial" w:hAnsi="Arial" w:cs="Arial"/>
          <w:sz w:val="24"/>
          <w:szCs w:val="24"/>
          <w:lang w:val="ro-RO"/>
        </w:rPr>
        <w:t xml:space="preserve">puncte procentuale de la </w:t>
      </w:r>
      <w:r w:rsidR="00CE71FF" w:rsidRPr="006B2701">
        <w:rPr>
          <w:rFonts w:ascii="Arial" w:hAnsi="Arial" w:cs="Arial"/>
          <w:sz w:val="24"/>
          <w:szCs w:val="24"/>
          <w:lang w:val="ro-RO"/>
        </w:rPr>
        <w:t>3,2</w:t>
      </w:r>
      <w:r w:rsidRPr="006B2701">
        <w:rPr>
          <w:rFonts w:ascii="Arial" w:hAnsi="Arial" w:cs="Arial"/>
          <w:sz w:val="24"/>
          <w:szCs w:val="24"/>
          <w:lang w:val="ro-RO"/>
        </w:rPr>
        <w:t xml:space="preserve">% în anul </w:t>
      </w:r>
      <w:r w:rsidR="00CE71FF" w:rsidRPr="006B2701">
        <w:rPr>
          <w:rFonts w:ascii="Arial" w:hAnsi="Arial" w:cs="Arial"/>
          <w:sz w:val="24"/>
          <w:szCs w:val="24"/>
          <w:lang w:val="ro-RO"/>
        </w:rPr>
        <w:t>202</w:t>
      </w:r>
      <w:r w:rsidR="00725A3F" w:rsidRPr="006B2701">
        <w:rPr>
          <w:rFonts w:ascii="Arial" w:hAnsi="Arial" w:cs="Arial"/>
          <w:sz w:val="24"/>
          <w:szCs w:val="24"/>
          <w:lang w:val="ro-RO"/>
        </w:rPr>
        <w:t>1</w:t>
      </w:r>
      <w:r w:rsidR="00CE71FF" w:rsidRPr="006B2701">
        <w:rPr>
          <w:rFonts w:ascii="Arial" w:hAnsi="Arial" w:cs="Arial"/>
          <w:sz w:val="24"/>
          <w:szCs w:val="24"/>
          <w:lang w:val="ro-RO"/>
        </w:rPr>
        <w:t xml:space="preserve"> </w:t>
      </w:r>
      <w:r w:rsidRPr="006B2701">
        <w:rPr>
          <w:rFonts w:ascii="Arial" w:hAnsi="Arial" w:cs="Arial"/>
          <w:sz w:val="24"/>
          <w:szCs w:val="24"/>
          <w:lang w:val="ro-RO"/>
        </w:rPr>
        <w:t>la 3,</w:t>
      </w:r>
      <w:r w:rsidR="00725A3F" w:rsidRPr="006B2701">
        <w:rPr>
          <w:rFonts w:ascii="Arial" w:hAnsi="Arial" w:cs="Arial"/>
          <w:sz w:val="24"/>
          <w:szCs w:val="24"/>
          <w:lang w:val="ro-RO"/>
        </w:rPr>
        <w:t>4</w:t>
      </w:r>
      <w:r w:rsidRPr="006B2701">
        <w:rPr>
          <w:rFonts w:ascii="Arial" w:hAnsi="Arial" w:cs="Arial"/>
          <w:sz w:val="24"/>
          <w:szCs w:val="24"/>
          <w:lang w:val="ro-RO"/>
        </w:rPr>
        <w:t xml:space="preserve">% în anul </w:t>
      </w:r>
      <w:r w:rsidR="00CE71FF" w:rsidRPr="006B2701">
        <w:rPr>
          <w:rFonts w:ascii="Arial" w:hAnsi="Arial" w:cs="Arial"/>
          <w:sz w:val="24"/>
          <w:szCs w:val="24"/>
          <w:lang w:val="ro-RO"/>
        </w:rPr>
        <w:t>202</w:t>
      </w:r>
      <w:r w:rsidR="00725A3F" w:rsidRPr="006B2701">
        <w:rPr>
          <w:rFonts w:ascii="Arial" w:hAnsi="Arial" w:cs="Arial"/>
          <w:sz w:val="24"/>
          <w:szCs w:val="24"/>
          <w:lang w:val="ro-RO"/>
        </w:rPr>
        <w:t>2</w:t>
      </w:r>
      <w:r w:rsidRPr="006B2701">
        <w:rPr>
          <w:rFonts w:ascii="Arial" w:hAnsi="Arial" w:cs="Arial"/>
          <w:sz w:val="24"/>
          <w:szCs w:val="24"/>
          <w:lang w:val="ro-RO"/>
        </w:rPr>
        <w:t>.</w:t>
      </w:r>
    </w:p>
    <w:p w14:paraId="2D11939B" w14:textId="0AEE8915" w:rsidR="00674710" w:rsidRPr="006B2701" w:rsidRDefault="001837CD" w:rsidP="00A80217">
      <w:pPr>
        <w:autoSpaceDE w:val="0"/>
        <w:autoSpaceDN w:val="0"/>
        <w:adjustRightInd w:val="0"/>
        <w:spacing w:after="120" w:line="276" w:lineRule="auto"/>
        <w:jc w:val="both"/>
        <w:rPr>
          <w:rFonts w:ascii="Tahoma" w:hAnsi="Tahoma" w:cs="Tahoma"/>
          <w:color w:val="00000A"/>
          <w:kern w:val="1"/>
          <w:sz w:val="24"/>
          <w:szCs w:val="24"/>
          <w:lang w:val="ro-RO"/>
        </w:rPr>
      </w:pPr>
      <w:r w:rsidRPr="006B2701">
        <w:rPr>
          <w:rFonts w:ascii="Arial" w:hAnsi="Arial" w:cs="Arial"/>
          <w:sz w:val="24"/>
          <w:szCs w:val="24"/>
          <w:lang w:val="ro-RO"/>
        </w:rPr>
        <w:t xml:space="preserve">Din totalul </w:t>
      </w:r>
      <w:r w:rsidRPr="006B2701">
        <w:rPr>
          <w:rFonts w:ascii="Arial" w:hAnsi="Arial" w:cs="Arial"/>
          <w:b/>
          <w:sz w:val="24"/>
          <w:szCs w:val="24"/>
          <w:lang w:val="ro-RO"/>
        </w:rPr>
        <w:t>sumel</w:t>
      </w:r>
      <w:r w:rsidR="000A69FE" w:rsidRPr="006B2701">
        <w:rPr>
          <w:rFonts w:ascii="Arial" w:hAnsi="Arial" w:cs="Arial"/>
          <w:b/>
          <w:sz w:val="24"/>
          <w:szCs w:val="24"/>
          <w:lang w:val="ro-RO"/>
        </w:rPr>
        <w:t>or</w:t>
      </w:r>
      <w:r w:rsidRPr="006B2701">
        <w:rPr>
          <w:rFonts w:ascii="Arial" w:hAnsi="Arial" w:cs="Arial"/>
          <w:b/>
          <w:sz w:val="24"/>
          <w:szCs w:val="24"/>
          <w:lang w:val="ro-RO"/>
        </w:rPr>
        <w:t xml:space="preserve"> primite de la Uniunea Europeană</w:t>
      </w:r>
      <w:r w:rsidRPr="006B2701">
        <w:rPr>
          <w:rFonts w:ascii="Arial" w:hAnsi="Arial" w:cs="Arial"/>
          <w:sz w:val="24"/>
          <w:szCs w:val="24"/>
          <w:lang w:val="ro-RO"/>
        </w:rPr>
        <w:t xml:space="preserve"> în contul plăților efectuate (inclusiv donațiile) cea mai mare pondere o dețin sumele aferente cadrului financiar 2014-2020 </w:t>
      </w:r>
      <w:r w:rsidR="00CE71FF" w:rsidRPr="006B2701">
        <w:rPr>
          <w:rFonts w:ascii="Arial" w:hAnsi="Arial" w:cs="Arial"/>
          <w:sz w:val="24"/>
          <w:szCs w:val="24"/>
          <w:lang w:val="ro-RO"/>
        </w:rPr>
        <w:t>(</w:t>
      </w:r>
      <w:r w:rsidR="00725A3F" w:rsidRPr="006B2701">
        <w:rPr>
          <w:rFonts w:ascii="Arial" w:hAnsi="Arial" w:cs="Arial"/>
          <w:sz w:val="24"/>
          <w:szCs w:val="24"/>
          <w:lang w:val="ro-RO"/>
        </w:rPr>
        <w:t>94,5</w:t>
      </w:r>
      <w:r w:rsidRPr="006B2701">
        <w:rPr>
          <w:rFonts w:ascii="Arial" w:hAnsi="Arial" w:cs="Arial"/>
          <w:sz w:val="24"/>
          <w:szCs w:val="24"/>
          <w:lang w:val="ro-RO"/>
        </w:rPr>
        <w:t>%).</w:t>
      </w:r>
    </w:p>
    <w:p w14:paraId="66D508D0" w14:textId="16A46612" w:rsidR="00BA5E33" w:rsidRPr="006B2701" w:rsidRDefault="00BA5E33" w:rsidP="00171C8C">
      <w:pPr>
        <w:spacing w:after="240" w:line="276" w:lineRule="auto"/>
        <w:jc w:val="both"/>
        <w:rPr>
          <w:rFonts w:ascii="Tahoma" w:hAnsi="Tahoma" w:cs="Tahoma"/>
          <w:b/>
          <w:bCs/>
          <w:sz w:val="24"/>
          <w:szCs w:val="24"/>
          <w:lang w:val="ro-RO"/>
        </w:rPr>
      </w:pPr>
      <w:r w:rsidRPr="006B2701">
        <w:rPr>
          <w:rFonts w:ascii="Tahoma" w:hAnsi="Tahoma" w:cs="Tahoma"/>
          <w:b/>
          <w:bCs/>
          <w:sz w:val="24"/>
          <w:szCs w:val="24"/>
          <w:lang w:val="ro-RO"/>
        </w:rPr>
        <w:t>III.</w:t>
      </w:r>
      <w:r w:rsidR="008135E9" w:rsidRPr="006B2701">
        <w:rPr>
          <w:rFonts w:ascii="Tahoma" w:hAnsi="Tahoma" w:cs="Tahoma"/>
          <w:b/>
          <w:bCs/>
          <w:sz w:val="24"/>
          <w:szCs w:val="24"/>
          <w:lang w:val="ro-RO"/>
        </w:rPr>
        <w:t>4</w:t>
      </w:r>
      <w:r w:rsidRPr="006B2701">
        <w:rPr>
          <w:rFonts w:ascii="Tahoma" w:hAnsi="Tahoma" w:cs="Tahoma"/>
          <w:b/>
          <w:bCs/>
          <w:sz w:val="24"/>
          <w:szCs w:val="24"/>
          <w:lang w:val="ro-RO"/>
        </w:rPr>
        <w:t>.1.2 Cheltuielile bugetului general consolidat</w:t>
      </w:r>
    </w:p>
    <w:p w14:paraId="56DADC19" w14:textId="5D17EEA0" w:rsidR="005300E5" w:rsidRPr="006B2701" w:rsidRDefault="00A12CD6" w:rsidP="002A29E1">
      <w:pPr>
        <w:shd w:val="clear" w:color="auto" w:fill="E2EFD9" w:themeFill="accent6" w:themeFillTint="33"/>
        <w:spacing w:before="120" w:after="120" w:line="276" w:lineRule="auto"/>
        <w:jc w:val="both"/>
        <w:rPr>
          <w:rFonts w:ascii="Tahoma" w:hAnsi="Tahoma" w:cs="Tahoma"/>
          <w:bCs/>
          <w:sz w:val="24"/>
          <w:szCs w:val="24"/>
          <w:lang w:val="ro-RO"/>
        </w:rPr>
      </w:pPr>
      <w:r w:rsidRPr="006B2701">
        <w:rPr>
          <w:rFonts w:ascii="Tahoma" w:hAnsi="Tahoma" w:cs="Tahoma"/>
          <w:b/>
          <w:bCs/>
          <w:sz w:val="24"/>
          <w:szCs w:val="24"/>
          <w:lang w:val="ro-RO"/>
        </w:rPr>
        <w:t>Cheltuielile bugetului general consolidat</w:t>
      </w:r>
      <w:r w:rsidRPr="006B2701">
        <w:rPr>
          <w:rFonts w:ascii="Tahoma" w:hAnsi="Tahoma" w:cs="Tahoma"/>
          <w:bCs/>
          <w:sz w:val="24"/>
          <w:szCs w:val="24"/>
          <w:lang w:val="ro-RO"/>
        </w:rPr>
        <w:t xml:space="preserve"> au totalizat, în anul </w:t>
      </w:r>
      <w:r w:rsidR="00CC156F" w:rsidRPr="006B2701">
        <w:rPr>
          <w:rFonts w:ascii="Tahoma" w:hAnsi="Tahoma" w:cs="Tahoma"/>
          <w:bCs/>
          <w:sz w:val="24"/>
          <w:szCs w:val="24"/>
          <w:lang w:val="ro-RO"/>
        </w:rPr>
        <w:t>202</w:t>
      </w:r>
      <w:r w:rsidR="008132F3" w:rsidRPr="006B2701">
        <w:rPr>
          <w:rFonts w:ascii="Tahoma" w:hAnsi="Tahoma" w:cs="Tahoma"/>
          <w:bCs/>
          <w:sz w:val="24"/>
          <w:szCs w:val="24"/>
          <w:lang w:val="ro-RO"/>
        </w:rPr>
        <w:t>2</w:t>
      </w:r>
      <w:r w:rsidRPr="006B2701">
        <w:rPr>
          <w:rFonts w:ascii="Tahoma" w:hAnsi="Tahoma" w:cs="Tahoma"/>
          <w:bCs/>
          <w:sz w:val="24"/>
          <w:szCs w:val="24"/>
          <w:lang w:val="ro-RO"/>
        </w:rPr>
        <w:t xml:space="preserve">, </w:t>
      </w:r>
      <w:r w:rsidR="009312A9" w:rsidRPr="006B2701">
        <w:rPr>
          <w:rFonts w:ascii="Tahoma" w:hAnsi="Tahoma" w:cs="Tahoma"/>
          <w:b/>
          <w:bCs/>
          <w:sz w:val="24"/>
          <w:szCs w:val="24"/>
          <w:lang w:val="ro-RO"/>
        </w:rPr>
        <w:t>540,97</w:t>
      </w:r>
      <w:r w:rsidRPr="006B2701">
        <w:rPr>
          <w:rFonts w:ascii="Tahoma" w:hAnsi="Tahoma" w:cs="Tahoma"/>
          <w:b/>
          <w:bCs/>
          <w:sz w:val="24"/>
          <w:szCs w:val="24"/>
          <w:lang w:val="ro-RO"/>
        </w:rPr>
        <w:t xml:space="preserve"> miliarde lei</w:t>
      </w:r>
      <w:r w:rsidRPr="006B2701">
        <w:rPr>
          <w:rFonts w:ascii="Tahoma" w:hAnsi="Tahoma" w:cs="Tahoma"/>
          <w:bCs/>
          <w:sz w:val="24"/>
          <w:szCs w:val="24"/>
          <w:lang w:val="ro-RO"/>
        </w:rPr>
        <w:t xml:space="preserve">, ceea ce reprezintă </w:t>
      </w:r>
      <w:r w:rsidR="00CC156F" w:rsidRPr="006B2701">
        <w:rPr>
          <w:rFonts w:ascii="Tahoma" w:hAnsi="Tahoma" w:cs="Tahoma"/>
          <w:bCs/>
          <w:sz w:val="24"/>
          <w:szCs w:val="24"/>
          <w:lang w:val="ro-RO"/>
        </w:rPr>
        <w:t>38,</w:t>
      </w:r>
      <w:r w:rsidR="00E70F76" w:rsidRPr="006B2701">
        <w:rPr>
          <w:rFonts w:ascii="Tahoma" w:hAnsi="Tahoma" w:cs="Tahoma"/>
          <w:bCs/>
          <w:sz w:val="24"/>
          <w:szCs w:val="24"/>
          <w:lang w:val="ro-RO"/>
        </w:rPr>
        <w:t>4</w:t>
      </w:r>
      <w:r w:rsidRPr="006B2701">
        <w:rPr>
          <w:rFonts w:ascii="Tahoma" w:hAnsi="Tahoma" w:cs="Tahoma"/>
          <w:bCs/>
          <w:sz w:val="24"/>
          <w:szCs w:val="24"/>
          <w:lang w:val="ro-RO"/>
        </w:rPr>
        <w:t xml:space="preserve">% din PIB </w:t>
      </w:r>
      <w:r w:rsidR="00CD743D" w:rsidRPr="006B2701">
        <w:rPr>
          <w:rFonts w:ascii="Tahoma" w:hAnsi="Tahoma" w:cs="Tahoma"/>
          <w:bCs/>
          <w:sz w:val="24"/>
          <w:szCs w:val="24"/>
          <w:lang w:val="ro-RO"/>
        </w:rPr>
        <w:t>și</w:t>
      </w:r>
      <w:r w:rsidRPr="006B2701">
        <w:rPr>
          <w:rFonts w:ascii="Tahoma" w:hAnsi="Tahoma" w:cs="Tahoma"/>
          <w:bCs/>
          <w:sz w:val="24"/>
          <w:szCs w:val="24"/>
          <w:lang w:val="ro-RO"/>
        </w:rPr>
        <w:t xml:space="preserve"> un grad de realizare față de nivelul prevăzut de </w:t>
      </w:r>
      <w:r w:rsidR="00CC156F" w:rsidRPr="006B2701">
        <w:rPr>
          <w:rFonts w:ascii="Tahoma" w:hAnsi="Tahoma" w:cs="Tahoma"/>
          <w:bCs/>
          <w:sz w:val="24"/>
          <w:szCs w:val="24"/>
          <w:lang w:val="ro-RO"/>
        </w:rPr>
        <w:t>97,</w:t>
      </w:r>
      <w:r w:rsidR="00E70F76" w:rsidRPr="006B2701">
        <w:rPr>
          <w:rFonts w:ascii="Tahoma" w:hAnsi="Tahoma" w:cs="Tahoma"/>
          <w:bCs/>
          <w:sz w:val="24"/>
          <w:szCs w:val="24"/>
          <w:lang w:val="ro-RO"/>
        </w:rPr>
        <w:t>4</w:t>
      </w:r>
      <w:r w:rsidRPr="006B2701">
        <w:rPr>
          <w:rFonts w:ascii="Tahoma" w:hAnsi="Tahoma" w:cs="Tahoma"/>
          <w:bCs/>
          <w:sz w:val="24"/>
          <w:szCs w:val="24"/>
          <w:lang w:val="ro-RO"/>
        </w:rPr>
        <w:t>%.</w:t>
      </w:r>
    </w:p>
    <w:p w14:paraId="12FC4E41" w14:textId="71A56294" w:rsidR="007C66C4" w:rsidRPr="006B2701" w:rsidRDefault="007C66C4" w:rsidP="007120CE">
      <w:pPr>
        <w:shd w:val="clear" w:color="auto" w:fill="E2EFD9" w:themeFill="accent6" w:themeFillTint="33"/>
        <w:spacing w:before="120" w:after="120" w:line="276" w:lineRule="auto"/>
        <w:jc w:val="both"/>
        <w:rPr>
          <w:rFonts w:ascii="Tahoma" w:hAnsi="Tahoma" w:cs="Tahoma"/>
          <w:bCs/>
          <w:sz w:val="24"/>
          <w:szCs w:val="24"/>
          <w:lang w:val="ro-RO"/>
        </w:rPr>
      </w:pPr>
      <w:r w:rsidRPr="006B2701">
        <w:rPr>
          <w:rFonts w:ascii="Tahoma" w:hAnsi="Tahoma" w:cs="Tahoma"/>
          <w:bCs/>
          <w:sz w:val="24"/>
          <w:szCs w:val="24"/>
          <w:lang w:val="ro-RO"/>
        </w:rPr>
        <w:t xml:space="preserve">Comparativ cu anul precedent, cheltuielile bugetului general consolidat s-au majorat cu </w:t>
      </w:r>
      <w:r w:rsidR="00E70F76" w:rsidRPr="006B2701">
        <w:rPr>
          <w:rFonts w:ascii="Tahoma" w:hAnsi="Tahoma" w:cs="Tahoma"/>
          <w:bCs/>
          <w:sz w:val="24"/>
          <w:szCs w:val="24"/>
          <w:lang w:val="ro-RO"/>
        </w:rPr>
        <w:t>17,7</w:t>
      </w:r>
      <w:r w:rsidRPr="006B2701">
        <w:rPr>
          <w:rFonts w:ascii="Tahoma" w:hAnsi="Tahoma" w:cs="Tahoma"/>
          <w:bCs/>
          <w:sz w:val="24"/>
          <w:szCs w:val="24"/>
          <w:lang w:val="ro-RO"/>
        </w:rPr>
        <w:t xml:space="preserve">%, iar ca procent în PIB </w:t>
      </w:r>
      <w:r w:rsidR="00CC156F" w:rsidRPr="006B2701">
        <w:rPr>
          <w:rFonts w:ascii="Tahoma" w:hAnsi="Tahoma" w:cs="Tahoma"/>
          <w:bCs/>
          <w:sz w:val="24"/>
          <w:szCs w:val="24"/>
          <w:lang w:val="ro-RO"/>
        </w:rPr>
        <w:t xml:space="preserve">s-au diminuat </w:t>
      </w:r>
      <w:r w:rsidRPr="006B2701">
        <w:rPr>
          <w:rFonts w:ascii="Tahoma" w:hAnsi="Tahoma" w:cs="Tahoma"/>
          <w:bCs/>
          <w:sz w:val="24"/>
          <w:szCs w:val="24"/>
          <w:lang w:val="ro-RO"/>
        </w:rPr>
        <w:t xml:space="preserve">cu </w:t>
      </w:r>
      <w:r w:rsidR="00E70F76" w:rsidRPr="006B2701">
        <w:rPr>
          <w:rFonts w:ascii="Tahoma" w:hAnsi="Tahoma" w:cs="Tahoma"/>
          <w:bCs/>
          <w:sz w:val="24"/>
          <w:szCs w:val="24"/>
          <w:lang w:val="ro-RO"/>
        </w:rPr>
        <w:t>0,3</w:t>
      </w:r>
      <w:r w:rsidRPr="006B2701">
        <w:rPr>
          <w:rFonts w:ascii="Tahoma" w:hAnsi="Tahoma" w:cs="Tahoma"/>
          <w:bCs/>
          <w:sz w:val="24"/>
          <w:szCs w:val="24"/>
          <w:lang w:val="ro-RO"/>
        </w:rPr>
        <w:t xml:space="preserve"> puncte procentuale de la </w:t>
      </w:r>
      <w:r w:rsidR="00E70F76" w:rsidRPr="006B2701">
        <w:rPr>
          <w:rFonts w:ascii="Tahoma" w:hAnsi="Tahoma" w:cs="Tahoma"/>
          <w:bCs/>
          <w:sz w:val="24"/>
          <w:szCs w:val="24"/>
          <w:lang w:val="ro-RO"/>
        </w:rPr>
        <w:t>38,7</w:t>
      </w:r>
      <w:r w:rsidRPr="006B2701">
        <w:rPr>
          <w:rFonts w:ascii="Tahoma" w:hAnsi="Tahoma" w:cs="Tahoma"/>
          <w:bCs/>
          <w:sz w:val="24"/>
          <w:szCs w:val="24"/>
          <w:lang w:val="ro-RO"/>
        </w:rPr>
        <w:t xml:space="preserve">% cât au fost în anul </w:t>
      </w:r>
      <w:r w:rsidR="00CC156F" w:rsidRPr="006B2701">
        <w:rPr>
          <w:rFonts w:ascii="Tahoma" w:hAnsi="Tahoma" w:cs="Tahoma"/>
          <w:bCs/>
          <w:sz w:val="24"/>
          <w:szCs w:val="24"/>
          <w:lang w:val="ro-RO"/>
        </w:rPr>
        <w:t>202</w:t>
      </w:r>
      <w:r w:rsidR="00E70F76" w:rsidRPr="006B2701">
        <w:rPr>
          <w:rFonts w:ascii="Tahoma" w:hAnsi="Tahoma" w:cs="Tahoma"/>
          <w:bCs/>
          <w:sz w:val="24"/>
          <w:szCs w:val="24"/>
          <w:lang w:val="ro-RO"/>
        </w:rPr>
        <w:t>1</w:t>
      </w:r>
      <w:r w:rsidR="00CC156F" w:rsidRPr="006B2701">
        <w:rPr>
          <w:rFonts w:ascii="Tahoma" w:hAnsi="Tahoma" w:cs="Tahoma"/>
          <w:bCs/>
          <w:sz w:val="24"/>
          <w:szCs w:val="24"/>
          <w:lang w:val="ro-RO"/>
        </w:rPr>
        <w:t xml:space="preserve"> </w:t>
      </w:r>
      <w:r w:rsidRPr="006B2701">
        <w:rPr>
          <w:rFonts w:ascii="Tahoma" w:hAnsi="Tahoma" w:cs="Tahoma"/>
          <w:bCs/>
          <w:sz w:val="24"/>
          <w:szCs w:val="24"/>
          <w:lang w:val="ro-RO"/>
        </w:rPr>
        <w:t xml:space="preserve">la </w:t>
      </w:r>
      <w:r w:rsidR="00CC156F" w:rsidRPr="006B2701">
        <w:rPr>
          <w:rFonts w:ascii="Tahoma" w:hAnsi="Tahoma" w:cs="Tahoma"/>
          <w:bCs/>
          <w:sz w:val="24"/>
          <w:szCs w:val="24"/>
          <w:lang w:val="ro-RO"/>
        </w:rPr>
        <w:t>38,</w:t>
      </w:r>
      <w:r w:rsidR="00E70F76" w:rsidRPr="006B2701">
        <w:rPr>
          <w:rFonts w:ascii="Tahoma" w:hAnsi="Tahoma" w:cs="Tahoma"/>
          <w:bCs/>
          <w:sz w:val="24"/>
          <w:szCs w:val="24"/>
          <w:lang w:val="ro-RO"/>
        </w:rPr>
        <w:t>4</w:t>
      </w:r>
      <w:r w:rsidRPr="006B2701">
        <w:rPr>
          <w:rFonts w:ascii="Tahoma" w:hAnsi="Tahoma" w:cs="Tahoma"/>
          <w:bCs/>
          <w:sz w:val="24"/>
          <w:szCs w:val="24"/>
          <w:lang w:val="ro-RO"/>
        </w:rPr>
        <w:t xml:space="preserve">% în anul </w:t>
      </w:r>
      <w:r w:rsidR="00CC156F" w:rsidRPr="006B2701">
        <w:rPr>
          <w:rFonts w:ascii="Tahoma" w:hAnsi="Tahoma" w:cs="Tahoma"/>
          <w:bCs/>
          <w:sz w:val="24"/>
          <w:szCs w:val="24"/>
          <w:lang w:val="ro-RO"/>
        </w:rPr>
        <w:t>202</w:t>
      </w:r>
      <w:r w:rsidR="00E70F76" w:rsidRPr="006B2701">
        <w:rPr>
          <w:rFonts w:ascii="Tahoma" w:hAnsi="Tahoma" w:cs="Tahoma"/>
          <w:bCs/>
          <w:sz w:val="24"/>
          <w:szCs w:val="24"/>
          <w:lang w:val="ro-RO"/>
        </w:rPr>
        <w:t>2</w:t>
      </w:r>
      <w:r w:rsidRPr="006B2701">
        <w:rPr>
          <w:rFonts w:ascii="Tahoma" w:hAnsi="Tahoma" w:cs="Tahoma"/>
          <w:bCs/>
          <w:sz w:val="24"/>
          <w:szCs w:val="24"/>
          <w:lang w:val="ro-RO"/>
        </w:rPr>
        <w:t>.</w:t>
      </w:r>
    </w:p>
    <w:p w14:paraId="2D45E6A9" w14:textId="77777777" w:rsidR="007120CE" w:rsidRPr="006B2701" w:rsidRDefault="007120CE" w:rsidP="007120CE">
      <w:pPr>
        <w:spacing w:before="120" w:after="120" w:line="276" w:lineRule="auto"/>
        <w:jc w:val="both"/>
        <w:rPr>
          <w:rFonts w:ascii="Tahoma" w:hAnsi="Tahoma" w:cs="Tahoma"/>
          <w:bCs/>
          <w:sz w:val="24"/>
          <w:szCs w:val="24"/>
          <w:lang w:val="ro-RO"/>
        </w:rPr>
      </w:pPr>
    </w:p>
    <w:p w14:paraId="46D56473" w14:textId="76CC5E12" w:rsidR="00A80217" w:rsidRPr="006B2701" w:rsidRDefault="0073616C" w:rsidP="00A80217">
      <w:pPr>
        <w:spacing w:before="120" w:line="276" w:lineRule="auto"/>
        <w:jc w:val="both"/>
        <w:rPr>
          <w:rFonts w:ascii="Arial" w:hAnsi="Arial" w:cs="Arial"/>
          <w:sz w:val="24"/>
          <w:szCs w:val="24"/>
          <w:lang w:val="ro-RO"/>
        </w:rPr>
      </w:pPr>
      <w:r>
        <w:rPr>
          <w:rFonts w:ascii="Arial" w:hAnsi="Arial" w:cs="Arial"/>
          <w:noProof/>
          <w:sz w:val="24"/>
          <w:szCs w:val="24"/>
          <w:lang w:val="ro-RO"/>
        </w:rPr>
        <w:pict w14:anchorId="2894FD76">
          <v:shape id="_x0000_i1038" type="#_x0000_t75" style="width:489.05pt;height:254.7pt">
            <v:imagedata r:id="rId20" o:title=""/>
          </v:shape>
        </w:pict>
      </w:r>
    </w:p>
    <w:p w14:paraId="36D64F1A" w14:textId="26926669" w:rsidR="00825B99" w:rsidRPr="006B2701" w:rsidRDefault="00A12CD6" w:rsidP="003D10DF">
      <w:pPr>
        <w:spacing w:before="120" w:after="240" w:line="276" w:lineRule="auto"/>
        <w:jc w:val="both"/>
        <w:rPr>
          <w:rFonts w:ascii="Tahoma" w:hAnsi="Tahoma" w:cs="Tahoma"/>
          <w:lang w:val="ro-RO"/>
        </w:rPr>
      </w:pPr>
      <w:r w:rsidRPr="006B2701">
        <w:rPr>
          <w:rFonts w:ascii="Tahoma" w:hAnsi="Tahoma" w:cs="Tahoma"/>
          <w:sz w:val="24"/>
          <w:szCs w:val="24"/>
          <w:lang w:val="ro-RO"/>
        </w:rPr>
        <w:t xml:space="preserve">Din punct de vedere al gradului de realizare al programului anual, principalele categorii de cheltuieli bugetare au înregistrat următoarele evoluții: </w:t>
      </w:r>
      <w:r w:rsidRPr="006B2701">
        <w:rPr>
          <w:rFonts w:ascii="Tahoma" w:hAnsi="Tahoma" w:cs="Tahoma"/>
          <w:bCs/>
          <w:sz w:val="24"/>
          <w:szCs w:val="24"/>
          <w:lang w:val="ro-RO"/>
        </w:rPr>
        <w:t xml:space="preserve">cheltuielile de personal </w:t>
      </w:r>
      <w:r w:rsidR="00607E09" w:rsidRPr="006B2701">
        <w:rPr>
          <w:rFonts w:ascii="Tahoma" w:hAnsi="Tahoma" w:cs="Tahoma"/>
          <w:bCs/>
          <w:sz w:val="24"/>
          <w:szCs w:val="24"/>
          <w:lang w:val="ro-RO"/>
        </w:rPr>
        <w:t>99,</w:t>
      </w:r>
      <w:r w:rsidR="00E70F76" w:rsidRPr="006B2701">
        <w:rPr>
          <w:rFonts w:ascii="Tahoma" w:hAnsi="Tahoma" w:cs="Tahoma"/>
          <w:bCs/>
          <w:sz w:val="24"/>
          <w:szCs w:val="24"/>
          <w:lang w:val="ro-RO"/>
        </w:rPr>
        <w:t>4</w:t>
      </w:r>
      <w:r w:rsidRPr="006B2701">
        <w:rPr>
          <w:rFonts w:ascii="Tahoma" w:hAnsi="Tahoma" w:cs="Tahoma"/>
          <w:bCs/>
          <w:sz w:val="24"/>
          <w:szCs w:val="24"/>
          <w:lang w:val="ro-RO"/>
        </w:rPr>
        <w:t xml:space="preserve">%, cheltuielile cu bunuri </w:t>
      </w:r>
      <w:proofErr w:type="spellStart"/>
      <w:r w:rsidRPr="006B2701">
        <w:rPr>
          <w:rFonts w:ascii="Tahoma" w:hAnsi="Tahoma" w:cs="Tahoma"/>
          <w:bCs/>
          <w:sz w:val="24"/>
          <w:szCs w:val="24"/>
          <w:lang w:val="ro-RO"/>
        </w:rPr>
        <w:t>şi</w:t>
      </w:r>
      <w:proofErr w:type="spellEnd"/>
      <w:r w:rsidRPr="006B2701">
        <w:rPr>
          <w:rFonts w:ascii="Tahoma" w:hAnsi="Tahoma" w:cs="Tahoma"/>
          <w:bCs/>
          <w:sz w:val="24"/>
          <w:szCs w:val="24"/>
          <w:lang w:val="ro-RO"/>
        </w:rPr>
        <w:t xml:space="preserve"> servicii </w:t>
      </w:r>
      <w:r w:rsidR="00E70F76" w:rsidRPr="006B2701">
        <w:rPr>
          <w:rFonts w:ascii="Tahoma" w:hAnsi="Tahoma" w:cs="Tahoma"/>
          <w:bCs/>
          <w:sz w:val="24"/>
          <w:szCs w:val="24"/>
          <w:lang w:val="ro-RO"/>
        </w:rPr>
        <w:t>102,1</w:t>
      </w:r>
      <w:r w:rsidRPr="006B2701">
        <w:rPr>
          <w:rFonts w:ascii="Tahoma" w:hAnsi="Tahoma" w:cs="Tahoma"/>
          <w:bCs/>
          <w:sz w:val="24"/>
          <w:szCs w:val="24"/>
          <w:lang w:val="ro-RO"/>
        </w:rPr>
        <w:t xml:space="preserve">%, cheltuielile cu dobânzile </w:t>
      </w:r>
      <w:r w:rsidR="00CC156F" w:rsidRPr="006B2701">
        <w:rPr>
          <w:rFonts w:ascii="Tahoma" w:hAnsi="Tahoma" w:cs="Tahoma"/>
          <w:bCs/>
          <w:sz w:val="24"/>
          <w:szCs w:val="24"/>
          <w:lang w:val="ro-RO"/>
        </w:rPr>
        <w:t>98,</w:t>
      </w:r>
      <w:r w:rsidR="00E70F76" w:rsidRPr="006B2701">
        <w:rPr>
          <w:rFonts w:ascii="Tahoma" w:hAnsi="Tahoma" w:cs="Tahoma"/>
          <w:bCs/>
          <w:sz w:val="24"/>
          <w:szCs w:val="24"/>
          <w:lang w:val="ro-RO"/>
        </w:rPr>
        <w:t>6</w:t>
      </w:r>
      <w:r w:rsidRPr="006B2701">
        <w:rPr>
          <w:rFonts w:ascii="Tahoma" w:hAnsi="Tahoma" w:cs="Tahoma"/>
          <w:bCs/>
          <w:sz w:val="24"/>
          <w:szCs w:val="24"/>
          <w:lang w:val="ro-RO"/>
        </w:rPr>
        <w:t xml:space="preserve">%, cheltuielile cu </w:t>
      </w:r>
      <w:r w:rsidRPr="006B2701">
        <w:rPr>
          <w:rFonts w:ascii="Tahoma" w:hAnsi="Tahoma" w:cs="Tahoma"/>
          <w:bCs/>
          <w:sz w:val="24"/>
          <w:szCs w:val="24"/>
          <w:lang w:val="ro-RO"/>
        </w:rPr>
        <w:lastRenderedPageBreak/>
        <w:t xml:space="preserve">subvențiile </w:t>
      </w:r>
      <w:r w:rsidR="00CC156F" w:rsidRPr="006B2701">
        <w:rPr>
          <w:rFonts w:ascii="Tahoma" w:hAnsi="Tahoma" w:cs="Tahoma"/>
          <w:bCs/>
          <w:sz w:val="24"/>
          <w:szCs w:val="24"/>
          <w:lang w:val="ro-RO"/>
        </w:rPr>
        <w:t>102,</w:t>
      </w:r>
      <w:r w:rsidR="00E70F76" w:rsidRPr="006B2701">
        <w:rPr>
          <w:rFonts w:ascii="Tahoma" w:hAnsi="Tahoma" w:cs="Tahoma"/>
          <w:bCs/>
          <w:sz w:val="24"/>
          <w:szCs w:val="24"/>
          <w:lang w:val="ro-RO"/>
        </w:rPr>
        <w:t>0</w:t>
      </w:r>
      <w:r w:rsidRPr="006B2701">
        <w:rPr>
          <w:rFonts w:ascii="Tahoma" w:hAnsi="Tahoma" w:cs="Tahoma"/>
          <w:bCs/>
          <w:sz w:val="24"/>
          <w:szCs w:val="24"/>
          <w:lang w:val="ro-RO"/>
        </w:rPr>
        <w:t xml:space="preserve">%, </w:t>
      </w:r>
      <w:r w:rsidR="00880933" w:rsidRPr="006B2701">
        <w:rPr>
          <w:rFonts w:ascii="Tahoma" w:hAnsi="Tahoma" w:cs="Tahoma"/>
          <w:bCs/>
          <w:sz w:val="24"/>
          <w:szCs w:val="24"/>
          <w:lang w:val="ro-RO"/>
        </w:rPr>
        <w:t xml:space="preserve">cheltuielile cu proiectele finanțate din fonduri externe nerambursabile </w:t>
      </w:r>
      <w:r w:rsidR="00E70F76" w:rsidRPr="006B2701">
        <w:rPr>
          <w:rFonts w:ascii="Tahoma" w:hAnsi="Tahoma" w:cs="Tahoma"/>
          <w:bCs/>
          <w:sz w:val="24"/>
          <w:szCs w:val="24"/>
          <w:lang w:val="ro-RO"/>
        </w:rPr>
        <w:t>83,</w:t>
      </w:r>
      <w:r w:rsidR="003D10DF">
        <w:rPr>
          <w:rFonts w:ascii="Tahoma" w:hAnsi="Tahoma" w:cs="Tahoma"/>
          <w:bCs/>
          <w:sz w:val="24"/>
          <w:szCs w:val="24"/>
          <w:lang w:val="ro-RO"/>
        </w:rPr>
        <w:t>7</w:t>
      </w:r>
      <w:r w:rsidR="00880933" w:rsidRPr="006B2701">
        <w:rPr>
          <w:rFonts w:ascii="Tahoma" w:hAnsi="Tahoma" w:cs="Tahoma"/>
          <w:bCs/>
          <w:sz w:val="24"/>
          <w:szCs w:val="24"/>
          <w:lang w:val="ro-RO"/>
        </w:rPr>
        <w:t xml:space="preserve">%, </w:t>
      </w:r>
      <w:r w:rsidRPr="006B2701">
        <w:rPr>
          <w:rFonts w:ascii="Tahoma" w:hAnsi="Tahoma" w:cs="Tahoma"/>
          <w:bCs/>
          <w:sz w:val="24"/>
          <w:szCs w:val="24"/>
          <w:lang w:val="ro-RO"/>
        </w:rPr>
        <w:t xml:space="preserve">cheltuielile cu asistența socială </w:t>
      </w:r>
      <w:r w:rsidR="00E70F76" w:rsidRPr="006B2701">
        <w:rPr>
          <w:rFonts w:ascii="Tahoma" w:hAnsi="Tahoma" w:cs="Tahoma"/>
          <w:bCs/>
          <w:sz w:val="24"/>
          <w:szCs w:val="24"/>
          <w:lang w:val="ro-RO"/>
        </w:rPr>
        <w:t>100,2</w:t>
      </w:r>
      <w:r w:rsidRPr="006B2701">
        <w:rPr>
          <w:rFonts w:ascii="Tahoma" w:hAnsi="Tahoma" w:cs="Tahoma"/>
          <w:bCs/>
          <w:sz w:val="24"/>
          <w:szCs w:val="24"/>
          <w:lang w:val="ro-RO"/>
        </w:rPr>
        <w:t xml:space="preserve">%, cheltuielile de capital </w:t>
      </w:r>
      <w:r w:rsidR="00E70F76" w:rsidRPr="006B2701">
        <w:rPr>
          <w:rFonts w:ascii="Tahoma" w:hAnsi="Tahoma" w:cs="Tahoma"/>
          <w:bCs/>
          <w:sz w:val="24"/>
          <w:szCs w:val="24"/>
          <w:lang w:val="ro-RO"/>
        </w:rPr>
        <w:t>94,0</w:t>
      </w:r>
      <w:r w:rsidRPr="006B2701">
        <w:rPr>
          <w:rFonts w:ascii="Tahoma" w:hAnsi="Tahoma" w:cs="Tahoma"/>
          <w:bCs/>
          <w:sz w:val="24"/>
          <w:szCs w:val="24"/>
          <w:lang w:val="ro-RO"/>
        </w:rPr>
        <w:t>%.</w:t>
      </w:r>
      <w:r w:rsidR="00825B99" w:rsidRPr="006B2701">
        <w:rPr>
          <w:rFonts w:ascii="Tahoma" w:hAnsi="Tahoma" w:cs="Tahoma"/>
          <w:lang w:val="ro-RO"/>
        </w:rPr>
        <w:t xml:space="preserve"> </w:t>
      </w:r>
    </w:p>
    <w:p w14:paraId="1B249120" w14:textId="50CDC239" w:rsidR="00825B99" w:rsidRPr="006B2701" w:rsidRDefault="00825B99" w:rsidP="006628C2">
      <w:pPr>
        <w:spacing w:before="120" w:after="240" w:line="276" w:lineRule="auto"/>
        <w:ind w:right="6"/>
        <w:jc w:val="center"/>
        <w:rPr>
          <w:rFonts w:ascii="Arial" w:hAnsi="Arial" w:cs="Arial"/>
          <w:b/>
          <w:bCs/>
          <w:noProof/>
          <w:sz w:val="24"/>
          <w:szCs w:val="24"/>
          <w:lang w:val="ro-RO" w:eastAsia="ro-RO"/>
        </w:rPr>
      </w:pPr>
      <w:r w:rsidRPr="006B2701">
        <w:rPr>
          <w:rFonts w:ascii="Arial" w:hAnsi="Arial" w:cs="Arial"/>
          <w:b/>
          <w:bCs/>
          <w:sz w:val="24"/>
          <w:szCs w:val="24"/>
          <w:lang w:val="ro-RO"/>
        </w:rPr>
        <w:t>Structura cheltuielilor bugetare</w:t>
      </w:r>
    </w:p>
    <w:p w14:paraId="31CF997F" w14:textId="165A494F" w:rsidR="00A80217" w:rsidRPr="006B2701" w:rsidRDefault="0073616C" w:rsidP="00A80217">
      <w:pPr>
        <w:spacing w:before="120" w:after="240" w:line="276" w:lineRule="auto"/>
        <w:ind w:right="6"/>
        <w:jc w:val="both"/>
        <w:rPr>
          <w:rFonts w:ascii="Arial" w:hAnsi="Arial" w:cs="Arial"/>
          <w:bCs/>
          <w:noProof/>
          <w:sz w:val="24"/>
          <w:szCs w:val="24"/>
          <w:lang w:val="ro-RO" w:eastAsia="ro-RO"/>
        </w:rPr>
      </w:pPr>
      <w:r>
        <w:rPr>
          <w:rFonts w:ascii="Arial" w:hAnsi="Arial" w:cs="Arial"/>
          <w:bCs/>
          <w:noProof/>
          <w:sz w:val="24"/>
          <w:szCs w:val="24"/>
          <w:lang w:val="ro-RO"/>
        </w:rPr>
        <w:pict w14:anchorId="6266A1CE">
          <v:shape id="_x0000_i1039" type="#_x0000_t75" style="width:261.5pt;height:255.4pt">
            <v:imagedata r:id="rId21" o:title=""/>
          </v:shape>
        </w:pict>
      </w:r>
      <w:r>
        <w:rPr>
          <w:rFonts w:ascii="Arial" w:hAnsi="Arial" w:cs="Arial"/>
          <w:bCs/>
          <w:noProof/>
          <w:sz w:val="24"/>
          <w:szCs w:val="24"/>
          <w:lang w:val="ro-RO"/>
        </w:rPr>
        <w:pict w14:anchorId="25F9DCE5">
          <v:shape id="_x0000_i1040" type="#_x0000_t75" style="width:219.4pt;height:256.1pt">
            <v:imagedata r:id="rId22" o:title=""/>
          </v:shape>
        </w:pict>
      </w:r>
    </w:p>
    <w:p w14:paraId="1EB7DA7F" w14:textId="6AFB885F" w:rsidR="00A80217" w:rsidRPr="006B2701" w:rsidRDefault="00A12CD6" w:rsidP="00A80217">
      <w:pPr>
        <w:spacing w:before="120" w:after="120" w:line="276" w:lineRule="auto"/>
        <w:jc w:val="both"/>
        <w:rPr>
          <w:rFonts w:ascii="Arial" w:hAnsi="Arial" w:cs="Arial"/>
          <w:bCs/>
          <w:noProof/>
          <w:sz w:val="24"/>
          <w:szCs w:val="24"/>
          <w:lang w:val="ro-RO" w:eastAsia="ro-RO"/>
        </w:rPr>
      </w:pPr>
      <w:r w:rsidRPr="006B2701">
        <w:rPr>
          <w:rFonts w:ascii="Tahoma" w:hAnsi="Tahoma" w:cs="Tahoma"/>
          <w:sz w:val="24"/>
          <w:szCs w:val="24"/>
          <w:lang w:val="ro-RO"/>
        </w:rPr>
        <w:t xml:space="preserve">Comparativ cu anul </w:t>
      </w:r>
      <w:r w:rsidR="00893CC1" w:rsidRPr="006B2701">
        <w:rPr>
          <w:rFonts w:ascii="Tahoma" w:hAnsi="Tahoma" w:cs="Tahoma"/>
          <w:sz w:val="24"/>
          <w:szCs w:val="24"/>
          <w:lang w:val="ro-RO"/>
        </w:rPr>
        <w:t>202</w:t>
      </w:r>
      <w:r w:rsidR="00E70F76" w:rsidRPr="006B2701">
        <w:rPr>
          <w:rFonts w:ascii="Tahoma" w:hAnsi="Tahoma" w:cs="Tahoma"/>
          <w:sz w:val="24"/>
          <w:szCs w:val="24"/>
          <w:lang w:val="ro-RO"/>
        </w:rPr>
        <w:t>1</w:t>
      </w:r>
      <w:r w:rsidR="006A4325" w:rsidRPr="006B2701">
        <w:rPr>
          <w:rFonts w:ascii="Tahoma" w:hAnsi="Tahoma" w:cs="Tahoma"/>
          <w:sz w:val="24"/>
          <w:szCs w:val="24"/>
          <w:lang w:val="ro-RO"/>
        </w:rPr>
        <w:t xml:space="preserve">, în </w:t>
      </w:r>
      <w:r w:rsidRPr="006B2701">
        <w:rPr>
          <w:rFonts w:ascii="Tahoma" w:hAnsi="Tahoma" w:cs="Tahoma"/>
          <w:sz w:val="24"/>
          <w:szCs w:val="24"/>
          <w:lang w:val="ro-RO"/>
        </w:rPr>
        <w:t>structura economică a cheltuielilor prezintă o creștere a ponderii în total cheltuieli</w:t>
      </w:r>
      <w:r w:rsidR="000A69FE" w:rsidRPr="006B2701">
        <w:rPr>
          <w:rFonts w:ascii="Tahoma" w:hAnsi="Tahoma" w:cs="Tahoma"/>
          <w:sz w:val="24"/>
          <w:szCs w:val="24"/>
          <w:lang w:val="ro-RO"/>
        </w:rPr>
        <w:t>, cheltuielil</w:t>
      </w:r>
      <w:r w:rsidR="006A4325" w:rsidRPr="006B2701">
        <w:rPr>
          <w:rFonts w:ascii="Tahoma" w:hAnsi="Tahoma" w:cs="Tahoma"/>
          <w:sz w:val="24"/>
          <w:szCs w:val="24"/>
          <w:lang w:val="ro-RO"/>
        </w:rPr>
        <w:t>e</w:t>
      </w:r>
      <w:r w:rsidR="000A69FE" w:rsidRPr="006B2701">
        <w:rPr>
          <w:rFonts w:ascii="Tahoma" w:hAnsi="Tahoma" w:cs="Tahoma"/>
          <w:sz w:val="24"/>
          <w:szCs w:val="24"/>
          <w:lang w:val="ro-RO"/>
        </w:rPr>
        <w:t xml:space="preserve"> cu dobânzi</w:t>
      </w:r>
      <w:r w:rsidR="001A2CC1" w:rsidRPr="006B2701">
        <w:rPr>
          <w:rFonts w:ascii="Tahoma" w:hAnsi="Tahoma" w:cs="Tahoma"/>
          <w:sz w:val="24"/>
          <w:szCs w:val="24"/>
          <w:lang w:val="ro-RO"/>
        </w:rPr>
        <w:t xml:space="preserve">le cu </w:t>
      </w:r>
      <w:r w:rsidR="00E70F76" w:rsidRPr="006B2701">
        <w:rPr>
          <w:rFonts w:ascii="Tahoma" w:hAnsi="Tahoma" w:cs="Tahoma"/>
          <w:sz w:val="24"/>
          <w:szCs w:val="24"/>
          <w:lang w:val="ro-RO"/>
        </w:rPr>
        <w:t>1</w:t>
      </w:r>
      <w:r w:rsidR="001A2CC1" w:rsidRPr="006B2701">
        <w:rPr>
          <w:rFonts w:ascii="Tahoma" w:hAnsi="Tahoma" w:cs="Tahoma"/>
          <w:sz w:val="24"/>
          <w:szCs w:val="24"/>
          <w:lang w:val="ro-RO"/>
        </w:rPr>
        <w:t>,</w:t>
      </w:r>
      <w:r w:rsidR="00D320CE" w:rsidRPr="006B2701">
        <w:rPr>
          <w:rFonts w:ascii="Tahoma" w:hAnsi="Tahoma" w:cs="Tahoma"/>
          <w:sz w:val="24"/>
          <w:szCs w:val="24"/>
          <w:lang w:val="ro-RO"/>
        </w:rPr>
        <w:t xml:space="preserve">5 </w:t>
      </w:r>
      <w:r w:rsidR="001A2CC1" w:rsidRPr="006B2701">
        <w:rPr>
          <w:rFonts w:ascii="Tahoma" w:hAnsi="Tahoma" w:cs="Tahoma"/>
          <w:sz w:val="24"/>
          <w:szCs w:val="24"/>
          <w:lang w:val="ro-RO"/>
        </w:rPr>
        <w:t>puncte procentuale</w:t>
      </w:r>
      <w:r w:rsidR="00007B89" w:rsidRPr="006B2701">
        <w:rPr>
          <w:rFonts w:ascii="Tahoma" w:hAnsi="Tahoma" w:cs="Tahoma"/>
          <w:sz w:val="24"/>
          <w:szCs w:val="24"/>
          <w:lang w:val="ro-RO"/>
        </w:rPr>
        <w:t>,</w:t>
      </w:r>
      <w:r w:rsidR="001A2CC1" w:rsidRPr="006B2701">
        <w:rPr>
          <w:rFonts w:ascii="Tahoma" w:hAnsi="Tahoma" w:cs="Tahoma"/>
          <w:sz w:val="24"/>
          <w:szCs w:val="24"/>
          <w:lang w:val="ro-RO"/>
        </w:rPr>
        <w:t xml:space="preserve"> </w:t>
      </w:r>
      <w:r w:rsidR="00E70F76" w:rsidRPr="006B2701">
        <w:rPr>
          <w:rFonts w:ascii="Tahoma" w:hAnsi="Tahoma" w:cs="Tahoma"/>
          <w:sz w:val="24"/>
          <w:szCs w:val="24"/>
          <w:lang w:val="ro-RO"/>
        </w:rPr>
        <w:t>cheltuielil</w:t>
      </w:r>
      <w:r w:rsidR="006A4325" w:rsidRPr="006B2701">
        <w:rPr>
          <w:rFonts w:ascii="Tahoma" w:hAnsi="Tahoma" w:cs="Tahoma"/>
          <w:sz w:val="24"/>
          <w:szCs w:val="24"/>
          <w:lang w:val="ro-RO"/>
        </w:rPr>
        <w:t>e</w:t>
      </w:r>
      <w:r w:rsidR="00E70F76" w:rsidRPr="006B2701">
        <w:rPr>
          <w:rFonts w:ascii="Tahoma" w:hAnsi="Tahoma" w:cs="Tahoma"/>
          <w:sz w:val="24"/>
          <w:szCs w:val="24"/>
          <w:lang w:val="ro-RO"/>
        </w:rPr>
        <w:t xml:space="preserve"> cu subvențiile cu 1,4 puncte procentuale, cheltuielil</w:t>
      </w:r>
      <w:r w:rsidR="006A4325" w:rsidRPr="006B2701">
        <w:rPr>
          <w:rFonts w:ascii="Tahoma" w:hAnsi="Tahoma" w:cs="Tahoma"/>
          <w:sz w:val="24"/>
          <w:szCs w:val="24"/>
          <w:lang w:val="ro-RO"/>
        </w:rPr>
        <w:t>e</w:t>
      </w:r>
      <w:r w:rsidR="00E70F76" w:rsidRPr="006B2701">
        <w:rPr>
          <w:rFonts w:ascii="Tahoma" w:hAnsi="Tahoma" w:cs="Tahoma"/>
          <w:sz w:val="24"/>
          <w:szCs w:val="24"/>
          <w:lang w:val="ro-RO"/>
        </w:rPr>
        <w:t xml:space="preserve"> cu proiectele finanțate din fonduri externe nerambursabile </w:t>
      </w:r>
      <w:r w:rsidR="00007B89" w:rsidRPr="006B2701">
        <w:rPr>
          <w:rFonts w:ascii="Tahoma" w:hAnsi="Tahoma" w:cs="Tahoma"/>
          <w:sz w:val="24"/>
          <w:szCs w:val="24"/>
          <w:lang w:val="ro-RO"/>
        </w:rPr>
        <w:t>inclusiv PNRR</w:t>
      </w:r>
      <w:r w:rsidR="00E70F76" w:rsidRPr="006B2701">
        <w:rPr>
          <w:rFonts w:ascii="Tahoma" w:hAnsi="Tahoma" w:cs="Tahoma"/>
          <w:sz w:val="24"/>
          <w:szCs w:val="24"/>
          <w:lang w:val="ro-RO"/>
        </w:rPr>
        <w:t xml:space="preserve"> cu 0,5 puncte procentuale </w:t>
      </w:r>
      <w:r w:rsidR="001A2CC1" w:rsidRPr="006B2701">
        <w:rPr>
          <w:rFonts w:ascii="Tahoma" w:hAnsi="Tahoma" w:cs="Tahoma"/>
          <w:sz w:val="24"/>
          <w:szCs w:val="24"/>
          <w:lang w:val="ro-RO"/>
        </w:rPr>
        <w:t>și</w:t>
      </w:r>
      <w:r w:rsidR="00B91E0C" w:rsidRPr="006B2701">
        <w:rPr>
          <w:rFonts w:ascii="Tahoma" w:hAnsi="Tahoma" w:cs="Tahoma"/>
          <w:sz w:val="24"/>
          <w:szCs w:val="24"/>
          <w:lang w:val="ro-RO"/>
        </w:rPr>
        <w:t xml:space="preserve"> a </w:t>
      </w:r>
      <w:r w:rsidR="00E70F76" w:rsidRPr="006B2701">
        <w:rPr>
          <w:rFonts w:ascii="Tahoma" w:hAnsi="Tahoma" w:cs="Tahoma"/>
          <w:sz w:val="24"/>
          <w:szCs w:val="24"/>
          <w:lang w:val="ro-RO"/>
        </w:rPr>
        <w:t xml:space="preserve">cheltuielilor </w:t>
      </w:r>
      <w:r w:rsidR="007C4713" w:rsidRPr="006B2701">
        <w:rPr>
          <w:rFonts w:ascii="Tahoma" w:hAnsi="Tahoma" w:cs="Tahoma"/>
          <w:sz w:val="24"/>
          <w:szCs w:val="24"/>
          <w:lang w:val="ro-RO"/>
        </w:rPr>
        <w:t xml:space="preserve">cu asistența socială și a celor </w:t>
      </w:r>
      <w:r w:rsidR="00E70F76" w:rsidRPr="006B2701">
        <w:rPr>
          <w:rFonts w:ascii="Tahoma" w:hAnsi="Tahoma" w:cs="Tahoma"/>
          <w:sz w:val="24"/>
          <w:szCs w:val="24"/>
          <w:lang w:val="ro-RO"/>
        </w:rPr>
        <w:t>de capital cu 0,2 puncte procentuale</w:t>
      </w:r>
      <w:r w:rsidR="00230473" w:rsidRPr="006B2701">
        <w:rPr>
          <w:rFonts w:ascii="Tahoma" w:hAnsi="Tahoma" w:cs="Tahoma"/>
          <w:sz w:val="24"/>
          <w:szCs w:val="24"/>
          <w:lang w:val="ro-RO"/>
        </w:rPr>
        <w:t>,</w:t>
      </w:r>
      <w:r w:rsidR="00607E09" w:rsidRPr="006B2701">
        <w:rPr>
          <w:rFonts w:ascii="Tahoma" w:hAnsi="Tahoma" w:cs="Tahoma"/>
          <w:sz w:val="24"/>
          <w:szCs w:val="24"/>
          <w:lang w:val="ro-RO"/>
        </w:rPr>
        <w:t xml:space="preserve"> </w:t>
      </w:r>
      <w:r w:rsidRPr="006B2701">
        <w:rPr>
          <w:rFonts w:ascii="Tahoma" w:hAnsi="Tahoma" w:cs="Tahoma"/>
          <w:sz w:val="24"/>
          <w:szCs w:val="24"/>
          <w:lang w:val="ro-RO"/>
        </w:rPr>
        <w:t xml:space="preserve">diminuări ale ponderii înregistrându-se în cazul </w:t>
      </w:r>
      <w:r w:rsidR="001A2CC1" w:rsidRPr="006B2701">
        <w:rPr>
          <w:rFonts w:ascii="Tahoma" w:hAnsi="Tahoma" w:cs="Tahoma"/>
          <w:sz w:val="24"/>
          <w:szCs w:val="24"/>
          <w:lang w:val="ro-RO"/>
        </w:rPr>
        <w:t xml:space="preserve">cheltuielilor de personal cu </w:t>
      </w:r>
      <w:r w:rsidR="007C4713" w:rsidRPr="006B2701">
        <w:rPr>
          <w:rFonts w:ascii="Tahoma" w:hAnsi="Tahoma" w:cs="Tahoma"/>
          <w:sz w:val="24"/>
          <w:szCs w:val="24"/>
          <w:lang w:val="ro-RO"/>
        </w:rPr>
        <w:t>2</w:t>
      </w:r>
      <w:r w:rsidR="001A2CC1" w:rsidRPr="006B2701">
        <w:rPr>
          <w:rFonts w:ascii="Tahoma" w:hAnsi="Tahoma" w:cs="Tahoma"/>
          <w:sz w:val="24"/>
          <w:szCs w:val="24"/>
          <w:lang w:val="ro-RO"/>
        </w:rPr>
        <w:t>,</w:t>
      </w:r>
      <w:r w:rsidR="00007B89" w:rsidRPr="006B2701">
        <w:rPr>
          <w:rFonts w:ascii="Tahoma" w:hAnsi="Tahoma" w:cs="Tahoma"/>
          <w:sz w:val="24"/>
          <w:szCs w:val="24"/>
          <w:lang w:val="ro-RO"/>
        </w:rPr>
        <w:t>5</w:t>
      </w:r>
      <w:r w:rsidR="00D320CE" w:rsidRPr="006B2701">
        <w:rPr>
          <w:rFonts w:ascii="Tahoma" w:hAnsi="Tahoma" w:cs="Tahoma"/>
          <w:sz w:val="24"/>
          <w:szCs w:val="24"/>
          <w:lang w:val="ro-RO"/>
        </w:rPr>
        <w:t xml:space="preserve"> </w:t>
      </w:r>
      <w:r w:rsidR="007C4713" w:rsidRPr="006B2701">
        <w:rPr>
          <w:rFonts w:ascii="Tahoma" w:hAnsi="Tahoma" w:cs="Tahoma"/>
          <w:sz w:val="24"/>
          <w:szCs w:val="24"/>
          <w:lang w:val="ro-RO"/>
        </w:rPr>
        <w:t>puncte procentuale și</w:t>
      </w:r>
      <w:r w:rsidR="001A2CC1" w:rsidRPr="006B2701">
        <w:rPr>
          <w:rFonts w:ascii="Tahoma" w:hAnsi="Tahoma" w:cs="Tahoma"/>
          <w:sz w:val="24"/>
          <w:szCs w:val="24"/>
          <w:lang w:val="ro-RO"/>
        </w:rPr>
        <w:t xml:space="preserve"> </w:t>
      </w:r>
      <w:r w:rsidR="007C4713" w:rsidRPr="006B2701">
        <w:rPr>
          <w:rFonts w:ascii="Tahoma" w:hAnsi="Tahoma" w:cs="Tahoma"/>
          <w:sz w:val="24"/>
          <w:szCs w:val="24"/>
          <w:lang w:val="ro-RO"/>
        </w:rPr>
        <w:t xml:space="preserve">a cheltuielilor cu bunuri și servicii cu 0,6 puncte procentuale. </w:t>
      </w:r>
    </w:p>
    <w:p w14:paraId="57330877" w14:textId="4B6A65CD" w:rsidR="00A80217" w:rsidRPr="006B2701" w:rsidRDefault="00A12CD6" w:rsidP="00A80217">
      <w:pPr>
        <w:spacing w:before="120" w:after="120" w:line="276" w:lineRule="auto"/>
        <w:jc w:val="both"/>
        <w:rPr>
          <w:rFonts w:ascii="Arial" w:hAnsi="Arial" w:cs="Arial"/>
          <w:bCs/>
          <w:noProof/>
          <w:sz w:val="24"/>
          <w:szCs w:val="24"/>
          <w:lang w:val="ro-RO" w:eastAsia="ro-RO"/>
        </w:rPr>
      </w:pPr>
      <w:r w:rsidRPr="006B2701">
        <w:rPr>
          <w:rFonts w:ascii="Tahoma" w:hAnsi="Tahoma" w:cs="Tahoma"/>
          <w:b/>
          <w:bCs/>
          <w:sz w:val="24"/>
          <w:szCs w:val="24"/>
          <w:lang w:val="ro-RO"/>
        </w:rPr>
        <w:t>Cheltuielile de personal ale bugetului general consolidat,</w:t>
      </w:r>
      <w:r w:rsidRPr="006B2701">
        <w:rPr>
          <w:rFonts w:ascii="Tahoma" w:hAnsi="Tahoma" w:cs="Tahoma"/>
          <w:sz w:val="24"/>
          <w:szCs w:val="24"/>
          <w:lang w:val="ro-RO"/>
        </w:rPr>
        <w:t xml:space="preserve"> în anul </w:t>
      </w:r>
      <w:r w:rsidR="006B0FAE" w:rsidRPr="006B2701">
        <w:rPr>
          <w:rFonts w:ascii="Tahoma" w:hAnsi="Tahoma" w:cs="Tahoma"/>
          <w:sz w:val="24"/>
          <w:szCs w:val="24"/>
          <w:lang w:val="ro-RO"/>
        </w:rPr>
        <w:t>202</w:t>
      </w:r>
      <w:r w:rsidR="007C4713" w:rsidRPr="006B2701">
        <w:rPr>
          <w:rFonts w:ascii="Tahoma" w:hAnsi="Tahoma" w:cs="Tahoma"/>
          <w:sz w:val="24"/>
          <w:szCs w:val="24"/>
          <w:lang w:val="ro-RO"/>
        </w:rPr>
        <w:t>2</w:t>
      </w:r>
      <w:r w:rsidRPr="006B2701">
        <w:rPr>
          <w:rFonts w:ascii="Tahoma" w:hAnsi="Tahoma" w:cs="Tahoma"/>
          <w:sz w:val="24"/>
          <w:szCs w:val="24"/>
          <w:lang w:val="ro-RO"/>
        </w:rPr>
        <w:t xml:space="preserve">, au crescut cu </w:t>
      </w:r>
      <w:r w:rsidR="007C4713" w:rsidRPr="006B2701">
        <w:rPr>
          <w:rFonts w:ascii="Tahoma" w:hAnsi="Tahoma" w:cs="Tahoma"/>
          <w:sz w:val="24"/>
          <w:szCs w:val="24"/>
          <w:lang w:val="ro-RO"/>
        </w:rPr>
        <w:t>5,2</w:t>
      </w:r>
      <w:r w:rsidRPr="006B2701">
        <w:rPr>
          <w:rFonts w:ascii="Tahoma" w:hAnsi="Tahoma" w:cs="Tahoma"/>
          <w:sz w:val="24"/>
          <w:szCs w:val="24"/>
          <w:lang w:val="ro-RO"/>
        </w:rPr>
        <w:t xml:space="preserve">% față de anul precedent, iar ca procent în PIB </w:t>
      </w:r>
      <w:r w:rsidR="006B0FAE" w:rsidRPr="006B2701">
        <w:rPr>
          <w:rFonts w:ascii="Tahoma" w:hAnsi="Tahoma" w:cs="Tahoma"/>
          <w:sz w:val="24"/>
          <w:szCs w:val="24"/>
          <w:lang w:val="ro-RO"/>
        </w:rPr>
        <w:t xml:space="preserve">s-au redus </w:t>
      </w:r>
      <w:r w:rsidRPr="006B2701">
        <w:rPr>
          <w:rFonts w:ascii="Tahoma" w:hAnsi="Tahoma" w:cs="Tahoma"/>
          <w:sz w:val="24"/>
          <w:szCs w:val="24"/>
          <w:lang w:val="ro-RO"/>
        </w:rPr>
        <w:t xml:space="preserve">cu </w:t>
      </w:r>
      <w:r w:rsidR="007C4713" w:rsidRPr="006B2701">
        <w:rPr>
          <w:rFonts w:ascii="Tahoma" w:hAnsi="Tahoma" w:cs="Tahoma"/>
          <w:sz w:val="24"/>
          <w:szCs w:val="24"/>
          <w:lang w:val="ro-RO"/>
        </w:rPr>
        <w:t>1,1</w:t>
      </w:r>
      <w:r w:rsidR="006B0FAE" w:rsidRPr="006B2701">
        <w:rPr>
          <w:rFonts w:ascii="Tahoma" w:hAnsi="Tahoma" w:cs="Tahoma"/>
          <w:sz w:val="24"/>
          <w:szCs w:val="24"/>
          <w:lang w:val="ro-RO"/>
        </w:rPr>
        <w:t xml:space="preserve"> </w:t>
      </w:r>
      <w:r w:rsidRPr="006B2701">
        <w:rPr>
          <w:rFonts w:ascii="Tahoma" w:hAnsi="Tahoma" w:cs="Tahoma"/>
          <w:sz w:val="24"/>
          <w:szCs w:val="24"/>
          <w:lang w:val="ro-RO"/>
        </w:rPr>
        <w:t>punct</w:t>
      </w:r>
      <w:r w:rsidR="00F25A6C" w:rsidRPr="006B2701">
        <w:rPr>
          <w:rFonts w:ascii="Tahoma" w:hAnsi="Tahoma" w:cs="Tahoma"/>
          <w:sz w:val="24"/>
          <w:szCs w:val="24"/>
          <w:lang w:val="ro-RO"/>
        </w:rPr>
        <w:t>e</w:t>
      </w:r>
      <w:r w:rsidRPr="006B2701">
        <w:rPr>
          <w:rFonts w:ascii="Tahoma" w:hAnsi="Tahoma" w:cs="Tahoma"/>
          <w:sz w:val="24"/>
          <w:szCs w:val="24"/>
          <w:lang w:val="ro-RO"/>
        </w:rPr>
        <w:t xml:space="preserve"> procentual</w:t>
      </w:r>
      <w:r w:rsidR="00F25A6C" w:rsidRPr="006B2701">
        <w:rPr>
          <w:rFonts w:ascii="Tahoma" w:hAnsi="Tahoma" w:cs="Tahoma"/>
          <w:sz w:val="24"/>
          <w:szCs w:val="24"/>
          <w:lang w:val="ro-RO"/>
        </w:rPr>
        <w:t>e</w:t>
      </w:r>
      <w:r w:rsidR="006B0FAE" w:rsidRPr="006B2701">
        <w:rPr>
          <w:rFonts w:ascii="Tahoma" w:hAnsi="Tahoma" w:cs="Tahoma"/>
          <w:sz w:val="24"/>
          <w:szCs w:val="24"/>
          <w:lang w:val="ro-RO"/>
        </w:rPr>
        <w:t xml:space="preserve"> de la </w:t>
      </w:r>
      <w:r w:rsidR="007C4713" w:rsidRPr="006B2701">
        <w:rPr>
          <w:rFonts w:ascii="Tahoma" w:hAnsi="Tahoma" w:cs="Tahoma"/>
          <w:sz w:val="24"/>
          <w:szCs w:val="24"/>
          <w:lang w:val="ro-RO"/>
        </w:rPr>
        <w:t>9,4</w:t>
      </w:r>
      <w:r w:rsidR="006B0FAE" w:rsidRPr="006B2701">
        <w:rPr>
          <w:rFonts w:ascii="Tahoma" w:hAnsi="Tahoma" w:cs="Tahoma"/>
          <w:sz w:val="24"/>
          <w:szCs w:val="24"/>
          <w:lang w:val="ro-RO"/>
        </w:rPr>
        <w:t>% din PIB în 202</w:t>
      </w:r>
      <w:r w:rsidR="007C4713" w:rsidRPr="006B2701">
        <w:rPr>
          <w:rFonts w:ascii="Tahoma" w:hAnsi="Tahoma" w:cs="Tahoma"/>
          <w:sz w:val="24"/>
          <w:szCs w:val="24"/>
          <w:lang w:val="ro-RO"/>
        </w:rPr>
        <w:t>1</w:t>
      </w:r>
      <w:r w:rsidR="006B0FAE" w:rsidRPr="006B2701">
        <w:rPr>
          <w:rFonts w:ascii="Tahoma" w:hAnsi="Tahoma" w:cs="Tahoma"/>
          <w:sz w:val="24"/>
          <w:szCs w:val="24"/>
          <w:lang w:val="ro-RO"/>
        </w:rPr>
        <w:t xml:space="preserve"> la </w:t>
      </w:r>
      <w:r w:rsidR="007C4713" w:rsidRPr="006B2701">
        <w:rPr>
          <w:rFonts w:ascii="Tahoma" w:hAnsi="Tahoma" w:cs="Tahoma"/>
          <w:sz w:val="24"/>
          <w:szCs w:val="24"/>
          <w:lang w:val="ro-RO"/>
        </w:rPr>
        <w:t>8,3</w:t>
      </w:r>
      <w:r w:rsidR="006B0FAE" w:rsidRPr="006B2701">
        <w:rPr>
          <w:rFonts w:ascii="Tahoma" w:hAnsi="Tahoma" w:cs="Tahoma"/>
          <w:sz w:val="24"/>
          <w:szCs w:val="24"/>
          <w:lang w:val="ro-RO"/>
        </w:rPr>
        <w:t xml:space="preserve">% </w:t>
      </w:r>
      <w:r w:rsidR="007C7F9A" w:rsidRPr="006B2701">
        <w:rPr>
          <w:rFonts w:ascii="Tahoma" w:hAnsi="Tahoma" w:cs="Tahoma"/>
          <w:sz w:val="24"/>
          <w:szCs w:val="24"/>
          <w:lang w:val="ro-RO"/>
        </w:rPr>
        <w:t>din PIB în anul</w:t>
      </w:r>
      <w:r w:rsidR="006B0FAE" w:rsidRPr="006B2701">
        <w:rPr>
          <w:rFonts w:ascii="Tahoma" w:hAnsi="Tahoma" w:cs="Tahoma"/>
          <w:sz w:val="24"/>
          <w:szCs w:val="24"/>
          <w:lang w:val="ro-RO"/>
        </w:rPr>
        <w:t xml:space="preserve"> 202</w:t>
      </w:r>
      <w:r w:rsidR="007C4713" w:rsidRPr="006B2701">
        <w:rPr>
          <w:rFonts w:ascii="Tahoma" w:hAnsi="Tahoma" w:cs="Tahoma"/>
          <w:sz w:val="24"/>
          <w:szCs w:val="24"/>
          <w:lang w:val="ro-RO"/>
        </w:rPr>
        <w:t>2</w:t>
      </w:r>
      <w:r w:rsidR="00EB1331" w:rsidRPr="006B2701">
        <w:rPr>
          <w:rFonts w:ascii="Tahoma" w:hAnsi="Tahoma" w:cs="Tahoma"/>
          <w:sz w:val="24"/>
          <w:szCs w:val="24"/>
          <w:lang w:val="ro-RO"/>
        </w:rPr>
        <w:t>.</w:t>
      </w:r>
    </w:p>
    <w:p w14:paraId="74C6B56E" w14:textId="1367BDBC" w:rsidR="00A80217" w:rsidRPr="006B2701" w:rsidRDefault="007C7F9A" w:rsidP="007120CE">
      <w:pPr>
        <w:spacing w:after="120" w:line="276" w:lineRule="auto"/>
        <w:jc w:val="both"/>
        <w:rPr>
          <w:rFonts w:ascii="Arial" w:hAnsi="Arial" w:cs="Arial"/>
          <w:bCs/>
          <w:noProof/>
          <w:sz w:val="24"/>
          <w:szCs w:val="24"/>
          <w:lang w:val="ro-RO" w:eastAsia="ro-RO"/>
        </w:rPr>
      </w:pPr>
      <w:r w:rsidRPr="006B2701">
        <w:rPr>
          <w:rFonts w:ascii="Tahoma" w:eastAsia="Times New Roman" w:hAnsi="Tahoma" w:cs="Tahoma"/>
          <w:sz w:val="24"/>
          <w:szCs w:val="24"/>
          <w:lang w:val="ro-RO" w:eastAsia="ro-RO"/>
        </w:rPr>
        <w:t>Creșterea în termeni nominali a cheltuielilor de personal comparativ cu 202</w:t>
      </w:r>
      <w:r w:rsidR="00E46DCE" w:rsidRPr="006B2701">
        <w:rPr>
          <w:rFonts w:ascii="Tahoma" w:eastAsia="Times New Roman" w:hAnsi="Tahoma" w:cs="Tahoma"/>
          <w:sz w:val="24"/>
          <w:szCs w:val="24"/>
          <w:lang w:val="ro-RO" w:eastAsia="ro-RO"/>
        </w:rPr>
        <w:t>1</w:t>
      </w:r>
      <w:r w:rsidRPr="006B2701">
        <w:rPr>
          <w:rFonts w:ascii="Tahoma" w:eastAsia="Times New Roman" w:hAnsi="Tahoma" w:cs="Tahoma"/>
          <w:sz w:val="24"/>
          <w:szCs w:val="24"/>
          <w:lang w:val="ro-RO" w:eastAsia="ro-RO"/>
        </w:rPr>
        <w:t xml:space="preserve"> a fost determinată, în principal, </w:t>
      </w:r>
      <w:r w:rsidR="00345EC8" w:rsidRPr="006B2701">
        <w:rPr>
          <w:rFonts w:ascii="Tahoma" w:hAnsi="Tahoma" w:cs="Tahoma"/>
          <w:bCs/>
          <w:sz w:val="24"/>
          <w:szCs w:val="24"/>
          <w:lang w:val="ro-RO"/>
        </w:rPr>
        <w:t>de creșterile salariale acordate în sectorul bugetar</w:t>
      </w:r>
      <w:r w:rsidR="00E46DCE" w:rsidRPr="006B2701">
        <w:rPr>
          <w:rFonts w:ascii="Tahoma" w:hAnsi="Tahoma" w:cs="Tahoma"/>
          <w:bCs/>
          <w:sz w:val="24"/>
          <w:szCs w:val="24"/>
          <w:lang w:val="ro-RO"/>
        </w:rPr>
        <w:t xml:space="preserve"> pentru personalul din domeniile sănătate </w:t>
      </w:r>
      <w:proofErr w:type="spellStart"/>
      <w:r w:rsidR="00E46DCE" w:rsidRPr="006B2701">
        <w:rPr>
          <w:rFonts w:ascii="Tahoma" w:hAnsi="Tahoma" w:cs="Tahoma"/>
          <w:bCs/>
          <w:sz w:val="24"/>
          <w:szCs w:val="24"/>
          <w:lang w:val="ro-RO"/>
        </w:rPr>
        <w:t>şi</w:t>
      </w:r>
      <w:proofErr w:type="spellEnd"/>
      <w:r w:rsidR="00E46DCE" w:rsidRPr="006B2701">
        <w:rPr>
          <w:rFonts w:ascii="Tahoma" w:hAnsi="Tahoma" w:cs="Tahoma"/>
          <w:bCs/>
          <w:sz w:val="24"/>
          <w:szCs w:val="24"/>
          <w:lang w:val="ro-RO"/>
        </w:rPr>
        <w:t xml:space="preserve"> asistență socială precum și pentru personalul didactic de predare, personalul didactic auxiliar, personalul didactic de conducere </w:t>
      </w:r>
      <w:proofErr w:type="spellStart"/>
      <w:r w:rsidR="00E46DCE" w:rsidRPr="006B2701">
        <w:rPr>
          <w:rFonts w:ascii="Tahoma" w:hAnsi="Tahoma" w:cs="Tahoma"/>
          <w:bCs/>
          <w:sz w:val="24"/>
          <w:szCs w:val="24"/>
          <w:lang w:val="ro-RO"/>
        </w:rPr>
        <w:t>şi</w:t>
      </w:r>
      <w:proofErr w:type="spellEnd"/>
      <w:r w:rsidR="00E46DCE" w:rsidRPr="006B2701">
        <w:rPr>
          <w:rFonts w:ascii="Tahoma" w:hAnsi="Tahoma" w:cs="Tahoma"/>
          <w:bCs/>
          <w:sz w:val="24"/>
          <w:szCs w:val="24"/>
          <w:lang w:val="ro-RO"/>
        </w:rPr>
        <w:t xml:space="preserve"> personalul de îndrumare </w:t>
      </w:r>
      <w:proofErr w:type="spellStart"/>
      <w:r w:rsidR="00E46DCE" w:rsidRPr="006B2701">
        <w:rPr>
          <w:rFonts w:ascii="Tahoma" w:hAnsi="Tahoma" w:cs="Tahoma"/>
          <w:bCs/>
          <w:sz w:val="24"/>
          <w:szCs w:val="24"/>
          <w:lang w:val="ro-RO"/>
        </w:rPr>
        <w:t>şi</w:t>
      </w:r>
      <w:proofErr w:type="spellEnd"/>
      <w:r w:rsidR="00E46DCE" w:rsidRPr="006B2701">
        <w:rPr>
          <w:rFonts w:ascii="Tahoma" w:hAnsi="Tahoma" w:cs="Tahoma"/>
          <w:bCs/>
          <w:sz w:val="24"/>
          <w:szCs w:val="24"/>
          <w:lang w:val="ro-RO"/>
        </w:rPr>
        <w:t xml:space="preserve"> control din învățământ potrivit prevederilor Ordonanței de urgență a Guvernului nr. 130/2021, privind unele măsuri fiscal-bugetare, prorogarea unor termene, precum </w:t>
      </w:r>
      <w:proofErr w:type="spellStart"/>
      <w:r w:rsidR="00E46DCE" w:rsidRPr="006B2701">
        <w:rPr>
          <w:rFonts w:ascii="Tahoma" w:hAnsi="Tahoma" w:cs="Tahoma"/>
          <w:bCs/>
          <w:sz w:val="24"/>
          <w:szCs w:val="24"/>
          <w:lang w:val="ro-RO"/>
        </w:rPr>
        <w:t>şi</w:t>
      </w:r>
      <w:proofErr w:type="spellEnd"/>
      <w:r w:rsidR="00E46DCE" w:rsidRPr="006B2701">
        <w:rPr>
          <w:rFonts w:ascii="Tahoma" w:hAnsi="Tahoma" w:cs="Tahoma"/>
          <w:bCs/>
          <w:sz w:val="24"/>
          <w:szCs w:val="24"/>
          <w:lang w:val="ro-RO"/>
        </w:rPr>
        <w:t xml:space="preserve"> pentru modificarea </w:t>
      </w:r>
      <w:proofErr w:type="spellStart"/>
      <w:r w:rsidR="00E46DCE" w:rsidRPr="006B2701">
        <w:rPr>
          <w:rFonts w:ascii="Tahoma" w:hAnsi="Tahoma" w:cs="Tahoma"/>
          <w:bCs/>
          <w:sz w:val="24"/>
          <w:szCs w:val="24"/>
          <w:lang w:val="ro-RO"/>
        </w:rPr>
        <w:t>şi</w:t>
      </w:r>
      <w:proofErr w:type="spellEnd"/>
      <w:r w:rsidR="00E46DCE" w:rsidRPr="006B2701">
        <w:rPr>
          <w:rFonts w:ascii="Tahoma" w:hAnsi="Tahoma" w:cs="Tahoma"/>
          <w:bCs/>
          <w:sz w:val="24"/>
          <w:szCs w:val="24"/>
          <w:lang w:val="ro-RO"/>
        </w:rPr>
        <w:t xml:space="preserve"> completarea unor acte normative precum și de creșterile salariale acordate </w:t>
      </w:r>
      <w:r w:rsidR="00345EC8" w:rsidRPr="006B2701">
        <w:rPr>
          <w:rFonts w:ascii="Tahoma" w:hAnsi="Tahoma" w:cs="Tahoma"/>
          <w:bCs/>
          <w:sz w:val="24"/>
          <w:szCs w:val="24"/>
          <w:lang w:val="ro-RO"/>
        </w:rPr>
        <w:t>începând cu luna august 2022 potrivit prevederilor Ordonanței de urgență a Guvernului nr.115/2022</w:t>
      </w:r>
      <w:r w:rsidR="00345EC8" w:rsidRPr="006B2701">
        <w:rPr>
          <w:rFonts w:ascii="Tahoma" w:hAnsi="Tahoma" w:cs="Tahoma"/>
          <w:bCs/>
          <w:sz w:val="24"/>
          <w:szCs w:val="24"/>
          <w:vertAlign w:val="superscript"/>
          <w:lang w:val="ro-RO"/>
        </w:rPr>
        <w:footnoteReference w:id="21"/>
      </w:r>
      <w:r w:rsidR="00345EC8" w:rsidRPr="006B2701">
        <w:rPr>
          <w:rFonts w:ascii="Tahoma" w:hAnsi="Tahoma" w:cs="Tahoma"/>
          <w:bCs/>
          <w:sz w:val="24"/>
          <w:szCs w:val="24"/>
          <w:lang w:val="ro-RO"/>
        </w:rPr>
        <w:t>.</w:t>
      </w:r>
    </w:p>
    <w:p w14:paraId="7A1C867B" w14:textId="48E5B9A5" w:rsidR="00A80217" w:rsidRPr="006B2701" w:rsidRDefault="00A12CD6" w:rsidP="00A80217">
      <w:pPr>
        <w:spacing w:before="120" w:after="120" w:line="276" w:lineRule="auto"/>
        <w:jc w:val="both"/>
        <w:rPr>
          <w:rFonts w:ascii="Arial" w:hAnsi="Arial" w:cs="Arial"/>
          <w:bCs/>
          <w:noProof/>
          <w:sz w:val="24"/>
          <w:szCs w:val="24"/>
          <w:lang w:val="ro-RO" w:eastAsia="ro-RO"/>
        </w:rPr>
      </w:pPr>
      <w:r w:rsidRPr="006B2701">
        <w:rPr>
          <w:rFonts w:ascii="Tahoma" w:hAnsi="Tahoma" w:cs="Tahoma"/>
          <w:bCs/>
          <w:sz w:val="24"/>
          <w:szCs w:val="24"/>
          <w:lang w:val="ro-RO"/>
        </w:rPr>
        <w:lastRenderedPageBreak/>
        <w:t xml:space="preserve">Comparativ cu programul anual cheltuielile de personal s-au efectuat în proporție de </w:t>
      </w:r>
      <w:r w:rsidR="00696D25" w:rsidRPr="006B2701">
        <w:rPr>
          <w:rFonts w:ascii="Tahoma" w:hAnsi="Tahoma" w:cs="Tahoma"/>
          <w:bCs/>
          <w:sz w:val="24"/>
          <w:szCs w:val="24"/>
          <w:lang w:val="ro-RO"/>
        </w:rPr>
        <w:t>99,</w:t>
      </w:r>
      <w:r w:rsidR="007C4713" w:rsidRPr="006B2701">
        <w:rPr>
          <w:rFonts w:ascii="Tahoma" w:hAnsi="Tahoma" w:cs="Tahoma"/>
          <w:bCs/>
          <w:sz w:val="24"/>
          <w:szCs w:val="24"/>
          <w:lang w:val="ro-RO"/>
        </w:rPr>
        <w:t>4</w:t>
      </w:r>
      <w:r w:rsidR="001E0753" w:rsidRPr="006B2701">
        <w:rPr>
          <w:rFonts w:ascii="Tahoma" w:hAnsi="Tahoma" w:cs="Tahoma"/>
          <w:bCs/>
          <w:sz w:val="24"/>
          <w:szCs w:val="24"/>
          <w:lang w:val="ro-RO"/>
        </w:rPr>
        <w:t>%</w:t>
      </w:r>
      <w:r w:rsidR="00A7681D" w:rsidRPr="006B2701">
        <w:rPr>
          <w:rFonts w:ascii="Tahoma" w:hAnsi="Tahoma" w:cs="Tahoma"/>
          <w:bCs/>
          <w:sz w:val="24"/>
          <w:szCs w:val="24"/>
          <w:lang w:val="ro-RO"/>
        </w:rPr>
        <w:t xml:space="preserve">. </w:t>
      </w:r>
    </w:p>
    <w:p w14:paraId="3B0D1000" w14:textId="6397C9CA" w:rsidR="00A80217" w:rsidRPr="006B2701" w:rsidRDefault="00A12CD6" w:rsidP="00A80217">
      <w:pPr>
        <w:spacing w:before="120" w:after="120" w:line="276" w:lineRule="auto"/>
        <w:jc w:val="both"/>
        <w:rPr>
          <w:rFonts w:ascii="Arial" w:hAnsi="Arial" w:cs="Arial"/>
          <w:bCs/>
          <w:noProof/>
          <w:sz w:val="24"/>
          <w:szCs w:val="24"/>
          <w:lang w:val="ro-RO" w:eastAsia="ro-RO"/>
        </w:rPr>
      </w:pPr>
      <w:r w:rsidRPr="006B2701">
        <w:rPr>
          <w:rFonts w:ascii="Tahoma" w:hAnsi="Tahoma" w:cs="Tahoma"/>
          <w:b/>
          <w:bCs/>
          <w:sz w:val="24"/>
          <w:szCs w:val="24"/>
          <w:lang w:val="ro-RO"/>
        </w:rPr>
        <w:t xml:space="preserve">Cheltuielile cu bunuri </w:t>
      </w:r>
      <w:r w:rsidR="00CD743D" w:rsidRPr="006B2701">
        <w:rPr>
          <w:rFonts w:ascii="Tahoma" w:hAnsi="Tahoma" w:cs="Tahoma"/>
          <w:b/>
          <w:bCs/>
          <w:sz w:val="24"/>
          <w:szCs w:val="24"/>
          <w:lang w:val="ro-RO"/>
        </w:rPr>
        <w:t>și</w:t>
      </w:r>
      <w:r w:rsidRPr="006B2701">
        <w:rPr>
          <w:rFonts w:ascii="Tahoma" w:hAnsi="Tahoma" w:cs="Tahoma"/>
          <w:b/>
          <w:bCs/>
          <w:sz w:val="24"/>
          <w:szCs w:val="24"/>
          <w:lang w:val="ro-RO"/>
        </w:rPr>
        <w:t xml:space="preserve"> servicii</w:t>
      </w:r>
      <w:r w:rsidRPr="006B2701">
        <w:rPr>
          <w:rFonts w:ascii="Tahoma" w:hAnsi="Tahoma" w:cs="Tahoma"/>
          <w:sz w:val="24"/>
          <w:szCs w:val="24"/>
          <w:lang w:val="ro-RO"/>
        </w:rPr>
        <w:t xml:space="preserve"> au înregistrat o </w:t>
      </w:r>
      <w:r w:rsidR="00EB1331" w:rsidRPr="006B2701">
        <w:rPr>
          <w:rFonts w:ascii="Tahoma" w:hAnsi="Tahoma" w:cs="Tahoma"/>
          <w:sz w:val="24"/>
          <w:szCs w:val="24"/>
          <w:lang w:val="ro-RO"/>
        </w:rPr>
        <w:t>creștere</w:t>
      </w:r>
      <w:r w:rsidRPr="006B2701">
        <w:rPr>
          <w:rFonts w:ascii="Tahoma" w:hAnsi="Tahoma" w:cs="Tahoma"/>
          <w:sz w:val="24"/>
          <w:szCs w:val="24"/>
          <w:lang w:val="ro-RO"/>
        </w:rPr>
        <w:t xml:space="preserve"> cu </w:t>
      </w:r>
      <w:r w:rsidR="00007B89" w:rsidRPr="006B2701">
        <w:rPr>
          <w:rFonts w:ascii="Tahoma" w:hAnsi="Tahoma" w:cs="Tahoma"/>
          <w:sz w:val="24"/>
          <w:szCs w:val="24"/>
          <w:lang w:val="ro-RO"/>
        </w:rPr>
        <w:t>12,9</w:t>
      </w:r>
      <w:r w:rsidRPr="006B2701">
        <w:rPr>
          <w:rFonts w:ascii="Tahoma" w:hAnsi="Tahoma" w:cs="Tahoma"/>
          <w:sz w:val="24"/>
          <w:szCs w:val="24"/>
          <w:lang w:val="ro-RO"/>
        </w:rPr>
        <w:t xml:space="preserve">% față de anul precedent, iar ca pondere în PIB </w:t>
      </w:r>
      <w:r w:rsidR="00E46DCE" w:rsidRPr="006B2701">
        <w:rPr>
          <w:rFonts w:ascii="Tahoma" w:hAnsi="Tahoma" w:cs="Tahoma"/>
          <w:sz w:val="24"/>
          <w:szCs w:val="24"/>
          <w:lang w:val="ro-RO"/>
        </w:rPr>
        <w:t>s-</w:t>
      </w:r>
      <w:r w:rsidR="00230473" w:rsidRPr="006B2701">
        <w:rPr>
          <w:rFonts w:ascii="Tahoma" w:hAnsi="Tahoma" w:cs="Tahoma"/>
          <w:sz w:val="24"/>
          <w:szCs w:val="24"/>
          <w:lang w:val="ro-RO"/>
        </w:rPr>
        <w:t xml:space="preserve">au </w:t>
      </w:r>
      <w:r w:rsidR="00E46DCE" w:rsidRPr="006B2701">
        <w:rPr>
          <w:rFonts w:ascii="Tahoma" w:hAnsi="Tahoma" w:cs="Tahoma"/>
          <w:sz w:val="24"/>
          <w:szCs w:val="24"/>
          <w:lang w:val="ro-RO"/>
        </w:rPr>
        <w:t>redus cu 0,</w:t>
      </w:r>
      <w:r w:rsidR="00007B89" w:rsidRPr="006B2701">
        <w:rPr>
          <w:rFonts w:ascii="Tahoma" w:hAnsi="Tahoma" w:cs="Tahoma"/>
          <w:sz w:val="24"/>
          <w:szCs w:val="24"/>
          <w:lang w:val="ro-RO"/>
        </w:rPr>
        <w:t>3</w:t>
      </w:r>
      <w:r w:rsidR="00E46DCE" w:rsidRPr="006B2701">
        <w:rPr>
          <w:rFonts w:ascii="Tahoma" w:hAnsi="Tahoma" w:cs="Tahoma"/>
          <w:sz w:val="24"/>
          <w:szCs w:val="24"/>
          <w:lang w:val="ro-RO"/>
        </w:rPr>
        <w:t xml:space="preserve"> puncte procentuale de la 5,4% din PIB în</w:t>
      </w:r>
      <w:r w:rsidR="00C32D62" w:rsidRPr="006B2701">
        <w:rPr>
          <w:rFonts w:ascii="Tahoma" w:hAnsi="Tahoma" w:cs="Tahoma"/>
          <w:sz w:val="24"/>
          <w:szCs w:val="24"/>
          <w:lang w:val="ro-RO"/>
        </w:rPr>
        <w:t xml:space="preserve"> anul 202</w:t>
      </w:r>
      <w:r w:rsidR="00E46DCE" w:rsidRPr="006B2701">
        <w:rPr>
          <w:rFonts w:ascii="Tahoma" w:hAnsi="Tahoma" w:cs="Tahoma"/>
          <w:sz w:val="24"/>
          <w:szCs w:val="24"/>
          <w:lang w:val="ro-RO"/>
        </w:rPr>
        <w:t>1 la 5,</w:t>
      </w:r>
      <w:r w:rsidR="00007B89" w:rsidRPr="006B2701">
        <w:rPr>
          <w:rFonts w:ascii="Tahoma" w:hAnsi="Tahoma" w:cs="Tahoma"/>
          <w:sz w:val="24"/>
          <w:szCs w:val="24"/>
          <w:lang w:val="ro-RO"/>
        </w:rPr>
        <w:t>1</w:t>
      </w:r>
      <w:r w:rsidR="00E46DCE" w:rsidRPr="006B2701">
        <w:rPr>
          <w:rFonts w:ascii="Tahoma" w:hAnsi="Tahoma" w:cs="Tahoma"/>
          <w:sz w:val="24"/>
          <w:szCs w:val="24"/>
          <w:lang w:val="ro-RO"/>
        </w:rPr>
        <w:t>% din PIB în perioada analizată.</w:t>
      </w:r>
    </w:p>
    <w:p w14:paraId="5904A963" w14:textId="5256DC7F" w:rsidR="00081EF6" w:rsidRPr="006B2701" w:rsidRDefault="00081EF6" w:rsidP="00081EF6">
      <w:pPr>
        <w:spacing w:after="120" w:line="276" w:lineRule="auto"/>
        <w:jc w:val="both"/>
        <w:rPr>
          <w:rFonts w:ascii="Tahoma" w:eastAsiaTheme="minorHAnsi" w:hAnsi="Tahoma" w:cs="Tahoma"/>
          <w:bCs/>
          <w:sz w:val="24"/>
          <w:szCs w:val="24"/>
          <w:lang w:val="ro-RO"/>
        </w:rPr>
      </w:pPr>
      <w:r w:rsidRPr="006B2701">
        <w:rPr>
          <w:rFonts w:ascii="Tahoma" w:eastAsiaTheme="minorHAnsi" w:hAnsi="Tahoma" w:cs="Tahoma"/>
          <w:bCs/>
          <w:sz w:val="24"/>
          <w:szCs w:val="24"/>
          <w:lang w:val="ro-RO"/>
        </w:rPr>
        <w:t>Creșterea cheltuielilor cu bunuri și servicii s-a manifestat în cazul tuturor bugetelor componente ale bugetului general consolidat pe fondul presiunilor inflaționiste înregistrate în anul 2022.</w:t>
      </w:r>
    </w:p>
    <w:p w14:paraId="4E1BF6CE" w14:textId="0D4458B0" w:rsidR="00081EF6" w:rsidRPr="006B2701" w:rsidRDefault="00A12CD6" w:rsidP="00081EF6">
      <w:pPr>
        <w:spacing w:before="120" w:after="120" w:line="276" w:lineRule="auto"/>
        <w:jc w:val="both"/>
        <w:rPr>
          <w:rFonts w:ascii="Tahoma" w:hAnsi="Tahoma" w:cs="Tahoma"/>
          <w:bCs/>
          <w:sz w:val="24"/>
          <w:szCs w:val="24"/>
          <w:lang w:val="ro-RO"/>
        </w:rPr>
      </w:pPr>
      <w:r w:rsidRPr="006B2701">
        <w:rPr>
          <w:rFonts w:ascii="Tahoma" w:hAnsi="Tahoma" w:cs="Tahoma"/>
          <w:bCs/>
          <w:sz w:val="24"/>
          <w:szCs w:val="24"/>
          <w:lang w:val="ro-RO"/>
        </w:rPr>
        <w:t xml:space="preserve">Comparativ cu programul anual cheltuielile cu bunuri </w:t>
      </w:r>
      <w:proofErr w:type="spellStart"/>
      <w:r w:rsidRPr="006B2701">
        <w:rPr>
          <w:rFonts w:ascii="Tahoma" w:hAnsi="Tahoma" w:cs="Tahoma"/>
          <w:bCs/>
          <w:sz w:val="24"/>
          <w:szCs w:val="24"/>
          <w:lang w:val="ro-RO"/>
        </w:rPr>
        <w:t>şi</w:t>
      </w:r>
      <w:proofErr w:type="spellEnd"/>
      <w:r w:rsidRPr="006B2701">
        <w:rPr>
          <w:rFonts w:ascii="Tahoma" w:hAnsi="Tahoma" w:cs="Tahoma"/>
          <w:bCs/>
          <w:sz w:val="24"/>
          <w:szCs w:val="24"/>
          <w:lang w:val="ro-RO"/>
        </w:rPr>
        <w:t xml:space="preserve"> servicii s-au efectuat în proporție de </w:t>
      </w:r>
      <w:r w:rsidR="00081EF6" w:rsidRPr="006B2701">
        <w:rPr>
          <w:rFonts w:ascii="Tahoma" w:hAnsi="Tahoma" w:cs="Tahoma"/>
          <w:bCs/>
          <w:sz w:val="24"/>
          <w:szCs w:val="24"/>
          <w:lang w:val="ro-RO"/>
        </w:rPr>
        <w:t>102,1</w:t>
      </w:r>
      <w:r w:rsidRPr="006B2701">
        <w:rPr>
          <w:rFonts w:ascii="Tahoma" w:hAnsi="Tahoma" w:cs="Tahoma"/>
          <w:bCs/>
          <w:sz w:val="24"/>
          <w:szCs w:val="24"/>
          <w:lang w:val="ro-RO"/>
        </w:rPr>
        <w:t>%.</w:t>
      </w:r>
      <w:r w:rsidR="00BD5A56" w:rsidRPr="006B2701">
        <w:rPr>
          <w:rFonts w:ascii="Tahoma" w:hAnsi="Tahoma" w:cs="Tahoma"/>
          <w:bCs/>
          <w:sz w:val="24"/>
          <w:szCs w:val="24"/>
          <w:lang w:val="ro-RO"/>
        </w:rPr>
        <w:t xml:space="preserve"> Depășirea programului a fost determinată de evoluția cheltuielilor cu bunuri și servicii la bugetele locale </w:t>
      </w:r>
      <w:r w:rsidR="00081EF6" w:rsidRPr="006B2701">
        <w:rPr>
          <w:rFonts w:ascii="Tahoma" w:hAnsi="Tahoma" w:cs="Tahoma"/>
          <w:bCs/>
          <w:sz w:val="24"/>
          <w:szCs w:val="24"/>
          <w:lang w:val="ro-RO"/>
        </w:rPr>
        <w:t>(+6,6</w:t>
      </w:r>
      <w:r w:rsidR="00BD5A56" w:rsidRPr="006B2701">
        <w:rPr>
          <w:rFonts w:ascii="Tahoma" w:hAnsi="Tahoma" w:cs="Tahoma"/>
          <w:bCs/>
          <w:sz w:val="24"/>
          <w:szCs w:val="24"/>
          <w:lang w:val="ro-RO"/>
        </w:rPr>
        <w:t>%</w:t>
      </w:r>
      <w:r w:rsidR="00081EF6" w:rsidRPr="006B2701">
        <w:rPr>
          <w:rFonts w:ascii="Tahoma" w:hAnsi="Tahoma" w:cs="Tahoma"/>
          <w:bCs/>
          <w:sz w:val="24"/>
          <w:szCs w:val="24"/>
          <w:lang w:val="ro-RO"/>
        </w:rPr>
        <w:t>), bugetul instituțiilor publice finanțate integral sau parțial din venituri proprii(+7,4) și bugetului Companiei Naționale de Administrare a Infrastructurii Rutiere(+</w:t>
      </w:r>
      <w:r w:rsidR="00007B89" w:rsidRPr="006B2701">
        <w:rPr>
          <w:rFonts w:ascii="Tahoma" w:hAnsi="Tahoma" w:cs="Tahoma"/>
          <w:bCs/>
          <w:sz w:val="24"/>
          <w:szCs w:val="24"/>
          <w:lang w:val="ro-RO"/>
        </w:rPr>
        <w:t>14,8</w:t>
      </w:r>
      <w:r w:rsidR="00081EF6" w:rsidRPr="006B2701">
        <w:rPr>
          <w:rFonts w:ascii="Tahoma" w:hAnsi="Tahoma" w:cs="Tahoma"/>
          <w:bCs/>
          <w:sz w:val="24"/>
          <w:szCs w:val="24"/>
          <w:lang w:val="ro-RO"/>
        </w:rPr>
        <w:t xml:space="preserve">%). </w:t>
      </w:r>
    </w:p>
    <w:p w14:paraId="6E17535C" w14:textId="5EF42D99" w:rsidR="00A80217" w:rsidRPr="006B2701" w:rsidRDefault="00A12CD6" w:rsidP="00081EF6">
      <w:pPr>
        <w:spacing w:before="120" w:after="120" w:line="276" w:lineRule="auto"/>
        <w:jc w:val="both"/>
        <w:rPr>
          <w:rFonts w:ascii="Arial" w:hAnsi="Arial" w:cs="Arial"/>
          <w:bCs/>
          <w:noProof/>
          <w:sz w:val="24"/>
          <w:szCs w:val="24"/>
          <w:lang w:val="ro-RO" w:eastAsia="ro-RO"/>
        </w:rPr>
      </w:pPr>
      <w:r w:rsidRPr="006B2701">
        <w:rPr>
          <w:rFonts w:ascii="Tahoma" w:hAnsi="Tahoma" w:cs="Tahoma"/>
          <w:b/>
          <w:bCs/>
          <w:sz w:val="24"/>
          <w:szCs w:val="24"/>
          <w:lang w:val="ro-RO"/>
        </w:rPr>
        <w:t>Cheltuielile cu dobânzile</w:t>
      </w:r>
      <w:r w:rsidRPr="006B2701">
        <w:rPr>
          <w:rFonts w:ascii="Tahoma" w:hAnsi="Tahoma" w:cs="Tahoma"/>
          <w:sz w:val="24"/>
          <w:szCs w:val="24"/>
          <w:lang w:val="ro-RO"/>
        </w:rPr>
        <w:t xml:space="preserve"> </w:t>
      </w:r>
      <w:r w:rsidR="00696D25" w:rsidRPr="006B2701">
        <w:rPr>
          <w:rFonts w:ascii="Tahoma" w:hAnsi="Tahoma" w:cs="Tahoma"/>
          <w:sz w:val="24"/>
          <w:szCs w:val="24"/>
          <w:lang w:val="ro-RO"/>
        </w:rPr>
        <w:t>au avansat cu</w:t>
      </w:r>
      <w:r w:rsidRPr="006B2701">
        <w:rPr>
          <w:rFonts w:ascii="Tahoma" w:hAnsi="Tahoma" w:cs="Tahoma"/>
          <w:sz w:val="24"/>
          <w:szCs w:val="24"/>
          <w:lang w:val="ro-RO"/>
        </w:rPr>
        <w:t xml:space="preserve"> </w:t>
      </w:r>
      <w:r w:rsidR="00081EF6" w:rsidRPr="006B2701">
        <w:rPr>
          <w:rFonts w:ascii="Tahoma" w:hAnsi="Tahoma" w:cs="Tahoma"/>
          <w:sz w:val="24"/>
          <w:szCs w:val="24"/>
          <w:lang w:val="ro-RO"/>
        </w:rPr>
        <w:t>61,8</w:t>
      </w:r>
      <w:r w:rsidRPr="006B2701">
        <w:rPr>
          <w:rFonts w:ascii="Tahoma" w:hAnsi="Tahoma" w:cs="Tahoma"/>
          <w:sz w:val="24"/>
          <w:szCs w:val="24"/>
          <w:lang w:val="ro-RO"/>
        </w:rPr>
        <w:t xml:space="preserve">% </w:t>
      </w:r>
      <w:r w:rsidR="00696D25" w:rsidRPr="006B2701">
        <w:rPr>
          <w:rFonts w:ascii="Tahoma" w:hAnsi="Tahoma" w:cs="Tahoma"/>
          <w:sz w:val="24"/>
          <w:szCs w:val="24"/>
          <w:lang w:val="ro-RO"/>
        </w:rPr>
        <w:t xml:space="preserve">comparativ cu </w:t>
      </w:r>
      <w:r w:rsidRPr="006B2701">
        <w:rPr>
          <w:rFonts w:ascii="Tahoma" w:hAnsi="Tahoma" w:cs="Tahoma"/>
          <w:sz w:val="24"/>
          <w:szCs w:val="24"/>
          <w:lang w:val="ro-RO"/>
        </w:rPr>
        <w:t>anul precedent, iar ca pondere în PIB cu 0,</w:t>
      </w:r>
      <w:r w:rsidR="00081EF6" w:rsidRPr="006B2701">
        <w:rPr>
          <w:rFonts w:ascii="Tahoma" w:hAnsi="Tahoma" w:cs="Tahoma"/>
          <w:sz w:val="24"/>
          <w:szCs w:val="24"/>
          <w:lang w:val="ro-RO"/>
        </w:rPr>
        <w:t>6</w:t>
      </w:r>
      <w:r w:rsidR="00294851" w:rsidRPr="006B2701">
        <w:rPr>
          <w:rFonts w:ascii="Tahoma" w:hAnsi="Tahoma" w:cs="Tahoma"/>
          <w:sz w:val="24"/>
          <w:szCs w:val="24"/>
          <w:lang w:val="ro-RO"/>
        </w:rPr>
        <w:t xml:space="preserve"> </w:t>
      </w:r>
      <w:r w:rsidR="00BD5A56" w:rsidRPr="006B2701">
        <w:rPr>
          <w:rFonts w:ascii="Tahoma" w:hAnsi="Tahoma" w:cs="Tahoma"/>
          <w:sz w:val="24"/>
          <w:szCs w:val="24"/>
          <w:lang w:val="ro-RO"/>
        </w:rPr>
        <w:t>puncte procentuale</w:t>
      </w:r>
      <w:r w:rsidR="00F25A6C" w:rsidRPr="006B2701">
        <w:rPr>
          <w:rFonts w:ascii="Tahoma" w:hAnsi="Tahoma" w:cs="Tahoma"/>
          <w:sz w:val="24"/>
          <w:szCs w:val="24"/>
          <w:lang w:val="ro-RO"/>
        </w:rPr>
        <w:t>, de</w:t>
      </w:r>
      <w:r w:rsidR="00E76763" w:rsidRPr="006B2701">
        <w:rPr>
          <w:rFonts w:ascii="Tahoma" w:hAnsi="Tahoma" w:cs="Tahoma"/>
          <w:sz w:val="24"/>
          <w:szCs w:val="24"/>
          <w:lang w:val="ro-RO"/>
        </w:rPr>
        <w:t xml:space="preserve"> la</w:t>
      </w:r>
      <w:r w:rsidR="00F25A6C" w:rsidRPr="006B2701">
        <w:rPr>
          <w:rFonts w:ascii="Tahoma" w:hAnsi="Tahoma" w:cs="Tahoma"/>
          <w:sz w:val="24"/>
          <w:szCs w:val="24"/>
          <w:lang w:val="ro-RO"/>
        </w:rPr>
        <w:t xml:space="preserve"> 1,</w:t>
      </w:r>
      <w:r w:rsidR="00081EF6" w:rsidRPr="006B2701">
        <w:rPr>
          <w:rFonts w:ascii="Tahoma" w:hAnsi="Tahoma" w:cs="Tahoma"/>
          <w:sz w:val="24"/>
          <w:szCs w:val="24"/>
          <w:lang w:val="ro-RO"/>
        </w:rPr>
        <w:t>5</w:t>
      </w:r>
      <w:r w:rsidR="00F25A6C" w:rsidRPr="006B2701">
        <w:rPr>
          <w:rFonts w:ascii="Tahoma" w:hAnsi="Tahoma" w:cs="Tahoma"/>
          <w:sz w:val="24"/>
          <w:szCs w:val="24"/>
          <w:lang w:val="ro-RO"/>
        </w:rPr>
        <w:t xml:space="preserve">% din PIB în </w:t>
      </w:r>
      <w:r w:rsidR="00294851" w:rsidRPr="006B2701">
        <w:rPr>
          <w:rFonts w:ascii="Tahoma" w:hAnsi="Tahoma" w:cs="Tahoma"/>
          <w:sz w:val="24"/>
          <w:szCs w:val="24"/>
          <w:lang w:val="ro-RO"/>
        </w:rPr>
        <w:t>202</w:t>
      </w:r>
      <w:r w:rsidR="00081EF6" w:rsidRPr="006B2701">
        <w:rPr>
          <w:rFonts w:ascii="Tahoma" w:hAnsi="Tahoma" w:cs="Tahoma"/>
          <w:sz w:val="24"/>
          <w:szCs w:val="24"/>
          <w:lang w:val="ro-RO"/>
        </w:rPr>
        <w:t>1</w:t>
      </w:r>
      <w:r w:rsidR="00294851" w:rsidRPr="006B2701">
        <w:rPr>
          <w:rFonts w:ascii="Tahoma" w:hAnsi="Tahoma" w:cs="Tahoma"/>
          <w:sz w:val="24"/>
          <w:szCs w:val="24"/>
          <w:lang w:val="ro-RO"/>
        </w:rPr>
        <w:t xml:space="preserve"> </w:t>
      </w:r>
      <w:r w:rsidR="00F25A6C" w:rsidRPr="006B2701">
        <w:rPr>
          <w:rFonts w:ascii="Tahoma" w:hAnsi="Tahoma" w:cs="Tahoma"/>
          <w:sz w:val="24"/>
          <w:szCs w:val="24"/>
          <w:lang w:val="ro-RO"/>
        </w:rPr>
        <w:t xml:space="preserve">la </w:t>
      </w:r>
      <w:r w:rsidR="00081EF6" w:rsidRPr="006B2701">
        <w:rPr>
          <w:rFonts w:ascii="Tahoma" w:hAnsi="Tahoma" w:cs="Tahoma"/>
          <w:sz w:val="24"/>
          <w:szCs w:val="24"/>
          <w:lang w:val="ro-RO"/>
        </w:rPr>
        <w:t>2,1</w:t>
      </w:r>
      <w:r w:rsidR="00F25A6C" w:rsidRPr="006B2701">
        <w:rPr>
          <w:rFonts w:ascii="Tahoma" w:hAnsi="Tahoma" w:cs="Tahoma"/>
          <w:sz w:val="24"/>
          <w:szCs w:val="24"/>
          <w:lang w:val="ro-RO"/>
        </w:rPr>
        <w:t xml:space="preserve">% din PIB în anul </w:t>
      </w:r>
      <w:r w:rsidR="00294851" w:rsidRPr="006B2701">
        <w:rPr>
          <w:rFonts w:ascii="Tahoma" w:hAnsi="Tahoma" w:cs="Tahoma"/>
          <w:sz w:val="24"/>
          <w:szCs w:val="24"/>
          <w:lang w:val="ro-RO"/>
        </w:rPr>
        <w:t>202</w:t>
      </w:r>
      <w:r w:rsidR="00081EF6" w:rsidRPr="006B2701">
        <w:rPr>
          <w:rFonts w:ascii="Tahoma" w:hAnsi="Tahoma" w:cs="Tahoma"/>
          <w:sz w:val="24"/>
          <w:szCs w:val="24"/>
          <w:lang w:val="ro-RO"/>
        </w:rPr>
        <w:t>2</w:t>
      </w:r>
      <w:r w:rsidRPr="006B2701">
        <w:rPr>
          <w:rFonts w:ascii="Tahoma" w:hAnsi="Tahoma" w:cs="Tahoma"/>
          <w:sz w:val="24"/>
          <w:szCs w:val="24"/>
          <w:lang w:val="ro-RO"/>
        </w:rPr>
        <w:t xml:space="preserve">. Acestea nu au reușit să atingă nivelul prevăzut a se efectua în anul </w:t>
      </w:r>
      <w:r w:rsidR="00294851" w:rsidRPr="006B2701">
        <w:rPr>
          <w:rFonts w:ascii="Tahoma" w:hAnsi="Tahoma" w:cs="Tahoma"/>
          <w:sz w:val="24"/>
          <w:szCs w:val="24"/>
          <w:lang w:val="ro-RO"/>
        </w:rPr>
        <w:t>202</w:t>
      </w:r>
      <w:r w:rsidR="00081EF6" w:rsidRPr="006B2701">
        <w:rPr>
          <w:rFonts w:ascii="Tahoma" w:hAnsi="Tahoma" w:cs="Tahoma"/>
          <w:sz w:val="24"/>
          <w:szCs w:val="24"/>
          <w:lang w:val="ro-RO"/>
        </w:rPr>
        <w:t>2</w:t>
      </w:r>
      <w:r w:rsidRPr="006B2701">
        <w:rPr>
          <w:rFonts w:ascii="Tahoma" w:hAnsi="Tahoma" w:cs="Tahoma"/>
          <w:sz w:val="24"/>
          <w:szCs w:val="24"/>
          <w:lang w:val="ro-RO"/>
        </w:rPr>
        <w:t xml:space="preserve">, </w:t>
      </w:r>
      <w:r w:rsidR="000F1868" w:rsidRPr="006B2701">
        <w:rPr>
          <w:rFonts w:ascii="Tahoma" w:hAnsi="Tahoma" w:cs="Tahoma"/>
          <w:sz w:val="24"/>
          <w:szCs w:val="24"/>
          <w:lang w:val="ro-RO"/>
        </w:rPr>
        <w:t>efectuând</w:t>
      </w:r>
      <w:r w:rsidR="00E76763" w:rsidRPr="006B2701">
        <w:rPr>
          <w:rFonts w:ascii="Tahoma" w:hAnsi="Tahoma" w:cs="Tahoma"/>
          <w:sz w:val="24"/>
          <w:szCs w:val="24"/>
          <w:lang w:val="ro-RO"/>
        </w:rPr>
        <w:t>-</w:t>
      </w:r>
      <w:r w:rsidR="000C2DC4" w:rsidRPr="006B2701">
        <w:rPr>
          <w:rFonts w:ascii="Tahoma" w:hAnsi="Tahoma" w:cs="Tahoma"/>
          <w:sz w:val="24"/>
          <w:szCs w:val="24"/>
          <w:lang w:val="ro-RO"/>
        </w:rPr>
        <w:t xml:space="preserve">se în proporție de </w:t>
      </w:r>
      <w:r w:rsidR="00294851" w:rsidRPr="006B2701">
        <w:rPr>
          <w:rFonts w:ascii="Tahoma" w:hAnsi="Tahoma" w:cs="Tahoma"/>
          <w:sz w:val="24"/>
          <w:szCs w:val="24"/>
          <w:lang w:val="ro-RO"/>
        </w:rPr>
        <w:t>98,</w:t>
      </w:r>
      <w:r w:rsidR="00081EF6" w:rsidRPr="006B2701">
        <w:rPr>
          <w:rFonts w:ascii="Tahoma" w:hAnsi="Tahoma" w:cs="Tahoma"/>
          <w:sz w:val="24"/>
          <w:szCs w:val="24"/>
          <w:lang w:val="ro-RO"/>
        </w:rPr>
        <w:t>6</w:t>
      </w:r>
      <w:r w:rsidRPr="006B2701">
        <w:rPr>
          <w:rFonts w:ascii="Tahoma" w:hAnsi="Tahoma" w:cs="Tahoma"/>
          <w:sz w:val="24"/>
          <w:szCs w:val="24"/>
          <w:lang w:val="ro-RO"/>
        </w:rPr>
        <w:t>%.</w:t>
      </w:r>
      <w:r w:rsidR="00081EF6" w:rsidRPr="006B2701">
        <w:rPr>
          <w:rFonts w:ascii="Tahoma" w:hAnsi="Tahoma" w:cs="Tahoma"/>
          <w:color w:val="000000"/>
          <w:sz w:val="24"/>
          <w:szCs w:val="24"/>
          <w:lang w:val="ro-RO" w:bidi="si-LK"/>
        </w:rPr>
        <w:t xml:space="preserve"> </w:t>
      </w:r>
      <w:r w:rsidR="00927D8C" w:rsidRPr="006B2701">
        <w:rPr>
          <w:rFonts w:ascii="Tahoma" w:hAnsi="Tahoma" w:cs="Tahoma"/>
          <w:color w:val="000000"/>
          <w:sz w:val="24"/>
          <w:szCs w:val="24"/>
          <w:lang w:val="ro-RO" w:bidi="si-LK"/>
        </w:rPr>
        <w:t xml:space="preserve">Majorarea cheltuielilor cu dobânzile </w:t>
      </w:r>
      <w:r w:rsidR="00081EF6" w:rsidRPr="006B2701">
        <w:rPr>
          <w:rFonts w:ascii="Tahoma" w:hAnsi="Tahoma" w:cs="Tahoma"/>
          <w:color w:val="000000"/>
          <w:sz w:val="24"/>
          <w:szCs w:val="24"/>
          <w:lang w:val="ro-RO" w:bidi="si-LK"/>
        </w:rPr>
        <w:t xml:space="preserve">a </w:t>
      </w:r>
      <w:r w:rsidR="00927D8C" w:rsidRPr="006B2701">
        <w:rPr>
          <w:rFonts w:ascii="Tahoma" w:hAnsi="Tahoma" w:cs="Tahoma"/>
          <w:color w:val="000000"/>
          <w:sz w:val="24"/>
          <w:szCs w:val="24"/>
          <w:lang w:val="ro-RO" w:bidi="si-LK"/>
        </w:rPr>
        <w:t>fost determinat</w:t>
      </w:r>
      <w:r w:rsidR="00C74EE6" w:rsidRPr="006B2701">
        <w:rPr>
          <w:rFonts w:ascii="Tahoma" w:hAnsi="Tahoma" w:cs="Tahoma"/>
          <w:color w:val="000000"/>
          <w:sz w:val="24"/>
          <w:szCs w:val="24"/>
          <w:lang w:val="ro-RO" w:bidi="si-LK"/>
        </w:rPr>
        <w:t>ă</w:t>
      </w:r>
      <w:r w:rsidR="00927D8C" w:rsidRPr="006B2701">
        <w:rPr>
          <w:rFonts w:ascii="Tahoma" w:hAnsi="Tahoma" w:cs="Tahoma"/>
          <w:color w:val="000000"/>
          <w:sz w:val="24"/>
          <w:szCs w:val="24"/>
          <w:lang w:val="ro-RO" w:bidi="si-LK"/>
        </w:rPr>
        <w:t xml:space="preserve"> de </w:t>
      </w:r>
      <w:r w:rsidR="00081EF6" w:rsidRPr="006B2701">
        <w:rPr>
          <w:rFonts w:ascii="Tahoma" w:hAnsi="Tahoma" w:cs="Tahoma"/>
          <w:color w:val="000000"/>
          <w:sz w:val="24"/>
          <w:szCs w:val="24"/>
          <w:lang w:val="ro-RO" w:bidi="si-LK"/>
        </w:rPr>
        <w:t>creșter</w:t>
      </w:r>
      <w:r w:rsidR="00927D8C" w:rsidRPr="006B2701">
        <w:rPr>
          <w:rFonts w:ascii="Tahoma" w:hAnsi="Tahoma" w:cs="Tahoma"/>
          <w:color w:val="000000"/>
          <w:sz w:val="24"/>
          <w:szCs w:val="24"/>
          <w:lang w:val="ro-RO" w:bidi="si-LK"/>
        </w:rPr>
        <w:t>ea</w:t>
      </w:r>
      <w:r w:rsidR="00081EF6" w:rsidRPr="006B2701">
        <w:rPr>
          <w:rFonts w:ascii="Helv" w:hAnsi="Helv" w:cs="Helv"/>
          <w:color w:val="000000"/>
          <w:sz w:val="24"/>
          <w:szCs w:val="24"/>
          <w:lang w:val="ro-RO" w:bidi="si-LK"/>
        </w:rPr>
        <w:t xml:space="preserve"> ratelor de </w:t>
      </w:r>
      <w:r w:rsidR="003F69A8" w:rsidRPr="006B2701">
        <w:rPr>
          <w:rFonts w:ascii="Helv" w:hAnsi="Helv" w:cs="Helv"/>
          <w:color w:val="000000"/>
          <w:sz w:val="24"/>
          <w:szCs w:val="24"/>
          <w:lang w:val="ro-RO" w:bidi="si-LK"/>
        </w:rPr>
        <w:t>dobândă</w:t>
      </w:r>
      <w:r w:rsidR="00081EF6" w:rsidRPr="006B2701">
        <w:rPr>
          <w:rFonts w:ascii="Tahoma" w:hAnsi="Tahoma" w:cs="Tahoma"/>
          <w:color w:val="000000"/>
          <w:sz w:val="24"/>
          <w:szCs w:val="24"/>
          <w:lang w:val="ro-RO" w:bidi="si-LK"/>
        </w:rPr>
        <w:t xml:space="preserve"> în contextul inflaționist manifestat îndeosebi începând cu a doua parte a anului 2021, atât pe plan intern cât și </w:t>
      </w:r>
      <w:r w:rsidR="003F69A8" w:rsidRPr="006B2701">
        <w:rPr>
          <w:rFonts w:ascii="Tahoma" w:hAnsi="Tahoma" w:cs="Tahoma"/>
          <w:color w:val="000000"/>
          <w:sz w:val="24"/>
          <w:szCs w:val="24"/>
          <w:lang w:val="ro-RO" w:bidi="si-LK"/>
        </w:rPr>
        <w:t>internațional</w:t>
      </w:r>
      <w:r w:rsidR="00081EF6" w:rsidRPr="006B2701">
        <w:rPr>
          <w:rFonts w:ascii="Tahoma" w:hAnsi="Tahoma" w:cs="Tahoma"/>
          <w:color w:val="000000"/>
          <w:sz w:val="24"/>
          <w:szCs w:val="24"/>
          <w:lang w:val="ro-RO" w:bidi="si-LK"/>
        </w:rPr>
        <w:t>, cât și ca urmare a incertitudinilor generate de conflictul armat din Ucraina.</w:t>
      </w:r>
    </w:p>
    <w:p w14:paraId="0E15499C" w14:textId="7486EDAE" w:rsidR="00A80217" w:rsidRPr="006B2701" w:rsidRDefault="00A12CD6" w:rsidP="00A80217">
      <w:pPr>
        <w:spacing w:before="120" w:after="120" w:line="276" w:lineRule="auto"/>
        <w:jc w:val="both"/>
        <w:rPr>
          <w:rFonts w:ascii="Arial" w:hAnsi="Arial" w:cs="Arial"/>
          <w:bCs/>
          <w:noProof/>
          <w:sz w:val="24"/>
          <w:szCs w:val="24"/>
          <w:lang w:val="ro-RO" w:eastAsia="ro-RO"/>
        </w:rPr>
      </w:pPr>
      <w:r w:rsidRPr="006B2701">
        <w:rPr>
          <w:rFonts w:ascii="Tahoma" w:hAnsi="Tahoma" w:cs="Tahoma"/>
          <w:b/>
          <w:bCs/>
          <w:sz w:val="24"/>
          <w:szCs w:val="24"/>
          <w:lang w:val="ro-RO"/>
        </w:rPr>
        <w:t>Cheltuielile cu subvențiile</w:t>
      </w:r>
      <w:r w:rsidR="0020052F" w:rsidRPr="006B2701">
        <w:rPr>
          <w:rFonts w:ascii="Tahoma" w:hAnsi="Tahoma" w:cs="Tahoma"/>
          <w:b/>
          <w:bCs/>
          <w:sz w:val="24"/>
          <w:szCs w:val="24"/>
          <w:lang w:val="ro-RO"/>
        </w:rPr>
        <w:t xml:space="preserve"> </w:t>
      </w:r>
      <w:r w:rsidR="00BD5A56" w:rsidRPr="006B2701">
        <w:rPr>
          <w:rFonts w:ascii="Tahoma" w:hAnsi="Tahoma" w:cs="Tahoma"/>
          <w:bCs/>
          <w:sz w:val="24"/>
          <w:szCs w:val="24"/>
          <w:lang w:val="ro-RO"/>
        </w:rPr>
        <w:t>au crescut</w:t>
      </w:r>
      <w:r w:rsidRPr="006B2701">
        <w:rPr>
          <w:rFonts w:ascii="Tahoma" w:hAnsi="Tahoma" w:cs="Tahoma"/>
          <w:bCs/>
          <w:sz w:val="24"/>
          <w:szCs w:val="24"/>
          <w:lang w:val="ro-RO"/>
        </w:rPr>
        <w:t xml:space="preserve"> față de anul precedent cu </w:t>
      </w:r>
      <w:r w:rsidR="00C74EE6" w:rsidRPr="006B2701">
        <w:rPr>
          <w:rFonts w:ascii="Tahoma" w:hAnsi="Tahoma" w:cs="Tahoma"/>
          <w:bCs/>
          <w:sz w:val="24"/>
          <w:szCs w:val="24"/>
          <w:lang w:val="ro-RO"/>
        </w:rPr>
        <w:t>9,36</w:t>
      </w:r>
      <w:r w:rsidR="002A29E1" w:rsidRPr="006B2701">
        <w:rPr>
          <w:rFonts w:ascii="Tahoma" w:hAnsi="Tahoma" w:cs="Tahoma"/>
          <w:bCs/>
          <w:sz w:val="24"/>
          <w:szCs w:val="24"/>
          <w:lang w:val="ro-RO"/>
        </w:rPr>
        <w:t xml:space="preserve"> miliarde lei cee</w:t>
      </w:r>
      <w:r w:rsidR="00C74EE6" w:rsidRPr="006B2701">
        <w:rPr>
          <w:rFonts w:ascii="Tahoma" w:hAnsi="Tahoma" w:cs="Tahoma"/>
          <w:bCs/>
          <w:sz w:val="24"/>
          <w:szCs w:val="24"/>
          <w:lang w:val="ro-RO"/>
        </w:rPr>
        <w:t xml:space="preserve">a ce reprezintă o dublare a cheltuielilor, </w:t>
      </w:r>
      <w:r w:rsidR="00696D25" w:rsidRPr="006B2701">
        <w:rPr>
          <w:rFonts w:ascii="Tahoma" w:hAnsi="Tahoma" w:cs="Tahoma"/>
          <w:bCs/>
          <w:sz w:val="24"/>
          <w:szCs w:val="24"/>
          <w:lang w:val="ro-RO"/>
        </w:rPr>
        <w:t xml:space="preserve">iar ca pondere în PIB </w:t>
      </w:r>
      <w:r w:rsidR="00294851" w:rsidRPr="006B2701">
        <w:rPr>
          <w:rFonts w:ascii="Tahoma" w:hAnsi="Tahoma" w:cs="Tahoma"/>
          <w:bCs/>
          <w:sz w:val="24"/>
          <w:szCs w:val="24"/>
          <w:lang w:val="ro-RO"/>
        </w:rPr>
        <w:t xml:space="preserve">au </w:t>
      </w:r>
      <w:r w:rsidR="00C74EE6" w:rsidRPr="006B2701">
        <w:rPr>
          <w:rFonts w:ascii="Tahoma" w:hAnsi="Tahoma" w:cs="Tahoma"/>
          <w:bCs/>
          <w:sz w:val="24"/>
          <w:szCs w:val="24"/>
          <w:lang w:val="ro-RO"/>
        </w:rPr>
        <w:t>crescut</w:t>
      </w:r>
      <w:r w:rsidR="00294851" w:rsidRPr="006B2701">
        <w:rPr>
          <w:rFonts w:ascii="Tahoma" w:hAnsi="Tahoma" w:cs="Tahoma"/>
          <w:bCs/>
          <w:sz w:val="24"/>
          <w:szCs w:val="24"/>
          <w:lang w:val="ro-RO"/>
        </w:rPr>
        <w:t xml:space="preserve"> </w:t>
      </w:r>
      <w:r w:rsidR="00696D25" w:rsidRPr="006B2701">
        <w:rPr>
          <w:rFonts w:ascii="Tahoma" w:hAnsi="Tahoma" w:cs="Tahoma"/>
          <w:bCs/>
          <w:sz w:val="24"/>
          <w:szCs w:val="24"/>
          <w:lang w:val="ro-RO"/>
        </w:rPr>
        <w:t>cu 0,</w:t>
      </w:r>
      <w:r w:rsidR="00C74EE6" w:rsidRPr="006B2701">
        <w:rPr>
          <w:rFonts w:ascii="Tahoma" w:hAnsi="Tahoma" w:cs="Tahoma"/>
          <w:bCs/>
          <w:sz w:val="24"/>
          <w:szCs w:val="24"/>
          <w:lang w:val="ro-RO"/>
        </w:rPr>
        <w:t>6</w:t>
      </w:r>
      <w:r w:rsidR="00696D25" w:rsidRPr="006B2701">
        <w:rPr>
          <w:rFonts w:ascii="Tahoma" w:hAnsi="Tahoma" w:cs="Tahoma"/>
          <w:bCs/>
          <w:sz w:val="24"/>
          <w:szCs w:val="24"/>
          <w:lang w:val="ro-RO"/>
        </w:rPr>
        <w:t xml:space="preserve"> puncte procentuale de la 0,</w:t>
      </w:r>
      <w:r w:rsidR="00C74EE6" w:rsidRPr="006B2701">
        <w:rPr>
          <w:rFonts w:ascii="Tahoma" w:hAnsi="Tahoma" w:cs="Tahoma"/>
          <w:bCs/>
          <w:sz w:val="24"/>
          <w:szCs w:val="24"/>
          <w:lang w:val="ro-RO"/>
        </w:rPr>
        <w:t>7</w:t>
      </w:r>
      <w:r w:rsidR="00696D25" w:rsidRPr="006B2701">
        <w:rPr>
          <w:rFonts w:ascii="Tahoma" w:hAnsi="Tahoma" w:cs="Tahoma"/>
          <w:bCs/>
          <w:sz w:val="24"/>
          <w:szCs w:val="24"/>
          <w:lang w:val="ro-RO"/>
        </w:rPr>
        <w:t xml:space="preserve">% din PIB în anul </w:t>
      </w:r>
      <w:r w:rsidR="00294851" w:rsidRPr="006B2701">
        <w:rPr>
          <w:rFonts w:ascii="Tahoma" w:hAnsi="Tahoma" w:cs="Tahoma"/>
          <w:bCs/>
          <w:sz w:val="24"/>
          <w:szCs w:val="24"/>
          <w:lang w:val="ro-RO"/>
        </w:rPr>
        <w:t>202</w:t>
      </w:r>
      <w:r w:rsidR="00C74EE6" w:rsidRPr="006B2701">
        <w:rPr>
          <w:rFonts w:ascii="Tahoma" w:hAnsi="Tahoma" w:cs="Tahoma"/>
          <w:bCs/>
          <w:sz w:val="24"/>
          <w:szCs w:val="24"/>
          <w:lang w:val="ro-RO"/>
        </w:rPr>
        <w:t>1</w:t>
      </w:r>
      <w:r w:rsidR="00294851" w:rsidRPr="006B2701">
        <w:rPr>
          <w:rFonts w:ascii="Tahoma" w:hAnsi="Tahoma" w:cs="Tahoma"/>
          <w:bCs/>
          <w:sz w:val="24"/>
          <w:szCs w:val="24"/>
          <w:lang w:val="ro-RO"/>
        </w:rPr>
        <w:t xml:space="preserve"> </w:t>
      </w:r>
      <w:r w:rsidR="00696D25" w:rsidRPr="006B2701">
        <w:rPr>
          <w:rFonts w:ascii="Tahoma" w:hAnsi="Tahoma" w:cs="Tahoma"/>
          <w:bCs/>
          <w:sz w:val="24"/>
          <w:szCs w:val="24"/>
          <w:lang w:val="ro-RO"/>
        </w:rPr>
        <w:t xml:space="preserve">la </w:t>
      </w:r>
      <w:r w:rsidR="00C74EE6" w:rsidRPr="006B2701">
        <w:rPr>
          <w:rFonts w:ascii="Tahoma" w:hAnsi="Tahoma" w:cs="Tahoma"/>
          <w:bCs/>
          <w:sz w:val="24"/>
          <w:szCs w:val="24"/>
          <w:lang w:val="ro-RO"/>
        </w:rPr>
        <w:t>1,3</w:t>
      </w:r>
      <w:r w:rsidR="00696D25" w:rsidRPr="006B2701">
        <w:rPr>
          <w:rFonts w:ascii="Tahoma" w:hAnsi="Tahoma" w:cs="Tahoma"/>
          <w:bCs/>
          <w:sz w:val="24"/>
          <w:szCs w:val="24"/>
          <w:lang w:val="ro-RO"/>
        </w:rPr>
        <w:t xml:space="preserve">% din PIB în anul </w:t>
      </w:r>
      <w:r w:rsidR="00294851" w:rsidRPr="006B2701">
        <w:rPr>
          <w:rFonts w:ascii="Tahoma" w:hAnsi="Tahoma" w:cs="Tahoma"/>
          <w:bCs/>
          <w:sz w:val="24"/>
          <w:szCs w:val="24"/>
          <w:lang w:val="ro-RO"/>
        </w:rPr>
        <w:t>202</w:t>
      </w:r>
      <w:r w:rsidR="00C74EE6" w:rsidRPr="006B2701">
        <w:rPr>
          <w:rFonts w:ascii="Tahoma" w:hAnsi="Tahoma" w:cs="Tahoma"/>
          <w:bCs/>
          <w:sz w:val="24"/>
          <w:szCs w:val="24"/>
          <w:lang w:val="ro-RO"/>
        </w:rPr>
        <w:t>2</w:t>
      </w:r>
      <w:r w:rsidR="00B01894" w:rsidRPr="006B2701">
        <w:rPr>
          <w:rFonts w:ascii="Tahoma" w:hAnsi="Tahoma" w:cs="Tahoma"/>
          <w:sz w:val="24"/>
          <w:szCs w:val="24"/>
          <w:lang w:val="ro-RO"/>
        </w:rPr>
        <w:t xml:space="preserve">, gradul de efectuare a acestora fiind de </w:t>
      </w:r>
      <w:r w:rsidR="00294851" w:rsidRPr="006B2701">
        <w:rPr>
          <w:rFonts w:ascii="Tahoma" w:hAnsi="Tahoma" w:cs="Tahoma"/>
          <w:sz w:val="24"/>
          <w:szCs w:val="24"/>
          <w:lang w:val="ro-RO"/>
        </w:rPr>
        <w:t>102,</w:t>
      </w:r>
      <w:r w:rsidR="00C74EE6" w:rsidRPr="006B2701">
        <w:rPr>
          <w:rFonts w:ascii="Tahoma" w:hAnsi="Tahoma" w:cs="Tahoma"/>
          <w:sz w:val="24"/>
          <w:szCs w:val="24"/>
          <w:lang w:val="ro-RO"/>
        </w:rPr>
        <w:t>0</w:t>
      </w:r>
      <w:r w:rsidR="00B01894" w:rsidRPr="006B2701">
        <w:rPr>
          <w:rFonts w:ascii="Tahoma" w:hAnsi="Tahoma" w:cs="Tahoma"/>
          <w:sz w:val="24"/>
          <w:szCs w:val="24"/>
          <w:lang w:val="ro-RO"/>
        </w:rPr>
        <w:t>%</w:t>
      </w:r>
      <w:r w:rsidR="00BD5A56" w:rsidRPr="006B2701">
        <w:rPr>
          <w:rFonts w:ascii="Tahoma" w:hAnsi="Tahoma" w:cs="Tahoma"/>
          <w:sz w:val="24"/>
          <w:szCs w:val="24"/>
          <w:lang w:val="ro-RO"/>
        </w:rPr>
        <w:t>.</w:t>
      </w:r>
    </w:p>
    <w:p w14:paraId="15392AB8" w14:textId="0E75919B" w:rsidR="00C74EE6" w:rsidRPr="006B2701" w:rsidRDefault="00C74EE6" w:rsidP="00C74EE6">
      <w:pPr>
        <w:spacing w:before="120" w:after="120" w:line="276" w:lineRule="auto"/>
        <w:jc w:val="both"/>
        <w:rPr>
          <w:rFonts w:ascii="Tahoma" w:hAnsi="Tahoma" w:cs="Tahoma"/>
          <w:bCs/>
          <w:sz w:val="24"/>
          <w:szCs w:val="24"/>
          <w:lang w:val="ro-RO"/>
        </w:rPr>
      </w:pPr>
      <w:r w:rsidRPr="006B2701">
        <w:rPr>
          <w:rFonts w:ascii="Tahoma" w:hAnsi="Tahoma" w:cs="Tahoma"/>
          <w:bCs/>
          <w:sz w:val="24"/>
          <w:szCs w:val="24"/>
          <w:lang w:val="ro-RO"/>
        </w:rPr>
        <w:t>Cea mai mare parte dintre aceste cheltuieli au reprezentat alocări către sectorul agricol și transporturi, respectiv subvenții pentru sprijinirea producătorilor agricoli și pentru transportul călătorilor, precum și pentru schema de compensare pentru consumul de energie electrica și gaze naturale al consumatorilor noncasnici pentru sezonul rece 2021-2022 (7,05 m</w:t>
      </w:r>
      <w:r w:rsidR="003D10DF">
        <w:rPr>
          <w:rFonts w:ascii="Tahoma" w:hAnsi="Tahoma" w:cs="Tahoma"/>
          <w:bCs/>
          <w:sz w:val="24"/>
          <w:szCs w:val="24"/>
          <w:lang w:val="ro-RO"/>
        </w:rPr>
        <w:t>iliarde</w:t>
      </w:r>
      <w:r w:rsidRPr="006B2701">
        <w:rPr>
          <w:rFonts w:ascii="Tahoma" w:hAnsi="Tahoma" w:cs="Tahoma"/>
          <w:bCs/>
          <w:sz w:val="24"/>
          <w:szCs w:val="24"/>
          <w:lang w:val="ro-RO"/>
        </w:rPr>
        <w:t xml:space="preserve"> lei) care reprezintă 39,1% din total subvenții.</w:t>
      </w:r>
    </w:p>
    <w:p w14:paraId="6EA36DF6" w14:textId="67327F3A" w:rsidR="00A12CD6" w:rsidRPr="006B2701" w:rsidRDefault="00A12CD6" w:rsidP="00A80217">
      <w:pPr>
        <w:spacing w:before="120" w:after="120" w:line="276" w:lineRule="auto"/>
        <w:jc w:val="both"/>
        <w:rPr>
          <w:rFonts w:ascii="Arial" w:hAnsi="Arial" w:cs="Arial"/>
          <w:bCs/>
          <w:noProof/>
          <w:sz w:val="24"/>
          <w:szCs w:val="24"/>
          <w:lang w:val="ro-RO" w:eastAsia="ro-RO"/>
        </w:rPr>
      </w:pPr>
      <w:r w:rsidRPr="006B2701">
        <w:rPr>
          <w:rFonts w:ascii="Tahoma" w:hAnsi="Tahoma" w:cs="Tahoma"/>
          <w:b/>
          <w:bCs/>
          <w:sz w:val="24"/>
          <w:szCs w:val="24"/>
          <w:lang w:val="ro-RO"/>
        </w:rPr>
        <w:t xml:space="preserve">Cheltuielile cu asistența socială </w:t>
      </w:r>
      <w:r w:rsidRPr="006B2701">
        <w:rPr>
          <w:rFonts w:ascii="Tahoma" w:hAnsi="Tahoma" w:cs="Tahoma"/>
          <w:sz w:val="24"/>
          <w:szCs w:val="24"/>
          <w:lang w:val="ro-RO"/>
        </w:rPr>
        <w:t xml:space="preserve">au crescut în </w:t>
      </w:r>
      <w:r w:rsidRPr="006B2701">
        <w:rPr>
          <w:rFonts w:ascii="Tahoma" w:hAnsi="Tahoma" w:cs="Tahoma"/>
          <w:color w:val="000000"/>
          <w:sz w:val="24"/>
          <w:szCs w:val="24"/>
          <w:lang w:val="ro-RO"/>
        </w:rPr>
        <w:t xml:space="preserve">termeni nominali cu </w:t>
      </w:r>
      <w:r w:rsidR="00C74EE6" w:rsidRPr="006B2701">
        <w:rPr>
          <w:rFonts w:ascii="Tahoma" w:hAnsi="Tahoma" w:cs="Tahoma"/>
          <w:color w:val="000000"/>
          <w:sz w:val="24"/>
          <w:szCs w:val="24"/>
          <w:lang w:val="ro-RO"/>
        </w:rPr>
        <w:t>18,4</w:t>
      </w:r>
      <w:r w:rsidRPr="006B2701">
        <w:rPr>
          <w:rFonts w:ascii="Tahoma" w:hAnsi="Tahoma" w:cs="Tahoma"/>
          <w:color w:val="000000"/>
          <w:sz w:val="24"/>
          <w:szCs w:val="24"/>
          <w:lang w:val="ro-RO"/>
        </w:rPr>
        <w:t>%</w:t>
      </w:r>
      <w:r w:rsidR="00C74EE6" w:rsidRPr="006B2701">
        <w:rPr>
          <w:rFonts w:ascii="Tahoma" w:hAnsi="Tahoma" w:cs="Tahoma"/>
          <w:color w:val="000000"/>
          <w:sz w:val="24"/>
          <w:szCs w:val="24"/>
          <w:lang w:val="ro-RO"/>
        </w:rPr>
        <w:t>(+27,05 miliarde lei)</w:t>
      </w:r>
      <w:r w:rsidRPr="006B2701">
        <w:rPr>
          <w:rFonts w:ascii="Tahoma" w:hAnsi="Tahoma" w:cs="Tahoma"/>
          <w:color w:val="000000"/>
          <w:sz w:val="24"/>
          <w:szCs w:val="24"/>
          <w:lang w:val="ro-RO"/>
        </w:rPr>
        <w:t xml:space="preserve"> comparativ cu anul anterior, iar </w:t>
      </w:r>
      <w:r w:rsidR="00F967A2" w:rsidRPr="006B2701">
        <w:rPr>
          <w:rFonts w:ascii="Tahoma" w:hAnsi="Tahoma" w:cs="Tahoma"/>
          <w:color w:val="000000"/>
          <w:sz w:val="24"/>
          <w:szCs w:val="24"/>
          <w:lang w:val="ro-RO"/>
        </w:rPr>
        <w:t xml:space="preserve">ca </w:t>
      </w:r>
      <w:r w:rsidRPr="006B2701">
        <w:rPr>
          <w:rFonts w:ascii="Tahoma" w:hAnsi="Tahoma" w:cs="Tahoma"/>
          <w:color w:val="000000"/>
          <w:sz w:val="24"/>
          <w:szCs w:val="24"/>
          <w:lang w:val="ro-RO"/>
        </w:rPr>
        <w:t xml:space="preserve">pondere în PIB </w:t>
      </w:r>
      <w:r w:rsidR="00C74EE6" w:rsidRPr="006B2701">
        <w:rPr>
          <w:rFonts w:ascii="Tahoma" w:hAnsi="Tahoma" w:cs="Tahoma"/>
          <w:color w:val="000000"/>
          <w:sz w:val="24"/>
          <w:szCs w:val="24"/>
          <w:lang w:val="ro-RO"/>
        </w:rPr>
        <w:t>au rămas la același nivel înregistrat în anul 2021 de 12,4% din PIB</w:t>
      </w:r>
      <w:r w:rsidRPr="006B2701">
        <w:rPr>
          <w:rFonts w:ascii="Tahoma" w:hAnsi="Tahoma" w:cs="Tahoma"/>
          <w:color w:val="000000"/>
          <w:sz w:val="24"/>
          <w:szCs w:val="24"/>
          <w:lang w:val="ro-RO"/>
        </w:rPr>
        <w:t xml:space="preserve">. </w:t>
      </w:r>
    </w:p>
    <w:p w14:paraId="2B49048F" w14:textId="77777777" w:rsidR="00C74EE6" w:rsidRPr="006B2701" w:rsidRDefault="00C74EE6" w:rsidP="00C74EE6">
      <w:pPr>
        <w:spacing w:after="80" w:line="276" w:lineRule="auto"/>
        <w:jc w:val="both"/>
        <w:rPr>
          <w:rFonts w:ascii="Tahoma" w:eastAsiaTheme="minorHAnsi" w:hAnsi="Tahoma" w:cs="Tahoma"/>
          <w:sz w:val="24"/>
          <w:szCs w:val="24"/>
          <w:lang w:val="ro-RO"/>
        </w:rPr>
      </w:pPr>
      <w:r w:rsidRPr="006B2701">
        <w:rPr>
          <w:rFonts w:ascii="Tahoma" w:eastAsiaTheme="minorHAnsi" w:hAnsi="Tahoma" w:cs="Tahoma"/>
          <w:sz w:val="24"/>
          <w:szCs w:val="24"/>
          <w:lang w:val="ro-RO"/>
        </w:rPr>
        <w:t xml:space="preserve">Evoluția cheltuielilor cu asistența socială a fost influențată, în principal, de majorarea de la 1 ianuarie 2022, a punctului de pensie cu 10%, respectiv de la 1.442 lei la 1.586 lei, a nivelului îndemnizației sociale pentru pensionari (pensia minimă) de la 800 lei la 1.000 lei, de acordarea unui ajutor financiar pentru pensionarii sistemului public de pensii cu pensii mai mici sau egale cu 1.600 de lei, astfel încât toți cei care se încadrează în această categorie să aibă un venit de 2.200 de lei, în luna ianuarie 2022, precum și de acordarea celei de-a 13-a indemnizații pentru persoanele cu dizabilități. </w:t>
      </w:r>
    </w:p>
    <w:p w14:paraId="2B409ABF" w14:textId="77777777" w:rsidR="00C74EE6" w:rsidRPr="006B2701" w:rsidRDefault="00C74EE6" w:rsidP="00C74EE6">
      <w:pPr>
        <w:spacing w:after="80" w:line="276" w:lineRule="auto"/>
        <w:jc w:val="both"/>
        <w:rPr>
          <w:rFonts w:ascii="Tahoma" w:eastAsiaTheme="minorHAnsi" w:hAnsi="Tahoma" w:cs="Tahoma"/>
          <w:sz w:val="24"/>
          <w:szCs w:val="24"/>
          <w:lang w:val="ro-RO"/>
        </w:rPr>
      </w:pPr>
      <w:r w:rsidRPr="006B2701">
        <w:rPr>
          <w:rFonts w:ascii="Tahoma" w:eastAsiaTheme="minorHAnsi" w:hAnsi="Tahoma" w:cs="Tahoma"/>
          <w:sz w:val="24"/>
          <w:szCs w:val="24"/>
          <w:lang w:val="ro-RO"/>
        </w:rPr>
        <w:lastRenderedPageBreak/>
        <w:t xml:space="preserve">Totodată, se reflectă majorarea alocației de stat pentru copii, astfel, alocația de stat pentru copii crește, începând cu 1 ianuarie 2022, la 600 de lei pentru copiii în vârstă de până la 2 ani sau până la 3 ani, în cazul copilului cu handicap. Totodată, copiii cu handicap beneficiază de această sumă până la împlinirea vârstei de 18 ani. De asemenea, s-a majorat la 243 de lei alocația de stat pentru copiii cu vârsta cuprinsă între 2 ani </w:t>
      </w:r>
      <w:proofErr w:type="spellStart"/>
      <w:r w:rsidRPr="006B2701">
        <w:rPr>
          <w:rFonts w:ascii="Tahoma" w:eastAsiaTheme="minorHAnsi" w:hAnsi="Tahoma" w:cs="Tahoma"/>
          <w:sz w:val="24"/>
          <w:szCs w:val="24"/>
          <w:lang w:val="ro-RO"/>
        </w:rPr>
        <w:t>şi</w:t>
      </w:r>
      <w:proofErr w:type="spellEnd"/>
      <w:r w:rsidRPr="006B2701">
        <w:rPr>
          <w:rFonts w:ascii="Tahoma" w:eastAsiaTheme="minorHAnsi" w:hAnsi="Tahoma" w:cs="Tahoma"/>
          <w:sz w:val="24"/>
          <w:szCs w:val="24"/>
          <w:lang w:val="ro-RO"/>
        </w:rPr>
        <w:t xml:space="preserve"> 18 ani, dar și pentru tinerii de peste 18 ani care urmează cursurile liceale sau profesionale, până la terminarea acestora, inclusiv pentru cei cu handicap care urmează o formă de învățământ preuniversitar prevăzută de lege, dar nu mai târziu de împlinirea vârstei de 26 de ani.</w:t>
      </w:r>
      <w:r w:rsidRPr="006B2701">
        <w:rPr>
          <w:rFonts w:ascii="Tahoma" w:eastAsiaTheme="minorHAnsi" w:hAnsi="Tahoma" w:cs="Tahoma"/>
          <w:sz w:val="24"/>
          <w:szCs w:val="24"/>
          <w:highlight w:val="yellow"/>
          <w:lang w:val="ro-RO"/>
        </w:rPr>
        <w:t xml:space="preserve"> </w:t>
      </w:r>
    </w:p>
    <w:p w14:paraId="3D382E0B" w14:textId="77777777" w:rsidR="00A420B1" w:rsidRPr="006B2701" w:rsidRDefault="00C74EE6" w:rsidP="00A420B1">
      <w:pPr>
        <w:spacing w:after="120" w:line="276" w:lineRule="auto"/>
        <w:jc w:val="both"/>
        <w:rPr>
          <w:rFonts w:ascii="Tahoma" w:eastAsiaTheme="minorHAnsi" w:hAnsi="Tahoma" w:cs="Tahoma"/>
          <w:sz w:val="24"/>
          <w:szCs w:val="24"/>
          <w:lang w:val="ro-RO"/>
        </w:rPr>
      </w:pPr>
      <w:r w:rsidRPr="006B2701">
        <w:rPr>
          <w:rFonts w:ascii="Tahoma" w:eastAsiaTheme="minorHAnsi" w:hAnsi="Tahoma" w:cs="Tahoma"/>
          <w:sz w:val="24"/>
          <w:szCs w:val="24"/>
          <w:lang w:val="ro-RO"/>
        </w:rPr>
        <w:t>Cheltuielile cu asistența socială au fost influențate și de plățile suportate de la bugetul de stat pentru compensarea facturilor pentru energie electrică și gaze naturale care au fost, în anul 2022, în sumă de 3,91 miliarde lei.</w:t>
      </w:r>
    </w:p>
    <w:p w14:paraId="29235162" w14:textId="73DE5EF7" w:rsidR="009D1364" w:rsidRPr="006B2701" w:rsidRDefault="009D1364" w:rsidP="00A420B1">
      <w:pPr>
        <w:spacing w:after="120" w:line="276" w:lineRule="auto"/>
        <w:jc w:val="both"/>
        <w:rPr>
          <w:rFonts w:ascii="Tahoma" w:hAnsi="Tahoma" w:cs="Tahoma"/>
          <w:color w:val="000000"/>
          <w:sz w:val="24"/>
          <w:szCs w:val="24"/>
          <w:lang w:val="ro-RO"/>
        </w:rPr>
      </w:pPr>
      <w:r w:rsidRPr="006B2701">
        <w:rPr>
          <w:rFonts w:ascii="Tahoma" w:eastAsia="Times New Roman" w:hAnsi="Tahoma" w:cs="Tahoma"/>
          <w:b/>
          <w:bCs/>
          <w:sz w:val="24"/>
          <w:szCs w:val="24"/>
          <w:lang w:val="ro-RO" w:eastAsia="zh-CN"/>
        </w:rPr>
        <w:t>La bugetul de sta</w:t>
      </w:r>
      <w:r w:rsidR="00DB4F37" w:rsidRPr="006B2701">
        <w:rPr>
          <w:rFonts w:ascii="Tahoma" w:eastAsia="Times New Roman" w:hAnsi="Tahoma" w:cs="Tahoma"/>
          <w:b/>
          <w:bCs/>
          <w:sz w:val="24"/>
          <w:szCs w:val="24"/>
          <w:lang w:val="ro-RO" w:eastAsia="zh-CN"/>
        </w:rPr>
        <w:t>t</w:t>
      </w:r>
      <w:r w:rsidRPr="006B2701">
        <w:rPr>
          <w:rFonts w:ascii="Tahoma" w:eastAsia="Times New Roman" w:hAnsi="Tahoma" w:cs="Tahoma"/>
          <w:b/>
          <w:bCs/>
          <w:sz w:val="24"/>
          <w:szCs w:val="24"/>
          <w:lang w:val="ro-RO" w:eastAsia="zh-CN"/>
        </w:rPr>
        <w:t xml:space="preserve"> cheltuielile cu </w:t>
      </w:r>
      <w:r w:rsidR="003F69A8" w:rsidRPr="006B2701">
        <w:rPr>
          <w:rFonts w:ascii="Tahoma" w:eastAsia="Times New Roman" w:hAnsi="Tahoma" w:cs="Tahoma"/>
          <w:b/>
          <w:bCs/>
          <w:sz w:val="24"/>
          <w:szCs w:val="24"/>
          <w:lang w:val="ro-RO" w:eastAsia="zh-CN"/>
        </w:rPr>
        <w:t>asistență</w:t>
      </w:r>
      <w:r w:rsidRPr="006B2701">
        <w:rPr>
          <w:rFonts w:ascii="Tahoma" w:eastAsia="Times New Roman" w:hAnsi="Tahoma" w:cs="Tahoma"/>
          <w:b/>
          <w:bCs/>
          <w:sz w:val="24"/>
          <w:szCs w:val="24"/>
          <w:lang w:val="ro-RO" w:eastAsia="zh-CN"/>
        </w:rPr>
        <w:t xml:space="preserve"> socială</w:t>
      </w:r>
      <w:r w:rsidRPr="006B2701">
        <w:rPr>
          <w:rFonts w:ascii="Tahoma" w:eastAsia="Times New Roman" w:hAnsi="Tahoma" w:cs="Tahoma"/>
          <w:bCs/>
          <w:sz w:val="24"/>
          <w:szCs w:val="24"/>
          <w:lang w:val="ro-RO" w:eastAsia="zh-CN"/>
        </w:rPr>
        <w:t xml:space="preserve"> au fost în sumă de </w:t>
      </w:r>
      <w:r w:rsidR="00D91742" w:rsidRPr="006B2701">
        <w:rPr>
          <w:rFonts w:ascii="Tahoma" w:eastAsia="Times New Roman" w:hAnsi="Tahoma" w:cs="Tahoma"/>
          <w:bCs/>
          <w:sz w:val="24"/>
          <w:szCs w:val="24"/>
          <w:lang w:val="ro-RO" w:eastAsia="zh-CN"/>
        </w:rPr>
        <w:t>63,09</w:t>
      </w:r>
      <w:r w:rsidRPr="006B2701">
        <w:rPr>
          <w:rFonts w:ascii="Tahoma" w:eastAsia="Times New Roman" w:hAnsi="Tahoma" w:cs="Tahoma"/>
          <w:bCs/>
          <w:sz w:val="24"/>
          <w:szCs w:val="24"/>
          <w:lang w:val="ro-RO" w:eastAsia="zh-CN"/>
        </w:rPr>
        <w:t xml:space="preserve"> </w:t>
      </w:r>
      <w:r w:rsidR="00DB4F37" w:rsidRPr="006B2701">
        <w:rPr>
          <w:rFonts w:ascii="Tahoma" w:eastAsia="Times New Roman" w:hAnsi="Tahoma" w:cs="Tahoma"/>
          <w:bCs/>
          <w:sz w:val="24"/>
          <w:szCs w:val="24"/>
          <w:lang w:val="ro-RO" w:eastAsia="zh-CN"/>
        </w:rPr>
        <w:t>miliarde</w:t>
      </w:r>
      <w:r w:rsidRPr="006B2701">
        <w:rPr>
          <w:rFonts w:ascii="Tahoma" w:eastAsia="Times New Roman" w:hAnsi="Tahoma" w:cs="Tahoma"/>
          <w:bCs/>
          <w:sz w:val="24"/>
          <w:szCs w:val="24"/>
          <w:lang w:val="ro-RO" w:eastAsia="zh-CN"/>
        </w:rPr>
        <w:t xml:space="preserve"> lei, reprezentând </w:t>
      </w:r>
      <w:r w:rsidR="00D91742" w:rsidRPr="006B2701">
        <w:rPr>
          <w:rFonts w:ascii="Tahoma" w:eastAsia="Times New Roman" w:hAnsi="Tahoma" w:cs="Tahoma"/>
          <w:bCs/>
          <w:sz w:val="24"/>
          <w:szCs w:val="24"/>
          <w:lang w:val="ro-RO" w:eastAsia="zh-CN"/>
        </w:rPr>
        <w:t>20,01</w:t>
      </w:r>
      <w:r w:rsidRPr="006B2701">
        <w:rPr>
          <w:rFonts w:ascii="Tahoma" w:eastAsia="Times New Roman" w:hAnsi="Tahoma" w:cs="Tahoma"/>
          <w:bCs/>
          <w:sz w:val="24"/>
          <w:szCs w:val="24"/>
          <w:lang w:val="ro-RO" w:eastAsia="zh-CN"/>
        </w:rPr>
        <w:t xml:space="preserve">% din totalul cheltuielilor bugetului de stat, înregistrând o creștere de </w:t>
      </w:r>
      <w:r w:rsidR="00D91742" w:rsidRPr="006B2701">
        <w:rPr>
          <w:rFonts w:ascii="Tahoma" w:eastAsia="Times New Roman" w:hAnsi="Tahoma" w:cs="Tahoma"/>
          <w:bCs/>
          <w:sz w:val="24"/>
          <w:szCs w:val="24"/>
          <w:lang w:val="ro-RO" w:eastAsia="zh-CN"/>
        </w:rPr>
        <w:t>35,4</w:t>
      </w:r>
      <w:r w:rsidRPr="006B2701">
        <w:rPr>
          <w:rFonts w:ascii="Tahoma" w:eastAsia="Times New Roman" w:hAnsi="Tahoma" w:cs="Tahoma"/>
          <w:bCs/>
          <w:sz w:val="24"/>
          <w:szCs w:val="24"/>
          <w:lang w:val="ro-RO" w:eastAsia="zh-CN"/>
        </w:rPr>
        <w:t xml:space="preserve">% față de anul anterior. Din totalul plăților, suma de </w:t>
      </w:r>
      <w:r w:rsidR="00D91742" w:rsidRPr="006B2701">
        <w:rPr>
          <w:rFonts w:ascii="Tahoma" w:eastAsia="Times New Roman" w:hAnsi="Tahoma" w:cs="Tahoma"/>
          <w:bCs/>
          <w:sz w:val="24"/>
          <w:szCs w:val="24"/>
          <w:lang w:val="ro-RO" w:eastAsia="zh-CN"/>
        </w:rPr>
        <w:t>50,63</w:t>
      </w:r>
      <w:r w:rsidR="00DB4F37" w:rsidRPr="006B2701">
        <w:rPr>
          <w:rFonts w:ascii="Tahoma" w:eastAsia="Times New Roman" w:hAnsi="Tahoma" w:cs="Tahoma"/>
          <w:bCs/>
          <w:sz w:val="24"/>
          <w:szCs w:val="24"/>
          <w:lang w:val="ro-RO" w:eastAsia="zh-CN"/>
        </w:rPr>
        <w:t xml:space="preserve"> miliarde</w:t>
      </w:r>
      <w:r w:rsidRPr="006B2701">
        <w:rPr>
          <w:rFonts w:ascii="Tahoma" w:eastAsia="Times New Roman" w:hAnsi="Tahoma" w:cs="Tahoma"/>
          <w:bCs/>
          <w:sz w:val="24"/>
          <w:szCs w:val="24"/>
          <w:lang w:val="ro-RO" w:eastAsia="zh-CN"/>
        </w:rPr>
        <w:t xml:space="preserve"> lei, respectiv </w:t>
      </w:r>
      <w:r w:rsidR="00D91742" w:rsidRPr="006B2701">
        <w:rPr>
          <w:rFonts w:ascii="Tahoma" w:eastAsia="Times New Roman" w:hAnsi="Tahoma" w:cs="Tahoma"/>
          <w:bCs/>
          <w:sz w:val="24"/>
          <w:szCs w:val="24"/>
          <w:lang w:val="ro-RO" w:eastAsia="zh-CN"/>
        </w:rPr>
        <w:t>80,25</w:t>
      </w:r>
      <w:r w:rsidRPr="006B2701">
        <w:rPr>
          <w:rFonts w:ascii="Tahoma" w:eastAsia="Times New Roman" w:hAnsi="Tahoma" w:cs="Tahoma"/>
          <w:bCs/>
          <w:sz w:val="24"/>
          <w:szCs w:val="24"/>
          <w:lang w:val="ro-RO" w:eastAsia="zh-CN"/>
        </w:rPr>
        <w:t>%, a fost utilizată de Ministerul Muncii și Solidarității Sociale reprezentând asigurări sociale și ajutoare sociale.</w:t>
      </w:r>
    </w:p>
    <w:p w14:paraId="7C8935FC" w14:textId="6A66D8A1" w:rsidR="00A80217" w:rsidRPr="006B2701" w:rsidRDefault="009D1364" w:rsidP="00A80217">
      <w:pPr>
        <w:autoSpaceDE w:val="0"/>
        <w:autoSpaceDN w:val="0"/>
        <w:adjustRightInd w:val="0"/>
        <w:spacing w:after="120" w:line="276" w:lineRule="auto"/>
        <w:jc w:val="both"/>
        <w:rPr>
          <w:rFonts w:ascii="Tahoma" w:eastAsia="Times New Roman" w:hAnsi="Tahoma" w:cs="Tahoma"/>
          <w:sz w:val="24"/>
          <w:szCs w:val="24"/>
          <w:lang w:val="ro-RO" w:eastAsia="zh-CN"/>
        </w:rPr>
      </w:pPr>
      <w:r w:rsidRPr="006B2701">
        <w:rPr>
          <w:rFonts w:ascii="Tahoma" w:eastAsia="Times New Roman" w:hAnsi="Tahoma" w:cs="Tahoma"/>
          <w:bCs/>
          <w:sz w:val="24"/>
          <w:szCs w:val="24"/>
          <w:lang w:val="ro-RO" w:eastAsia="zh-CN"/>
        </w:rPr>
        <w:t>Pentru plata pensiilor militare de stat, cumulat la nivelul Ministerului Apărării Naționale, Ministerului Afacerilor Interne și Serviciului Român de Informații la 31 decembrie 202</w:t>
      </w:r>
      <w:r w:rsidR="00D91742" w:rsidRPr="006B2701">
        <w:rPr>
          <w:rFonts w:ascii="Tahoma" w:eastAsia="Times New Roman" w:hAnsi="Tahoma" w:cs="Tahoma"/>
          <w:bCs/>
          <w:sz w:val="24"/>
          <w:szCs w:val="24"/>
          <w:lang w:val="ro-RO" w:eastAsia="zh-CN"/>
        </w:rPr>
        <w:t>2</w:t>
      </w:r>
      <w:r w:rsidRPr="006B2701">
        <w:rPr>
          <w:rFonts w:ascii="Tahoma" w:eastAsia="Times New Roman" w:hAnsi="Tahoma" w:cs="Tahoma"/>
          <w:bCs/>
          <w:sz w:val="24"/>
          <w:szCs w:val="24"/>
          <w:lang w:val="ro-RO" w:eastAsia="zh-CN"/>
        </w:rPr>
        <w:t xml:space="preserve">, au fost efectuate plăți în sumă de </w:t>
      </w:r>
      <w:r w:rsidR="00D91742" w:rsidRPr="006B2701">
        <w:rPr>
          <w:rFonts w:ascii="Tahoma" w:eastAsia="Times New Roman" w:hAnsi="Tahoma" w:cs="Tahoma"/>
          <w:bCs/>
          <w:sz w:val="24"/>
          <w:szCs w:val="24"/>
          <w:lang w:val="ro-RO" w:eastAsia="zh-CN"/>
        </w:rPr>
        <w:t>10,6</w:t>
      </w:r>
      <w:r w:rsidR="00DB4F37" w:rsidRPr="006B2701">
        <w:rPr>
          <w:rFonts w:ascii="Tahoma" w:eastAsia="Times New Roman" w:hAnsi="Tahoma" w:cs="Tahoma"/>
          <w:bCs/>
          <w:sz w:val="24"/>
          <w:szCs w:val="24"/>
          <w:lang w:val="ro-RO" w:eastAsia="zh-CN"/>
        </w:rPr>
        <w:t xml:space="preserve"> miliarde</w:t>
      </w:r>
      <w:r w:rsidRPr="006B2701">
        <w:rPr>
          <w:rFonts w:ascii="Tahoma" w:eastAsia="Times New Roman" w:hAnsi="Tahoma" w:cs="Tahoma"/>
          <w:bCs/>
          <w:sz w:val="24"/>
          <w:szCs w:val="24"/>
          <w:lang w:val="ro-RO" w:eastAsia="zh-CN"/>
        </w:rPr>
        <w:t xml:space="preserve"> lei, comparativ cu </w:t>
      </w:r>
      <w:r w:rsidR="00D91742" w:rsidRPr="006B2701">
        <w:rPr>
          <w:rFonts w:ascii="Tahoma" w:eastAsia="Times New Roman" w:hAnsi="Tahoma" w:cs="Tahoma"/>
          <w:bCs/>
          <w:sz w:val="24"/>
          <w:szCs w:val="24"/>
          <w:lang w:val="ro-RO" w:eastAsia="zh-CN"/>
        </w:rPr>
        <w:t>9,7</w:t>
      </w:r>
      <w:r w:rsidR="00DB4F37" w:rsidRPr="006B2701">
        <w:rPr>
          <w:rFonts w:ascii="Tahoma" w:eastAsia="Times New Roman" w:hAnsi="Tahoma" w:cs="Tahoma"/>
          <w:bCs/>
          <w:sz w:val="24"/>
          <w:szCs w:val="24"/>
          <w:lang w:val="ro-RO" w:eastAsia="zh-CN"/>
        </w:rPr>
        <w:t xml:space="preserve"> miliarde</w:t>
      </w:r>
      <w:r w:rsidRPr="006B2701">
        <w:rPr>
          <w:rFonts w:ascii="Tahoma" w:eastAsia="Times New Roman" w:hAnsi="Tahoma" w:cs="Tahoma"/>
          <w:bCs/>
          <w:sz w:val="24"/>
          <w:szCs w:val="24"/>
          <w:lang w:val="ro-RO" w:eastAsia="zh-CN"/>
        </w:rPr>
        <w:t xml:space="preserve"> lei la 31 decembrie 202</w:t>
      </w:r>
      <w:r w:rsidR="00D91742" w:rsidRPr="006B2701">
        <w:rPr>
          <w:rFonts w:ascii="Tahoma" w:eastAsia="Times New Roman" w:hAnsi="Tahoma" w:cs="Tahoma"/>
          <w:bCs/>
          <w:sz w:val="24"/>
          <w:szCs w:val="24"/>
          <w:lang w:val="ro-RO" w:eastAsia="zh-CN"/>
        </w:rPr>
        <w:t>1</w:t>
      </w:r>
      <w:r w:rsidRPr="006B2701">
        <w:rPr>
          <w:rFonts w:ascii="Tahoma" w:eastAsia="Times New Roman" w:hAnsi="Tahoma" w:cs="Tahoma"/>
          <w:bCs/>
          <w:sz w:val="24"/>
          <w:szCs w:val="24"/>
          <w:lang w:val="ro-RO" w:eastAsia="zh-CN"/>
        </w:rPr>
        <w:t xml:space="preserve">, înregistrând o creștere de </w:t>
      </w:r>
      <w:r w:rsidR="00D91742" w:rsidRPr="006B2701">
        <w:rPr>
          <w:rFonts w:ascii="Tahoma" w:eastAsia="Times New Roman" w:hAnsi="Tahoma" w:cs="Tahoma"/>
          <w:bCs/>
          <w:sz w:val="24"/>
          <w:szCs w:val="24"/>
          <w:lang w:val="ro-RO" w:eastAsia="zh-CN"/>
        </w:rPr>
        <w:t>9,3</w:t>
      </w:r>
      <w:r w:rsidRPr="006B2701">
        <w:rPr>
          <w:rFonts w:ascii="Tahoma" w:eastAsia="Times New Roman" w:hAnsi="Tahoma" w:cs="Tahoma"/>
          <w:bCs/>
          <w:sz w:val="24"/>
          <w:szCs w:val="24"/>
          <w:lang w:val="ro-RO" w:eastAsia="zh-CN"/>
        </w:rPr>
        <w:t>%.</w:t>
      </w:r>
    </w:p>
    <w:p w14:paraId="607DF3CB" w14:textId="7F60DA91" w:rsidR="00A80217" w:rsidRPr="006B2701" w:rsidRDefault="00A12CD6" w:rsidP="00A80217">
      <w:pPr>
        <w:autoSpaceDE w:val="0"/>
        <w:autoSpaceDN w:val="0"/>
        <w:adjustRightInd w:val="0"/>
        <w:spacing w:after="120" w:line="276" w:lineRule="auto"/>
        <w:jc w:val="both"/>
        <w:rPr>
          <w:rFonts w:ascii="Tahoma" w:eastAsia="Times New Roman" w:hAnsi="Tahoma" w:cs="Tahoma"/>
          <w:sz w:val="24"/>
          <w:szCs w:val="24"/>
          <w:lang w:val="ro-RO" w:eastAsia="zh-CN"/>
        </w:rPr>
      </w:pPr>
      <w:r w:rsidRPr="006B2701">
        <w:rPr>
          <w:rFonts w:ascii="Tahoma" w:hAnsi="Tahoma" w:cs="Tahoma"/>
          <w:bCs/>
          <w:color w:val="000000"/>
          <w:sz w:val="24"/>
          <w:szCs w:val="24"/>
          <w:lang w:val="ro-RO"/>
        </w:rPr>
        <w:t xml:space="preserve">Comparativ cu programul anual cheltuielile cu asistența socială s-au efectuat în proporție de </w:t>
      </w:r>
      <w:r w:rsidR="00D91742" w:rsidRPr="006B2701">
        <w:rPr>
          <w:rFonts w:ascii="Tahoma" w:hAnsi="Tahoma" w:cs="Tahoma"/>
          <w:bCs/>
          <w:color w:val="000000"/>
          <w:sz w:val="24"/>
          <w:szCs w:val="24"/>
          <w:lang w:val="ro-RO"/>
        </w:rPr>
        <w:t>100,2</w:t>
      </w:r>
      <w:r w:rsidRPr="006B2701">
        <w:rPr>
          <w:rFonts w:ascii="Tahoma" w:hAnsi="Tahoma" w:cs="Tahoma"/>
          <w:bCs/>
          <w:color w:val="000000"/>
          <w:sz w:val="24"/>
          <w:szCs w:val="24"/>
          <w:lang w:val="ro-RO"/>
        </w:rPr>
        <w:t>%.</w:t>
      </w:r>
    </w:p>
    <w:p w14:paraId="22F8FE40" w14:textId="66FD1E39" w:rsidR="00A80217" w:rsidRPr="006B2701" w:rsidRDefault="002A29E1" w:rsidP="00352AC5">
      <w:pPr>
        <w:autoSpaceDE w:val="0"/>
        <w:autoSpaceDN w:val="0"/>
        <w:adjustRightInd w:val="0"/>
        <w:spacing w:after="120" w:line="276" w:lineRule="auto"/>
        <w:jc w:val="both"/>
        <w:rPr>
          <w:rFonts w:ascii="Tahoma" w:hAnsi="Tahoma" w:cs="Tahoma"/>
          <w:bCs/>
          <w:color w:val="000000"/>
          <w:sz w:val="24"/>
          <w:szCs w:val="24"/>
          <w:lang w:val="ro-RO"/>
        </w:rPr>
      </w:pPr>
      <w:r w:rsidRPr="006B2701">
        <w:rPr>
          <w:rFonts w:ascii="Tahoma" w:hAnsi="Tahoma" w:cs="Tahoma"/>
          <w:b/>
          <w:bCs/>
          <w:sz w:val="24"/>
          <w:szCs w:val="24"/>
          <w:lang w:val="ro-RO"/>
        </w:rPr>
        <w:t xml:space="preserve">Plățile pentru proiectele cu finanțare din fonduri UE </w:t>
      </w:r>
      <w:r w:rsidRPr="006B2701">
        <w:rPr>
          <w:rFonts w:ascii="Tahoma" w:hAnsi="Tahoma" w:cs="Tahoma"/>
          <w:bCs/>
          <w:sz w:val="24"/>
          <w:szCs w:val="24"/>
          <w:lang w:val="ro-RO"/>
        </w:rPr>
        <w:t>(inclusiv cele finanțate din asistența financiară nerambursabilă aferentă PNRR)</w:t>
      </w:r>
      <w:r w:rsidR="00A12CD6" w:rsidRPr="006B2701">
        <w:rPr>
          <w:rFonts w:ascii="Tahoma" w:hAnsi="Tahoma" w:cs="Tahoma"/>
          <w:bCs/>
          <w:color w:val="000000"/>
          <w:sz w:val="24"/>
          <w:szCs w:val="24"/>
          <w:lang w:val="ro-RO"/>
        </w:rPr>
        <w:t xml:space="preserve"> au crescut, comparativ cu anul precedent, cu </w:t>
      </w:r>
      <w:r w:rsidRPr="006B2701">
        <w:rPr>
          <w:rFonts w:ascii="Tahoma" w:hAnsi="Tahoma" w:cs="Tahoma"/>
          <w:bCs/>
          <w:color w:val="000000"/>
          <w:sz w:val="24"/>
          <w:szCs w:val="24"/>
          <w:lang w:val="ro-RO"/>
        </w:rPr>
        <w:t>9,</w:t>
      </w:r>
      <w:r w:rsidR="00FD4796" w:rsidRPr="006B2701">
        <w:rPr>
          <w:rFonts w:ascii="Tahoma" w:hAnsi="Tahoma" w:cs="Tahoma"/>
          <w:bCs/>
          <w:color w:val="000000"/>
          <w:sz w:val="24"/>
          <w:szCs w:val="24"/>
          <w:lang w:val="ro-RO"/>
        </w:rPr>
        <w:t>36</w:t>
      </w:r>
      <w:r w:rsidR="00A12CD6" w:rsidRPr="006B2701">
        <w:rPr>
          <w:rFonts w:ascii="Tahoma" w:hAnsi="Tahoma" w:cs="Tahoma"/>
          <w:bCs/>
          <w:color w:val="000000"/>
          <w:sz w:val="24"/>
          <w:szCs w:val="24"/>
          <w:lang w:val="ro-RO"/>
        </w:rPr>
        <w:t xml:space="preserve"> </w:t>
      </w:r>
      <w:r w:rsidR="00511E99" w:rsidRPr="006B2701">
        <w:rPr>
          <w:rFonts w:ascii="Tahoma" w:hAnsi="Tahoma" w:cs="Tahoma"/>
          <w:bCs/>
          <w:color w:val="000000"/>
          <w:sz w:val="24"/>
          <w:szCs w:val="24"/>
          <w:lang w:val="ro-RO"/>
        </w:rPr>
        <w:t>miliarde</w:t>
      </w:r>
      <w:r w:rsidR="00A12CD6" w:rsidRPr="006B2701">
        <w:rPr>
          <w:rFonts w:ascii="Tahoma" w:hAnsi="Tahoma" w:cs="Tahoma"/>
          <w:bCs/>
          <w:color w:val="000000"/>
          <w:sz w:val="24"/>
          <w:szCs w:val="24"/>
          <w:lang w:val="ro-RO"/>
        </w:rPr>
        <w:t xml:space="preserve"> lei</w:t>
      </w:r>
      <w:r w:rsidR="00FA52E1" w:rsidRPr="006B2701">
        <w:rPr>
          <w:rFonts w:ascii="Tahoma" w:hAnsi="Tahoma" w:cs="Tahoma"/>
          <w:bCs/>
          <w:color w:val="000000"/>
          <w:sz w:val="24"/>
          <w:szCs w:val="24"/>
          <w:lang w:val="ro-RO"/>
        </w:rPr>
        <w:t xml:space="preserve"> </w:t>
      </w:r>
      <w:r w:rsidR="00A12CD6" w:rsidRPr="006B2701">
        <w:rPr>
          <w:rFonts w:ascii="Tahoma" w:hAnsi="Tahoma" w:cs="Tahoma"/>
          <w:bCs/>
          <w:color w:val="000000"/>
          <w:sz w:val="24"/>
          <w:szCs w:val="24"/>
          <w:lang w:val="ro-RO"/>
        </w:rPr>
        <w:t>(</w:t>
      </w:r>
      <w:r w:rsidR="00DB4F37" w:rsidRPr="006B2701">
        <w:rPr>
          <w:rFonts w:ascii="Tahoma" w:hAnsi="Tahoma" w:cs="Tahoma"/>
          <w:bCs/>
          <w:color w:val="000000"/>
          <w:sz w:val="24"/>
          <w:szCs w:val="24"/>
          <w:lang w:val="ro-RO"/>
        </w:rPr>
        <w:t>+</w:t>
      </w:r>
      <w:r w:rsidR="00FD4796" w:rsidRPr="006B2701">
        <w:rPr>
          <w:rFonts w:ascii="Tahoma" w:hAnsi="Tahoma" w:cs="Tahoma"/>
          <w:bCs/>
          <w:color w:val="000000"/>
          <w:sz w:val="24"/>
          <w:szCs w:val="24"/>
          <w:lang w:val="ro-RO"/>
        </w:rPr>
        <w:t>22,5</w:t>
      </w:r>
      <w:r w:rsidR="00A12CD6" w:rsidRPr="006B2701">
        <w:rPr>
          <w:rFonts w:ascii="Tahoma" w:hAnsi="Tahoma" w:cs="Tahoma"/>
          <w:bCs/>
          <w:color w:val="000000"/>
          <w:sz w:val="24"/>
          <w:szCs w:val="24"/>
          <w:lang w:val="ro-RO"/>
        </w:rPr>
        <w:t xml:space="preserve">%), iar ca pondere în PIB </w:t>
      </w:r>
      <w:r w:rsidR="00C206E9" w:rsidRPr="006B2701">
        <w:rPr>
          <w:rFonts w:ascii="Tahoma" w:hAnsi="Tahoma" w:cs="Tahoma"/>
          <w:bCs/>
          <w:color w:val="000000"/>
          <w:sz w:val="24"/>
          <w:szCs w:val="24"/>
          <w:lang w:val="ro-RO"/>
        </w:rPr>
        <w:t>sunt cu 0,</w:t>
      </w:r>
      <w:r w:rsidR="00FD4796" w:rsidRPr="006B2701">
        <w:rPr>
          <w:rFonts w:ascii="Tahoma" w:hAnsi="Tahoma" w:cs="Tahoma"/>
          <w:bCs/>
          <w:color w:val="000000"/>
          <w:sz w:val="24"/>
          <w:szCs w:val="24"/>
          <w:lang w:val="ro-RO"/>
        </w:rPr>
        <w:t>1</w:t>
      </w:r>
      <w:r w:rsidR="00DB4F37" w:rsidRPr="006B2701">
        <w:rPr>
          <w:rFonts w:ascii="Tahoma" w:hAnsi="Tahoma" w:cs="Tahoma"/>
          <w:bCs/>
          <w:color w:val="000000"/>
          <w:sz w:val="24"/>
          <w:szCs w:val="24"/>
          <w:lang w:val="ro-RO"/>
        </w:rPr>
        <w:t xml:space="preserve"> </w:t>
      </w:r>
      <w:r w:rsidR="00C206E9" w:rsidRPr="006B2701">
        <w:rPr>
          <w:rFonts w:ascii="Tahoma" w:hAnsi="Tahoma" w:cs="Tahoma"/>
          <w:bCs/>
          <w:color w:val="000000"/>
          <w:sz w:val="24"/>
          <w:szCs w:val="24"/>
          <w:lang w:val="ro-RO"/>
        </w:rPr>
        <w:t xml:space="preserve">puncte procentuale peste nivelul înregistrat în anul </w:t>
      </w:r>
      <w:r w:rsidR="00DB4F37" w:rsidRPr="006B2701">
        <w:rPr>
          <w:rFonts w:ascii="Tahoma" w:hAnsi="Tahoma" w:cs="Tahoma"/>
          <w:bCs/>
          <w:color w:val="000000"/>
          <w:sz w:val="24"/>
          <w:szCs w:val="24"/>
          <w:lang w:val="ro-RO"/>
        </w:rPr>
        <w:t>202</w:t>
      </w:r>
      <w:r w:rsidRPr="006B2701">
        <w:rPr>
          <w:rFonts w:ascii="Tahoma" w:hAnsi="Tahoma" w:cs="Tahoma"/>
          <w:bCs/>
          <w:color w:val="000000"/>
          <w:sz w:val="24"/>
          <w:szCs w:val="24"/>
          <w:lang w:val="ro-RO"/>
        </w:rPr>
        <w:t>1</w:t>
      </w:r>
      <w:r w:rsidR="00D018E0" w:rsidRPr="006B2701">
        <w:rPr>
          <w:rFonts w:ascii="Tahoma" w:hAnsi="Tahoma" w:cs="Tahoma"/>
          <w:bCs/>
          <w:color w:val="000000"/>
          <w:sz w:val="24"/>
          <w:szCs w:val="24"/>
          <w:lang w:val="ro-RO"/>
        </w:rPr>
        <w:t xml:space="preserve">. </w:t>
      </w:r>
      <w:r w:rsidR="00352AC5" w:rsidRPr="006B2701">
        <w:rPr>
          <w:rFonts w:ascii="Tahoma" w:hAnsi="Tahoma" w:cs="Tahoma"/>
          <w:bCs/>
          <w:color w:val="000000"/>
          <w:sz w:val="24"/>
          <w:szCs w:val="24"/>
          <w:lang w:val="ro-RO"/>
        </w:rPr>
        <w:t xml:space="preserve">Cheltuielile cu proiectele finanțate din cadrul financiar 2014-2020 au cea mai amare pondere în cadrul plăților pentru proiectele cu finanțare din fonduri UE cu o pondere de </w:t>
      </w:r>
      <w:r w:rsidR="00FD4796" w:rsidRPr="006B2701">
        <w:rPr>
          <w:rFonts w:ascii="Tahoma" w:hAnsi="Tahoma" w:cs="Tahoma"/>
          <w:bCs/>
          <w:color w:val="000000"/>
          <w:sz w:val="24"/>
          <w:szCs w:val="24"/>
          <w:lang w:val="ro-RO"/>
        </w:rPr>
        <w:t>97</w:t>
      </w:r>
      <w:r w:rsidR="00352AC5" w:rsidRPr="006B2701">
        <w:rPr>
          <w:rFonts w:ascii="Tahoma" w:hAnsi="Tahoma" w:cs="Tahoma"/>
          <w:bCs/>
          <w:color w:val="000000"/>
          <w:sz w:val="24"/>
          <w:szCs w:val="24"/>
          <w:lang w:val="ro-RO"/>
        </w:rPr>
        <w:t>,1% din totalul acestor plăți.</w:t>
      </w:r>
    </w:p>
    <w:p w14:paraId="3BA6C9BE" w14:textId="46F19842" w:rsidR="00DB4F37" w:rsidRPr="006B2701" w:rsidRDefault="002E6E22" w:rsidP="00A80217">
      <w:pPr>
        <w:autoSpaceDE w:val="0"/>
        <w:autoSpaceDN w:val="0"/>
        <w:adjustRightInd w:val="0"/>
        <w:spacing w:after="120" w:line="276" w:lineRule="auto"/>
        <w:jc w:val="both"/>
        <w:rPr>
          <w:rFonts w:ascii="Tahoma" w:eastAsia="Times New Roman" w:hAnsi="Tahoma" w:cs="Tahoma"/>
          <w:sz w:val="24"/>
          <w:szCs w:val="24"/>
          <w:lang w:val="ro-RO" w:eastAsia="zh-CN"/>
        </w:rPr>
      </w:pPr>
      <w:r w:rsidRPr="006B2701">
        <w:rPr>
          <w:rFonts w:ascii="Tahoma" w:hAnsi="Tahoma" w:cs="Tahoma"/>
          <w:bCs/>
          <w:color w:val="000000"/>
          <w:sz w:val="24"/>
          <w:szCs w:val="24"/>
          <w:lang w:val="ro-RO"/>
        </w:rPr>
        <w:t>La bugetul de stat cheltuielile aferente proiectelor cu finanțare externă nerambursabilă aferente cadrului financiar 2014-2020</w:t>
      </w:r>
      <w:r w:rsidR="00892F51" w:rsidRPr="006B2701">
        <w:rPr>
          <w:rFonts w:ascii="Tahoma" w:eastAsia="Times New Roman" w:hAnsi="Tahoma" w:cs="Tahoma"/>
          <w:bCs/>
          <w:sz w:val="24"/>
          <w:szCs w:val="24"/>
          <w:lang w:val="ro-RO" w:eastAsia="zh-CN"/>
        </w:rPr>
        <w:t xml:space="preserve"> </w:t>
      </w:r>
      <w:r w:rsidR="00DB4F37" w:rsidRPr="006B2701">
        <w:rPr>
          <w:rFonts w:ascii="Tahoma" w:eastAsia="Times New Roman" w:hAnsi="Tahoma" w:cs="Tahoma"/>
          <w:bCs/>
          <w:sz w:val="24"/>
          <w:szCs w:val="24"/>
          <w:lang w:val="ro-RO" w:eastAsia="zh-CN"/>
        </w:rPr>
        <w:t xml:space="preserve">au fost în sumă de </w:t>
      </w:r>
      <w:r w:rsidR="00352AC5" w:rsidRPr="006B2701">
        <w:rPr>
          <w:rFonts w:ascii="Tahoma" w:eastAsia="Times New Roman" w:hAnsi="Tahoma" w:cs="Tahoma"/>
          <w:bCs/>
          <w:sz w:val="24"/>
          <w:szCs w:val="24"/>
          <w:lang w:val="ro-RO" w:eastAsia="zh-CN"/>
        </w:rPr>
        <w:t>43,06</w:t>
      </w:r>
      <w:r w:rsidR="00DB4F37" w:rsidRPr="006B2701">
        <w:rPr>
          <w:rFonts w:ascii="Tahoma" w:eastAsia="Times New Roman" w:hAnsi="Tahoma" w:cs="Tahoma"/>
          <w:bCs/>
          <w:sz w:val="24"/>
          <w:szCs w:val="24"/>
          <w:lang w:val="ro-RO" w:eastAsia="zh-CN"/>
        </w:rPr>
        <w:t xml:space="preserve"> mili</w:t>
      </w:r>
      <w:r w:rsidR="00352AC5" w:rsidRPr="006B2701">
        <w:rPr>
          <w:rFonts w:ascii="Tahoma" w:eastAsia="Times New Roman" w:hAnsi="Tahoma" w:cs="Tahoma"/>
          <w:bCs/>
          <w:sz w:val="24"/>
          <w:szCs w:val="24"/>
          <w:lang w:val="ro-RO" w:eastAsia="zh-CN"/>
        </w:rPr>
        <w:t>arde</w:t>
      </w:r>
      <w:r w:rsidR="00DB4F37" w:rsidRPr="006B2701">
        <w:rPr>
          <w:rFonts w:ascii="Tahoma" w:eastAsia="Times New Roman" w:hAnsi="Tahoma" w:cs="Tahoma"/>
          <w:bCs/>
          <w:sz w:val="24"/>
          <w:szCs w:val="24"/>
          <w:lang w:val="ro-RO" w:eastAsia="zh-CN"/>
        </w:rPr>
        <w:t xml:space="preserve"> lei au reprezentat </w:t>
      </w:r>
      <w:r w:rsidR="00352AC5" w:rsidRPr="006B2701">
        <w:rPr>
          <w:rFonts w:ascii="Tahoma" w:eastAsia="Times New Roman" w:hAnsi="Tahoma" w:cs="Tahoma"/>
          <w:bCs/>
          <w:sz w:val="24"/>
          <w:szCs w:val="24"/>
          <w:lang w:val="ro-RO" w:eastAsia="zh-CN"/>
        </w:rPr>
        <w:t>13,7</w:t>
      </w:r>
      <w:r w:rsidR="00DB4F37" w:rsidRPr="006B2701">
        <w:rPr>
          <w:rFonts w:ascii="Tahoma" w:eastAsia="Times New Roman" w:hAnsi="Tahoma" w:cs="Tahoma"/>
          <w:bCs/>
          <w:sz w:val="24"/>
          <w:szCs w:val="24"/>
          <w:lang w:val="ro-RO" w:eastAsia="zh-CN"/>
        </w:rPr>
        <w:t>% din totalul cheltuielilor bugetului de stat</w:t>
      </w:r>
      <w:r w:rsidR="00352AC5" w:rsidRPr="006B2701">
        <w:rPr>
          <w:rFonts w:ascii="Tahoma" w:eastAsia="Times New Roman" w:hAnsi="Tahoma" w:cs="Tahoma"/>
          <w:bCs/>
          <w:sz w:val="24"/>
          <w:szCs w:val="24"/>
          <w:lang w:val="ro-RO" w:eastAsia="zh-CN"/>
        </w:rPr>
        <w:t xml:space="preserve"> și </w:t>
      </w:r>
      <w:r w:rsidR="00FD4796" w:rsidRPr="006B2701">
        <w:rPr>
          <w:rFonts w:ascii="Tahoma" w:eastAsia="Times New Roman" w:hAnsi="Tahoma" w:cs="Tahoma"/>
          <w:bCs/>
          <w:sz w:val="24"/>
          <w:szCs w:val="24"/>
          <w:lang w:val="ro-RO" w:eastAsia="zh-CN"/>
        </w:rPr>
        <w:t>95,8</w:t>
      </w:r>
      <w:r w:rsidR="00352AC5" w:rsidRPr="006B2701">
        <w:rPr>
          <w:rFonts w:ascii="Tahoma" w:eastAsia="Times New Roman" w:hAnsi="Tahoma" w:cs="Tahoma"/>
          <w:bCs/>
          <w:sz w:val="24"/>
          <w:szCs w:val="24"/>
          <w:lang w:val="ro-RO" w:eastAsia="zh-CN"/>
        </w:rPr>
        <w:t>% din totalul plăților aferente proiectelor cu finanțare din fonduri UE</w:t>
      </w:r>
      <w:r w:rsidR="00DB4F37" w:rsidRPr="006B2701">
        <w:rPr>
          <w:rFonts w:ascii="Tahoma" w:eastAsia="Times New Roman" w:hAnsi="Tahoma" w:cs="Tahoma"/>
          <w:bCs/>
          <w:sz w:val="24"/>
          <w:szCs w:val="24"/>
          <w:lang w:val="ro-RO" w:eastAsia="zh-CN"/>
        </w:rPr>
        <w:t xml:space="preserve">. Din această sumă, </w:t>
      </w:r>
      <w:r w:rsidR="00352AC5" w:rsidRPr="006B2701">
        <w:rPr>
          <w:rFonts w:ascii="Tahoma" w:eastAsia="Times New Roman" w:hAnsi="Tahoma" w:cs="Tahoma"/>
          <w:bCs/>
          <w:sz w:val="24"/>
          <w:szCs w:val="24"/>
          <w:lang w:val="ro-RO" w:eastAsia="zh-CN"/>
        </w:rPr>
        <w:t>15,02</w:t>
      </w:r>
      <w:r w:rsidR="00DB4F37" w:rsidRPr="006B2701">
        <w:rPr>
          <w:rFonts w:ascii="Tahoma" w:eastAsia="Times New Roman" w:hAnsi="Tahoma" w:cs="Tahoma"/>
          <w:bCs/>
          <w:sz w:val="24"/>
          <w:szCs w:val="24"/>
          <w:lang w:val="ro-RO" w:eastAsia="zh-CN"/>
        </w:rPr>
        <w:t xml:space="preserve"> miliarde lei, reprezentând </w:t>
      </w:r>
      <w:r w:rsidR="00352AC5" w:rsidRPr="006B2701">
        <w:rPr>
          <w:rFonts w:ascii="Tahoma" w:eastAsia="Times New Roman" w:hAnsi="Tahoma" w:cs="Tahoma"/>
          <w:bCs/>
          <w:sz w:val="24"/>
          <w:szCs w:val="24"/>
          <w:lang w:val="ro-RO" w:eastAsia="zh-CN"/>
        </w:rPr>
        <w:t>34,9</w:t>
      </w:r>
      <w:r w:rsidR="00DB4F37" w:rsidRPr="006B2701">
        <w:rPr>
          <w:rFonts w:ascii="Tahoma" w:eastAsia="Times New Roman" w:hAnsi="Tahoma" w:cs="Tahoma"/>
          <w:bCs/>
          <w:sz w:val="24"/>
          <w:szCs w:val="24"/>
          <w:lang w:val="ro-RO" w:eastAsia="zh-CN"/>
        </w:rPr>
        <w:t xml:space="preserve">% din totalul sumei, au fost utilizați de către Ministerul Agriculturii și Dezvoltării Rurale, </w:t>
      </w:r>
      <w:r w:rsidR="00352AC5" w:rsidRPr="006B2701">
        <w:rPr>
          <w:rFonts w:ascii="Tahoma" w:eastAsia="Times New Roman" w:hAnsi="Tahoma" w:cs="Tahoma"/>
          <w:bCs/>
          <w:sz w:val="24"/>
          <w:szCs w:val="24"/>
          <w:lang w:val="ro-RO" w:eastAsia="zh-CN"/>
        </w:rPr>
        <w:t>10,41</w:t>
      </w:r>
      <w:r w:rsidR="00DB4F37" w:rsidRPr="006B2701">
        <w:rPr>
          <w:rFonts w:ascii="Tahoma" w:eastAsia="Times New Roman" w:hAnsi="Tahoma" w:cs="Tahoma"/>
          <w:bCs/>
          <w:sz w:val="24"/>
          <w:szCs w:val="24"/>
          <w:lang w:val="ro-RO" w:eastAsia="zh-CN"/>
        </w:rPr>
        <w:t xml:space="preserve"> miliarde lei (</w:t>
      </w:r>
      <w:r w:rsidR="00352AC5" w:rsidRPr="006B2701">
        <w:rPr>
          <w:rFonts w:ascii="Tahoma" w:eastAsia="Times New Roman" w:hAnsi="Tahoma" w:cs="Tahoma"/>
          <w:bCs/>
          <w:sz w:val="24"/>
          <w:szCs w:val="24"/>
          <w:lang w:val="ro-RO" w:eastAsia="zh-CN"/>
        </w:rPr>
        <w:t>24,2</w:t>
      </w:r>
      <w:r w:rsidR="00DB4F37" w:rsidRPr="006B2701">
        <w:rPr>
          <w:rFonts w:ascii="Tahoma" w:eastAsia="Times New Roman" w:hAnsi="Tahoma" w:cs="Tahoma"/>
          <w:bCs/>
          <w:sz w:val="24"/>
          <w:szCs w:val="24"/>
          <w:lang w:val="ro-RO" w:eastAsia="zh-CN"/>
        </w:rPr>
        <w:t xml:space="preserve">%) de către Ministerul Transporturilor și Infrastructurii, </w:t>
      </w:r>
      <w:r w:rsidR="00352AC5" w:rsidRPr="006B2701">
        <w:rPr>
          <w:rFonts w:ascii="Tahoma" w:eastAsia="Times New Roman" w:hAnsi="Tahoma" w:cs="Tahoma"/>
          <w:bCs/>
          <w:sz w:val="24"/>
          <w:szCs w:val="24"/>
          <w:lang w:val="ro-RO" w:eastAsia="zh-CN"/>
        </w:rPr>
        <w:t>3,92</w:t>
      </w:r>
      <w:r w:rsidR="00DB4F37" w:rsidRPr="006B2701">
        <w:rPr>
          <w:rFonts w:ascii="Tahoma" w:eastAsia="Times New Roman" w:hAnsi="Tahoma" w:cs="Tahoma"/>
          <w:bCs/>
          <w:sz w:val="24"/>
          <w:szCs w:val="24"/>
          <w:lang w:val="ro-RO" w:eastAsia="zh-CN"/>
        </w:rPr>
        <w:t xml:space="preserve"> miliarde lei (</w:t>
      </w:r>
      <w:r w:rsidR="00352AC5" w:rsidRPr="006B2701">
        <w:rPr>
          <w:rFonts w:ascii="Tahoma" w:eastAsia="Times New Roman" w:hAnsi="Tahoma" w:cs="Tahoma"/>
          <w:bCs/>
          <w:sz w:val="24"/>
          <w:szCs w:val="24"/>
          <w:lang w:val="ro-RO" w:eastAsia="zh-CN"/>
        </w:rPr>
        <w:t>9,1</w:t>
      </w:r>
      <w:r w:rsidR="00DB4F37" w:rsidRPr="006B2701">
        <w:rPr>
          <w:rFonts w:ascii="Tahoma" w:eastAsia="Times New Roman" w:hAnsi="Tahoma" w:cs="Tahoma"/>
          <w:bCs/>
          <w:sz w:val="24"/>
          <w:szCs w:val="24"/>
          <w:lang w:val="ro-RO" w:eastAsia="zh-CN"/>
        </w:rPr>
        <w:t>%) de către Ministerul Investițiilor și Proiectelor Europene, 2,</w:t>
      </w:r>
      <w:r w:rsidR="00352AC5" w:rsidRPr="006B2701">
        <w:rPr>
          <w:rFonts w:ascii="Tahoma" w:eastAsia="Times New Roman" w:hAnsi="Tahoma" w:cs="Tahoma"/>
          <w:bCs/>
          <w:sz w:val="24"/>
          <w:szCs w:val="24"/>
          <w:lang w:val="ro-RO" w:eastAsia="zh-CN"/>
        </w:rPr>
        <w:t>2</w:t>
      </w:r>
      <w:r w:rsidR="00DB4F37" w:rsidRPr="006B2701">
        <w:rPr>
          <w:rFonts w:ascii="Tahoma" w:eastAsia="Times New Roman" w:hAnsi="Tahoma" w:cs="Tahoma"/>
          <w:bCs/>
          <w:sz w:val="24"/>
          <w:szCs w:val="24"/>
          <w:lang w:val="ro-RO" w:eastAsia="zh-CN"/>
        </w:rPr>
        <w:t>% din totalul sumei, respectiv 0,9</w:t>
      </w:r>
      <w:r w:rsidR="00352AC5" w:rsidRPr="006B2701">
        <w:rPr>
          <w:rFonts w:ascii="Tahoma" w:eastAsia="Times New Roman" w:hAnsi="Tahoma" w:cs="Tahoma"/>
          <w:bCs/>
          <w:sz w:val="24"/>
          <w:szCs w:val="24"/>
          <w:lang w:val="ro-RO" w:eastAsia="zh-CN"/>
        </w:rPr>
        <w:t>7</w:t>
      </w:r>
      <w:r w:rsidR="00DB4F37" w:rsidRPr="006B2701">
        <w:rPr>
          <w:rFonts w:ascii="Tahoma" w:eastAsia="Times New Roman" w:hAnsi="Tahoma" w:cs="Tahoma"/>
          <w:bCs/>
          <w:sz w:val="24"/>
          <w:szCs w:val="24"/>
          <w:lang w:val="ro-RO" w:eastAsia="zh-CN"/>
        </w:rPr>
        <w:t xml:space="preserve"> miliarde lei au fost utilizați de către Ministerul Afacerilor Interne</w:t>
      </w:r>
      <w:r w:rsidR="00352AC5" w:rsidRPr="006B2701">
        <w:rPr>
          <w:rFonts w:ascii="Tahoma" w:eastAsia="Times New Roman" w:hAnsi="Tahoma" w:cs="Tahoma"/>
          <w:bCs/>
          <w:sz w:val="24"/>
          <w:szCs w:val="24"/>
          <w:lang w:val="ro-RO" w:eastAsia="zh-CN"/>
        </w:rPr>
        <w:t>.</w:t>
      </w:r>
      <w:r w:rsidR="00DB4F37" w:rsidRPr="006B2701">
        <w:rPr>
          <w:rFonts w:ascii="Tahoma" w:eastAsia="Times New Roman" w:hAnsi="Tahoma" w:cs="Tahoma"/>
          <w:bCs/>
          <w:sz w:val="24"/>
          <w:szCs w:val="24"/>
          <w:lang w:val="ro-RO" w:eastAsia="zh-CN"/>
        </w:rPr>
        <w:t xml:space="preserve"> </w:t>
      </w:r>
    </w:p>
    <w:p w14:paraId="1626632C" w14:textId="77777777" w:rsidR="00A420B1" w:rsidRPr="006B2701" w:rsidRDefault="008256D5" w:rsidP="00A80217">
      <w:pPr>
        <w:spacing w:after="120" w:line="276" w:lineRule="auto"/>
        <w:jc w:val="both"/>
        <w:rPr>
          <w:rFonts w:ascii="Tahoma" w:hAnsi="Tahoma" w:cs="Tahoma"/>
          <w:bCs/>
          <w:sz w:val="24"/>
          <w:szCs w:val="24"/>
          <w:lang w:val="ro-RO"/>
        </w:rPr>
      </w:pPr>
      <w:r w:rsidRPr="006B2701">
        <w:rPr>
          <w:rFonts w:ascii="Tahoma" w:hAnsi="Tahoma" w:cs="Tahoma"/>
          <w:bCs/>
          <w:sz w:val="24"/>
          <w:szCs w:val="24"/>
          <w:lang w:val="ro-RO"/>
        </w:rPr>
        <w:t>Plățile din categoria</w:t>
      </w:r>
      <w:r w:rsidRPr="006B2701">
        <w:rPr>
          <w:rFonts w:ascii="Tahoma" w:hAnsi="Tahoma" w:cs="Tahoma"/>
          <w:b/>
          <w:bCs/>
          <w:sz w:val="24"/>
          <w:szCs w:val="24"/>
          <w:lang w:val="ro-RO"/>
        </w:rPr>
        <w:t xml:space="preserve"> </w:t>
      </w:r>
      <w:r w:rsidR="00EF369F" w:rsidRPr="006B2701">
        <w:rPr>
          <w:rFonts w:ascii="Tahoma" w:hAnsi="Tahoma" w:cs="Tahoma"/>
          <w:b/>
          <w:bCs/>
          <w:sz w:val="24"/>
          <w:szCs w:val="24"/>
          <w:lang w:val="ro-RO"/>
        </w:rPr>
        <w:t>Alte cheltuieli</w:t>
      </w:r>
      <w:r w:rsidR="00EF369F" w:rsidRPr="006B2701">
        <w:rPr>
          <w:rFonts w:ascii="Tahoma" w:hAnsi="Tahoma" w:cs="Tahoma"/>
          <w:bCs/>
          <w:sz w:val="24"/>
          <w:szCs w:val="24"/>
          <w:lang w:val="ro-RO"/>
        </w:rPr>
        <w:t xml:space="preserve"> </w:t>
      </w:r>
      <w:r w:rsidRPr="006B2701">
        <w:rPr>
          <w:rFonts w:ascii="Tahoma" w:hAnsi="Tahoma" w:cs="Tahoma"/>
          <w:bCs/>
          <w:sz w:val="24"/>
          <w:szCs w:val="24"/>
          <w:lang w:val="ro-RO"/>
        </w:rPr>
        <w:t>(</w:t>
      </w:r>
      <w:r w:rsidR="00EF369F" w:rsidRPr="006B2701">
        <w:rPr>
          <w:rFonts w:ascii="Tahoma" w:hAnsi="Tahoma" w:cs="Tahoma"/>
          <w:bCs/>
          <w:sz w:val="24"/>
          <w:szCs w:val="24"/>
          <w:lang w:val="ro-RO"/>
        </w:rPr>
        <w:t>reprezentând, în principal, sume aferente titlurilor de plată emise de Autoritatea Națională pentru Restituirea Proprietăților, conform legislației în vigoare, burse pentru elevi și studenți, precum și alte despăgubiri civile</w:t>
      </w:r>
      <w:r w:rsidRPr="006B2701">
        <w:rPr>
          <w:rFonts w:ascii="Tahoma" w:hAnsi="Tahoma" w:cs="Tahoma"/>
          <w:bCs/>
          <w:sz w:val="24"/>
          <w:szCs w:val="24"/>
          <w:lang w:val="ro-RO"/>
        </w:rPr>
        <w:t>) î</w:t>
      </w:r>
      <w:r w:rsidR="00EF369F" w:rsidRPr="006B2701">
        <w:rPr>
          <w:rFonts w:ascii="Tahoma" w:hAnsi="Tahoma" w:cs="Tahoma"/>
          <w:bCs/>
          <w:sz w:val="24"/>
          <w:szCs w:val="24"/>
          <w:lang w:val="ro-RO"/>
        </w:rPr>
        <w:t>n anul 20</w:t>
      </w:r>
      <w:r w:rsidR="007E415D" w:rsidRPr="006B2701">
        <w:rPr>
          <w:rFonts w:ascii="Tahoma" w:hAnsi="Tahoma" w:cs="Tahoma"/>
          <w:bCs/>
          <w:sz w:val="24"/>
          <w:szCs w:val="24"/>
          <w:lang w:val="ro-RO"/>
        </w:rPr>
        <w:t>2</w:t>
      </w:r>
      <w:r w:rsidR="00352AC5" w:rsidRPr="006B2701">
        <w:rPr>
          <w:rFonts w:ascii="Tahoma" w:hAnsi="Tahoma" w:cs="Tahoma"/>
          <w:bCs/>
          <w:sz w:val="24"/>
          <w:szCs w:val="24"/>
          <w:lang w:val="ro-RO"/>
        </w:rPr>
        <w:t>2</w:t>
      </w:r>
      <w:r w:rsidR="00EF369F" w:rsidRPr="006B2701">
        <w:rPr>
          <w:rFonts w:ascii="Tahoma" w:hAnsi="Tahoma" w:cs="Tahoma"/>
          <w:bCs/>
          <w:sz w:val="24"/>
          <w:szCs w:val="24"/>
          <w:lang w:val="ro-RO"/>
        </w:rPr>
        <w:t xml:space="preserve"> au însumat </w:t>
      </w:r>
      <w:r w:rsidR="00A420B1" w:rsidRPr="006B2701">
        <w:rPr>
          <w:rFonts w:ascii="Tahoma" w:hAnsi="Tahoma" w:cs="Tahoma"/>
          <w:bCs/>
          <w:sz w:val="24"/>
          <w:szCs w:val="24"/>
          <w:lang w:val="ro-RO"/>
        </w:rPr>
        <w:t>10,07</w:t>
      </w:r>
      <w:r w:rsidR="00EF369F" w:rsidRPr="006B2701">
        <w:rPr>
          <w:rFonts w:ascii="Tahoma" w:hAnsi="Tahoma" w:cs="Tahoma"/>
          <w:bCs/>
          <w:sz w:val="24"/>
          <w:szCs w:val="24"/>
          <w:lang w:val="ro-RO"/>
        </w:rPr>
        <w:t xml:space="preserve"> </w:t>
      </w:r>
      <w:r w:rsidR="00DB4F37" w:rsidRPr="006B2701">
        <w:rPr>
          <w:rFonts w:ascii="Tahoma" w:hAnsi="Tahoma" w:cs="Tahoma"/>
          <w:bCs/>
          <w:sz w:val="24"/>
          <w:szCs w:val="24"/>
          <w:lang w:val="ro-RO"/>
        </w:rPr>
        <w:t xml:space="preserve">miliarde </w:t>
      </w:r>
      <w:r w:rsidR="00EF369F" w:rsidRPr="006B2701">
        <w:rPr>
          <w:rFonts w:ascii="Tahoma" w:hAnsi="Tahoma" w:cs="Tahoma"/>
          <w:bCs/>
          <w:sz w:val="24"/>
          <w:szCs w:val="24"/>
          <w:lang w:val="ro-RO"/>
        </w:rPr>
        <w:t>lei</w:t>
      </w:r>
      <w:r w:rsidR="007E415D" w:rsidRPr="006B2701">
        <w:rPr>
          <w:rFonts w:ascii="Tahoma" w:hAnsi="Tahoma" w:cs="Tahoma"/>
          <w:bCs/>
          <w:sz w:val="24"/>
          <w:szCs w:val="24"/>
          <w:lang w:val="ro-RO"/>
        </w:rPr>
        <w:t>(0,</w:t>
      </w:r>
      <w:r w:rsidR="00DB4F37" w:rsidRPr="006B2701">
        <w:rPr>
          <w:rFonts w:ascii="Tahoma" w:hAnsi="Tahoma" w:cs="Tahoma"/>
          <w:bCs/>
          <w:sz w:val="24"/>
          <w:szCs w:val="24"/>
          <w:lang w:val="ro-RO"/>
        </w:rPr>
        <w:t>7</w:t>
      </w:r>
      <w:r w:rsidR="007E415D" w:rsidRPr="006B2701">
        <w:rPr>
          <w:rFonts w:ascii="Tahoma" w:hAnsi="Tahoma" w:cs="Tahoma"/>
          <w:bCs/>
          <w:sz w:val="24"/>
          <w:szCs w:val="24"/>
          <w:lang w:val="ro-RO"/>
        </w:rPr>
        <w:t>% din PIB).</w:t>
      </w:r>
      <w:r w:rsidR="00EF369F" w:rsidRPr="006B2701">
        <w:rPr>
          <w:rFonts w:ascii="Tahoma" w:hAnsi="Tahoma" w:cs="Tahoma"/>
          <w:bCs/>
          <w:sz w:val="24"/>
          <w:szCs w:val="24"/>
          <w:lang w:val="ro-RO"/>
        </w:rPr>
        <w:t xml:space="preserve"> Acestea au fost cu </w:t>
      </w:r>
      <w:r w:rsidR="00A420B1" w:rsidRPr="006B2701">
        <w:rPr>
          <w:rFonts w:ascii="Tahoma" w:hAnsi="Tahoma" w:cs="Tahoma"/>
          <w:bCs/>
          <w:sz w:val="24"/>
          <w:szCs w:val="24"/>
          <w:lang w:val="ro-RO"/>
        </w:rPr>
        <w:t>21,0</w:t>
      </w:r>
      <w:r w:rsidR="0093289E" w:rsidRPr="006B2701">
        <w:rPr>
          <w:rFonts w:ascii="Tahoma" w:hAnsi="Tahoma" w:cs="Tahoma"/>
          <w:bCs/>
          <w:sz w:val="24"/>
          <w:szCs w:val="24"/>
          <w:lang w:val="ro-RO"/>
        </w:rPr>
        <w:t>%</w:t>
      </w:r>
      <w:r w:rsidR="00EF369F" w:rsidRPr="006B2701">
        <w:rPr>
          <w:rFonts w:ascii="Tahoma" w:hAnsi="Tahoma" w:cs="Tahoma"/>
          <w:bCs/>
          <w:sz w:val="24"/>
          <w:szCs w:val="24"/>
          <w:lang w:val="ro-RO"/>
        </w:rPr>
        <w:t xml:space="preserve"> </w:t>
      </w:r>
      <w:r w:rsidR="00A420B1" w:rsidRPr="006B2701">
        <w:rPr>
          <w:rFonts w:ascii="Tahoma" w:hAnsi="Tahoma" w:cs="Tahoma"/>
          <w:bCs/>
          <w:sz w:val="24"/>
          <w:szCs w:val="24"/>
          <w:lang w:val="ro-RO"/>
        </w:rPr>
        <w:t xml:space="preserve">mai mari comparativ cu </w:t>
      </w:r>
      <w:r w:rsidR="00DB4F37" w:rsidRPr="006B2701">
        <w:rPr>
          <w:rFonts w:ascii="Tahoma" w:hAnsi="Tahoma" w:cs="Tahoma"/>
          <w:bCs/>
          <w:sz w:val="24"/>
          <w:szCs w:val="24"/>
          <w:lang w:val="ro-RO"/>
        </w:rPr>
        <w:t xml:space="preserve"> </w:t>
      </w:r>
      <w:r w:rsidR="00DB4F37" w:rsidRPr="006B2701">
        <w:rPr>
          <w:rFonts w:ascii="Tahoma" w:hAnsi="Tahoma" w:cs="Tahoma"/>
          <w:bCs/>
          <w:sz w:val="24"/>
          <w:szCs w:val="24"/>
          <w:lang w:val="ro-RO"/>
        </w:rPr>
        <w:lastRenderedPageBreak/>
        <w:t>încasările anului 202</w:t>
      </w:r>
      <w:r w:rsidR="00A420B1" w:rsidRPr="006B2701">
        <w:rPr>
          <w:rFonts w:ascii="Tahoma" w:hAnsi="Tahoma" w:cs="Tahoma"/>
          <w:bCs/>
          <w:sz w:val="24"/>
          <w:szCs w:val="24"/>
          <w:lang w:val="ro-RO"/>
        </w:rPr>
        <w:t>1</w:t>
      </w:r>
      <w:r w:rsidR="00DB4F37" w:rsidRPr="006B2701">
        <w:rPr>
          <w:rFonts w:ascii="Tahoma" w:hAnsi="Tahoma" w:cs="Tahoma"/>
          <w:bCs/>
          <w:sz w:val="24"/>
          <w:szCs w:val="24"/>
          <w:lang w:val="ro-RO"/>
        </w:rPr>
        <w:t xml:space="preserve"> </w:t>
      </w:r>
      <w:r w:rsidR="008E1769" w:rsidRPr="006B2701">
        <w:rPr>
          <w:rFonts w:ascii="Tahoma" w:hAnsi="Tahoma" w:cs="Tahoma"/>
          <w:bCs/>
          <w:sz w:val="24"/>
          <w:szCs w:val="24"/>
          <w:lang w:val="ro-RO"/>
        </w:rPr>
        <w:t xml:space="preserve">această evoluție fiind determinată </w:t>
      </w:r>
      <w:r w:rsidR="00A420B1" w:rsidRPr="006B2701">
        <w:rPr>
          <w:rFonts w:ascii="Tahoma" w:hAnsi="Tahoma" w:cs="Tahoma"/>
          <w:bCs/>
          <w:sz w:val="24"/>
          <w:szCs w:val="24"/>
          <w:lang w:val="ro-RO"/>
        </w:rPr>
        <w:t xml:space="preserve">în principal </w:t>
      </w:r>
      <w:r w:rsidR="008E1769" w:rsidRPr="006B2701">
        <w:rPr>
          <w:rFonts w:ascii="Tahoma" w:hAnsi="Tahoma" w:cs="Tahoma"/>
          <w:bCs/>
          <w:sz w:val="24"/>
          <w:szCs w:val="24"/>
          <w:lang w:val="ro-RO"/>
        </w:rPr>
        <w:t xml:space="preserve">de </w:t>
      </w:r>
      <w:r w:rsidR="00A420B1" w:rsidRPr="006B2701">
        <w:rPr>
          <w:rFonts w:ascii="Tahoma" w:hAnsi="Tahoma" w:cs="Tahoma"/>
          <w:bCs/>
          <w:sz w:val="24"/>
          <w:szCs w:val="24"/>
          <w:lang w:val="ro-RO"/>
        </w:rPr>
        <w:t>creșterea plăților la bugetele locale (+52,4%) și la bugetul instituțiilor publice finanțate integral sau parțial din venituri proprii(+23,5).</w:t>
      </w:r>
    </w:p>
    <w:p w14:paraId="418F599E" w14:textId="5488D40A" w:rsidR="00604EC4" w:rsidRPr="006B2701" w:rsidRDefault="00A80217" w:rsidP="00A80217">
      <w:pPr>
        <w:spacing w:after="120" w:line="276" w:lineRule="auto"/>
        <w:jc w:val="both"/>
        <w:rPr>
          <w:rFonts w:ascii="Tahoma" w:hAnsi="Tahoma" w:cs="Tahoma"/>
          <w:bCs/>
          <w:sz w:val="24"/>
          <w:szCs w:val="24"/>
          <w:lang w:val="ro-RO"/>
        </w:rPr>
      </w:pPr>
      <w:r w:rsidRPr="006B2701">
        <w:rPr>
          <w:rFonts w:ascii="Tahoma" w:hAnsi="Tahoma" w:cs="Tahoma"/>
          <w:bCs/>
          <w:sz w:val="24"/>
          <w:szCs w:val="24"/>
          <w:lang w:val="ro-RO"/>
        </w:rPr>
        <w:t>Plățile la buget</w:t>
      </w:r>
      <w:r w:rsidR="00604EC4" w:rsidRPr="006B2701">
        <w:rPr>
          <w:rFonts w:ascii="Tahoma" w:hAnsi="Tahoma" w:cs="Tahoma"/>
          <w:bCs/>
          <w:sz w:val="24"/>
          <w:szCs w:val="24"/>
          <w:lang w:val="ro-RO"/>
        </w:rPr>
        <w:t xml:space="preserve">ul de stat au fost </w:t>
      </w:r>
      <w:r w:rsidR="00604EC4" w:rsidRPr="006B2701">
        <w:rPr>
          <w:rFonts w:ascii="Tahoma" w:eastAsia="Times New Roman" w:hAnsi="Tahoma" w:cs="Tahoma"/>
          <w:bCs/>
          <w:sz w:val="24"/>
          <w:szCs w:val="24"/>
          <w:lang w:val="ro-RO" w:eastAsia="zh-CN"/>
        </w:rPr>
        <w:t>în sumă de 5,</w:t>
      </w:r>
      <w:r w:rsidR="00A420B1" w:rsidRPr="006B2701">
        <w:rPr>
          <w:rFonts w:ascii="Tahoma" w:eastAsia="Times New Roman" w:hAnsi="Tahoma" w:cs="Tahoma"/>
          <w:bCs/>
          <w:sz w:val="24"/>
          <w:szCs w:val="24"/>
          <w:lang w:val="ro-RO" w:eastAsia="zh-CN"/>
        </w:rPr>
        <w:t>9</w:t>
      </w:r>
      <w:r w:rsidR="00604EC4" w:rsidRPr="006B2701">
        <w:rPr>
          <w:rFonts w:ascii="Tahoma" w:eastAsia="Times New Roman" w:hAnsi="Tahoma" w:cs="Tahoma"/>
          <w:bCs/>
          <w:sz w:val="24"/>
          <w:szCs w:val="24"/>
          <w:lang w:val="ro-RO" w:eastAsia="zh-CN"/>
        </w:rPr>
        <w:t xml:space="preserve"> miliarde lei (</w:t>
      </w:r>
      <w:r w:rsidR="00A420B1" w:rsidRPr="006B2701">
        <w:rPr>
          <w:rFonts w:ascii="Tahoma" w:eastAsia="Times New Roman" w:hAnsi="Tahoma" w:cs="Tahoma"/>
          <w:bCs/>
          <w:sz w:val="24"/>
          <w:szCs w:val="24"/>
          <w:lang w:val="ro-RO" w:eastAsia="zh-CN"/>
        </w:rPr>
        <w:t>59</w:t>
      </w:r>
      <w:r w:rsidR="00604EC4" w:rsidRPr="006B2701">
        <w:rPr>
          <w:rFonts w:ascii="Tahoma" w:eastAsia="Times New Roman" w:hAnsi="Tahoma" w:cs="Tahoma"/>
          <w:bCs/>
          <w:sz w:val="24"/>
          <w:szCs w:val="24"/>
          <w:lang w:val="ro-RO" w:eastAsia="zh-CN"/>
        </w:rPr>
        <w:t xml:space="preserve">% din totalul plăților aferente titlului alte cheltuieli la nivel de buget general consolidat), reprezintă </w:t>
      </w:r>
      <w:r w:rsidR="00A420B1" w:rsidRPr="006B2701">
        <w:rPr>
          <w:rFonts w:ascii="Tahoma" w:eastAsia="Times New Roman" w:hAnsi="Tahoma" w:cs="Tahoma"/>
          <w:bCs/>
          <w:sz w:val="24"/>
          <w:szCs w:val="24"/>
          <w:lang w:val="ro-RO" w:eastAsia="zh-CN"/>
        </w:rPr>
        <w:t>1,9</w:t>
      </w:r>
      <w:r w:rsidR="00604EC4" w:rsidRPr="006B2701">
        <w:rPr>
          <w:rFonts w:ascii="Tahoma" w:eastAsia="Times New Roman" w:hAnsi="Tahoma" w:cs="Tahoma"/>
          <w:bCs/>
          <w:sz w:val="24"/>
          <w:szCs w:val="24"/>
          <w:lang w:val="ro-RO" w:eastAsia="zh-CN"/>
        </w:rPr>
        <w:t xml:space="preserve">% din totalul cheltuielilor bugetare, </w:t>
      </w:r>
      <w:proofErr w:type="spellStart"/>
      <w:r w:rsidR="00604EC4" w:rsidRPr="006B2701">
        <w:rPr>
          <w:rFonts w:ascii="Tahoma" w:eastAsia="Times New Roman" w:hAnsi="Tahoma" w:cs="Tahoma"/>
          <w:bCs/>
          <w:sz w:val="24"/>
          <w:szCs w:val="24"/>
          <w:lang w:val="ro-RO" w:eastAsia="zh-CN"/>
        </w:rPr>
        <w:t>şi</w:t>
      </w:r>
      <w:proofErr w:type="spellEnd"/>
      <w:r w:rsidR="00604EC4" w:rsidRPr="006B2701">
        <w:rPr>
          <w:rFonts w:ascii="Tahoma" w:eastAsia="Times New Roman" w:hAnsi="Tahoma" w:cs="Tahoma"/>
          <w:bCs/>
          <w:sz w:val="24"/>
          <w:szCs w:val="24"/>
          <w:lang w:val="ro-RO" w:eastAsia="zh-CN"/>
        </w:rPr>
        <w:t xml:space="preserve"> sunt formate în principal din:</w:t>
      </w:r>
    </w:p>
    <w:p w14:paraId="336DCCE1" w14:textId="5FD967F3" w:rsidR="00604EC4" w:rsidRPr="006B2701" w:rsidRDefault="00604EC4" w:rsidP="00A420B1">
      <w:pPr>
        <w:numPr>
          <w:ilvl w:val="0"/>
          <w:numId w:val="21"/>
        </w:numPr>
        <w:tabs>
          <w:tab w:val="left" w:pos="1084"/>
        </w:tabs>
        <w:suppressAutoHyphens/>
        <w:spacing w:before="120" w:after="120"/>
        <w:ind w:left="851" w:hanging="284"/>
        <w:jc w:val="both"/>
        <w:rPr>
          <w:rFonts w:ascii="Tahoma" w:eastAsia="Times New Roman" w:hAnsi="Tahoma" w:cs="Tahoma"/>
          <w:bCs/>
          <w:sz w:val="24"/>
          <w:szCs w:val="24"/>
          <w:lang w:val="ro-RO" w:eastAsia="zh-CN"/>
        </w:rPr>
      </w:pPr>
      <w:r w:rsidRPr="006B2701">
        <w:rPr>
          <w:rFonts w:ascii="Tahoma" w:eastAsia="Times New Roman" w:hAnsi="Tahoma" w:cs="Tahoma"/>
          <w:bCs/>
          <w:sz w:val="24"/>
          <w:szCs w:val="24"/>
          <w:lang w:val="ro-RO" w:eastAsia="zh-CN"/>
        </w:rPr>
        <w:t>burse 0,98 miliarde lei (</w:t>
      </w:r>
      <w:r w:rsidR="00A420B1" w:rsidRPr="006B2701">
        <w:rPr>
          <w:rFonts w:ascii="Tahoma" w:eastAsia="Times New Roman" w:hAnsi="Tahoma" w:cs="Tahoma"/>
          <w:bCs/>
          <w:sz w:val="24"/>
          <w:szCs w:val="24"/>
          <w:lang w:val="ro-RO" w:eastAsia="zh-CN"/>
        </w:rPr>
        <w:t>16,58</w:t>
      </w:r>
      <w:r w:rsidRPr="006B2701">
        <w:rPr>
          <w:rFonts w:ascii="Tahoma" w:eastAsia="Times New Roman" w:hAnsi="Tahoma" w:cs="Tahoma"/>
          <w:bCs/>
          <w:sz w:val="24"/>
          <w:szCs w:val="24"/>
          <w:lang w:val="ro-RO" w:eastAsia="zh-CN"/>
        </w:rPr>
        <w:t>%);</w:t>
      </w:r>
    </w:p>
    <w:p w14:paraId="3275BF14" w14:textId="07322312" w:rsidR="00A420B1" w:rsidRPr="006B2701" w:rsidRDefault="00A420B1" w:rsidP="00A420B1">
      <w:pPr>
        <w:numPr>
          <w:ilvl w:val="0"/>
          <w:numId w:val="21"/>
        </w:numPr>
        <w:tabs>
          <w:tab w:val="left" w:pos="1084"/>
        </w:tabs>
        <w:suppressAutoHyphens/>
        <w:spacing w:before="120" w:after="120"/>
        <w:ind w:left="851" w:hanging="284"/>
        <w:jc w:val="both"/>
        <w:rPr>
          <w:rFonts w:ascii="Tahoma" w:eastAsia="Times New Roman" w:hAnsi="Tahoma" w:cs="Tahoma"/>
          <w:bCs/>
          <w:sz w:val="24"/>
          <w:szCs w:val="24"/>
          <w:lang w:val="ro-RO" w:eastAsia="zh-CN"/>
        </w:rPr>
      </w:pPr>
      <w:r w:rsidRPr="006B2701">
        <w:rPr>
          <w:rFonts w:ascii="Tahoma" w:eastAsia="Times New Roman" w:hAnsi="Tahoma" w:cs="Tahoma"/>
          <w:bCs/>
          <w:sz w:val="24"/>
          <w:szCs w:val="24"/>
          <w:lang w:val="ro-RO" w:eastAsia="zh-CN"/>
        </w:rPr>
        <w:t>susținerea cultelor 0,41 miliarde lei</w:t>
      </w:r>
      <w:r w:rsidR="003F69A8">
        <w:rPr>
          <w:rFonts w:ascii="Tahoma" w:eastAsia="Times New Roman" w:hAnsi="Tahoma" w:cs="Tahoma"/>
          <w:bCs/>
          <w:sz w:val="24"/>
          <w:szCs w:val="24"/>
          <w:lang w:val="ro-RO" w:eastAsia="zh-CN"/>
        </w:rPr>
        <w:t xml:space="preserve"> </w:t>
      </w:r>
      <w:r w:rsidRPr="006B2701">
        <w:rPr>
          <w:rFonts w:ascii="Tahoma" w:eastAsia="Times New Roman" w:hAnsi="Tahoma" w:cs="Tahoma"/>
          <w:bCs/>
          <w:sz w:val="24"/>
          <w:szCs w:val="24"/>
          <w:lang w:val="ro-RO" w:eastAsia="zh-CN"/>
        </w:rPr>
        <w:t>(6,93%);</w:t>
      </w:r>
    </w:p>
    <w:p w14:paraId="16599C59" w14:textId="1581E704" w:rsidR="00604EC4" w:rsidRPr="006B2701" w:rsidRDefault="003F69A8" w:rsidP="00A420B1">
      <w:pPr>
        <w:numPr>
          <w:ilvl w:val="0"/>
          <w:numId w:val="21"/>
        </w:numPr>
        <w:tabs>
          <w:tab w:val="left" w:pos="1084"/>
        </w:tabs>
        <w:suppressAutoHyphens/>
        <w:spacing w:before="120" w:after="120"/>
        <w:ind w:left="851" w:hanging="284"/>
        <w:jc w:val="both"/>
        <w:rPr>
          <w:rFonts w:ascii="Tahoma" w:eastAsia="Times New Roman" w:hAnsi="Tahoma" w:cs="Tahoma"/>
          <w:bCs/>
          <w:sz w:val="24"/>
          <w:szCs w:val="24"/>
          <w:lang w:val="ro-RO" w:eastAsia="zh-CN"/>
        </w:rPr>
      </w:pPr>
      <w:r w:rsidRPr="006B2701">
        <w:rPr>
          <w:rFonts w:ascii="Tahoma" w:eastAsia="Times New Roman" w:hAnsi="Tahoma" w:cs="Tahoma"/>
          <w:bCs/>
          <w:sz w:val="24"/>
          <w:szCs w:val="24"/>
          <w:lang w:val="ro-RO" w:eastAsia="zh-CN"/>
        </w:rPr>
        <w:t>contribuția</w:t>
      </w:r>
      <w:r w:rsidR="00604EC4" w:rsidRPr="006B2701">
        <w:rPr>
          <w:rFonts w:ascii="Tahoma" w:eastAsia="Times New Roman" w:hAnsi="Tahoma" w:cs="Tahoma"/>
          <w:bCs/>
          <w:sz w:val="24"/>
          <w:szCs w:val="24"/>
          <w:lang w:val="ro-RO" w:eastAsia="zh-CN"/>
        </w:rPr>
        <w:t xml:space="preserve"> statului la salarizarea personalului de cult 0,7</w:t>
      </w:r>
      <w:r w:rsidR="00A420B1" w:rsidRPr="006B2701">
        <w:rPr>
          <w:rFonts w:ascii="Tahoma" w:eastAsia="Times New Roman" w:hAnsi="Tahoma" w:cs="Tahoma"/>
          <w:bCs/>
          <w:sz w:val="24"/>
          <w:szCs w:val="24"/>
          <w:lang w:val="ro-RO" w:eastAsia="zh-CN"/>
        </w:rPr>
        <w:t>5</w:t>
      </w:r>
      <w:r w:rsidR="00604EC4" w:rsidRPr="006B2701">
        <w:rPr>
          <w:rFonts w:ascii="Tahoma" w:eastAsia="Times New Roman" w:hAnsi="Tahoma" w:cs="Tahoma"/>
          <w:bCs/>
          <w:sz w:val="24"/>
          <w:szCs w:val="24"/>
          <w:lang w:val="ro-RO" w:eastAsia="zh-CN"/>
        </w:rPr>
        <w:t xml:space="preserve"> miliarde lei (12,</w:t>
      </w:r>
      <w:r w:rsidR="00A420B1" w:rsidRPr="006B2701">
        <w:rPr>
          <w:rFonts w:ascii="Tahoma" w:eastAsia="Times New Roman" w:hAnsi="Tahoma" w:cs="Tahoma"/>
          <w:bCs/>
          <w:sz w:val="24"/>
          <w:szCs w:val="24"/>
          <w:lang w:val="ro-RO" w:eastAsia="zh-CN"/>
        </w:rPr>
        <w:t>65</w:t>
      </w:r>
      <w:r w:rsidR="00604EC4" w:rsidRPr="006B2701">
        <w:rPr>
          <w:rFonts w:ascii="Tahoma" w:eastAsia="Times New Roman" w:hAnsi="Tahoma" w:cs="Tahoma"/>
          <w:bCs/>
          <w:sz w:val="24"/>
          <w:szCs w:val="24"/>
          <w:lang w:val="ro-RO" w:eastAsia="zh-CN"/>
        </w:rPr>
        <w:t>%);</w:t>
      </w:r>
    </w:p>
    <w:p w14:paraId="06CFB630" w14:textId="5651DB7E" w:rsidR="00604EC4" w:rsidRPr="006B2701" w:rsidRDefault="00604EC4" w:rsidP="00A420B1">
      <w:pPr>
        <w:numPr>
          <w:ilvl w:val="0"/>
          <w:numId w:val="21"/>
        </w:numPr>
        <w:tabs>
          <w:tab w:val="left" w:pos="1084"/>
        </w:tabs>
        <w:suppressAutoHyphens/>
        <w:spacing w:before="120" w:after="120"/>
        <w:ind w:left="851" w:hanging="284"/>
        <w:jc w:val="both"/>
        <w:rPr>
          <w:rFonts w:ascii="Tahoma" w:eastAsia="Times New Roman" w:hAnsi="Tahoma" w:cs="Tahoma"/>
          <w:bCs/>
          <w:sz w:val="24"/>
          <w:szCs w:val="24"/>
          <w:lang w:val="ro-RO" w:eastAsia="zh-CN"/>
        </w:rPr>
      </w:pPr>
      <w:r w:rsidRPr="006B2701">
        <w:rPr>
          <w:rFonts w:ascii="Tahoma" w:eastAsia="Times New Roman" w:hAnsi="Tahoma" w:cs="Tahoma"/>
          <w:bCs/>
          <w:sz w:val="24"/>
          <w:szCs w:val="24"/>
          <w:lang w:val="ro-RO" w:eastAsia="zh-CN"/>
        </w:rPr>
        <w:t>despăgubiri civile 2,6</w:t>
      </w:r>
      <w:r w:rsidR="00A420B1" w:rsidRPr="006B2701">
        <w:rPr>
          <w:rFonts w:ascii="Tahoma" w:eastAsia="Times New Roman" w:hAnsi="Tahoma" w:cs="Tahoma"/>
          <w:bCs/>
          <w:sz w:val="24"/>
          <w:szCs w:val="24"/>
          <w:lang w:val="ro-RO" w:eastAsia="zh-CN"/>
        </w:rPr>
        <w:t>1</w:t>
      </w:r>
      <w:r w:rsidRPr="006B2701">
        <w:rPr>
          <w:rFonts w:ascii="Tahoma" w:eastAsia="Times New Roman" w:hAnsi="Tahoma" w:cs="Tahoma"/>
          <w:bCs/>
          <w:sz w:val="24"/>
          <w:szCs w:val="24"/>
          <w:lang w:val="ro-RO" w:eastAsia="zh-CN"/>
        </w:rPr>
        <w:t xml:space="preserve"> miliarde lei (</w:t>
      </w:r>
      <w:r w:rsidR="00A420B1" w:rsidRPr="006B2701">
        <w:rPr>
          <w:rFonts w:ascii="Tahoma" w:eastAsia="Times New Roman" w:hAnsi="Tahoma" w:cs="Tahoma"/>
          <w:bCs/>
          <w:sz w:val="24"/>
          <w:szCs w:val="24"/>
          <w:lang w:val="ro-RO" w:eastAsia="zh-CN"/>
        </w:rPr>
        <w:t>44,0</w:t>
      </w:r>
      <w:r w:rsidRPr="006B2701">
        <w:rPr>
          <w:rFonts w:ascii="Tahoma" w:eastAsia="Times New Roman" w:hAnsi="Tahoma" w:cs="Tahoma"/>
          <w:bCs/>
          <w:sz w:val="24"/>
          <w:szCs w:val="24"/>
          <w:lang w:val="ro-RO" w:eastAsia="zh-CN"/>
        </w:rPr>
        <w:t>%);</w:t>
      </w:r>
    </w:p>
    <w:p w14:paraId="5FF530DA" w14:textId="46C650B6" w:rsidR="00604EC4" w:rsidRPr="006B2701" w:rsidRDefault="00604EC4" w:rsidP="00A420B1">
      <w:pPr>
        <w:suppressAutoHyphens/>
        <w:autoSpaceDE w:val="0"/>
        <w:spacing w:after="120" w:line="276" w:lineRule="auto"/>
        <w:jc w:val="both"/>
        <w:rPr>
          <w:rFonts w:ascii="Tahoma" w:eastAsia="Times New Roman" w:hAnsi="Tahoma" w:cs="Tahoma"/>
          <w:bCs/>
          <w:sz w:val="24"/>
          <w:szCs w:val="24"/>
          <w:lang w:val="ro-RO" w:eastAsia="zh-CN"/>
        </w:rPr>
      </w:pPr>
      <w:r w:rsidRPr="006B2701">
        <w:rPr>
          <w:rFonts w:ascii="Tahoma" w:eastAsia="Times New Roman" w:hAnsi="Tahoma" w:cs="Tahoma"/>
          <w:sz w:val="24"/>
          <w:szCs w:val="24"/>
          <w:lang w:val="ro-RO" w:eastAsia="zh-CN"/>
        </w:rPr>
        <w:t>Din totalul plăților cu despăgubirile civile, suma de 1,9</w:t>
      </w:r>
      <w:r w:rsidR="00A420B1" w:rsidRPr="006B2701">
        <w:rPr>
          <w:rFonts w:ascii="Tahoma" w:eastAsia="Times New Roman" w:hAnsi="Tahoma" w:cs="Tahoma"/>
          <w:sz w:val="24"/>
          <w:szCs w:val="24"/>
          <w:lang w:val="ro-RO" w:eastAsia="zh-CN"/>
        </w:rPr>
        <w:t>6</w:t>
      </w:r>
      <w:r w:rsidRPr="006B2701">
        <w:rPr>
          <w:rFonts w:ascii="Tahoma" w:eastAsia="Times New Roman" w:hAnsi="Tahoma" w:cs="Tahoma"/>
          <w:sz w:val="24"/>
          <w:szCs w:val="24"/>
          <w:lang w:val="ro-RO" w:eastAsia="zh-CN"/>
        </w:rPr>
        <w:t xml:space="preserve"> miliarde lei, respectiv 75,</w:t>
      </w:r>
      <w:r w:rsidR="00A420B1" w:rsidRPr="006B2701">
        <w:rPr>
          <w:rFonts w:ascii="Tahoma" w:eastAsia="Times New Roman" w:hAnsi="Tahoma" w:cs="Tahoma"/>
          <w:sz w:val="24"/>
          <w:szCs w:val="24"/>
          <w:lang w:val="ro-RO" w:eastAsia="zh-CN"/>
        </w:rPr>
        <w:t>11</w:t>
      </w:r>
      <w:r w:rsidRPr="006B2701">
        <w:rPr>
          <w:rFonts w:ascii="Tahoma" w:eastAsia="Times New Roman" w:hAnsi="Tahoma" w:cs="Tahoma"/>
          <w:sz w:val="24"/>
          <w:szCs w:val="24"/>
          <w:lang w:val="ro-RO" w:eastAsia="zh-CN"/>
        </w:rPr>
        <w:t xml:space="preserve">% a fost utilizată de Ministerul Finanțelor, în principal pentru: achitarea de despăgubiri în baza legilor de restituire a proprietăților; </w:t>
      </w:r>
      <w:r w:rsidRPr="006B2701">
        <w:rPr>
          <w:rFonts w:ascii="Tahoma" w:eastAsia="Times New Roman" w:hAnsi="Tahoma" w:cs="Tahoma"/>
          <w:iCs/>
          <w:sz w:val="24"/>
          <w:szCs w:val="24"/>
          <w:lang w:val="ro-RO" w:eastAsia="zh-CN"/>
        </w:rPr>
        <w:t xml:space="preserve">despăgubiri provenite din aplicarea </w:t>
      </w:r>
      <w:r w:rsidR="00F874EE" w:rsidRPr="006B2701">
        <w:rPr>
          <w:rFonts w:ascii="Tahoma" w:eastAsia="Times New Roman" w:hAnsi="Tahoma" w:cs="Tahoma"/>
          <w:iCs/>
          <w:sz w:val="24"/>
          <w:szCs w:val="24"/>
          <w:lang w:val="ro-RO" w:eastAsia="zh-CN"/>
        </w:rPr>
        <w:t>legislației</w:t>
      </w:r>
      <w:r w:rsidRPr="006B2701">
        <w:rPr>
          <w:rFonts w:ascii="Tahoma" w:eastAsia="Times New Roman" w:hAnsi="Tahoma" w:cs="Tahoma"/>
          <w:iCs/>
          <w:sz w:val="24"/>
          <w:szCs w:val="24"/>
          <w:lang w:val="ro-RO" w:eastAsia="zh-CN"/>
        </w:rPr>
        <w:t xml:space="preserve"> privind </w:t>
      </w:r>
      <w:r w:rsidR="00F874EE" w:rsidRPr="006B2701">
        <w:rPr>
          <w:rFonts w:ascii="Tahoma" w:eastAsia="Times New Roman" w:hAnsi="Tahoma" w:cs="Tahoma"/>
          <w:iCs/>
          <w:sz w:val="24"/>
          <w:szCs w:val="24"/>
          <w:lang w:val="ro-RO" w:eastAsia="zh-CN"/>
        </w:rPr>
        <w:t>creanțele</w:t>
      </w:r>
      <w:r w:rsidRPr="006B2701">
        <w:rPr>
          <w:rFonts w:ascii="Tahoma" w:eastAsia="Times New Roman" w:hAnsi="Tahoma" w:cs="Tahoma"/>
          <w:iCs/>
          <w:sz w:val="24"/>
          <w:szCs w:val="24"/>
          <w:lang w:val="ro-RO" w:eastAsia="zh-CN"/>
        </w:rPr>
        <w:t xml:space="preserve"> fiscale administrate de Ministerul </w:t>
      </w:r>
      <w:r w:rsidR="00F874EE" w:rsidRPr="006B2701">
        <w:rPr>
          <w:rFonts w:ascii="Tahoma" w:eastAsia="Times New Roman" w:hAnsi="Tahoma" w:cs="Tahoma"/>
          <w:iCs/>
          <w:sz w:val="24"/>
          <w:szCs w:val="24"/>
          <w:lang w:val="ro-RO" w:eastAsia="zh-CN"/>
        </w:rPr>
        <w:t>Finanțelor</w:t>
      </w:r>
      <w:r w:rsidRPr="006B2701">
        <w:rPr>
          <w:rFonts w:ascii="Tahoma" w:eastAsia="Times New Roman" w:hAnsi="Tahoma" w:cs="Tahoma"/>
          <w:iCs/>
          <w:sz w:val="24"/>
          <w:szCs w:val="24"/>
          <w:lang w:val="ro-RO" w:eastAsia="zh-CN"/>
        </w:rPr>
        <w:t xml:space="preserve"> </w:t>
      </w:r>
      <w:proofErr w:type="spellStart"/>
      <w:r w:rsidRPr="006B2701">
        <w:rPr>
          <w:rFonts w:ascii="Tahoma" w:eastAsia="Times New Roman" w:hAnsi="Tahoma" w:cs="Tahoma"/>
          <w:iCs/>
          <w:sz w:val="24"/>
          <w:szCs w:val="24"/>
          <w:lang w:val="ro-RO" w:eastAsia="zh-CN"/>
        </w:rPr>
        <w:t>şi</w:t>
      </w:r>
      <w:proofErr w:type="spellEnd"/>
      <w:r w:rsidRPr="006B2701">
        <w:rPr>
          <w:rFonts w:ascii="Tahoma" w:eastAsia="Times New Roman" w:hAnsi="Tahoma" w:cs="Tahoma"/>
          <w:iCs/>
          <w:sz w:val="24"/>
          <w:szCs w:val="24"/>
          <w:lang w:val="ro-RO" w:eastAsia="zh-CN"/>
        </w:rPr>
        <w:t xml:space="preserve"> </w:t>
      </w:r>
      <w:r w:rsidR="00F874EE" w:rsidRPr="006B2701">
        <w:rPr>
          <w:rFonts w:ascii="Tahoma" w:eastAsia="Times New Roman" w:hAnsi="Tahoma" w:cs="Tahoma"/>
          <w:iCs/>
          <w:sz w:val="24"/>
          <w:szCs w:val="24"/>
          <w:lang w:val="ro-RO" w:eastAsia="zh-CN"/>
        </w:rPr>
        <w:t>Agenția</w:t>
      </w:r>
      <w:r w:rsidRPr="006B2701">
        <w:rPr>
          <w:rFonts w:ascii="Tahoma" w:eastAsia="Times New Roman" w:hAnsi="Tahoma" w:cs="Tahoma"/>
          <w:iCs/>
          <w:sz w:val="24"/>
          <w:szCs w:val="24"/>
          <w:lang w:val="ro-RO" w:eastAsia="zh-CN"/>
        </w:rPr>
        <w:t xml:space="preserve"> </w:t>
      </w:r>
      <w:r w:rsidR="00F874EE" w:rsidRPr="006B2701">
        <w:rPr>
          <w:rFonts w:ascii="Tahoma" w:eastAsia="Times New Roman" w:hAnsi="Tahoma" w:cs="Tahoma"/>
          <w:iCs/>
          <w:sz w:val="24"/>
          <w:szCs w:val="24"/>
          <w:lang w:val="ro-RO" w:eastAsia="zh-CN"/>
        </w:rPr>
        <w:t>Națională</w:t>
      </w:r>
      <w:r w:rsidRPr="006B2701">
        <w:rPr>
          <w:rFonts w:ascii="Tahoma" w:eastAsia="Times New Roman" w:hAnsi="Tahoma" w:cs="Tahoma"/>
          <w:iCs/>
          <w:sz w:val="24"/>
          <w:szCs w:val="24"/>
          <w:lang w:val="ro-RO" w:eastAsia="zh-CN"/>
        </w:rPr>
        <w:t xml:space="preserve"> de Administrare Fiscală; alte daune stabilite ca fiind datorate de Ministerul </w:t>
      </w:r>
      <w:r w:rsidR="00F874EE" w:rsidRPr="006B2701">
        <w:rPr>
          <w:rFonts w:ascii="Tahoma" w:eastAsia="Times New Roman" w:hAnsi="Tahoma" w:cs="Tahoma"/>
          <w:iCs/>
          <w:sz w:val="24"/>
          <w:szCs w:val="24"/>
          <w:lang w:val="ro-RO" w:eastAsia="zh-CN"/>
        </w:rPr>
        <w:t>Finanțelor</w:t>
      </w:r>
      <w:r w:rsidRPr="006B2701">
        <w:rPr>
          <w:rFonts w:ascii="Tahoma" w:eastAsia="Times New Roman" w:hAnsi="Tahoma" w:cs="Tahoma"/>
          <w:iCs/>
          <w:sz w:val="24"/>
          <w:szCs w:val="24"/>
          <w:lang w:val="ro-RO" w:eastAsia="zh-CN"/>
        </w:rPr>
        <w:t xml:space="preserve"> </w:t>
      </w:r>
      <w:proofErr w:type="spellStart"/>
      <w:r w:rsidRPr="006B2701">
        <w:rPr>
          <w:rFonts w:ascii="Tahoma" w:eastAsia="Times New Roman" w:hAnsi="Tahoma" w:cs="Tahoma"/>
          <w:iCs/>
          <w:sz w:val="24"/>
          <w:szCs w:val="24"/>
          <w:lang w:val="ro-RO" w:eastAsia="zh-CN"/>
        </w:rPr>
        <w:t>şi</w:t>
      </w:r>
      <w:proofErr w:type="spellEnd"/>
      <w:r w:rsidRPr="006B2701">
        <w:rPr>
          <w:rFonts w:ascii="Tahoma" w:eastAsia="Times New Roman" w:hAnsi="Tahoma" w:cs="Tahoma"/>
          <w:iCs/>
          <w:sz w:val="24"/>
          <w:szCs w:val="24"/>
          <w:lang w:val="ro-RO" w:eastAsia="zh-CN"/>
        </w:rPr>
        <w:t xml:space="preserve"> de </w:t>
      </w:r>
      <w:r w:rsidR="00F874EE" w:rsidRPr="006B2701">
        <w:rPr>
          <w:rFonts w:ascii="Tahoma" w:eastAsia="Times New Roman" w:hAnsi="Tahoma" w:cs="Tahoma"/>
          <w:iCs/>
          <w:sz w:val="24"/>
          <w:szCs w:val="24"/>
          <w:lang w:val="ro-RO" w:eastAsia="zh-CN"/>
        </w:rPr>
        <w:t>Agenția</w:t>
      </w:r>
      <w:r w:rsidRPr="006B2701">
        <w:rPr>
          <w:rFonts w:ascii="Tahoma" w:eastAsia="Times New Roman" w:hAnsi="Tahoma" w:cs="Tahoma"/>
          <w:iCs/>
          <w:sz w:val="24"/>
          <w:szCs w:val="24"/>
          <w:lang w:val="ro-RO" w:eastAsia="zh-CN"/>
        </w:rPr>
        <w:t xml:space="preserve"> </w:t>
      </w:r>
      <w:r w:rsidR="00F874EE" w:rsidRPr="006B2701">
        <w:rPr>
          <w:rFonts w:ascii="Tahoma" w:eastAsia="Times New Roman" w:hAnsi="Tahoma" w:cs="Tahoma"/>
          <w:iCs/>
          <w:sz w:val="24"/>
          <w:szCs w:val="24"/>
          <w:lang w:val="ro-RO" w:eastAsia="zh-CN"/>
        </w:rPr>
        <w:t>Națională</w:t>
      </w:r>
      <w:r w:rsidRPr="006B2701">
        <w:rPr>
          <w:rFonts w:ascii="Tahoma" w:eastAsia="Times New Roman" w:hAnsi="Tahoma" w:cs="Tahoma"/>
          <w:iCs/>
          <w:sz w:val="24"/>
          <w:szCs w:val="24"/>
          <w:lang w:val="ro-RO" w:eastAsia="zh-CN"/>
        </w:rPr>
        <w:t xml:space="preserve"> de Administrare Fiscală, în nume propriu sau în reprezentarea intereselor statului, pe baza hotărârilor executorii ale </w:t>
      </w:r>
      <w:r w:rsidR="00F874EE" w:rsidRPr="006B2701">
        <w:rPr>
          <w:rFonts w:ascii="Tahoma" w:eastAsia="Times New Roman" w:hAnsi="Tahoma" w:cs="Tahoma"/>
          <w:iCs/>
          <w:sz w:val="24"/>
          <w:szCs w:val="24"/>
          <w:lang w:val="ro-RO" w:eastAsia="zh-CN"/>
        </w:rPr>
        <w:t>instanțelor</w:t>
      </w:r>
      <w:r w:rsidRPr="006B2701">
        <w:rPr>
          <w:rFonts w:ascii="Tahoma" w:eastAsia="Times New Roman" w:hAnsi="Tahoma" w:cs="Tahoma"/>
          <w:iCs/>
          <w:sz w:val="24"/>
          <w:szCs w:val="24"/>
          <w:lang w:val="ro-RO" w:eastAsia="zh-CN"/>
        </w:rPr>
        <w:t xml:space="preserve"> </w:t>
      </w:r>
      <w:r w:rsidR="00F874EE" w:rsidRPr="006B2701">
        <w:rPr>
          <w:rFonts w:ascii="Tahoma" w:eastAsia="Times New Roman" w:hAnsi="Tahoma" w:cs="Tahoma"/>
          <w:iCs/>
          <w:sz w:val="24"/>
          <w:szCs w:val="24"/>
          <w:lang w:val="ro-RO" w:eastAsia="zh-CN"/>
        </w:rPr>
        <w:t>judecătorești</w:t>
      </w:r>
      <w:r w:rsidRPr="006B2701">
        <w:rPr>
          <w:rFonts w:ascii="Tahoma" w:eastAsia="Times New Roman" w:hAnsi="Tahoma" w:cs="Tahoma"/>
          <w:iCs/>
          <w:sz w:val="24"/>
          <w:szCs w:val="24"/>
          <w:lang w:val="ro-RO" w:eastAsia="zh-CN"/>
        </w:rPr>
        <w:t xml:space="preserve"> sau arbitrale, precum </w:t>
      </w:r>
      <w:proofErr w:type="spellStart"/>
      <w:r w:rsidRPr="006B2701">
        <w:rPr>
          <w:rFonts w:ascii="Tahoma" w:eastAsia="Times New Roman" w:hAnsi="Tahoma" w:cs="Tahoma"/>
          <w:iCs/>
          <w:sz w:val="24"/>
          <w:szCs w:val="24"/>
          <w:lang w:val="ro-RO" w:eastAsia="zh-CN"/>
        </w:rPr>
        <w:t>şi</w:t>
      </w:r>
      <w:proofErr w:type="spellEnd"/>
      <w:r w:rsidRPr="006B2701">
        <w:rPr>
          <w:rFonts w:ascii="Tahoma" w:eastAsia="Times New Roman" w:hAnsi="Tahoma" w:cs="Tahoma"/>
          <w:iCs/>
          <w:sz w:val="24"/>
          <w:szCs w:val="24"/>
          <w:lang w:val="ro-RO" w:eastAsia="zh-CN"/>
        </w:rPr>
        <w:t xml:space="preserve"> </w:t>
      </w:r>
      <w:r w:rsidR="00F874EE" w:rsidRPr="006B2701">
        <w:rPr>
          <w:rFonts w:ascii="Tahoma" w:eastAsia="Times New Roman" w:hAnsi="Tahoma" w:cs="Tahoma"/>
          <w:iCs/>
          <w:sz w:val="24"/>
          <w:szCs w:val="24"/>
          <w:lang w:val="ro-RO" w:eastAsia="zh-CN"/>
        </w:rPr>
        <w:t>obligațiile</w:t>
      </w:r>
      <w:r w:rsidRPr="006B2701">
        <w:rPr>
          <w:rFonts w:ascii="Tahoma" w:eastAsia="Times New Roman" w:hAnsi="Tahoma" w:cs="Tahoma"/>
          <w:iCs/>
          <w:sz w:val="24"/>
          <w:szCs w:val="24"/>
          <w:lang w:val="ro-RO" w:eastAsia="zh-CN"/>
        </w:rPr>
        <w:t xml:space="preserve"> </w:t>
      </w:r>
      <w:r w:rsidR="00F874EE" w:rsidRPr="006B2701">
        <w:rPr>
          <w:rFonts w:ascii="Tahoma" w:eastAsia="Times New Roman" w:hAnsi="Tahoma" w:cs="Tahoma"/>
          <w:iCs/>
          <w:sz w:val="24"/>
          <w:szCs w:val="24"/>
          <w:lang w:val="ro-RO" w:eastAsia="zh-CN"/>
        </w:rPr>
        <w:t>bănești</w:t>
      </w:r>
      <w:r w:rsidRPr="006B2701">
        <w:rPr>
          <w:rFonts w:ascii="Tahoma" w:eastAsia="Times New Roman" w:hAnsi="Tahoma" w:cs="Tahoma"/>
          <w:iCs/>
          <w:sz w:val="24"/>
          <w:szCs w:val="24"/>
          <w:lang w:val="ro-RO" w:eastAsia="zh-CN"/>
        </w:rPr>
        <w:t xml:space="preserve"> ale statului român, născute din aplicarea </w:t>
      </w:r>
      <w:r w:rsidR="00F874EE" w:rsidRPr="006B2701">
        <w:rPr>
          <w:rFonts w:ascii="Tahoma" w:eastAsia="Times New Roman" w:hAnsi="Tahoma" w:cs="Tahoma"/>
          <w:iCs/>
          <w:sz w:val="24"/>
          <w:szCs w:val="24"/>
          <w:lang w:val="ro-RO" w:eastAsia="zh-CN"/>
        </w:rPr>
        <w:t>Convenției</w:t>
      </w:r>
      <w:r w:rsidRPr="006B2701">
        <w:rPr>
          <w:rFonts w:ascii="Tahoma" w:eastAsia="Times New Roman" w:hAnsi="Tahoma" w:cs="Tahoma"/>
          <w:iCs/>
          <w:sz w:val="24"/>
          <w:szCs w:val="24"/>
          <w:lang w:val="ro-RO" w:eastAsia="zh-CN"/>
        </w:rPr>
        <w:t xml:space="preserve"> europene a drepturilor omului </w:t>
      </w:r>
      <w:proofErr w:type="spellStart"/>
      <w:r w:rsidRPr="006B2701">
        <w:rPr>
          <w:rFonts w:ascii="Tahoma" w:eastAsia="Times New Roman" w:hAnsi="Tahoma" w:cs="Tahoma"/>
          <w:iCs/>
          <w:sz w:val="24"/>
          <w:szCs w:val="24"/>
          <w:lang w:val="ro-RO" w:eastAsia="zh-CN"/>
        </w:rPr>
        <w:t>şi</w:t>
      </w:r>
      <w:proofErr w:type="spellEnd"/>
      <w:r w:rsidRPr="006B2701">
        <w:rPr>
          <w:rFonts w:ascii="Tahoma" w:eastAsia="Times New Roman" w:hAnsi="Tahoma" w:cs="Tahoma"/>
          <w:iCs/>
          <w:sz w:val="24"/>
          <w:szCs w:val="24"/>
          <w:lang w:val="ro-RO" w:eastAsia="zh-CN"/>
        </w:rPr>
        <w:t xml:space="preserve"> constatate prin acorduri de </w:t>
      </w:r>
      <w:r w:rsidR="00F874EE" w:rsidRPr="006B2701">
        <w:rPr>
          <w:rFonts w:ascii="Tahoma" w:eastAsia="Times New Roman" w:hAnsi="Tahoma" w:cs="Tahoma"/>
          <w:iCs/>
          <w:sz w:val="24"/>
          <w:szCs w:val="24"/>
          <w:lang w:val="ro-RO" w:eastAsia="zh-CN"/>
        </w:rPr>
        <w:t>soluționare</w:t>
      </w:r>
      <w:r w:rsidRPr="006B2701">
        <w:rPr>
          <w:rFonts w:ascii="Tahoma" w:eastAsia="Times New Roman" w:hAnsi="Tahoma" w:cs="Tahoma"/>
          <w:iCs/>
          <w:sz w:val="24"/>
          <w:szCs w:val="24"/>
          <w:lang w:val="ro-RO" w:eastAsia="zh-CN"/>
        </w:rPr>
        <w:t xml:space="preserve"> amiabilă, prin decizii ale Comitetului </w:t>
      </w:r>
      <w:r w:rsidR="00F874EE" w:rsidRPr="006B2701">
        <w:rPr>
          <w:rFonts w:ascii="Tahoma" w:eastAsia="Times New Roman" w:hAnsi="Tahoma" w:cs="Tahoma"/>
          <w:iCs/>
          <w:sz w:val="24"/>
          <w:szCs w:val="24"/>
          <w:lang w:val="ro-RO" w:eastAsia="zh-CN"/>
        </w:rPr>
        <w:t>Miniștrilor</w:t>
      </w:r>
      <w:r w:rsidRPr="006B2701">
        <w:rPr>
          <w:rFonts w:ascii="Tahoma" w:eastAsia="Times New Roman" w:hAnsi="Tahoma" w:cs="Tahoma"/>
          <w:iCs/>
          <w:sz w:val="24"/>
          <w:szCs w:val="24"/>
          <w:lang w:val="ro-RO" w:eastAsia="zh-CN"/>
        </w:rPr>
        <w:t xml:space="preserve"> Consiliului Europei </w:t>
      </w:r>
      <w:proofErr w:type="spellStart"/>
      <w:r w:rsidRPr="006B2701">
        <w:rPr>
          <w:rFonts w:ascii="Tahoma" w:eastAsia="Times New Roman" w:hAnsi="Tahoma" w:cs="Tahoma"/>
          <w:iCs/>
          <w:sz w:val="24"/>
          <w:szCs w:val="24"/>
          <w:lang w:val="ro-RO" w:eastAsia="zh-CN"/>
        </w:rPr>
        <w:t>şi</w:t>
      </w:r>
      <w:proofErr w:type="spellEnd"/>
      <w:r w:rsidRPr="006B2701">
        <w:rPr>
          <w:rFonts w:ascii="Tahoma" w:eastAsia="Times New Roman" w:hAnsi="Tahoma" w:cs="Tahoma"/>
          <w:iCs/>
          <w:sz w:val="24"/>
          <w:szCs w:val="24"/>
          <w:lang w:val="ro-RO" w:eastAsia="zh-CN"/>
        </w:rPr>
        <w:t xml:space="preserve"> hotărâri ale </w:t>
      </w:r>
      <w:r w:rsidR="00F874EE" w:rsidRPr="006B2701">
        <w:rPr>
          <w:rFonts w:ascii="Tahoma" w:eastAsia="Times New Roman" w:hAnsi="Tahoma" w:cs="Tahoma"/>
          <w:iCs/>
          <w:sz w:val="24"/>
          <w:szCs w:val="24"/>
          <w:lang w:val="ro-RO" w:eastAsia="zh-CN"/>
        </w:rPr>
        <w:t>Curții</w:t>
      </w:r>
      <w:r w:rsidRPr="006B2701">
        <w:rPr>
          <w:rFonts w:ascii="Tahoma" w:eastAsia="Times New Roman" w:hAnsi="Tahoma" w:cs="Tahoma"/>
          <w:iCs/>
          <w:sz w:val="24"/>
          <w:szCs w:val="24"/>
          <w:lang w:val="ro-RO" w:eastAsia="zh-CN"/>
        </w:rPr>
        <w:t xml:space="preserve"> Europene a Drepturilor Omului.</w:t>
      </w:r>
      <w:r w:rsidRPr="006B2701">
        <w:rPr>
          <w:rFonts w:ascii="Tahoma" w:eastAsia="Times New Roman" w:hAnsi="Tahoma" w:cs="Tahoma"/>
          <w:bCs/>
          <w:sz w:val="24"/>
          <w:szCs w:val="24"/>
          <w:lang w:val="ro-RO" w:eastAsia="zh-CN"/>
        </w:rPr>
        <w:t xml:space="preserve"> </w:t>
      </w:r>
    </w:p>
    <w:p w14:paraId="1910AEC3" w14:textId="6880AC33" w:rsidR="008256D5" w:rsidRPr="006B2701" w:rsidRDefault="00EF369F" w:rsidP="003C038F">
      <w:pPr>
        <w:spacing w:after="120" w:line="276" w:lineRule="auto"/>
        <w:jc w:val="both"/>
        <w:rPr>
          <w:rFonts w:ascii="Tahoma" w:hAnsi="Tahoma" w:cs="Tahoma"/>
          <w:color w:val="FF0000"/>
          <w:sz w:val="24"/>
          <w:szCs w:val="24"/>
          <w:lang w:val="ro-RO"/>
        </w:rPr>
      </w:pPr>
      <w:r w:rsidRPr="006B2701">
        <w:rPr>
          <w:rFonts w:ascii="Tahoma" w:hAnsi="Tahoma" w:cs="Tahoma"/>
          <w:b/>
          <w:i/>
          <w:sz w:val="24"/>
          <w:szCs w:val="24"/>
          <w:lang w:val="ro-RO"/>
        </w:rPr>
        <w:t>Cheltuielile pentru investiții</w:t>
      </w:r>
      <w:r w:rsidRPr="006B2701">
        <w:rPr>
          <w:rFonts w:ascii="Tahoma" w:hAnsi="Tahoma" w:cs="Tahoma"/>
          <w:sz w:val="24"/>
          <w:szCs w:val="24"/>
          <w:lang w:val="ro-RO"/>
        </w:rPr>
        <w:t xml:space="preserve">, care includ cheltuielile de capital, precum și cele aferente programelor de dezvoltare finanțate din surse interne și externe, au însumat </w:t>
      </w:r>
      <w:r w:rsidR="0031317B" w:rsidRPr="006B2701">
        <w:rPr>
          <w:rFonts w:ascii="Tahoma" w:hAnsi="Tahoma" w:cs="Tahoma"/>
          <w:bCs/>
          <w:sz w:val="24"/>
          <w:szCs w:val="24"/>
          <w:lang w:val="ro-RO"/>
        </w:rPr>
        <w:t>72,53</w:t>
      </w:r>
      <w:r w:rsidRPr="006B2701">
        <w:rPr>
          <w:rFonts w:ascii="Tahoma" w:hAnsi="Tahoma" w:cs="Tahoma"/>
          <w:sz w:val="24"/>
          <w:szCs w:val="24"/>
          <w:lang w:val="ro-RO"/>
        </w:rPr>
        <w:t xml:space="preserve"> m</w:t>
      </w:r>
      <w:r w:rsidR="009455D8" w:rsidRPr="006B2701">
        <w:rPr>
          <w:rFonts w:ascii="Tahoma" w:hAnsi="Tahoma" w:cs="Tahoma"/>
          <w:sz w:val="24"/>
          <w:szCs w:val="24"/>
          <w:lang w:val="ro-RO"/>
        </w:rPr>
        <w:t>iliarde</w:t>
      </w:r>
      <w:r w:rsidRPr="006B2701">
        <w:rPr>
          <w:rFonts w:ascii="Tahoma" w:hAnsi="Tahoma" w:cs="Tahoma"/>
          <w:sz w:val="24"/>
          <w:szCs w:val="24"/>
          <w:lang w:val="ro-RO"/>
        </w:rPr>
        <w:t xml:space="preserve"> lei (</w:t>
      </w:r>
      <w:r w:rsidR="003F4CEB" w:rsidRPr="006B2701">
        <w:rPr>
          <w:rFonts w:ascii="Tahoma" w:hAnsi="Tahoma" w:cs="Tahoma"/>
          <w:sz w:val="24"/>
          <w:szCs w:val="24"/>
          <w:lang w:val="ro-RO"/>
        </w:rPr>
        <w:t>5,</w:t>
      </w:r>
      <w:r w:rsidR="0031317B" w:rsidRPr="006B2701">
        <w:rPr>
          <w:rFonts w:ascii="Tahoma" w:hAnsi="Tahoma" w:cs="Tahoma"/>
          <w:sz w:val="24"/>
          <w:szCs w:val="24"/>
          <w:lang w:val="ro-RO"/>
        </w:rPr>
        <w:t>14</w:t>
      </w:r>
      <w:r w:rsidRPr="006B2701">
        <w:rPr>
          <w:rFonts w:ascii="Tahoma" w:hAnsi="Tahoma" w:cs="Tahoma"/>
          <w:sz w:val="24"/>
          <w:szCs w:val="24"/>
          <w:lang w:val="ro-RO"/>
        </w:rPr>
        <w:t xml:space="preserve">% din PIB) și prezintă o creștere de </w:t>
      </w:r>
      <w:r w:rsidR="0031317B" w:rsidRPr="006B2701">
        <w:rPr>
          <w:rFonts w:ascii="Tahoma" w:hAnsi="Tahoma" w:cs="Tahoma"/>
          <w:sz w:val="24"/>
          <w:szCs w:val="24"/>
          <w:lang w:val="ro-RO"/>
        </w:rPr>
        <w:t>22,4</w:t>
      </w:r>
      <w:r w:rsidRPr="006B2701">
        <w:rPr>
          <w:rFonts w:ascii="Tahoma" w:hAnsi="Tahoma" w:cs="Tahoma"/>
          <w:sz w:val="24"/>
          <w:szCs w:val="24"/>
          <w:lang w:val="ro-RO"/>
        </w:rPr>
        <w:t>% față cele înregistrate în anul 20</w:t>
      </w:r>
      <w:r w:rsidR="009455D8" w:rsidRPr="006B2701">
        <w:rPr>
          <w:rFonts w:ascii="Tahoma" w:hAnsi="Tahoma" w:cs="Tahoma"/>
          <w:sz w:val="24"/>
          <w:szCs w:val="24"/>
          <w:lang w:val="ro-RO"/>
        </w:rPr>
        <w:t>2</w:t>
      </w:r>
      <w:r w:rsidR="0031317B" w:rsidRPr="006B2701">
        <w:rPr>
          <w:rFonts w:ascii="Tahoma" w:hAnsi="Tahoma" w:cs="Tahoma"/>
          <w:sz w:val="24"/>
          <w:szCs w:val="24"/>
          <w:lang w:val="ro-RO"/>
        </w:rPr>
        <w:t>1</w:t>
      </w:r>
      <w:r w:rsidRPr="006B2701">
        <w:rPr>
          <w:rFonts w:ascii="Tahoma" w:hAnsi="Tahoma" w:cs="Tahoma"/>
          <w:sz w:val="24"/>
          <w:szCs w:val="24"/>
          <w:lang w:val="ro-RO"/>
        </w:rPr>
        <w:t xml:space="preserve">. </w:t>
      </w:r>
      <w:r w:rsidR="006D5170" w:rsidRPr="006B2701">
        <w:rPr>
          <w:rFonts w:ascii="Tahoma" w:hAnsi="Tahoma" w:cs="Tahoma"/>
          <w:color w:val="FF0000"/>
          <w:sz w:val="24"/>
          <w:szCs w:val="24"/>
          <w:lang w:val="ro-RO"/>
        </w:rPr>
        <w:tab/>
      </w:r>
      <w:r w:rsidRPr="006B2701">
        <w:rPr>
          <w:rFonts w:ascii="Tahoma" w:hAnsi="Tahoma" w:cs="Tahoma"/>
          <w:color w:val="FF0000"/>
          <w:sz w:val="24"/>
          <w:szCs w:val="24"/>
          <w:lang w:val="ro-RO"/>
        </w:rPr>
        <w:t xml:space="preserve"> </w:t>
      </w:r>
    </w:p>
    <w:p w14:paraId="400B356C" w14:textId="77777777" w:rsidR="00035480" w:rsidRPr="006B2701" w:rsidRDefault="00BA5E33" w:rsidP="00A420B1">
      <w:pPr>
        <w:spacing w:after="120" w:line="276" w:lineRule="auto"/>
        <w:jc w:val="center"/>
        <w:rPr>
          <w:rFonts w:ascii="Arial" w:hAnsi="Arial" w:cs="Arial"/>
          <w:b/>
          <w:bCs/>
          <w:sz w:val="24"/>
          <w:szCs w:val="24"/>
          <w:lang w:val="ro-RO"/>
        </w:rPr>
      </w:pPr>
      <w:r w:rsidRPr="006B2701">
        <w:rPr>
          <w:rFonts w:ascii="Arial" w:hAnsi="Arial" w:cs="Arial"/>
          <w:b/>
          <w:bCs/>
          <w:sz w:val="24"/>
          <w:szCs w:val="24"/>
          <w:lang w:val="ro-RO"/>
        </w:rPr>
        <w:t>Evoluția principalelor domenii finanțate din bugetul general consolidat</w:t>
      </w:r>
    </w:p>
    <w:p w14:paraId="4900F580" w14:textId="1A4B462E" w:rsidR="00BA5E33" w:rsidRPr="006B2701" w:rsidRDefault="0073616C" w:rsidP="00035480">
      <w:pPr>
        <w:spacing w:after="240" w:line="276" w:lineRule="auto"/>
        <w:jc w:val="center"/>
        <w:rPr>
          <w:rFonts w:ascii="Arial" w:hAnsi="Arial" w:cs="Arial"/>
          <w:b/>
          <w:bCs/>
          <w:color w:val="FF0000"/>
          <w:sz w:val="24"/>
          <w:szCs w:val="24"/>
          <w:lang w:val="ro-RO"/>
        </w:rPr>
      </w:pPr>
      <w:r>
        <w:rPr>
          <w:noProof/>
          <w:lang w:val="ro-RO"/>
        </w:rPr>
        <w:pict w14:anchorId="7D11432E">
          <v:shape id="_x0000_i1041" type="#_x0000_t75" style="width:472.1pt;height:261.5pt">
            <v:imagedata r:id="rId23" o:title=""/>
          </v:shape>
        </w:pict>
      </w:r>
    </w:p>
    <w:p w14:paraId="44D710FB" w14:textId="77777777" w:rsidR="003E2894" w:rsidRPr="006B2701" w:rsidRDefault="003E2894" w:rsidP="000F5753">
      <w:pPr>
        <w:spacing w:line="276" w:lineRule="auto"/>
        <w:ind w:firstLine="624"/>
        <w:jc w:val="both"/>
        <w:rPr>
          <w:rFonts w:ascii="Arial" w:hAnsi="Arial" w:cs="Arial"/>
          <w:bCs/>
          <w:sz w:val="24"/>
          <w:szCs w:val="24"/>
          <w:lang w:val="ro-RO"/>
        </w:rPr>
      </w:pPr>
    </w:p>
    <w:p w14:paraId="09B35317" w14:textId="43D72D93" w:rsidR="00BA5E33" w:rsidRPr="006B2701" w:rsidRDefault="00BA5E33" w:rsidP="00151659">
      <w:pPr>
        <w:spacing w:after="240" w:line="276" w:lineRule="auto"/>
        <w:jc w:val="both"/>
        <w:rPr>
          <w:rFonts w:ascii="Tahoma" w:hAnsi="Tahoma" w:cs="Tahoma"/>
          <w:bCs/>
          <w:sz w:val="24"/>
          <w:szCs w:val="24"/>
          <w:lang w:val="ro-RO"/>
        </w:rPr>
      </w:pPr>
      <w:r w:rsidRPr="006B2701">
        <w:rPr>
          <w:rFonts w:ascii="Tahoma" w:hAnsi="Tahoma" w:cs="Tahoma"/>
          <w:bCs/>
          <w:sz w:val="24"/>
          <w:szCs w:val="24"/>
          <w:lang w:val="ro-RO"/>
        </w:rPr>
        <w:t xml:space="preserve">În ceea ce privește cheltuielile pe principalele domenii în anul </w:t>
      </w:r>
      <w:r w:rsidR="00A12CD6" w:rsidRPr="006B2701">
        <w:rPr>
          <w:rFonts w:ascii="Tahoma" w:hAnsi="Tahoma" w:cs="Tahoma"/>
          <w:bCs/>
          <w:sz w:val="24"/>
          <w:szCs w:val="24"/>
          <w:lang w:val="ro-RO"/>
        </w:rPr>
        <w:t>20</w:t>
      </w:r>
      <w:r w:rsidR="00D55661" w:rsidRPr="006B2701">
        <w:rPr>
          <w:rFonts w:ascii="Tahoma" w:hAnsi="Tahoma" w:cs="Tahoma"/>
          <w:bCs/>
          <w:sz w:val="24"/>
          <w:szCs w:val="24"/>
          <w:lang w:val="ro-RO"/>
        </w:rPr>
        <w:t>2</w:t>
      </w:r>
      <w:r w:rsidR="00151659" w:rsidRPr="006B2701">
        <w:rPr>
          <w:rFonts w:ascii="Tahoma" w:hAnsi="Tahoma" w:cs="Tahoma"/>
          <w:bCs/>
          <w:sz w:val="24"/>
          <w:szCs w:val="24"/>
          <w:lang w:val="ro-RO"/>
        </w:rPr>
        <w:t>2</w:t>
      </w:r>
      <w:r w:rsidR="00A12CD6" w:rsidRPr="006B2701">
        <w:rPr>
          <w:rFonts w:ascii="Tahoma" w:hAnsi="Tahoma" w:cs="Tahoma"/>
          <w:bCs/>
          <w:sz w:val="24"/>
          <w:szCs w:val="24"/>
          <w:lang w:val="ro-RO"/>
        </w:rPr>
        <w:t xml:space="preserve"> </w:t>
      </w:r>
      <w:r w:rsidRPr="006B2701">
        <w:rPr>
          <w:rFonts w:ascii="Tahoma" w:hAnsi="Tahoma" w:cs="Tahoma"/>
          <w:bCs/>
          <w:sz w:val="24"/>
          <w:szCs w:val="24"/>
          <w:lang w:val="ro-RO"/>
        </w:rPr>
        <w:t xml:space="preserve">comparativ cu </w:t>
      </w:r>
      <w:r w:rsidR="00BA5E7D" w:rsidRPr="006B2701">
        <w:rPr>
          <w:rFonts w:ascii="Tahoma" w:hAnsi="Tahoma" w:cs="Tahoma"/>
          <w:bCs/>
          <w:sz w:val="24"/>
          <w:szCs w:val="24"/>
          <w:lang w:val="ro-RO"/>
        </w:rPr>
        <w:t>20</w:t>
      </w:r>
      <w:r w:rsidR="00746984" w:rsidRPr="006B2701">
        <w:rPr>
          <w:rFonts w:ascii="Tahoma" w:hAnsi="Tahoma" w:cs="Tahoma"/>
          <w:bCs/>
          <w:sz w:val="24"/>
          <w:szCs w:val="24"/>
          <w:lang w:val="ro-RO"/>
        </w:rPr>
        <w:t>2</w:t>
      </w:r>
      <w:r w:rsidR="00151659" w:rsidRPr="006B2701">
        <w:rPr>
          <w:rFonts w:ascii="Tahoma" w:hAnsi="Tahoma" w:cs="Tahoma"/>
          <w:bCs/>
          <w:sz w:val="24"/>
          <w:szCs w:val="24"/>
          <w:lang w:val="ro-RO"/>
        </w:rPr>
        <w:t>1</w:t>
      </w:r>
      <w:r w:rsidR="00BA5E7D" w:rsidRPr="006B2701">
        <w:rPr>
          <w:rFonts w:ascii="Tahoma" w:hAnsi="Tahoma" w:cs="Tahoma"/>
          <w:bCs/>
          <w:sz w:val="24"/>
          <w:szCs w:val="24"/>
          <w:lang w:val="ro-RO"/>
        </w:rPr>
        <w:t xml:space="preserve"> </w:t>
      </w:r>
      <w:r w:rsidRPr="006B2701">
        <w:rPr>
          <w:rFonts w:ascii="Tahoma" w:hAnsi="Tahoma" w:cs="Tahoma"/>
          <w:bCs/>
          <w:sz w:val="24"/>
          <w:szCs w:val="24"/>
          <w:lang w:val="ro-RO"/>
        </w:rPr>
        <w:t xml:space="preserve">se constată </w:t>
      </w:r>
      <w:r w:rsidR="00A12CD6" w:rsidRPr="006B2701">
        <w:rPr>
          <w:rFonts w:ascii="Tahoma" w:hAnsi="Tahoma" w:cs="Tahoma"/>
          <w:bCs/>
          <w:sz w:val="24"/>
          <w:szCs w:val="24"/>
          <w:lang w:val="ro-RO"/>
        </w:rPr>
        <w:t xml:space="preserve">creșteri </w:t>
      </w:r>
      <w:r w:rsidRPr="006B2701">
        <w:rPr>
          <w:rFonts w:ascii="Tahoma" w:hAnsi="Tahoma" w:cs="Tahoma"/>
          <w:bCs/>
          <w:sz w:val="24"/>
          <w:szCs w:val="24"/>
          <w:lang w:val="ro-RO"/>
        </w:rPr>
        <w:t>în cazul majorității domeniilor, cele mai semnificative</w:t>
      </w:r>
      <w:r w:rsidR="00DF392D" w:rsidRPr="006B2701">
        <w:rPr>
          <w:rFonts w:ascii="Tahoma" w:hAnsi="Tahoma" w:cs="Tahoma"/>
          <w:bCs/>
          <w:sz w:val="24"/>
          <w:szCs w:val="24"/>
          <w:lang w:val="ro-RO"/>
        </w:rPr>
        <w:t xml:space="preserve"> </w:t>
      </w:r>
      <w:r w:rsidRPr="006B2701">
        <w:rPr>
          <w:rFonts w:ascii="Tahoma" w:hAnsi="Tahoma" w:cs="Tahoma"/>
          <w:bCs/>
          <w:sz w:val="24"/>
          <w:szCs w:val="24"/>
          <w:lang w:val="ro-RO"/>
        </w:rPr>
        <w:t xml:space="preserve"> înregistrând</w:t>
      </w:r>
      <w:r w:rsidR="00DF392D" w:rsidRPr="006B2701">
        <w:rPr>
          <w:rFonts w:ascii="Tahoma" w:hAnsi="Tahoma" w:cs="Tahoma"/>
          <w:bCs/>
          <w:sz w:val="24"/>
          <w:szCs w:val="24"/>
          <w:lang w:val="ro-RO"/>
        </w:rPr>
        <w:t>u</w:t>
      </w:r>
      <w:r w:rsidRPr="006B2701">
        <w:rPr>
          <w:rFonts w:ascii="Tahoma" w:hAnsi="Tahoma" w:cs="Tahoma"/>
          <w:bCs/>
          <w:sz w:val="24"/>
          <w:szCs w:val="24"/>
          <w:lang w:val="ro-RO"/>
        </w:rPr>
        <w:t xml:space="preserve">-se </w:t>
      </w:r>
      <w:r w:rsidR="00D55661" w:rsidRPr="006B2701">
        <w:rPr>
          <w:rFonts w:ascii="Tahoma" w:hAnsi="Tahoma" w:cs="Tahoma"/>
          <w:bCs/>
          <w:sz w:val="24"/>
          <w:szCs w:val="24"/>
          <w:lang w:val="ro-RO"/>
        </w:rPr>
        <w:t>în domeniul</w:t>
      </w:r>
      <w:r w:rsidR="00151659" w:rsidRPr="006B2701">
        <w:rPr>
          <w:rFonts w:ascii="Tahoma" w:hAnsi="Tahoma" w:cs="Tahoma"/>
          <w:bCs/>
          <w:sz w:val="24"/>
          <w:szCs w:val="24"/>
          <w:lang w:val="ro-RO"/>
        </w:rPr>
        <w:t xml:space="preserve"> tranzacții privind datoria publică și împrumuturi (+62,3%), în alte domenii bugetare (+66,3%), în domeniul autorități publice și acțiuni externe (+25,4%), în domeniul cultură recreere și religie (+20,6%), în domeniul </w:t>
      </w:r>
      <w:r w:rsidR="00D55661" w:rsidRPr="006B2701">
        <w:rPr>
          <w:rFonts w:ascii="Tahoma" w:hAnsi="Tahoma" w:cs="Tahoma"/>
          <w:bCs/>
          <w:sz w:val="24"/>
          <w:szCs w:val="24"/>
          <w:lang w:val="ro-RO"/>
        </w:rPr>
        <w:t>combustibil și energie</w:t>
      </w:r>
      <w:r w:rsidR="00977242" w:rsidRPr="006B2701">
        <w:rPr>
          <w:rFonts w:ascii="Tahoma" w:hAnsi="Tahoma" w:cs="Tahoma"/>
          <w:bCs/>
          <w:sz w:val="24"/>
          <w:szCs w:val="24"/>
          <w:lang w:val="ro-RO"/>
        </w:rPr>
        <w:t xml:space="preserve"> </w:t>
      </w:r>
      <w:r w:rsidR="00D55661" w:rsidRPr="006B2701">
        <w:rPr>
          <w:rFonts w:ascii="Tahoma" w:hAnsi="Tahoma" w:cs="Tahoma"/>
          <w:bCs/>
          <w:sz w:val="24"/>
          <w:szCs w:val="24"/>
          <w:lang w:val="ro-RO"/>
        </w:rPr>
        <w:t>(+</w:t>
      </w:r>
      <w:r w:rsidR="00151659" w:rsidRPr="006B2701">
        <w:rPr>
          <w:rFonts w:ascii="Tahoma" w:hAnsi="Tahoma" w:cs="Tahoma"/>
          <w:bCs/>
          <w:sz w:val="24"/>
          <w:szCs w:val="24"/>
          <w:lang w:val="ro-RO"/>
        </w:rPr>
        <w:t>20,4</w:t>
      </w:r>
      <w:r w:rsidR="00D55661" w:rsidRPr="006B2701">
        <w:rPr>
          <w:rFonts w:ascii="Tahoma" w:hAnsi="Tahoma" w:cs="Tahoma"/>
          <w:bCs/>
          <w:sz w:val="24"/>
          <w:szCs w:val="24"/>
          <w:lang w:val="ro-RO"/>
        </w:rPr>
        <w:t>%);</w:t>
      </w:r>
      <w:r w:rsidR="00151659" w:rsidRPr="006B2701">
        <w:rPr>
          <w:rFonts w:ascii="Tahoma" w:hAnsi="Tahoma" w:cs="Tahoma"/>
          <w:bCs/>
          <w:sz w:val="24"/>
          <w:szCs w:val="24"/>
          <w:lang w:val="ro-RO"/>
        </w:rPr>
        <w:t xml:space="preserve"> în domeniul transporturilor (+18,</w:t>
      </w:r>
      <w:r w:rsidR="00FD4796" w:rsidRPr="006B2701">
        <w:rPr>
          <w:rFonts w:ascii="Tahoma" w:hAnsi="Tahoma" w:cs="Tahoma"/>
          <w:bCs/>
          <w:sz w:val="24"/>
          <w:szCs w:val="24"/>
          <w:lang w:val="ro-RO"/>
        </w:rPr>
        <w:t>2</w:t>
      </w:r>
      <w:r w:rsidR="00151659" w:rsidRPr="006B2701">
        <w:rPr>
          <w:rFonts w:ascii="Tahoma" w:hAnsi="Tahoma" w:cs="Tahoma"/>
          <w:bCs/>
          <w:sz w:val="24"/>
          <w:szCs w:val="24"/>
          <w:lang w:val="ro-RO"/>
        </w:rPr>
        <w:t>%),</w:t>
      </w:r>
      <w:r w:rsidR="00D55661" w:rsidRPr="006B2701">
        <w:rPr>
          <w:rFonts w:ascii="Tahoma" w:hAnsi="Tahoma" w:cs="Tahoma"/>
          <w:bCs/>
          <w:sz w:val="24"/>
          <w:szCs w:val="24"/>
          <w:lang w:val="ro-RO"/>
        </w:rPr>
        <w:t xml:space="preserve"> </w:t>
      </w:r>
      <w:r w:rsidR="00746984" w:rsidRPr="006B2701">
        <w:rPr>
          <w:rFonts w:ascii="Tahoma" w:hAnsi="Tahoma" w:cs="Tahoma"/>
          <w:bCs/>
          <w:sz w:val="24"/>
          <w:szCs w:val="24"/>
          <w:lang w:val="ro-RO"/>
        </w:rPr>
        <w:t xml:space="preserve">în domeniul </w:t>
      </w:r>
      <w:r w:rsidR="00151659" w:rsidRPr="006B2701">
        <w:rPr>
          <w:rFonts w:ascii="Tahoma" w:hAnsi="Tahoma" w:cs="Tahoma"/>
          <w:bCs/>
          <w:sz w:val="24"/>
          <w:szCs w:val="24"/>
          <w:lang w:val="ro-RO"/>
        </w:rPr>
        <w:t>asigurări și asistență socială și domeniul locuințe, servicii și dezvoltare publică (+17,7%) și în domeniul învățământ (+16,1%)</w:t>
      </w:r>
      <w:r w:rsidR="00746984" w:rsidRPr="006B2701">
        <w:rPr>
          <w:rFonts w:ascii="Tahoma" w:hAnsi="Tahoma" w:cs="Tahoma"/>
          <w:bCs/>
          <w:sz w:val="24"/>
          <w:szCs w:val="24"/>
          <w:lang w:val="ro-RO"/>
        </w:rPr>
        <w:t>. Singurul domeniu în care cheltuielile bugetare s-au diminuat comparativ cu anul anterior a fost domeniul agriculturii unde scăderea a fost de -</w:t>
      </w:r>
      <w:r w:rsidR="00151659" w:rsidRPr="006B2701">
        <w:rPr>
          <w:rFonts w:ascii="Tahoma" w:hAnsi="Tahoma" w:cs="Tahoma"/>
          <w:bCs/>
          <w:sz w:val="24"/>
          <w:szCs w:val="24"/>
          <w:lang w:val="ro-RO"/>
        </w:rPr>
        <w:t>4,9</w:t>
      </w:r>
      <w:r w:rsidR="00746984" w:rsidRPr="006B2701">
        <w:rPr>
          <w:rFonts w:ascii="Tahoma" w:hAnsi="Tahoma" w:cs="Tahoma"/>
          <w:bCs/>
          <w:sz w:val="24"/>
          <w:szCs w:val="24"/>
          <w:lang w:val="ro-RO"/>
        </w:rPr>
        <w:t xml:space="preserve">%. </w:t>
      </w:r>
    </w:p>
    <w:p w14:paraId="4C2C2701" w14:textId="12E198DB" w:rsidR="00BA5E33" w:rsidRPr="006B2701" w:rsidRDefault="00BA5E33" w:rsidP="00282E9D">
      <w:pPr>
        <w:spacing w:after="120" w:line="276" w:lineRule="auto"/>
        <w:jc w:val="both"/>
        <w:rPr>
          <w:rFonts w:ascii="Arial" w:hAnsi="Arial" w:cs="Arial"/>
          <w:b/>
          <w:bCs/>
          <w:color w:val="000000"/>
          <w:sz w:val="24"/>
          <w:szCs w:val="24"/>
          <w:lang w:val="ro-RO"/>
        </w:rPr>
      </w:pPr>
      <w:r w:rsidRPr="006B2701">
        <w:rPr>
          <w:rFonts w:ascii="Arial" w:hAnsi="Arial" w:cs="Arial"/>
          <w:b/>
          <w:bCs/>
          <w:color w:val="000000"/>
          <w:sz w:val="24"/>
          <w:szCs w:val="24"/>
          <w:lang w:val="ro-RO"/>
        </w:rPr>
        <w:t>III.</w:t>
      </w:r>
      <w:r w:rsidR="004E64A0" w:rsidRPr="006B2701">
        <w:rPr>
          <w:rFonts w:ascii="Arial" w:hAnsi="Arial" w:cs="Arial"/>
          <w:b/>
          <w:bCs/>
          <w:color w:val="000000"/>
          <w:sz w:val="24"/>
          <w:szCs w:val="24"/>
          <w:lang w:val="ro-RO"/>
        </w:rPr>
        <w:t>4</w:t>
      </w:r>
      <w:r w:rsidRPr="006B2701">
        <w:rPr>
          <w:rFonts w:ascii="Arial" w:hAnsi="Arial" w:cs="Arial"/>
          <w:b/>
          <w:bCs/>
          <w:color w:val="000000"/>
          <w:sz w:val="24"/>
          <w:szCs w:val="24"/>
          <w:lang w:val="ro-RO"/>
        </w:rPr>
        <w:t xml:space="preserve">.2 Arieratele înregistrate de administrația centrală </w:t>
      </w:r>
      <w:r w:rsidR="00977242" w:rsidRPr="006B2701">
        <w:rPr>
          <w:rFonts w:ascii="Arial" w:hAnsi="Arial" w:cs="Arial"/>
          <w:b/>
          <w:bCs/>
          <w:color w:val="000000"/>
          <w:sz w:val="24"/>
          <w:szCs w:val="24"/>
          <w:lang w:val="ro-RO"/>
        </w:rPr>
        <w:t>și</w:t>
      </w:r>
      <w:r w:rsidRPr="006B2701">
        <w:rPr>
          <w:rFonts w:ascii="Arial" w:hAnsi="Arial" w:cs="Arial"/>
          <w:b/>
          <w:bCs/>
          <w:color w:val="000000"/>
          <w:sz w:val="24"/>
          <w:szCs w:val="24"/>
          <w:lang w:val="ro-RO"/>
        </w:rPr>
        <w:t xml:space="preserve"> locală</w:t>
      </w:r>
    </w:p>
    <w:p w14:paraId="78FE0A35" w14:textId="58E34549" w:rsidR="001E285D" w:rsidRPr="006B2701" w:rsidRDefault="00BA5E33" w:rsidP="00282E9D">
      <w:pPr>
        <w:pStyle w:val="BodyText2"/>
        <w:spacing w:after="240" w:line="276" w:lineRule="auto"/>
        <w:jc w:val="both"/>
        <w:rPr>
          <w:rFonts w:ascii="Arial" w:hAnsi="Arial" w:cs="Arial"/>
          <w:sz w:val="24"/>
          <w:szCs w:val="24"/>
          <w:lang w:val="ro-RO"/>
        </w:rPr>
      </w:pPr>
      <w:r w:rsidRPr="006B2701">
        <w:rPr>
          <w:rFonts w:ascii="Tahoma" w:hAnsi="Tahoma" w:cs="Tahoma"/>
          <w:bCs/>
          <w:sz w:val="24"/>
          <w:szCs w:val="24"/>
          <w:lang w:val="ro-RO"/>
        </w:rPr>
        <w:t xml:space="preserve">Arieratele </w:t>
      </w:r>
      <w:r w:rsidRPr="006B2701">
        <w:rPr>
          <w:rFonts w:ascii="Tahoma" w:hAnsi="Tahoma" w:cs="Tahoma"/>
          <w:sz w:val="24"/>
          <w:szCs w:val="24"/>
          <w:lang w:val="ro-RO"/>
        </w:rPr>
        <w:t xml:space="preserve">rămân o problemă sensibilă în economia românească, principalul obstacol în promovarea reformei economice, </w:t>
      </w:r>
      <w:r w:rsidRPr="006B2701">
        <w:rPr>
          <w:rFonts w:ascii="Tahoma" w:hAnsi="Tahoma" w:cs="Tahoma"/>
          <w:bCs/>
          <w:sz w:val="24"/>
          <w:szCs w:val="24"/>
          <w:lang w:val="ro-RO"/>
        </w:rPr>
        <w:t xml:space="preserve">prin menținerea unei presiuni constante asupra cererii agregate, inflației </w:t>
      </w:r>
      <w:r w:rsidR="00EF50C3" w:rsidRPr="006B2701">
        <w:rPr>
          <w:rFonts w:ascii="Tahoma" w:hAnsi="Tahoma" w:cs="Tahoma"/>
          <w:bCs/>
          <w:sz w:val="24"/>
          <w:szCs w:val="24"/>
          <w:lang w:val="ro-RO"/>
        </w:rPr>
        <w:t>și</w:t>
      </w:r>
      <w:r w:rsidRPr="006B2701">
        <w:rPr>
          <w:rFonts w:ascii="Tahoma" w:hAnsi="Tahoma" w:cs="Tahoma"/>
          <w:bCs/>
          <w:sz w:val="24"/>
          <w:szCs w:val="24"/>
          <w:lang w:val="ro-RO"/>
        </w:rPr>
        <w:t xml:space="preserve"> contului curent</w:t>
      </w:r>
      <w:r w:rsidRPr="006B2701">
        <w:rPr>
          <w:rFonts w:ascii="Arial" w:hAnsi="Arial" w:cs="Arial"/>
          <w:sz w:val="24"/>
          <w:szCs w:val="24"/>
          <w:lang w:val="ro-RO"/>
        </w:rPr>
        <w:t xml:space="preserve">. </w:t>
      </w:r>
    </w:p>
    <w:p w14:paraId="21E5D9CA" w14:textId="77777777" w:rsidR="003C038F" w:rsidRPr="006B2701" w:rsidRDefault="003C038F" w:rsidP="00282E9D">
      <w:pPr>
        <w:pStyle w:val="BodyText2"/>
        <w:spacing w:after="240" w:line="276" w:lineRule="auto"/>
        <w:jc w:val="both"/>
        <w:rPr>
          <w:rFonts w:ascii="Arial" w:hAnsi="Arial" w:cs="Arial"/>
          <w:sz w:val="24"/>
          <w:szCs w:val="24"/>
          <w:lang w:val="ro-RO"/>
        </w:rPr>
      </w:pPr>
    </w:p>
    <w:p w14:paraId="5DA0F4B5" w14:textId="78B86EED" w:rsidR="003F3272" w:rsidRPr="006B2701" w:rsidRDefault="0073616C" w:rsidP="00F16F84">
      <w:pPr>
        <w:pStyle w:val="BodyText2"/>
        <w:spacing w:after="240" w:line="276" w:lineRule="auto"/>
        <w:jc w:val="both"/>
        <w:rPr>
          <w:rFonts w:ascii="Arial" w:hAnsi="Arial" w:cs="Arial"/>
          <w:sz w:val="24"/>
          <w:szCs w:val="24"/>
          <w:lang w:val="ro-RO"/>
        </w:rPr>
      </w:pPr>
      <w:r>
        <w:rPr>
          <w:noProof/>
          <w:lang w:val="ro-RO"/>
        </w:rPr>
        <w:pict w14:anchorId="44652E92">
          <v:shape id="_x0000_i1042" type="#_x0000_t75" style="width:480.9pt;height:113.45pt">
            <v:imagedata r:id="rId24" o:title=""/>
          </v:shape>
        </w:pict>
      </w:r>
    </w:p>
    <w:p w14:paraId="596493F9" w14:textId="77777777" w:rsidR="003C038F" w:rsidRPr="006B2701" w:rsidRDefault="003C038F" w:rsidP="00282E9D">
      <w:pPr>
        <w:spacing w:before="240" w:line="276" w:lineRule="auto"/>
        <w:jc w:val="both"/>
        <w:rPr>
          <w:rFonts w:ascii="Tahoma" w:hAnsi="Tahoma" w:cs="Tahoma"/>
          <w:sz w:val="24"/>
          <w:szCs w:val="24"/>
          <w:lang w:val="ro-RO"/>
        </w:rPr>
      </w:pPr>
    </w:p>
    <w:p w14:paraId="1391D7A8" w14:textId="05F66A9C" w:rsidR="00930F04" w:rsidRPr="006B2701" w:rsidRDefault="00930F04" w:rsidP="00282E9D">
      <w:pPr>
        <w:spacing w:before="240" w:line="276" w:lineRule="auto"/>
        <w:jc w:val="both"/>
        <w:rPr>
          <w:rFonts w:ascii="Tahoma" w:hAnsi="Tahoma" w:cs="Tahoma"/>
          <w:sz w:val="24"/>
          <w:szCs w:val="24"/>
          <w:lang w:val="ro-RO"/>
        </w:rPr>
      </w:pPr>
      <w:r w:rsidRPr="006B2701">
        <w:rPr>
          <w:rFonts w:ascii="Tahoma" w:hAnsi="Tahoma" w:cs="Tahoma"/>
          <w:sz w:val="24"/>
          <w:szCs w:val="24"/>
          <w:lang w:val="ro-RO"/>
        </w:rPr>
        <w:t xml:space="preserve">Arieratele înregistrate de către principalele bugete componente ale bugetului general consolidat la finele anului </w:t>
      </w:r>
      <w:r w:rsidR="00604EC4" w:rsidRPr="006B2701">
        <w:rPr>
          <w:rFonts w:ascii="Tahoma" w:hAnsi="Tahoma" w:cs="Tahoma"/>
          <w:sz w:val="24"/>
          <w:szCs w:val="24"/>
          <w:lang w:val="ro-RO"/>
        </w:rPr>
        <w:t>202</w:t>
      </w:r>
      <w:r w:rsidR="00844659" w:rsidRPr="006B2701">
        <w:rPr>
          <w:rFonts w:ascii="Tahoma" w:hAnsi="Tahoma" w:cs="Tahoma"/>
          <w:sz w:val="24"/>
          <w:szCs w:val="24"/>
          <w:lang w:val="ro-RO"/>
        </w:rPr>
        <w:t>2</w:t>
      </w:r>
      <w:r w:rsidR="00604EC4" w:rsidRPr="006B2701">
        <w:rPr>
          <w:rFonts w:ascii="Tahoma" w:hAnsi="Tahoma" w:cs="Tahoma"/>
          <w:sz w:val="24"/>
          <w:szCs w:val="24"/>
          <w:lang w:val="ro-RO"/>
        </w:rPr>
        <w:t xml:space="preserve"> </w:t>
      </w:r>
      <w:r w:rsidRPr="006B2701">
        <w:rPr>
          <w:rFonts w:ascii="Tahoma" w:hAnsi="Tahoma" w:cs="Tahoma"/>
          <w:sz w:val="24"/>
          <w:szCs w:val="24"/>
          <w:lang w:val="ro-RO"/>
        </w:rPr>
        <w:t xml:space="preserve">au fost în sumă de </w:t>
      </w:r>
      <w:r w:rsidR="00844659" w:rsidRPr="006B2701">
        <w:rPr>
          <w:rFonts w:ascii="Tahoma" w:hAnsi="Tahoma" w:cs="Tahoma"/>
          <w:sz w:val="24"/>
          <w:szCs w:val="24"/>
          <w:lang w:val="ro-RO"/>
        </w:rPr>
        <w:t>282</w:t>
      </w:r>
      <w:r w:rsidR="00604EC4" w:rsidRPr="006B2701">
        <w:rPr>
          <w:rFonts w:ascii="Tahoma" w:hAnsi="Tahoma" w:cs="Tahoma"/>
          <w:sz w:val="24"/>
          <w:szCs w:val="24"/>
          <w:lang w:val="ro-RO"/>
        </w:rPr>
        <w:t>,</w:t>
      </w:r>
      <w:r w:rsidR="00844659" w:rsidRPr="006B2701">
        <w:rPr>
          <w:rFonts w:ascii="Tahoma" w:hAnsi="Tahoma" w:cs="Tahoma"/>
          <w:sz w:val="24"/>
          <w:szCs w:val="24"/>
          <w:lang w:val="ro-RO"/>
        </w:rPr>
        <w:t>5</w:t>
      </w:r>
      <w:r w:rsidR="00604EC4" w:rsidRPr="006B2701">
        <w:rPr>
          <w:rFonts w:ascii="Tahoma" w:hAnsi="Tahoma" w:cs="Tahoma"/>
          <w:sz w:val="24"/>
          <w:szCs w:val="24"/>
          <w:lang w:val="ro-RO"/>
        </w:rPr>
        <w:t>9</w:t>
      </w:r>
      <w:r w:rsidRPr="006B2701">
        <w:rPr>
          <w:rFonts w:ascii="Tahoma" w:hAnsi="Tahoma" w:cs="Tahoma"/>
          <w:sz w:val="24"/>
          <w:szCs w:val="24"/>
          <w:lang w:val="ro-RO"/>
        </w:rPr>
        <w:t xml:space="preserve"> milioane lei (0,</w:t>
      </w:r>
      <w:r w:rsidR="00846918" w:rsidRPr="006B2701">
        <w:rPr>
          <w:rFonts w:ascii="Tahoma" w:hAnsi="Tahoma" w:cs="Tahoma"/>
          <w:sz w:val="24"/>
          <w:szCs w:val="24"/>
          <w:lang w:val="ro-RO"/>
        </w:rPr>
        <w:t>0</w:t>
      </w:r>
      <w:r w:rsidR="007966E7" w:rsidRPr="006B2701">
        <w:rPr>
          <w:rFonts w:ascii="Tahoma" w:hAnsi="Tahoma" w:cs="Tahoma"/>
          <w:sz w:val="24"/>
          <w:szCs w:val="24"/>
          <w:lang w:val="ro-RO"/>
        </w:rPr>
        <w:t>2</w:t>
      </w:r>
      <w:r w:rsidRPr="006B2701">
        <w:rPr>
          <w:rFonts w:ascii="Tahoma" w:hAnsi="Tahoma" w:cs="Tahoma"/>
          <w:sz w:val="24"/>
          <w:szCs w:val="24"/>
          <w:lang w:val="ro-RO"/>
        </w:rPr>
        <w:t xml:space="preserve">% din PIB) cu </w:t>
      </w:r>
      <w:r w:rsidR="00012E8A" w:rsidRPr="006B2701">
        <w:rPr>
          <w:rFonts w:ascii="Tahoma" w:hAnsi="Tahoma" w:cs="Tahoma"/>
          <w:sz w:val="24"/>
          <w:szCs w:val="24"/>
          <w:lang w:val="ro-RO"/>
        </w:rPr>
        <w:t>110</w:t>
      </w:r>
      <w:r w:rsidR="00846918" w:rsidRPr="006B2701">
        <w:rPr>
          <w:rFonts w:ascii="Tahoma" w:hAnsi="Tahoma" w:cs="Tahoma"/>
          <w:sz w:val="24"/>
          <w:szCs w:val="24"/>
          <w:lang w:val="ro-RO"/>
        </w:rPr>
        <w:t>,5</w:t>
      </w:r>
      <w:r w:rsidR="00012E8A" w:rsidRPr="006B2701">
        <w:rPr>
          <w:rFonts w:ascii="Tahoma" w:hAnsi="Tahoma" w:cs="Tahoma"/>
          <w:sz w:val="24"/>
          <w:szCs w:val="24"/>
          <w:lang w:val="ro-RO"/>
        </w:rPr>
        <w:t>0</w:t>
      </w:r>
      <w:r w:rsidRPr="006B2701">
        <w:rPr>
          <w:rFonts w:ascii="Tahoma" w:hAnsi="Tahoma" w:cs="Tahoma"/>
          <w:sz w:val="24"/>
          <w:szCs w:val="24"/>
          <w:lang w:val="ro-RO"/>
        </w:rPr>
        <w:t xml:space="preserve"> milioane lei </w:t>
      </w:r>
      <w:r w:rsidR="00012E8A" w:rsidRPr="006B2701">
        <w:rPr>
          <w:rFonts w:ascii="Tahoma" w:hAnsi="Tahoma" w:cs="Tahoma"/>
          <w:sz w:val="24"/>
          <w:szCs w:val="24"/>
          <w:lang w:val="ro-RO"/>
        </w:rPr>
        <w:t>peste</w:t>
      </w:r>
      <w:r w:rsidR="00846918" w:rsidRPr="006B2701">
        <w:rPr>
          <w:rFonts w:ascii="Tahoma" w:hAnsi="Tahoma" w:cs="Tahoma"/>
          <w:sz w:val="24"/>
          <w:szCs w:val="24"/>
          <w:lang w:val="ro-RO"/>
        </w:rPr>
        <w:t xml:space="preserve"> </w:t>
      </w:r>
      <w:r w:rsidRPr="006B2701">
        <w:rPr>
          <w:rFonts w:ascii="Tahoma" w:hAnsi="Tahoma" w:cs="Tahoma"/>
          <w:sz w:val="24"/>
          <w:szCs w:val="24"/>
          <w:lang w:val="ro-RO"/>
        </w:rPr>
        <w:t xml:space="preserve">nivelul înregistrat la sfârșitul anului </w:t>
      </w:r>
      <w:r w:rsidR="00846918" w:rsidRPr="006B2701">
        <w:rPr>
          <w:rFonts w:ascii="Tahoma" w:hAnsi="Tahoma" w:cs="Tahoma"/>
          <w:sz w:val="24"/>
          <w:szCs w:val="24"/>
          <w:lang w:val="ro-RO"/>
        </w:rPr>
        <w:t>202</w:t>
      </w:r>
      <w:r w:rsidR="00012E8A" w:rsidRPr="006B2701">
        <w:rPr>
          <w:rFonts w:ascii="Tahoma" w:hAnsi="Tahoma" w:cs="Tahoma"/>
          <w:sz w:val="24"/>
          <w:szCs w:val="24"/>
          <w:lang w:val="ro-RO"/>
        </w:rPr>
        <w:t>1</w:t>
      </w:r>
      <w:r w:rsidRPr="006B2701">
        <w:rPr>
          <w:rFonts w:ascii="Tahoma" w:hAnsi="Tahoma" w:cs="Tahoma"/>
          <w:sz w:val="24"/>
          <w:szCs w:val="24"/>
          <w:lang w:val="ro-RO"/>
        </w:rPr>
        <w:t>.</w:t>
      </w:r>
    </w:p>
    <w:p w14:paraId="3FB341F9" w14:textId="484AFFD9" w:rsidR="00434FBD" w:rsidRPr="006B2701" w:rsidRDefault="00930F04" w:rsidP="009238C5">
      <w:pPr>
        <w:spacing w:after="120" w:line="276" w:lineRule="auto"/>
        <w:jc w:val="both"/>
        <w:rPr>
          <w:rFonts w:ascii="Tahoma" w:hAnsi="Tahoma" w:cs="Tahoma"/>
          <w:lang w:val="ro-RO"/>
        </w:rPr>
      </w:pPr>
      <w:r w:rsidRPr="006B2701">
        <w:rPr>
          <w:rFonts w:ascii="Tahoma" w:hAnsi="Tahoma" w:cs="Tahoma"/>
          <w:sz w:val="24"/>
          <w:szCs w:val="24"/>
          <w:lang w:val="ro-RO"/>
        </w:rPr>
        <w:t xml:space="preserve">Această evoluție a fost determinată </w:t>
      </w:r>
      <w:r w:rsidR="00846918" w:rsidRPr="006B2701">
        <w:rPr>
          <w:rFonts w:ascii="Tahoma" w:hAnsi="Tahoma" w:cs="Tahoma"/>
          <w:sz w:val="24"/>
          <w:szCs w:val="24"/>
          <w:lang w:val="ro-RO"/>
        </w:rPr>
        <w:t xml:space="preserve">în totalitate </w:t>
      </w:r>
      <w:r w:rsidRPr="006B2701">
        <w:rPr>
          <w:rFonts w:ascii="Tahoma" w:hAnsi="Tahoma" w:cs="Tahoma"/>
          <w:sz w:val="24"/>
          <w:szCs w:val="24"/>
          <w:lang w:val="ro-RO"/>
        </w:rPr>
        <w:t xml:space="preserve">de </w:t>
      </w:r>
      <w:r w:rsidR="00012E8A" w:rsidRPr="006B2701">
        <w:rPr>
          <w:rFonts w:ascii="Tahoma" w:hAnsi="Tahoma" w:cs="Tahoma"/>
          <w:sz w:val="24"/>
          <w:szCs w:val="24"/>
          <w:lang w:val="ro-RO"/>
        </w:rPr>
        <w:t xml:space="preserve">creșterea </w:t>
      </w:r>
      <w:r w:rsidRPr="006B2701">
        <w:rPr>
          <w:rFonts w:ascii="Tahoma" w:hAnsi="Tahoma" w:cs="Tahoma"/>
          <w:sz w:val="24"/>
          <w:szCs w:val="24"/>
          <w:lang w:val="ro-RO"/>
        </w:rPr>
        <w:t xml:space="preserve">arieratelor înregistrate de unitățile administrativ-teritoriale </w:t>
      </w:r>
      <w:r w:rsidR="008256D5" w:rsidRPr="006B2701">
        <w:rPr>
          <w:rFonts w:ascii="Tahoma" w:hAnsi="Tahoma" w:cs="Tahoma"/>
          <w:sz w:val="24"/>
          <w:szCs w:val="24"/>
          <w:lang w:val="ro-RO"/>
        </w:rPr>
        <w:t xml:space="preserve">în anul </w:t>
      </w:r>
      <w:r w:rsidR="00846918" w:rsidRPr="006B2701">
        <w:rPr>
          <w:rFonts w:ascii="Tahoma" w:hAnsi="Tahoma" w:cs="Tahoma"/>
          <w:sz w:val="24"/>
          <w:szCs w:val="24"/>
          <w:lang w:val="ro-RO"/>
        </w:rPr>
        <w:t>202</w:t>
      </w:r>
      <w:r w:rsidR="00012E8A" w:rsidRPr="006B2701">
        <w:rPr>
          <w:rFonts w:ascii="Tahoma" w:hAnsi="Tahoma" w:cs="Tahoma"/>
          <w:sz w:val="24"/>
          <w:szCs w:val="24"/>
          <w:lang w:val="ro-RO"/>
        </w:rPr>
        <w:t>2 cu 115,51 milioane lei</w:t>
      </w:r>
      <w:r w:rsidR="00846918" w:rsidRPr="006B2701">
        <w:rPr>
          <w:rFonts w:ascii="Tahoma" w:hAnsi="Tahoma" w:cs="Tahoma"/>
          <w:sz w:val="24"/>
          <w:szCs w:val="24"/>
          <w:lang w:val="ro-RO"/>
        </w:rPr>
        <w:t xml:space="preserve"> </w:t>
      </w:r>
      <w:r w:rsidR="00F16F84" w:rsidRPr="006B2701">
        <w:rPr>
          <w:rFonts w:ascii="Tahoma" w:hAnsi="Tahoma" w:cs="Tahoma"/>
          <w:sz w:val="24"/>
          <w:szCs w:val="24"/>
          <w:lang w:val="ro-RO"/>
        </w:rPr>
        <w:t xml:space="preserve">în timp ce arieratele înregistrate la nivelul administrației centrale </w:t>
      </w:r>
      <w:r w:rsidR="00846918" w:rsidRPr="006B2701">
        <w:rPr>
          <w:rFonts w:ascii="Tahoma" w:hAnsi="Tahoma" w:cs="Tahoma"/>
          <w:sz w:val="24"/>
          <w:szCs w:val="24"/>
          <w:lang w:val="ro-RO"/>
        </w:rPr>
        <w:t xml:space="preserve">au înregistrat </w:t>
      </w:r>
      <w:r w:rsidR="00012E8A" w:rsidRPr="006B2701">
        <w:rPr>
          <w:rFonts w:ascii="Tahoma" w:hAnsi="Tahoma" w:cs="Tahoma"/>
          <w:sz w:val="24"/>
          <w:szCs w:val="24"/>
          <w:lang w:val="ro-RO"/>
        </w:rPr>
        <w:t>o scădere față de în anul anterior de 5</w:t>
      </w:r>
      <w:r w:rsidR="00846918" w:rsidRPr="006B2701">
        <w:rPr>
          <w:rFonts w:ascii="Tahoma" w:hAnsi="Tahoma" w:cs="Tahoma"/>
          <w:sz w:val="24"/>
          <w:szCs w:val="24"/>
          <w:lang w:val="ro-RO"/>
        </w:rPr>
        <w:t>,0</w:t>
      </w:r>
      <w:r w:rsidR="00012E8A" w:rsidRPr="006B2701">
        <w:rPr>
          <w:rFonts w:ascii="Tahoma" w:hAnsi="Tahoma" w:cs="Tahoma"/>
          <w:sz w:val="24"/>
          <w:szCs w:val="24"/>
          <w:lang w:val="ro-RO"/>
        </w:rPr>
        <w:t>1</w:t>
      </w:r>
      <w:r w:rsidR="00846918" w:rsidRPr="006B2701">
        <w:rPr>
          <w:rFonts w:ascii="Tahoma" w:hAnsi="Tahoma" w:cs="Tahoma"/>
          <w:sz w:val="24"/>
          <w:szCs w:val="24"/>
          <w:lang w:val="ro-RO"/>
        </w:rPr>
        <w:t xml:space="preserve"> milioane lei. </w:t>
      </w:r>
    </w:p>
    <w:p w14:paraId="4F28F08A" w14:textId="0D97A3D3" w:rsidR="00434FBD" w:rsidRPr="006B2701" w:rsidRDefault="0073616C" w:rsidP="00434FBD">
      <w:pPr>
        <w:pStyle w:val="NormalWeb"/>
        <w:spacing w:before="0" w:after="0" w:line="276" w:lineRule="auto"/>
        <w:ind w:left="1080" w:hanging="1080"/>
        <w:rPr>
          <w:rFonts w:ascii="Tahoma" w:hAnsi="Tahoma" w:cs="Tahoma"/>
          <w:lang w:val="ro-RO"/>
        </w:rPr>
      </w:pPr>
      <w:r>
        <w:rPr>
          <w:noProof/>
          <w:shd w:val="clear" w:color="auto" w:fill="E2EFD9" w:themeFill="accent6" w:themeFillTint="33"/>
          <w:lang w:val="ro-RO" w:eastAsia="en-US"/>
        </w:rPr>
        <w:lastRenderedPageBreak/>
        <w:pict w14:anchorId="6AF329CE">
          <v:shape id="_x0000_i1043" type="#_x0000_t75" style="width:483.6pt;height:206.5pt">
            <v:imagedata r:id="rId25" o:title=""/>
          </v:shape>
        </w:pict>
      </w:r>
    </w:p>
    <w:p w14:paraId="4D8B7D70" w14:textId="6E10AB32" w:rsidR="00434FBD" w:rsidRPr="006B2701" w:rsidRDefault="00434FBD" w:rsidP="00AC2684">
      <w:pPr>
        <w:pStyle w:val="NormalWeb"/>
        <w:spacing w:before="0" w:after="0" w:line="276" w:lineRule="auto"/>
        <w:ind w:left="1080" w:hanging="360"/>
        <w:rPr>
          <w:rFonts w:ascii="Tahoma" w:hAnsi="Tahoma" w:cs="Tahoma"/>
          <w:lang w:val="ro-RO"/>
        </w:rPr>
      </w:pPr>
    </w:p>
    <w:p w14:paraId="08A47624" w14:textId="37D50FDC" w:rsidR="003E3C18" w:rsidRPr="006B2701" w:rsidRDefault="003E3C18" w:rsidP="00895BA5">
      <w:pPr>
        <w:spacing w:after="120" w:line="276" w:lineRule="auto"/>
        <w:jc w:val="both"/>
        <w:rPr>
          <w:rFonts w:ascii="Tahoma" w:hAnsi="Tahoma" w:cs="Tahoma"/>
          <w:sz w:val="24"/>
          <w:szCs w:val="24"/>
          <w:lang w:val="ro-RO"/>
        </w:rPr>
      </w:pPr>
      <w:r w:rsidRPr="006B2701">
        <w:rPr>
          <w:rFonts w:ascii="Tahoma" w:hAnsi="Tahoma" w:cs="Tahoma"/>
          <w:bCs/>
          <w:sz w:val="24"/>
          <w:szCs w:val="24"/>
          <w:lang w:val="ro-RO"/>
        </w:rPr>
        <w:t>Comparativ cu anul 2021,</w:t>
      </w:r>
      <w:r w:rsidRPr="006B2701">
        <w:rPr>
          <w:rFonts w:ascii="Tahoma" w:hAnsi="Tahoma" w:cs="Tahoma"/>
          <w:b/>
          <w:bCs/>
          <w:sz w:val="24"/>
          <w:szCs w:val="24"/>
          <w:lang w:val="ro-RO"/>
        </w:rPr>
        <w:t xml:space="preserve"> </w:t>
      </w:r>
      <w:r w:rsidRPr="006B2701">
        <w:rPr>
          <w:rFonts w:ascii="Tahoma" w:hAnsi="Tahoma" w:cs="Tahoma"/>
          <w:sz w:val="24"/>
          <w:szCs w:val="24"/>
          <w:lang w:val="ro-RO"/>
        </w:rPr>
        <w:t xml:space="preserve">în anul 2022 </w:t>
      </w:r>
      <w:r w:rsidRPr="006B2701">
        <w:rPr>
          <w:rFonts w:ascii="Tahoma" w:hAnsi="Tahoma" w:cs="Tahoma"/>
          <w:b/>
          <w:sz w:val="24"/>
          <w:szCs w:val="24"/>
          <w:lang w:val="ro-RO"/>
        </w:rPr>
        <w:t>pe baza datelor preliminate</w:t>
      </w:r>
      <w:r w:rsidRPr="006B2701">
        <w:rPr>
          <w:rFonts w:ascii="Tahoma" w:hAnsi="Tahoma" w:cs="Tahoma"/>
          <w:sz w:val="24"/>
          <w:szCs w:val="24"/>
          <w:lang w:val="ro-RO"/>
        </w:rPr>
        <w:t xml:space="preserve"> </w:t>
      </w:r>
      <w:r w:rsidR="00435320" w:rsidRPr="006B2701">
        <w:rPr>
          <w:rFonts w:ascii="Tahoma" w:hAnsi="Tahoma" w:cs="Tahoma"/>
          <w:sz w:val="24"/>
          <w:szCs w:val="24"/>
          <w:lang w:val="ro-RO"/>
        </w:rPr>
        <w:t>centralizate în urma raportărilor operatorilor economici cu capital majoritar/integral deținut direct sau indirect de stat, se constată următoarele:</w:t>
      </w:r>
    </w:p>
    <w:p w14:paraId="2855023F" w14:textId="77777777" w:rsidR="003E3C18" w:rsidRPr="006B2701" w:rsidRDefault="003E3C18" w:rsidP="00895BA5">
      <w:pPr>
        <w:numPr>
          <w:ilvl w:val="0"/>
          <w:numId w:val="47"/>
        </w:numPr>
        <w:suppressAutoHyphens/>
        <w:spacing w:after="120" w:line="276" w:lineRule="auto"/>
        <w:ind w:left="851" w:hanging="284"/>
        <w:jc w:val="both"/>
        <w:rPr>
          <w:rFonts w:ascii="Tahoma" w:hAnsi="Tahoma" w:cs="Tahoma"/>
          <w:sz w:val="24"/>
          <w:szCs w:val="24"/>
          <w:lang w:val="ro-RO"/>
        </w:rPr>
      </w:pPr>
      <w:r w:rsidRPr="006B2701">
        <w:rPr>
          <w:rFonts w:ascii="Tahoma" w:hAnsi="Tahoma" w:cs="Tahoma"/>
          <w:sz w:val="24"/>
          <w:szCs w:val="24"/>
          <w:u w:val="single"/>
          <w:lang w:val="ro-RO"/>
        </w:rPr>
        <w:t>plățile restante ale operatorilor economici de subordonare centrală aflați în stare de activitate</w:t>
      </w:r>
      <w:r w:rsidRPr="006B2701">
        <w:rPr>
          <w:rFonts w:ascii="Tahoma" w:hAnsi="Tahoma" w:cs="Tahoma"/>
          <w:sz w:val="24"/>
          <w:szCs w:val="24"/>
          <w:lang w:val="ro-RO"/>
        </w:rPr>
        <w:t xml:space="preserve"> au scăzut cu 88.779 mii lei, de la 7.533.996 mii lei în anul 2021 date finale, la 7.445.217 mii lei în anul 2022 date preliminate;</w:t>
      </w:r>
    </w:p>
    <w:p w14:paraId="6043E315" w14:textId="77777777" w:rsidR="003E3C18" w:rsidRPr="006B2701" w:rsidRDefault="003E3C18" w:rsidP="00895BA5">
      <w:pPr>
        <w:spacing w:after="120" w:line="276" w:lineRule="auto"/>
        <w:jc w:val="both"/>
        <w:rPr>
          <w:rFonts w:ascii="Tahoma" w:hAnsi="Tahoma" w:cs="Tahoma"/>
          <w:sz w:val="24"/>
          <w:szCs w:val="24"/>
          <w:lang w:val="ro-RO"/>
        </w:rPr>
      </w:pPr>
      <w:r w:rsidRPr="006B2701">
        <w:rPr>
          <w:rFonts w:ascii="Tahoma" w:hAnsi="Tahoma" w:cs="Tahoma"/>
          <w:sz w:val="24"/>
          <w:szCs w:val="24"/>
          <w:lang w:val="ro-RO"/>
        </w:rPr>
        <w:t>Operatorii economici de subordonare centrală aflați în stare de activitate, care au înregistrat cele mai semnificative scăderi ale plăților restante în anul 2022 față de anul 2021 au fost:</w:t>
      </w:r>
    </w:p>
    <w:p w14:paraId="276B7F50" w14:textId="77777777" w:rsidR="003E3C18" w:rsidRPr="006B2701" w:rsidRDefault="003E3C18" w:rsidP="00895BA5">
      <w:pPr>
        <w:numPr>
          <w:ilvl w:val="0"/>
          <w:numId w:val="15"/>
        </w:numPr>
        <w:suppressAutoHyphens/>
        <w:spacing w:after="120" w:line="276" w:lineRule="auto"/>
        <w:ind w:left="1135" w:hanging="284"/>
        <w:jc w:val="both"/>
        <w:rPr>
          <w:rFonts w:ascii="Tahoma" w:hAnsi="Tahoma" w:cs="Tahoma"/>
          <w:sz w:val="24"/>
          <w:szCs w:val="24"/>
          <w:lang w:val="ro-RO"/>
        </w:rPr>
      </w:pPr>
      <w:r w:rsidRPr="006B2701">
        <w:rPr>
          <w:rFonts w:ascii="Tahoma" w:hAnsi="Tahoma" w:cs="Tahoma"/>
          <w:sz w:val="24"/>
          <w:szCs w:val="24"/>
          <w:lang w:val="ro-RO"/>
        </w:rPr>
        <w:t>SOCIETATEA NAȚIONALĂ DE TRANSPORT FEROVIAR DE CĂLĂTORI - CFR - CĂLĂTORI SA cu suma de 184.447 mii lei, de la 249.452 mii lei în anul 2021 la 65.005 mii lei în anul 2022;</w:t>
      </w:r>
    </w:p>
    <w:p w14:paraId="61FFDC01" w14:textId="77777777" w:rsidR="003E3C18" w:rsidRPr="006B2701" w:rsidRDefault="003E3C18" w:rsidP="00895BA5">
      <w:pPr>
        <w:numPr>
          <w:ilvl w:val="0"/>
          <w:numId w:val="15"/>
        </w:numPr>
        <w:suppressAutoHyphens/>
        <w:spacing w:after="120" w:line="276" w:lineRule="auto"/>
        <w:ind w:left="1135" w:hanging="284"/>
        <w:jc w:val="both"/>
        <w:rPr>
          <w:rFonts w:ascii="Tahoma" w:hAnsi="Tahoma" w:cs="Tahoma"/>
          <w:sz w:val="24"/>
          <w:szCs w:val="24"/>
          <w:lang w:val="ro-RO"/>
        </w:rPr>
      </w:pPr>
      <w:r w:rsidRPr="006B2701">
        <w:rPr>
          <w:rFonts w:ascii="Tahoma" w:hAnsi="Tahoma" w:cs="Tahoma"/>
          <w:sz w:val="24"/>
          <w:szCs w:val="24"/>
          <w:lang w:val="ro-RO"/>
        </w:rPr>
        <w:t>METROREX SA cu suma de 115.413 mii lei, de la 149.864 mii lei în anul 2021 la 34.451 mii lei în anul 2022;</w:t>
      </w:r>
    </w:p>
    <w:p w14:paraId="59E943DE" w14:textId="77777777" w:rsidR="003E3C18" w:rsidRPr="006B2701" w:rsidRDefault="003E3C18" w:rsidP="00895BA5">
      <w:pPr>
        <w:numPr>
          <w:ilvl w:val="0"/>
          <w:numId w:val="48"/>
        </w:numPr>
        <w:suppressAutoHyphens/>
        <w:spacing w:after="120" w:line="276" w:lineRule="auto"/>
        <w:jc w:val="both"/>
        <w:rPr>
          <w:rFonts w:ascii="Tahoma" w:hAnsi="Tahoma" w:cs="Tahoma"/>
          <w:sz w:val="24"/>
          <w:szCs w:val="24"/>
          <w:lang w:val="ro-RO"/>
        </w:rPr>
      </w:pPr>
      <w:r w:rsidRPr="006B2701">
        <w:rPr>
          <w:rFonts w:ascii="Tahoma" w:hAnsi="Tahoma" w:cs="Tahoma"/>
          <w:sz w:val="24"/>
          <w:szCs w:val="24"/>
          <w:u w:val="single"/>
          <w:lang w:val="ro-RO"/>
        </w:rPr>
        <w:t>plățile restante ale operatorilor economici de subordonare centrală aflați în stare de inactivitate</w:t>
      </w:r>
      <w:r w:rsidRPr="006B2701">
        <w:rPr>
          <w:rFonts w:ascii="Tahoma" w:hAnsi="Tahoma" w:cs="Tahoma"/>
          <w:sz w:val="24"/>
          <w:szCs w:val="24"/>
          <w:lang w:val="ro-RO"/>
        </w:rPr>
        <w:t xml:space="preserve"> (insolvență și reorganizare) au crescut cu 344.903 mii lei de la 4.134.582 mii lei în anul 2021 date finale, la 4.479.485 mii lei în anul 2022 date preliminate;</w:t>
      </w:r>
    </w:p>
    <w:p w14:paraId="64DD9435" w14:textId="77777777" w:rsidR="003E3C18" w:rsidRPr="006B2701" w:rsidRDefault="003E3C18" w:rsidP="00895BA5">
      <w:pPr>
        <w:spacing w:after="120" w:line="276" w:lineRule="auto"/>
        <w:jc w:val="both"/>
        <w:rPr>
          <w:rFonts w:ascii="Tahoma" w:hAnsi="Tahoma" w:cs="Tahoma"/>
          <w:sz w:val="24"/>
          <w:szCs w:val="24"/>
          <w:lang w:val="ro-RO"/>
        </w:rPr>
      </w:pPr>
      <w:r w:rsidRPr="006B2701">
        <w:rPr>
          <w:rFonts w:ascii="Tahoma" w:hAnsi="Tahoma" w:cs="Tahoma"/>
          <w:sz w:val="24"/>
          <w:szCs w:val="24"/>
          <w:lang w:val="ro-RO"/>
        </w:rPr>
        <w:t>Operatorii economici de subordonare centrală aflați în stare de inactivitate, care au înregistrat cea mai importantă creștere a plăților restante în anul 2022 față de anul 2021 au fost:</w:t>
      </w:r>
    </w:p>
    <w:p w14:paraId="238B990F" w14:textId="77777777" w:rsidR="003E3C18" w:rsidRPr="006B2701" w:rsidRDefault="003E3C18" w:rsidP="00895BA5">
      <w:pPr>
        <w:numPr>
          <w:ilvl w:val="0"/>
          <w:numId w:val="15"/>
        </w:numPr>
        <w:suppressAutoHyphens/>
        <w:spacing w:after="120" w:line="276" w:lineRule="auto"/>
        <w:ind w:left="1135" w:hanging="284"/>
        <w:jc w:val="both"/>
        <w:rPr>
          <w:rFonts w:ascii="Tahoma" w:hAnsi="Tahoma" w:cs="Tahoma"/>
          <w:sz w:val="24"/>
          <w:szCs w:val="24"/>
          <w:lang w:val="ro-RO"/>
        </w:rPr>
      </w:pPr>
      <w:r w:rsidRPr="006B2701">
        <w:rPr>
          <w:rFonts w:ascii="Tahoma" w:hAnsi="Tahoma" w:cs="Tahoma"/>
          <w:sz w:val="24"/>
          <w:szCs w:val="24"/>
          <w:lang w:val="ro-RO"/>
        </w:rPr>
        <w:t>COMPANIA NAȚIONALĂ A URANIULUI SA cu suma de 111.027 mii lei, de la 200.032 mii lei în anul 2021 la 311.059 mii lei în anul 2022 (când a intrat în  stare de insolvență);</w:t>
      </w:r>
    </w:p>
    <w:p w14:paraId="3D7BAC31" w14:textId="77777777" w:rsidR="003E3C18" w:rsidRPr="006B2701" w:rsidRDefault="003E3C18" w:rsidP="00895BA5">
      <w:pPr>
        <w:numPr>
          <w:ilvl w:val="0"/>
          <w:numId w:val="15"/>
        </w:numPr>
        <w:suppressAutoHyphens/>
        <w:spacing w:after="120" w:line="276" w:lineRule="auto"/>
        <w:ind w:left="1135" w:hanging="284"/>
        <w:jc w:val="both"/>
        <w:rPr>
          <w:rFonts w:ascii="Tahoma" w:hAnsi="Tahoma" w:cs="Tahoma"/>
          <w:sz w:val="24"/>
          <w:szCs w:val="24"/>
          <w:lang w:val="ro-RO"/>
        </w:rPr>
      </w:pPr>
      <w:r w:rsidRPr="006B2701">
        <w:rPr>
          <w:rFonts w:ascii="Tahoma" w:hAnsi="Tahoma" w:cs="Tahoma"/>
          <w:sz w:val="24"/>
          <w:szCs w:val="24"/>
          <w:lang w:val="ro-RO"/>
        </w:rPr>
        <w:t>COMPLEXUL ENERGETIC HUNEDOARA SA cu suma de 110.340 mii lei, de la 2.631.854 mii lei în anul 2021 la 2.742.194 mii lei în anul 2022;</w:t>
      </w:r>
    </w:p>
    <w:p w14:paraId="4C89A22D" w14:textId="77777777" w:rsidR="003E3C18" w:rsidRPr="006B2701" w:rsidRDefault="003E3C18" w:rsidP="00895BA5">
      <w:pPr>
        <w:spacing w:after="120" w:line="276" w:lineRule="auto"/>
        <w:jc w:val="both"/>
        <w:rPr>
          <w:rFonts w:ascii="Tahoma" w:hAnsi="Tahoma" w:cs="Tahoma"/>
          <w:sz w:val="24"/>
          <w:szCs w:val="24"/>
          <w:lang w:val="ro-RO"/>
        </w:rPr>
      </w:pPr>
      <w:r w:rsidRPr="006B2701">
        <w:rPr>
          <w:rFonts w:ascii="Tahoma" w:hAnsi="Tahoma" w:cs="Tahoma"/>
          <w:b/>
          <w:sz w:val="24"/>
          <w:szCs w:val="24"/>
          <w:lang w:val="ro-RO"/>
        </w:rPr>
        <w:t>Pe baza datelor preliminate</w:t>
      </w:r>
      <w:r w:rsidRPr="006B2701">
        <w:rPr>
          <w:rFonts w:ascii="Tahoma" w:hAnsi="Tahoma" w:cs="Tahoma"/>
          <w:sz w:val="24"/>
          <w:szCs w:val="24"/>
          <w:lang w:val="ro-RO"/>
        </w:rPr>
        <w:t xml:space="preserve"> raportate de operatorii economici de subordonare centrală </w:t>
      </w:r>
      <w:r w:rsidRPr="006B2701">
        <w:rPr>
          <w:rFonts w:ascii="Tahoma" w:hAnsi="Tahoma" w:cs="Tahoma"/>
          <w:sz w:val="24"/>
          <w:szCs w:val="24"/>
          <w:u w:val="single"/>
          <w:lang w:val="ro-RO"/>
        </w:rPr>
        <w:t>aflați în stare de activitate</w:t>
      </w:r>
      <w:r w:rsidRPr="006B2701">
        <w:rPr>
          <w:rFonts w:ascii="Tahoma" w:hAnsi="Tahoma" w:cs="Tahoma"/>
          <w:sz w:val="24"/>
          <w:szCs w:val="24"/>
          <w:lang w:val="ro-RO"/>
        </w:rPr>
        <w:t xml:space="preserve">, se constată o creștere a </w:t>
      </w:r>
      <w:r w:rsidRPr="006B2701">
        <w:rPr>
          <w:rFonts w:ascii="Tahoma" w:hAnsi="Tahoma" w:cs="Tahoma"/>
          <w:b/>
          <w:sz w:val="24"/>
          <w:szCs w:val="24"/>
          <w:u w:val="single"/>
          <w:lang w:val="ro-RO"/>
        </w:rPr>
        <w:t>rezultatului brut (profit)</w:t>
      </w:r>
      <w:r w:rsidRPr="006B2701">
        <w:rPr>
          <w:rFonts w:ascii="Tahoma" w:hAnsi="Tahoma" w:cs="Tahoma"/>
          <w:sz w:val="24"/>
          <w:szCs w:val="24"/>
          <w:lang w:val="ro-RO"/>
        </w:rPr>
        <w:t xml:space="preserve"> cu </w:t>
      </w:r>
      <w:r w:rsidRPr="006B2701">
        <w:rPr>
          <w:rFonts w:ascii="Tahoma" w:hAnsi="Tahoma" w:cs="Tahoma"/>
          <w:sz w:val="24"/>
          <w:szCs w:val="24"/>
          <w:lang w:val="ro-RO"/>
        </w:rPr>
        <w:lastRenderedPageBreak/>
        <w:t xml:space="preserve">12.412.434 mii lei, de la 5.183.941 mii lei în anul 2021 date finale, la 17.596.375 mii lei în anul 2022 date preliminate.  </w:t>
      </w:r>
    </w:p>
    <w:p w14:paraId="571F7209" w14:textId="77777777" w:rsidR="003E3C18" w:rsidRPr="006B2701" w:rsidRDefault="003E3C18" w:rsidP="00895BA5">
      <w:pPr>
        <w:spacing w:after="120" w:line="276" w:lineRule="auto"/>
        <w:jc w:val="both"/>
        <w:rPr>
          <w:rFonts w:ascii="Tahoma" w:hAnsi="Tahoma" w:cs="Tahoma"/>
          <w:sz w:val="24"/>
          <w:szCs w:val="24"/>
          <w:lang w:val="ro-RO"/>
        </w:rPr>
      </w:pPr>
      <w:r w:rsidRPr="006B2701">
        <w:rPr>
          <w:rFonts w:ascii="Tahoma" w:hAnsi="Tahoma" w:cs="Tahoma"/>
          <w:sz w:val="24"/>
          <w:szCs w:val="24"/>
          <w:lang w:val="ro-RO"/>
        </w:rPr>
        <w:t>Operatorii economici  de subordonare centrală aflați în stare de activitate care au înregistrat cele mai importante creșteri ale rezultatului brut în anul 2022 față de anul 2021 au fost:</w:t>
      </w:r>
    </w:p>
    <w:p w14:paraId="6C66AD5E" w14:textId="77777777" w:rsidR="003E3C18" w:rsidRPr="006B2701" w:rsidRDefault="003E3C18" w:rsidP="00895BA5">
      <w:pPr>
        <w:numPr>
          <w:ilvl w:val="0"/>
          <w:numId w:val="8"/>
        </w:numPr>
        <w:suppressAutoHyphens/>
        <w:spacing w:after="120" w:line="276" w:lineRule="auto"/>
        <w:ind w:left="851" w:hanging="284"/>
        <w:jc w:val="both"/>
        <w:rPr>
          <w:rFonts w:ascii="Tahoma" w:hAnsi="Tahoma" w:cs="Tahoma"/>
          <w:sz w:val="24"/>
          <w:szCs w:val="24"/>
          <w:lang w:val="ro-RO"/>
        </w:rPr>
      </w:pPr>
      <w:r w:rsidRPr="006B2701">
        <w:rPr>
          <w:rFonts w:ascii="Tahoma" w:hAnsi="Tahoma" w:cs="Tahoma"/>
          <w:sz w:val="24"/>
          <w:szCs w:val="24"/>
          <w:lang w:val="ro-RO"/>
        </w:rPr>
        <w:t>SOCIETATEA COMPLEXUL ENERGETIC OLTENIA S.A. de la pierdere brută în sumă de  -1.627.013 mii lei în anul 2021 la profit brut în sumă de 3.947.284 mii lei în anul 2022, influența pozitivă pe total fiind de 5.574.297 mii lei  ;</w:t>
      </w:r>
    </w:p>
    <w:p w14:paraId="3A15D0C8" w14:textId="77777777" w:rsidR="003E3C18" w:rsidRPr="006B2701" w:rsidRDefault="003E3C18" w:rsidP="00895BA5">
      <w:pPr>
        <w:numPr>
          <w:ilvl w:val="0"/>
          <w:numId w:val="8"/>
        </w:numPr>
        <w:suppressAutoHyphens/>
        <w:spacing w:after="120" w:line="276" w:lineRule="auto"/>
        <w:ind w:left="851" w:hanging="284"/>
        <w:jc w:val="both"/>
        <w:rPr>
          <w:rFonts w:ascii="Tahoma" w:hAnsi="Tahoma" w:cs="Tahoma"/>
          <w:sz w:val="24"/>
          <w:szCs w:val="24"/>
          <w:lang w:val="ro-RO"/>
        </w:rPr>
      </w:pPr>
      <w:r w:rsidRPr="006B2701">
        <w:rPr>
          <w:rFonts w:ascii="Tahoma" w:hAnsi="Tahoma" w:cs="Tahoma"/>
          <w:sz w:val="24"/>
          <w:szCs w:val="24"/>
          <w:lang w:val="ro-RO"/>
        </w:rPr>
        <w:t>SOCIETATEA NATIONALA "NUCLEARELECTRICA" SA cu suma de 1.946.085 mii lei, de la 1.204.093 mii lei în anul 2021 la 3.150.178 mii lei în anul 2022;</w:t>
      </w:r>
    </w:p>
    <w:p w14:paraId="71F75634" w14:textId="77777777" w:rsidR="003E3C18" w:rsidRPr="006B2701" w:rsidRDefault="003E3C18" w:rsidP="00895BA5">
      <w:pPr>
        <w:numPr>
          <w:ilvl w:val="0"/>
          <w:numId w:val="8"/>
        </w:numPr>
        <w:suppressAutoHyphens/>
        <w:spacing w:after="120" w:line="276" w:lineRule="auto"/>
        <w:ind w:left="851" w:hanging="284"/>
        <w:jc w:val="both"/>
        <w:rPr>
          <w:rFonts w:ascii="Tahoma" w:hAnsi="Tahoma" w:cs="Tahoma"/>
          <w:sz w:val="24"/>
          <w:szCs w:val="24"/>
          <w:lang w:val="ro-RO"/>
        </w:rPr>
      </w:pPr>
      <w:r w:rsidRPr="006B2701">
        <w:rPr>
          <w:rFonts w:ascii="Tahoma" w:hAnsi="Tahoma" w:cs="Tahoma"/>
          <w:sz w:val="24"/>
          <w:szCs w:val="24"/>
          <w:lang w:val="ro-RO"/>
        </w:rPr>
        <w:t>SOCIETATEA DE PRODUCERE A ENERGIEI ELECTRICE IN HIDROCENTRALE " HIDROELECTRICA" S.A., cu suma de 1.438.205 mii lei, de la 3.538.485 mii lei în anul 2021 la 4.976.690 mii lei în anul 2022;</w:t>
      </w:r>
    </w:p>
    <w:p w14:paraId="38B30905" w14:textId="77777777" w:rsidR="003E3C18" w:rsidRPr="006B2701" w:rsidRDefault="003E3C18" w:rsidP="00895BA5">
      <w:pPr>
        <w:numPr>
          <w:ilvl w:val="0"/>
          <w:numId w:val="8"/>
        </w:numPr>
        <w:suppressAutoHyphens/>
        <w:spacing w:after="120" w:line="276" w:lineRule="auto"/>
        <w:ind w:left="851" w:hanging="284"/>
        <w:jc w:val="both"/>
        <w:rPr>
          <w:rFonts w:ascii="Tahoma" w:hAnsi="Tahoma" w:cs="Tahoma"/>
          <w:sz w:val="24"/>
          <w:szCs w:val="24"/>
          <w:lang w:val="ro-RO"/>
        </w:rPr>
      </w:pPr>
      <w:r w:rsidRPr="006B2701">
        <w:rPr>
          <w:rFonts w:ascii="Tahoma" w:hAnsi="Tahoma" w:cs="Tahoma"/>
          <w:sz w:val="24"/>
          <w:szCs w:val="24"/>
          <w:lang w:val="ro-RO"/>
        </w:rPr>
        <w:t xml:space="preserve"> SOCIETATEA NATIONALA DE GAZE NATURALE " ROMGAZ " SA cu suma de 914.405 mii lei, de la 2.201.961 mii lei în anul 2021 la 3.116.366 mii lei în anul 2022;</w:t>
      </w:r>
    </w:p>
    <w:p w14:paraId="476DCFAB" w14:textId="77777777" w:rsidR="003E3C18" w:rsidRPr="006B2701" w:rsidRDefault="003E3C18" w:rsidP="00895BA5">
      <w:pPr>
        <w:pStyle w:val="NormalWeb"/>
        <w:spacing w:before="0" w:after="0" w:line="360" w:lineRule="auto"/>
        <w:ind w:left="851" w:hanging="284"/>
        <w:rPr>
          <w:rFonts w:ascii="Trebuchet MS" w:hAnsi="Trebuchet MS" w:cs="Arial"/>
          <w:sz w:val="22"/>
          <w:szCs w:val="22"/>
          <w:lang w:val="ro-RO" w:eastAsia="en-US"/>
        </w:rPr>
      </w:pPr>
    </w:p>
    <w:p w14:paraId="1FB7F3A2" w14:textId="43392722" w:rsidR="00087B85" w:rsidRPr="006B2701" w:rsidRDefault="00087B85">
      <w:pPr>
        <w:rPr>
          <w:rFonts w:ascii="Tahoma" w:eastAsia="Times New Roman" w:hAnsi="Tahoma" w:cs="Tahoma"/>
          <w:color w:val="000000"/>
          <w:sz w:val="24"/>
          <w:szCs w:val="24"/>
          <w:lang w:val="ro-RO" w:eastAsia="zh-CN"/>
        </w:rPr>
      </w:pPr>
    </w:p>
    <w:p w14:paraId="6B344B14" w14:textId="40F913C0" w:rsidR="00BA5E33" w:rsidRPr="006B2701" w:rsidRDefault="00BA5E33" w:rsidP="003F1431">
      <w:pPr>
        <w:pStyle w:val="Heading1"/>
        <w:keepLines w:val="0"/>
        <w:pageBreakBefore/>
        <w:spacing w:line="276" w:lineRule="auto"/>
        <w:rPr>
          <w:rFonts w:ascii="Tahoma" w:hAnsi="Tahoma" w:cs="Tahoma"/>
          <w:b/>
          <w:bCs/>
          <w:color w:val="auto"/>
          <w:sz w:val="24"/>
          <w:szCs w:val="24"/>
          <w:lang w:val="ro-RO"/>
        </w:rPr>
      </w:pPr>
      <w:r w:rsidRPr="006B2701">
        <w:rPr>
          <w:rFonts w:ascii="Arial" w:hAnsi="Arial" w:cs="Arial"/>
          <w:b/>
          <w:bCs/>
          <w:color w:val="auto"/>
          <w:sz w:val="24"/>
          <w:szCs w:val="24"/>
          <w:lang w:val="ro-RO"/>
        </w:rPr>
        <w:lastRenderedPageBreak/>
        <w:t xml:space="preserve">IV. </w:t>
      </w:r>
      <w:bookmarkStart w:id="9" w:name="_Toc516046458"/>
      <w:r w:rsidRPr="006B2701">
        <w:rPr>
          <w:rFonts w:ascii="Tahoma" w:hAnsi="Tahoma" w:cs="Tahoma"/>
          <w:b/>
          <w:bCs/>
          <w:color w:val="auto"/>
          <w:sz w:val="24"/>
          <w:szCs w:val="24"/>
          <w:lang w:val="ro-RO"/>
        </w:rPr>
        <w:t xml:space="preserve">Cheltuielile de natura investițiilor în anul </w:t>
      </w:r>
      <w:r w:rsidR="004050AD" w:rsidRPr="006B2701">
        <w:rPr>
          <w:rFonts w:ascii="Tahoma" w:hAnsi="Tahoma" w:cs="Tahoma"/>
          <w:b/>
          <w:bCs/>
          <w:color w:val="auto"/>
          <w:sz w:val="24"/>
          <w:szCs w:val="24"/>
          <w:lang w:val="ro-RO"/>
        </w:rPr>
        <w:t>20</w:t>
      </w:r>
      <w:bookmarkEnd w:id="9"/>
      <w:r w:rsidR="00ED4962" w:rsidRPr="006B2701">
        <w:rPr>
          <w:rFonts w:ascii="Tahoma" w:hAnsi="Tahoma" w:cs="Tahoma"/>
          <w:b/>
          <w:bCs/>
          <w:color w:val="auto"/>
          <w:sz w:val="24"/>
          <w:szCs w:val="24"/>
          <w:lang w:val="ro-RO"/>
        </w:rPr>
        <w:t>2</w:t>
      </w:r>
      <w:r w:rsidR="00074141" w:rsidRPr="006B2701">
        <w:rPr>
          <w:rFonts w:ascii="Tahoma" w:hAnsi="Tahoma" w:cs="Tahoma"/>
          <w:b/>
          <w:bCs/>
          <w:color w:val="auto"/>
          <w:sz w:val="24"/>
          <w:szCs w:val="24"/>
          <w:lang w:val="ro-RO"/>
        </w:rPr>
        <w:t>2</w:t>
      </w:r>
    </w:p>
    <w:p w14:paraId="4C25B095" w14:textId="77777777" w:rsidR="00F07492" w:rsidRPr="006B2701" w:rsidRDefault="00F07492" w:rsidP="00F07492">
      <w:pPr>
        <w:rPr>
          <w:lang w:val="ro-RO"/>
        </w:rPr>
      </w:pPr>
    </w:p>
    <w:p w14:paraId="4CDE2C44" w14:textId="68D8AD5E" w:rsidR="00074141" w:rsidRPr="006B2701" w:rsidRDefault="00074141" w:rsidP="00016D6C">
      <w:pPr>
        <w:autoSpaceDE w:val="0"/>
        <w:spacing w:line="276" w:lineRule="auto"/>
        <w:jc w:val="both"/>
        <w:rPr>
          <w:rFonts w:ascii="Tahoma" w:hAnsi="Tahoma" w:cs="Tahoma"/>
          <w:sz w:val="24"/>
          <w:szCs w:val="24"/>
          <w:lang w:val="ro-RO"/>
        </w:rPr>
      </w:pPr>
      <w:r w:rsidRPr="006B2701">
        <w:rPr>
          <w:rFonts w:ascii="Tahoma" w:hAnsi="Tahoma" w:cs="Tahoma"/>
          <w:sz w:val="24"/>
          <w:szCs w:val="24"/>
          <w:lang w:val="ro-RO"/>
        </w:rPr>
        <w:t xml:space="preserve">Potrivit programului de </w:t>
      </w:r>
      <w:r w:rsidR="00F874EE" w:rsidRPr="006B2701">
        <w:rPr>
          <w:rFonts w:ascii="Tahoma" w:hAnsi="Tahoma" w:cs="Tahoma"/>
          <w:sz w:val="24"/>
          <w:szCs w:val="24"/>
          <w:lang w:val="ro-RO"/>
        </w:rPr>
        <w:t>investiții</w:t>
      </w:r>
      <w:r w:rsidRPr="006B2701">
        <w:rPr>
          <w:rFonts w:ascii="Tahoma" w:hAnsi="Tahoma" w:cs="Tahoma"/>
          <w:sz w:val="24"/>
          <w:szCs w:val="24"/>
          <w:lang w:val="ro-RO"/>
        </w:rPr>
        <w:t xml:space="preserve"> publice aprobat ca anexă la bugetele ordonatorilor principali de credite ai bugetului de stat prin Legea nr. 317/2021 privind bugetul de stat pe anul 2022, creditele bugetare alocate pentru cheltuielile de </w:t>
      </w:r>
      <w:r w:rsidR="00F874EE" w:rsidRPr="006B2701">
        <w:rPr>
          <w:rFonts w:ascii="Tahoma" w:hAnsi="Tahoma" w:cs="Tahoma"/>
          <w:sz w:val="24"/>
          <w:szCs w:val="24"/>
          <w:lang w:val="ro-RO"/>
        </w:rPr>
        <w:t>investiții</w:t>
      </w:r>
      <w:r w:rsidRPr="006B2701">
        <w:rPr>
          <w:rFonts w:ascii="Tahoma" w:hAnsi="Tahoma" w:cs="Tahoma"/>
          <w:sz w:val="24"/>
          <w:szCs w:val="24"/>
          <w:lang w:val="ro-RO"/>
        </w:rPr>
        <w:t xml:space="preserve"> în anul 2022 și actualizate la data de 31 decembrie 2022 au fost în sumă de 30.106 milioane lei pe total surse de </w:t>
      </w:r>
      <w:r w:rsidR="00F874EE" w:rsidRPr="006B2701">
        <w:rPr>
          <w:rFonts w:ascii="Tahoma" w:hAnsi="Tahoma" w:cs="Tahoma"/>
          <w:sz w:val="24"/>
          <w:szCs w:val="24"/>
          <w:lang w:val="ro-RO"/>
        </w:rPr>
        <w:t>finanțare</w:t>
      </w:r>
      <w:r w:rsidRPr="006B2701">
        <w:rPr>
          <w:rFonts w:ascii="Tahoma" w:hAnsi="Tahoma" w:cs="Tahoma"/>
          <w:sz w:val="24"/>
          <w:szCs w:val="24"/>
          <w:lang w:val="ro-RO"/>
        </w:rPr>
        <w:t xml:space="preserve">, din care suma de 27.956 milioane lei de la bugetul de stat. </w:t>
      </w:r>
    </w:p>
    <w:p w14:paraId="0255068C" w14:textId="15285DD5" w:rsidR="00074141" w:rsidRPr="006B2701" w:rsidRDefault="00074141" w:rsidP="00074141">
      <w:pPr>
        <w:autoSpaceDE w:val="0"/>
        <w:spacing w:line="360" w:lineRule="auto"/>
        <w:ind w:right="-130"/>
        <w:jc w:val="both"/>
        <w:rPr>
          <w:rFonts w:ascii="Trebuchet MS" w:hAnsi="Trebuchet MS" w:cs="Arial"/>
          <w:lang w:val="ro-RO"/>
        </w:rPr>
      </w:pPr>
      <w:r w:rsidRPr="006B2701">
        <w:rPr>
          <w:rFonts w:ascii="Trebuchet MS" w:hAnsi="Trebuchet MS" w:cs="Arial"/>
          <w:lang w:val="ro-RO"/>
        </w:rPr>
        <w:tab/>
      </w:r>
    </w:p>
    <w:p w14:paraId="32A283B5" w14:textId="07E639B5" w:rsidR="00576169" w:rsidRPr="006B2701" w:rsidRDefault="00154903" w:rsidP="00DD3B13">
      <w:pPr>
        <w:autoSpaceDE w:val="0"/>
        <w:spacing w:line="276" w:lineRule="auto"/>
        <w:ind w:right="-130"/>
        <w:jc w:val="center"/>
        <w:rPr>
          <w:rFonts w:ascii="Arial" w:hAnsi="Arial" w:cs="Arial"/>
          <w:color w:val="000000"/>
          <w:lang w:val="ro-RO"/>
        </w:rPr>
      </w:pPr>
      <w:r w:rsidRPr="006B2701">
        <w:rPr>
          <w:rFonts w:ascii="Tahoma" w:hAnsi="Tahoma" w:cs="Tahoma"/>
          <w:color w:val="000000"/>
          <w:sz w:val="24"/>
          <w:szCs w:val="24"/>
          <w:lang w:val="ro-RO"/>
        </w:rPr>
        <w:t>Situația cheltuielilor de investiții structurate pe categorii de investiții</w:t>
      </w:r>
    </w:p>
    <w:p w14:paraId="1E4D3BC6" w14:textId="39C213D0" w:rsidR="00074141" w:rsidRPr="006B2701" w:rsidRDefault="00576169" w:rsidP="009D1E36">
      <w:pPr>
        <w:spacing w:line="276" w:lineRule="auto"/>
        <w:ind w:left="-288" w:right="187"/>
        <w:jc w:val="right"/>
        <w:rPr>
          <w:rFonts w:ascii="Tahoma" w:hAnsi="Tahoma" w:cs="Tahoma"/>
          <w:color w:val="000000"/>
          <w:sz w:val="20"/>
          <w:szCs w:val="20"/>
          <w:lang w:val="ro-RO"/>
        </w:rPr>
      </w:pPr>
      <w:r w:rsidRPr="006B2701">
        <w:rPr>
          <w:rFonts w:ascii="Tahoma" w:hAnsi="Tahoma" w:cs="Tahoma"/>
          <w:color w:val="000000"/>
          <w:sz w:val="20"/>
          <w:szCs w:val="20"/>
          <w:lang w:val="ro-RO"/>
        </w:rPr>
        <w:t xml:space="preserve">- </w:t>
      </w:r>
      <w:r w:rsidR="00154903" w:rsidRPr="006B2701">
        <w:rPr>
          <w:rFonts w:ascii="Tahoma" w:hAnsi="Tahoma" w:cs="Tahoma"/>
          <w:color w:val="000000"/>
          <w:sz w:val="20"/>
          <w:szCs w:val="20"/>
          <w:lang w:val="ro-RO"/>
        </w:rPr>
        <w:t xml:space="preserve">milioane lei </w:t>
      </w:r>
      <w:r w:rsidR="00074141" w:rsidRPr="006B2701">
        <w:rPr>
          <w:rFonts w:ascii="Tahoma" w:hAnsi="Tahoma" w:cs="Tahoma"/>
          <w:color w:val="000000"/>
          <w:sz w:val="20"/>
          <w:szCs w:val="20"/>
          <w:lang w:val="ro-RO"/>
        </w:rPr>
        <w:t>–</w:t>
      </w:r>
    </w:p>
    <w:p w14:paraId="5BD9C6AC" w14:textId="733C809F" w:rsidR="00074141" w:rsidRPr="006B2701" w:rsidRDefault="0073616C" w:rsidP="00016D6C">
      <w:pPr>
        <w:spacing w:line="276" w:lineRule="auto"/>
        <w:ind w:left="-288" w:right="7"/>
        <w:jc w:val="right"/>
        <w:rPr>
          <w:rFonts w:ascii="Tahoma" w:hAnsi="Tahoma" w:cs="Tahoma"/>
          <w:color w:val="000000"/>
          <w:sz w:val="20"/>
          <w:szCs w:val="20"/>
          <w:lang w:val="ro-RO"/>
        </w:rPr>
      </w:pPr>
      <w:r>
        <w:rPr>
          <w:rFonts w:ascii="Tahoma" w:hAnsi="Tahoma" w:cs="Tahoma"/>
          <w:color w:val="000000"/>
          <w:sz w:val="20"/>
          <w:szCs w:val="20"/>
          <w:lang w:val="ro-RO"/>
        </w:rPr>
        <w:pict w14:anchorId="540231C7">
          <v:shape id="_x0000_i1044" type="#_x0000_t75" style="width:479.55pt;height:192.25pt">
            <v:imagedata r:id="rId26" o:title=""/>
          </v:shape>
        </w:pict>
      </w:r>
    </w:p>
    <w:p w14:paraId="0D07851D" w14:textId="2E2249E5" w:rsidR="00074141" w:rsidRPr="006B2701" w:rsidRDefault="00074141" w:rsidP="00300A06">
      <w:pPr>
        <w:spacing w:line="276" w:lineRule="auto"/>
        <w:ind w:left="-288" w:right="7"/>
        <w:jc w:val="right"/>
        <w:rPr>
          <w:rFonts w:ascii="Tahoma" w:hAnsi="Tahoma" w:cs="Tahoma"/>
          <w:color w:val="000000"/>
          <w:sz w:val="20"/>
          <w:szCs w:val="20"/>
          <w:lang w:val="ro-RO"/>
        </w:rPr>
      </w:pPr>
    </w:p>
    <w:p w14:paraId="1E2BB564" w14:textId="2D0417D0" w:rsidR="00074141" w:rsidRPr="006B2701" w:rsidRDefault="00074141" w:rsidP="00300A06">
      <w:pPr>
        <w:autoSpaceDE w:val="0"/>
        <w:spacing w:after="240" w:line="276" w:lineRule="auto"/>
        <w:ind w:right="7"/>
        <w:jc w:val="both"/>
        <w:rPr>
          <w:rFonts w:ascii="Tahoma" w:hAnsi="Tahoma" w:cs="Tahoma"/>
          <w:sz w:val="24"/>
          <w:szCs w:val="24"/>
          <w:lang w:val="ro-RO"/>
        </w:rPr>
      </w:pPr>
      <w:r w:rsidRPr="006B2701">
        <w:rPr>
          <w:rFonts w:ascii="Tahoma" w:hAnsi="Tahoma" w:cs="Tahoma"/>
          <w:sz w:val="24"/>
          <w:szCs w:val="24"/>
          <w:lang w:val="ro-RO"/>
        </w:rPr>
        <w:t>Conform</w:t>
      </w:r>
      <w:r w:rsidRPr="006B2701">
        <w:rPr>
          <w:rFonts w:ascii="Tahoma" w:eastAsia="Arial" w:hAnsi="Tahoma" w:cs="Tahoma"/>
          <w:sz w:val="24"/>
          <w:szCs w:val="24"/>
          <w:lang w:val="ro-RO"/>
        </w:rPr>
        <w:t xml:space="preserve"> rapoartelor de monitorizare a programului de investiții publice transmise de ordonatorii principali de credite ai bugetului de stat potrivit alin. (1) al art. 44 din </w:t>
      </w:r>
      <w:r w:rsidRPr="006B2701">
        <w:rPr>
          <w:rFonts w:ascii="Tahoma" w:eastAsia="Arial" w:hAnsi="Tahoma" w:cs="Tahoma"/>
          <w:i/>
          <w:sz w:val="24"/>
          <w:szCs w:val="24"/>
          <w:lang w:val="ro-RO"/>
        </w:rPr>
        <w:t>Legea nr. 500/2002 privind finanțele publice</w:t>
      </w:r>
      <w:r w:rsidRPr="006B2701">
        <w:rPr>
          <w:rFonts w:ascii="Tahoma" w:eastAsia="Arial" w:hAnsi="Tahoma" w:cs="Tahoma"/>
          <w:sz w:val="24"/>
          <w:szCs w:val="24"/>
          <w:lang w:val="ro-RO"/>
        </w:rPr>
        <w:t xml:space="preserve">, cu modificările și completările ulterioare, </w:t>
      </w:r>
      <w:r w:rsidRPr="006B2701">
        <w:rPr>
          <w:rFonts w:ascii="Tahoma" w:hAnsi="Tahoma" w:cs="Tahoma"/>
          <w:sz w:val="24"/>
          <w:szCs w:val="24"/>
          <w:lang w:val="ro-RO"/>
        </w:rPr>
        <w:t>la data de 31 decembrie 2022, pentru obiectivele/proiectele/categoriile de investiții au fost efectuate plăți în sumă de 26.715 milioane lei pe total surse (reprezentând 88,74% din programul anual), din care 25.501 milioane lei de la bugetul de stat (reprezentând 91,22% din programul anual).</w:t>
      </w:r>
    </w:p>
    <w:p w14:paraId="11125850" w14:textId="79525ABE" w:rsidR="00016D6C" w:rsidRPr="006B2701" w:rsidRDefault="0073616C" w:rsidP="00016D6C">
      <w:pPr>
        <w:autoSpaceDE w:val="0"/>
        <w:spacing w:line="276" w:lineRule="auto"/>
        <w:ind w:right="-130"/>
        <w:jc w:val="both"/>
        <w:rPr>
          <w:rFonts w:ascii="Tahoma" w:hAnsi="Tahoma" w:cs="Tahoma"/>
          <w:sz w:val="24"/>
          <w:szCs w:val="24"/>
          <w:lang w:val="ro-RO"/>
        </w:rPr>
      </w:pPr>
      <w:r>
        <w:rPr>
          <w:rFonts w:ascii="Tahoma" w:hAnsi="Tahoma" w:cs="Tahoma"/>
          <w:sz w:val="24"/>
          <w:szCs w:val="24"/>
          <w:lang w:val="ro-RO"/>
        </w:rPr>
        <w:pict w14:anchorId="3E0FA5A4">
          <v:shape id="_x0000_i1045" type="#_x0000_t75" style="width:273.05pt;height:213.95pt">
            <v:imagedata r:id="rId27" o:title=""/>
          </v:shape>
        </w:pict>
      </w:r>
      <w:r>
        <w:rPr>
          <w:rFonts w:ascii="Tahoma" w:hAnsi="Tahoma" w:cs="Tahoma"/>
          <w:sz w:val="24"/>
          <w:szCs w:val="24"/>
          <w:lang w:val="ro-RO"/>
        </w:rPr>
        <w:pict w14:anchorId="1E3C4D73">
          <v:shape id="_x0000_i1046" type="#_x0000_t75" style="width:206.5pt;height:213.95pt">
            <v:imagedata r:id="rId28" o:title=""/>
          </v:shape>
        </w:pict>
      </w:r>
    </w:p>
    <w:p w14:paraId="4BA197E7" w14:textId="67FFD0C7" w:rsidR="00105AD4" w:rsidRPr="006B2701" w:rsidRDefault="00105AD4" w:rsidP="00D81D42">
      <w:pPr>
        <w:autoSpaceDE w:val="0"/>
        <w:spacing w:line="360" w:lineRule="auto"/>
        <w:ind w:right="16"/>
        <w:jc w:val="both"/>
        <w:rPr>
          <w:rFonts w:ascii="Arial" w:hAnsi="Arial" w:cs="Arial"/>
          <w:lang w:val="ro-RO"/>
        </w:rPr>
      </w:pPr>
    </w:p>
    <w:p w14:paraId="0474F5E7" w14:textId="77777777" w:rsidR="005A2C5C" w:rsidRPr="006B2701" w:rsidRDefault="005A2C5C" w:rsidP="005A2C5C">
      <w:pPr>
        <w:spacing w:after="120" w:line="276" w:lineRule="auto"/>
        <w:jc w:val="both"/>
        <w:rPr>
          <w:rFonts w:ascii="Tahoma" w:hAnsi="Tahoma" w:cs="Tahoma"/>
          <w:sz w:val="24"/>
          <w:szCs w:val="24"/>
          <w:lang w:val="ro-RO"/>
        </w:rPr>
      </w:pPr>
      <w:r w:rsidRPr="006B2701">
        <w:rPr>
          <w:rFonts w:ascii="Tahoma" w:hAnsi="Tahoma" w:cs="Tahoma"/>
          <w:sz w:val="24"/>
          <w:szCs w:val="24"/>
          <w:lang w:val="ro-RO"/>
        </w:rPr>
        <w:t>Potrivit programului de investiții publice aprobat ca anexă la bugetul Casei Naționale de Asigurări de Sănătate prin Legea nr. 317/2021 a bugetului de stat pe anul 2022, creditele bugetare alocate pentru cheltuielile de investiții, actualizate la data de 31 decembrie 2022, au fost în sumă de 104 milioane lei,  integral din bugetul Fondului național unic de asigurări sociale de sănătate (FNUASS), iar potrivit rapoartelor de monitorizare transmise de ordonatorul principal de credite s-au efectuat plăți în sumă de 6 milioane lei</w:t>
      </w:r>
      <w:r w:rsidRPr="006B2701">
        <w:rPr>
          <w:rFonts w:ascii="Tahoma" w:hAnsi="Tahoma" w:cs="Tahoma"/>
          <w:color w:val="000000"/>
          <w:sz w:val="24"/>
          <w:szCs w:val="24"/>
          <w:lang w:val="ro-RO"/>
        </w:rPr>
        <w:t>, integral de la bugetul FNUASS</w:t>
      </w:r>
      <w:r w:rsidRPr="006B2701">
        <w:rPr>
          <w:rFonts w:ascii="Tahoma" w:hAnsi="Tahoma" w:cs="Tahoma"/>
          <w:sz w:val="24"/>
          <w:szCs w:val="24"/>
          <w:lang w:val="ro-RO"/>
        </w:rPr>
        <w:t xml:space="preserve">. </w:t>
      </w:r>
    </w:p>
    <w:p w14:paraId="160A4F53" w14:textId="77777777" w:rsidR="005A2C5C" w:rsidRPr="006B2701" w:rsidRDefault="005A2C5C" w:rsidP="005A2C5C">
      <w:pPr>
        <w:autoSpaceDE w:val="0"/>
        <w:spacing w:after="120" w:line="276" w:lineRule="auto"/>
        <w:jc w:val="both"/>
        <w:rPr>
          <w:rFonts w:ascii="Tahoma" w:hAnsi="Tahoma" w:cs="Tahoma"/>
          <w:sz w:val="24"/>
          <w:szCs w:val="24"/>
          <w:lang w:val="ro-RO"/>
        </w:rPr>
      </w:pPr>
      <w:r w:rsidRPr="006B2701">
        <w:rPr>
          <w:rFonts w:ascii="Tahoma" w:hAnsi="Tahoma" w:cs="Tahoma"/>
          <w:sz w:val="24"/>
          <w:szCs w:val="24"/>
          <w:lang w:val="ro-RO"/>
        </w:rPr>
        <w:t>De asemenea, potrivit programului de investiții publice aprobat ca anexă la bugetul Ministerului Muncii și Protecției Sociale pentru Casa Națională de Pensii Publice, prin Legea nr. 318/2021 a bugetului asigurărilor sociale de stat pe anul 2022, creditele bugetare alocate pentru cheltuielile de investiții, actualizate la data de 31 decembrie 2022, au fost în sumă de 56,8 milioane lei, integral de la bugetul asigurărilor sociale de stat, iar potrivit rapoartelor de monitorizare transmise de ordonatorul principal de credite s-au efectuat plăți în sumă de 25,1 milioane lei.</w:t>
      </w:r>
    </w:p>
    <w:p w14:paraId="2491E3AB" w14:textId="54C90FB4" w:rsidR="005A2C5C" w:rsidRPr="006B2701" w:rsidRDefault="005A2C5C" w:rsidP="005A2C5C">
      <w:pPr>
        <w:autoSpaceDE w:val="0"/>
        <w:spacing w:after="120" w:line="276" w:lineRule="auto"/>
        <w:jc w:val="both"/>
        <w:rPr>
          <w:rFonts w:ascii="Tahoma" w:hAnsi="Tahoma" w:cs="Tahoma"/>
          <w:sz w:val="24"/>
          <w:szCs w:val="24"/>
          <w:lang w:val="ro-RO"/>
        </w:rPr>
      </w:pPr>
      <w:r w:rsidRPr="006B2701">
        <w:rPr>
          <w:rFonts w:ascii="Tahoma" w:hAnsi="Tahoma" w:cs="Tahoma"/>
          <w:sz w:val="24"/>
          <w:szCs w:val="24"/>
          <w:lang w:val="ro-RO"/>
        </w:rPr>
        <w:t>Totodată, potrivit programului de investiții publice aprobat ca anexă la bugetul Ministerului Muncii și Protecției Sociale pentru Agenția Națională pentru Ocuparea Forței de Muncă, prin Legea nr. 318/2021 a bugetului asigurărilor sociale de stat pe anul 2022,  creditele bugetare alocate pentru cheltuielile de investiții, actualizate la data de 31 decembrie 2022, au fost în sumă de 6,87 milioane lei, din care 6,64 milioane lei de la bugetul asigurărilor pentru șomaj, iar potrivit rapoartelor de monitorizare transmise de ordonatorul principal de credite s-au efectuat plăți în sumă de 6,43 milioane lei, din care 6,2 milioane lei din bugetul asigurărilor pentru șomaj.</w:t>
      </w:r>
    </w:p>
    <w:p w14:paraId="12C5F067" w14:textId="77777777" w:rsidR="005A2C5C" w:rsidRPr="006B2701" w:rsidRDefault="005A2C5C" w:rsidP="005A2C5C">
      <w:pPr>
        <w:autoSpaceDE w:val="0"/>
        <w:spacing w:after="120" w:line="276" w:lineRule="auto"/>
        <w:jc w:val="both"/>
        <w:rPr>
          <w:rFonts w:ascii="Tahoma" w:hAnsi="Tahoma" w:cs="Tahoma"/>
          <w:color w:val="000000"/>
          <w:sz w:val="24"/>
          <w:szCs w:val="24"/>
          <w:lang w:val="ro-RO"/>
        </w:rPr>
      </w:pPr>
      <w:r w:rsidRPr="006B2701">
        <w:rPr>
          <w:rFonts w:ascii="Tahoma" w:hAnsi="Tahoma" w:cs="Tahoma"/>
          <w:color w:val="000000"/>
          <w:sz w:val="24"/>
          <w:szCs w:val="24"/>
          <w:lang w:val="ro-RO"/>
        </w:rPr>
        <w:t>Principalele obiective de investiții distincte pentru care s-au efectuat plăți în anul 2022 sunt:</w:t>
      </w:r>
    </w:p>
    <w:p w14:paraId="4EA44E8C" w14:textId="77777777" w:rsidR="005A2C5C" w:rsidRPr="006B2701" w:rsidRDefault="005A2C5C" w:rsidP="005A2C5C">
      <w:pPr>
        <w:autoSpaceDE w:val="0"/>
        <w:spacing w:after="120" w:line="276" w:lineRule="auto"/>
        <w:ind w:left="851" w:hanging="284"/>
        <w:jc w:val="both"/>
        <w:rPr>
          <w:rFonts w:ascii="Tahoma" w:hAnsi="Tahoma" w:cs="Tahoma"/>
          <w:color w:val="000000"/>
          <w:sz w:val="24"/>
          <w:szCs w:val="24"/>
          <w:lang w:val="ro-RO"/>
        </w:rPr>
      </w:pPr>
      <w:r w:rsidRPr="006B2701">
        <w:rPr>
          <w:rFonts w:ascii="Tahoma" w:hAnsi="Tahoma" w:cs="Tahoma"/>
          <w:color w:val="000000"/>
          <w:sz w:val="24"/>
          <w:szCs w:val="24"/>
          <w:lang w:val="ro-RO"/>
        </w:rPr>
        <w:t>●  Autostrada Brașov – Târgu Mureș – Cluj - Oradea – 1.439,9 milioane lei</w:t>
      </w:r>
    </w:p>
    <w:p w14:paraId="1066345E" w14:textId="77777777" w:rsidR="005A2C5C" w:rsidRPr="006B2701" w:rsidRDefault="005A2C5C" w:rsidP="005A2C5C">
      <w:pPr>
        <w:autoSpaceDE w:val="0"/>
        <w:spacing w:after="120" w:line="276" w:lineRule="auto"/>
        <w:ind w:left="851" w:hanging="284"/>
        <w:jc w:val="both"/>
        <w:rPr>
          <w:rFonts w:ascii="Tahoma" w:hAnsi="Tahoma" w:cs="Tahoma"/>
          <w:color w:val="000000"/>
          <w:sz w:val="24"/>
          <w:szCs w:val="24"/>
          <w:lang w:val="ro-RO"/>
        </w:rPr>
      </w:pPr>
      <w:r w:rsidRPr="006B2701">
        <w:rPr>
          <w:rFonts w:ascii="Tahoma" w:hAnsi="Tahoma" w:cs="Tahoma"/>
          <w:color w:val="000000"/>
          <w:sz w:val="24"/>
          <w:szCs w:val="24"/>
          <w:lang w:val="ro-RO"/>
        </w:rPr>
        <w:t>●  Autostrada Sibiu – Pitești – 1.306,8 milioane lei</w:t>
      </w:r>
    </w:p>
    <w:p w14:paraId="3BF3B604" w14:textId="77777777" w:rsidR="005A2C5C" w:rsidRPr="006B2701" w:rsidRDefault="005A2C5C" w:rsidP="005A2C5C">
      <w:pPr>
        <w:autoSpaceDE w:val="0"/>
        <w:spacing w:after="120" w:line="276" w:lineRule="auto"/>
        <w:ind w:left="851" w:hanging="284"/>
        <w:jc w:val="both"/>
        <w:rPr>
          <w:rFonts w:ascii="Tahoma" w:hAnsi="Tahoma" w:cs="Tahoma"/>
          <w:color w:val="000000"/>
          <w:sz w:val="24"/>
          <w:szCs w:val="24"/>
          <w:lang w:val="ro-RO"/>
        </w:rPr>
      </w:pPr>
      <w:r w:rsidRPr="006B2701">
        <w:rPr>
          <w:rFonts w:ascii="Tahoma" w:hAnsi="Tahoma" w:cs="Tahoma"/>
          <w:color w:val="000000"/>
          <w:sz w:val="24"/>
          <w:szCs w:val="24"/>
          <w:lang w:val="ro-RO"/>
        </w:rPr>
        <w:t>●  Drum expres Craiova Pitești și legăturile la drumurile existente – 1.243,8 milioane lei</w:t>
      </w:r>
    </w:p>
    <w:p w14:paraId="0F9A9651" w14:textId="77777777" w:rsidR="005A2C5C" w:rsidRPr="006B2701" w:rsidRDefault="005A2C5C" w:rsidP="005A2C5C">
      <w:pPr>
        <w:autoSpaceDE w:val="0"/>
        <w:spacing w:after="120" w:line="276" w:lineRule="auto"/>
        <w:ind w:left="851" w:hanging="284"/>
        <w:jc w:val="both"/>
        <w:rPr>
          <w:rFonts w:ascii="Tahoma" w:hAnsi="Tahoma" w:cs="Tahoma"/>
          <w:color w:val="000000"/>
          <w:sz w:val="24"/>
          <w:szCs w:val="24"/>
          <w:lang w:val="ro-RO"/>
        </w:rPr>
      </w:pPr>
      <w:r w:rsidRPr="006B2701">
        <w:rPr>
          <w:rFonts w:ascii="Tahoma" w:hAnsi="Tahoma" w:cs="Tahoma"/>
          <w:color w:val="000000"/>
          <w:sz w:val="24"/>
          <w:szCs w:val="24"/>
          <w:lang w:val="ro-RO"/>
        </w:rPr>
        <w:t>●  Reabilitarea liniei C.F. Frontiera - Curtici - Simeria, parte componentă a Coridorului IV Pan-European pentru circulația trenurilor cu viteza maximă de 160 km/h; Tronsonul 2: km 614 - Gurasada și Tronsonul 3: Gurasada - Simeria – 1.188,8 milioane lei</w:t>
      </w:r>
    </w:p>
    <w:p w14:paraId="38855341" w14:textId="77777777" w:rsidR="005A2C5C" w:rsidRPr="006B2701" w:rsidRDefault="005A2C5C" w:rsidP="005A2C5C">
      <w:pPr>
        <w:autoSpaceDE w:val="0"/>
        <w:spacing w:after="120" w:line="276" w:lineRule="auto"/>
        <w:ind w:left="851" w:hanging="284"/>
        <w:jc w:val="both"/>
        <w:rPr>
          <w:rFonts w:ascii="Tahoma" w:hAnsi="Tahoma" w:cs="Tahoma"/>
          <w:color w:val="000000"/>
          <w:sz w:val="24"/>
          <w:szCs w:val="24"/>
          <w:lang w:val="ro-RO"/>
        </w:rPr>
      </w:pPr>
      <w:r w:rsidRPr="006B2701">
        <w:rPr>
          <w:rFonts w:ascii="Tahoma" w:hAnsi="Tahoma" w:cs="Tahoma"/>
          <w:color w:val="000000"/>
          <w:sz w:val="24"/>
          <w:szCs w:val="24"/>
          <w:lang w:val="ro-RO"/>
        </w:rPr>
        <w:t>●  Autostrada  de Centură București  - Sector Centură Sud km.52+700 - km 100+900 – 982,9 milioane lei</w:t>
      </w:r>
    </w:p>
    <w:p w14:paraId="6DD7B66F" w14:textId="77777777" w:rsidR="005A2C5C" w:rsidRPr="006B2701" w:rsidRDefault="005A2C5C" w:rsidP="005A2C5C">
      <w:pPr>
        <w:autoSpaceDE w:val="0"/>
        <w:spacing w:after="120" w:line="276" w:lineRule="auto"/>
        <w:ind w:left="851" w:hanging="284"/>
        <w:jc w:val="both"/>
        <w:rPr>
          <w:rFonts w:ascii="Tahoma" w:hAnsi="Tahoma" w:cs="Tahoma"/>
          <w:color w:val="000000"/>
          <w:sz w:val="24"/>
          <w:szCs w:val="24"/>
          <w:lang w:val="ro-RO"/>
        </w:rPr>
      </w:pPr>
      <w:r w:rsidRPr="006B2701">
        <w:rPr>
          <w:rFonts w:ascii="Tahoma" w:hAnsi="Tahoma" w:cs="Tahoma"/>
          <w:color w:val="000000"/>
          <w:sz w:val="24"/>
          <w:szCs w:val="24"/>
          <w:lang w:val="ro-RO"/>
        </w:rPr>
        <w:t>●  Pod suspendat peste Dunăre în zona Brăila – 875,8 milioane lei</w:t>
      </w:r>
    </w:p>
    <w:p w14:paraId="077EA7A7" w14:textId="77777777" w:rsidR="005A2C5C" w:rsidRPr="006B2701" w:rsidRDefault="005A2C5C" w:rsidP="005A2C5C">
      <w:pPr>
        <w:autoSpaceDE w:val="0"/>
        <w:spacing w:after="120" w:line="276" w:lineRule="auto"/>
        <w:ind w:left="851" w:hanging="284"/>
        <w:jc w:val="both"/>
        <w:rPr>
          <w:rFonts w:ascii="Tahoma" w:hAnsi="Tahoma" w:cs="Tahoma"/>
          <w:color w:val="000000"/>
          <w:sz w:val="24"/>
          <w:szCs w:val="24"/>
          <w:lang w:val="ro-RO"/>
        </w:rPr>
      </w:pPr>
      <w:r w:rsidRPr="006B2701">
        <w:rPr>
          <w:rFonts w:ascii="Tahoma" w:hAnsi="Tahoma" w:cs="Tahoma"/>
          <w:color w:val="000000"/>
          <w:sz w:val="24"/>
          <w:szCs w:val="24"/>
          <w:lang w:val="ro-RO"/>
        </w:rPr>
        <w:t>●  Autostrada de Centură București  - Sector Centură Nord km 0+000 - 52+700 – 538,2 milioane lei</w:t>
      </w:r>
    </w:p>
    <w:p w14:paraId="20F277BA" w14:textId="4A1C3EAF" w:rsidR="005A2C5C" w:rsidRPr="006B2701" w:rsidRDefault="005A2C5C" w:rsidP="005A2C5C">
      <w:pPr>
        <w:autoSpaceDE w:val="0"/>
        <w:spacing w:after="120" w:line="276" w:lineRule="auto"/>
        <w:ind w:left="851" w:hanging="284"/>
        <w:jc w:val="both"/>
        <w:rPr>
          <w:rFonts w:ascii="Tahoma" w:hAnsi="Tahoma" w:cs="Tahoma"/>
          <w:color w:val="000000"/>
          <w:sz w:val="24"/>
          <w:szCs w:val="24"/>
          <w:lang w:val="ro-RO"/>
        </w:rPr>
      </w:pPr>
      <w:r w:rsidRPr="006B2701">
        <w:rPr>
          <w:rFonts w:ascii="Tahoma" w:hAnsi="Tahoma" w:cs="Tahoma"/>
          <w:color w:val="000000"/>
          <w:sz w:val="24"/>
          <w:szCs w:val="24"/>
          <w:lang w:val="ro-RO"/>
        </w:rPr>
        <w:t xml:space="preserve">●  </w:t>
      </w:r>
      <w:r w:rsidR="00F874EE" w:rsidRPr="006B2701">
        <w:rPr>
          <w:rFonts w:ascii="Tahoma" w:hAnsi="Tahoma" w:cs="Tahoma"/>
          <w:color w:val="000000"/>
          <w:sz w:val="24"/>
          <w:szCs w:val="24"/>
          <w:lang w:val="ro-RO"/>
        </w:rPr>
        <w:t>Legătura</w:t>
      </w:r>
      <w:r w:rsidRPr="006B2701">
        <w:rPr>
          <w:rFonts w:ascii="Tahoma" w:hAnsi="Tahoma" w:cs="Tahoma"/>
          <w:color w:val="000000"/>
          <w:sz w:val="24"/>
          <w:szCs w:val="24"/>
          <w:lang w:val="ro-RO"/>
        </w:rPr>
        <w:t xml:space="preserve"> rețelei de metrou cu Aeroportul Internațional Henri Coandă – Otopeni – 380,5 milioane lei</w:t>
      </w:r>
    </w:p>
    <w:p w14:paraId="10E7EE0B" w14:textId="77777777" w:rsidR="005A2C5C" w:rsidRPr="006B2701" w:rsidRDefault="005A2C5C" w:rsidP="005A2C5C">
      <w:pPr>
        <w:autoSpaceDE w:val="0"/>
        <w:spacing w:after="120" w:line="276" w:lineRule="auto"/>
        <w:ind w:left="851" w:hanging="284"/>
        <w:jc w:val="both"/>
        <w:rPr>
          <w:rFonts w:ascii="Tahoma" w:hAnsi="Tahoma" w:cs="Tahoma"/>
          <w:color w:val="000000"/>
          <w:sz w:val="24"/>
          <w:szCs w:val="24"/>
          <w:lang w:val="ro-RO"/>
        </w:rPr>
      </w:pPr>
      <w:r w:rsidRPr="006B2701">
        <w:rPr>
          <w:rFonts w:ascii="Tahoma" w:hAnsi="Tahoma" w:cs="Tahoma"/>
          <w:color w:val="000000"/>
          <w:sz w:val="24"/>
          <w:szCs w:val="24"/>
          <w:lang w:val="ro-RO"/>
        </w:rPr>
        <w:lastRenderedPageBreak/>
        <w:t>●  Reducerea eroziunii costiere Faza II (2014-2020) – 355,2 milioane lei</w:t>
      </w:r>
    </w:p>
    <w:p w14:paraId="2CA3DCD0" w14:textId="0B9D50F0" w:rsidR="005A2C5C" w:rsidRPr="006B2701" w:rsidRDefault="005A2C5C" w:rsidP="005A2C5C">
      <w:pPr>
        <w:autoSpaceDE w:val="0"/>
        <w:spacing w:after="120" w:line="276" w:lineRule="auto"/>
        <w:ind w:left="851" w:hanging="284"/>
        <w:jc w:val="both"/>
        <w:rPr>
          <w:rFonts w:ascii="Tahoma" w:hAnsi="Tahoma" w:cs="Tahoma"/>
          <w:color w:val="000000"/>
          <w:sz w:val="24"/>
          <w:szCs w:val="24"/>
          <w:lang w:val="ro-RO"/>
        </w:rPr>
      </w:pPr>
      <w:r w:rsidRPr="006B2701">
        <w:rPr>
          <w:rFonts w:ascii="Tahoma" w:hAnsi="Tahoma" w:cs="Tahoma"/>
          <w:color w:val="000000"/>
          <w:sz w:val="24"/>
          <w:szCs w:val="24"/>
          <w:lang w:val="ro-RO"/>
        </w:rPr>
        <w:t>●  Autostrada Ploiești-</w:t>
      </w:r>
      <w:r w:rsidR="00F874EE" w:rsidRPr="006B2701">
        <w:rPr>
          <w:rFonts w:ascii="Tahoma" w:hAnsi="Tahoma" w:cs="Tahoma"/>
          <w:color w:val="000000"/>
          <w:sz w:val="24"/>
          <w:szCs w:val="24"/>
          <w:lang w:val="ro-RO"/>
        </w:rPr>
        <w:t>Buzău</w:t>
      </w:r>
      <w:r w:rsidRPr="006B2701">
        <w:rPr>
          <w:rFonts w:ascii="Tahoma" w:hAnsi="Tahoma" w:cs="Tahoma"/>
          <w:color w:val="000000"/>
          <w:sz w:val="24"/>
          <w:szCs w:val="24"/>
          <w:lang w:val="ro-RO"/>
        </w:rPr>
        <w:t xml:space="preserve"> – 269,7 milioane lei</w:t>
      </w:r>
    </w:p>
    <w:p w14:paraId="255ACF9C" w14:textId="77777777" w:rsidR="005A2C5C" w:rsidRPr="006B2701" w:rsidRDefault="005A2C5C" w:rsidP="005A2C5C">
      <w:pPr>
        <w:autoSpaceDE w:val="0"/>
        <w:spacing w:after="120" w:line="276" w:lineRule="auto"/>
        <w:ind w:left="851" w:hanging="284"/>
        <w:jc w:val="both"/>
        <w:rPr>
          <w:rFonts w:ascii="Tahoma" w:hAnsi="Tahoma" w:cs="Tahoma"/>
          <w:color w:val="000000"/>
          <w:sz w:val="24"/>
          <w:szCs w:val="24"/>
          <w:lang w:val="ro-RO"/>
        </w:rPr>
      </w:pPr>
      <w:r w:rsidRPr="006B2701">
        <w:rPr>
          <w:rFonts w:ascii="Tahoma" w:hAnsi="Tahoma" w:cs="Tahoma"/>
          <w:color w:val="000000"/>
          <w:sz w:val="24"/>
          <w:szCs w:val="24"/>
          <w:lang w:val="ro-RO"/>
        </w:rPr>
        <w:t xml:space="preserve">●  Lărgire la 4 benzi Centura București Sud între A2 km 23+600 și A1 km 55+520 </w:t>
      </w:r>
      <w:r w:rsidRPr="006B2701">
        <w:rPr>
          <w:rFonts w:ascii="Tahoma" w:hAnsi="Tahoma" w:cs="Tahoma"/>
          <w:sz w:val="24"/>
          <w:szCs w:val="24"/>
          <w:lang w:val="ro-RO"/>
        </w:rPr>
        <w:t>– 250,3 milioane lei</w:t>
      </w:r>
    </w:p>
    <w:p w14:paraId="27DB686B" w14:textId="1A217448" w:rsidR="005A2C5C" w:rsidRPr="006B2701" w:rsidRDefault="005A2C5C" w:rsidP="005A2C5C">
      <w:pPr>
        <w:autoSpaceDE w:val="0"/>
        <w:spacing w:after="120" w:line="276" w:lineRule="auto"/>
        <w:ind w:left="851" w:hanging="284"/>
        <w:jc w:val="both"/>
        <w:rPr>
          <w:rFonts w:ascii="Tahoma" w:hAnsi="Tahoma" w:cs="Tahoma"/>
          <w:color w:val="000000"/>
          <w:sz w:val="24"/>
          <w:szCs w:val="24"/>
          <w:lang w:val="ro-RO"/>
        </w:rPr>
      </w:pPr>
      <w:r w:rsidRPr="006B2701">
        <w:rPr>
          <w:rFonts w:ascii="Tahoma" w:hAnsi="Tahoma" w:cs="Tahoma"/>
          <w:color w:val="000000"/>
          <w:sz w:val="24"/>
          <w:szCs w:val="24"/>
          <w:lang w:val="ro-RO"/>
        </w:rPr>
        <w:t xml:space="preserve">●  Modernizare DN 29D Botoșani - </w:t>
      </w:r>
      <w:r w:rsidR="00F874EE" w:rsidRPr="006B2701">
        <w:rPr>
          <w:rFonts w:ascii="Tahoma" w:hAnsi="Tahoma" w:cs="Tahoma"/>
          <w:color w:val="000000"/>
          <w:sz w:val="24"/>
          <w:szCs w:val="24"/>
          <w:lang w:val="ro-RO"/>
        </w:rPr>
        <w:t>Ștefănești</w:t>
      </w:r>
      <w:r w:rsidRPr="006B2701">
        <w:rPr>
          <w:rFonts w:ascii="Tahoma" w:hAnsi="Tahoma" w:cs="Tahoma"/>
          <w:color w:val="000000"/>
          <w:sz w:val="24"/>
          <w:szCs w:val="24"/>
          <w:lang w:val="ro-RO"/>
        </w:rPr>
        <w:t>, km 2+800 - km 18+500 si km 21+800 - km 48+146 – 199,4 milioane lei</w:t>
      </w:r>
    </w:p>
    <w:p w14:paraId="1DC0ACB9" w14:textId="77777777" w:rsidR="00A661CB" w:rsidRPr="006B2701" w:rsidRDefault="00A661CB" w:rsidP="001E7B15">
      <w:pPr>
        <w:autoSpaceDE w:val="0"/>
        <w:spacing w:after="120" w:line="276" w:lineRule="auto"/>
        <w:ind w:left="1152" w:hanging="432"/>
        <w:jc w:val="both"/>
        <w:rPr>
          <w:rFonts w:ascii="Tahoma" w:hAnsi="Tahoma" w:cs="Tahoma"/>
          <w:color w:val="000000"/>
          <w:sz w:val="24"/>
          <w:szCs w:val="24"/>
          <w:lang w:val="ro-RO"/>
        </w:rPr>
      </w:pPr>
    </w:p>
    <w:p w14:paraId="16D83910" w14:textId="1A346D75" w:rsidR="00BA5E33" w:rsidRPr="006B2701" w:rsidRDefault="00BA5E33" w:rsidP="00073FA4">
      <w:pPr>
        <w:pStyle w:val="Heading1"/>
        <w:keepLines w:val="0"/>
        <w:pageBreakBefore/>
        <w:numPr>
          <w:ilvl w:val="0"/>
          <w:numId w:val="7"/>
        </w:numPr>
        <w:spacing w:line="276" w:lineRule="auto"/>
        <w:ind w:left="922"/>
        <w:rPr>
          <w:rFonts w:ascii="Tahoma" w:hAnsi="Tahoma" w:cs="Tahoma"/>
          <w:b/>
          <w:bCs/>
          <w:color w:val="000000"/>
          <w:sz w:val="24"/>
          <w:szCs w:val="24"/>
          <w:lang w:val="ro-RO"/>
        </w:rPr>
      </w:pPr>
      <w:bookmarkStart w:id="10" w:name="_Toc516046459"/>
      <w:r w:rsidRPr="006B2701">
        <w:rPr>
          <w:rFonts w:ascii="Tahoma" w:hAnsi="Tahoma" w:cs="Tahoma"/>
          <w:b/>
          <w:bCs/>
          <w:color w:val="000000"/>
          <w:sz w:val="24"/>
          <w:szCs w:val="24"/>
          <w:lang w:val="ro-RO"/>
        </w:rPr>
        <w:lastRenderedPageBreak/>
        <w:t xml:space="preserve">Activele financiare </w:t>
      </w:r>
      <w:r w:rsidR="00977242" w:rsidRPr="006B2701">
        <w:rPr>
          <w:rFonts w:ascii="Tahoma" w:hAnsi="Tahoma" w:cs="Tahoma"/>
          <w:b/>
          <w:bCs/>
          <w:color w:val="000000"/>
          <w:sz w:val="24"/>
          <w:szCs w:val="24"/>
          <w:lang w:val="ro-RO"/>
        </w:rPr>
        <w:t>și</w:t>
      </w:r>
      <w:r w:rsidRPr="006B2701">
        <w:rPr>
          <w:rFonts w:ascii="Tahoma" w:hAnsi="Tahoma" w:cs="Tahoma"/>
          <w:b/>
          <w:bCs/>
          <w:color w:val="000000"/>
          <w:sz w:val="24"/>
          <w:szCs w:val="24"/>
          <w:lang w:val="ro-RO"/>
        </w:rPr>
        <w:t xml:space="preserve"> nefinanciare guvernamentale</w:t>
      </w:r>
      <w:bookmarkEnd w:id="10"/>
      <w:r w:rsidRPr="006B2701">
        <w:rPr>
          <w:rFonts w:ascii="Tahoma" w:hAnsi="Tahoma" w:cs="Tahoma"/>
          <w:b/>
          <w:bCs/>
          <w:color w:val="000000"/>
          <w:sz w:val="24"/>
          <w:szCs w:val="24"/>
          <w:lang w:val="ro-RO"/>
        </w:rPr>
        <w:t xml:space="preserve"> </w:t>
      </w:r>
    </w:p>
    <w:p w14:paraId="21EA06E5" w14:textId="77777777" w:rsidR="002E149A" w:rsidRPr="006B2701" w:rsidRDefault="002E149A" w:rsidP="002E149A">
      <w:pPr>
        <w:rPr>
          <w:lang w:val="ro-RO"/>
        </w:rPr>
      </w:pPr>
    </w:p>
    <w:p w14:paraId="5174BDB9" w14:textId="7ACD49EC" w:rsidR="002E149A" w:rsidRPr="006B2701" w:rsidRDefault="0073616C" w:rsidP="005E39A3">
      <w:pPr>
        <w:rPr>
          <w:lang w:val="ro-RO"/>
        </w:rPr>
      </w:pPr>
      <w:r>
        <w:rPr>
          <w:lang w:val="ro-RO"/>
        </w:rPr>
        <w:pict w14:anchorId="5F8134A3">
          <v:shape id="_x0000_i1047" type="#_x0000_t75" style="width:486.35pt;height:241.8pt">
            <v:imagedata r:id="rId29" o:title=""/>
          </v:shape>
        </w:pict>
      </w:r>
    </w:p>
    <w:p w14:paraId="577C3725" w14:textId="77777777" w:rsidR="000505B1" w:rsidRPr="006B2701" w:rsidRDefault="000505B1" w:rsidP="00D37C85">
      <w:pPr>
        <w:spacing w:after="120" w:line="276" w:lineRule="auto"/>
        <w:jc w:val="both"/>
        <w:textAlignment w:val="baseline"/>
        <w:rPr>
          <w:rFonts w:ascii="Tahoma" w:hAnsi="Tahoma" w:cs="Tahoma"/>
          <w:b/>
          <w:bCs/>
          <w:color w:val="000000"/>
          <w:sz w:val="24"/>
          <w:szCs w:val="24"/>
          <w:lang w:val="ro-RO"/>
        </w:rPr>
      </w:pPr>
    </w:p>
    <w:p w14:paraId="65B47140" w14:textId="6452CC80" w:rsidR="00D37C85" w:rsidRPr="006B2701" w:rsidRDefault="00D37C85" w:rsidP="00D37C85">
      <w:pPr>
        <w:spacing w:after="120" w:line="276" w:lineRule="auto"/>
        <w:jc w:val="both"/>
        <w:textAlignment w:val="baseline"/>
        <w:rPr>
          <w:rFonts w:ascii="Tahoma" w:hAnsi="Tahoma" w:cs="Tahoma"/>
          <w:color w:val="000000"/>
          <w:sz w:val="24"/>
          <w:szCs w:val="24"/>
          <w:lang w:val="ro-RO"/>
        </w:rPr>
      </w:pPr>
      <w:r w:rsidRPr="006B2701">
        <w:rPr>
          <w:rFonts w:ascii="Tahoma" w:hAnsi="Tahoma" w:cs="Tahoma"/>
          <w:b/>
          <w:bCs/>
          <w:color w:val="000000"/>
          <w:sz w:val="24"/>
          <w:szCs w:val="24"/>
          <w:lang w:val="ro-RO"/>
        </w:rPr>
        <w:t>Activele fixe necorporale</w:t>
      </w:r>
      <w:r w:rsidRPr="006B2701">
        <w:rPr>
          <w:rFonts w:ascii="Tahoma" w:hAnsi="Tahoma" w:cs="Tahoma"/>
          <w:color w:val="000000"/>
          <w:sz w:val="24"/>
          <w:szCs w:val="24"/>
          <w:lang w:val="ro-RO"/>
        </w:rPr>
        <w:t xml:space="preserve"> sunt active fără substanță fizică, care se utilizează pe o perioadă mai mare de un an.  </w:t>
      </w:r>
    </w:p>
    <w:p w14:paraId="56698641" w14:textId="77777777" w:rsidR="00D37C85" w:rsidRPr="006B2701" w:rsidRDefault="00D37C85" w:rsidP="00D37C85">
      <w:pPr>
        <w:spacing w:after="120" w:line="276" w:lineRule="auto"/>
        <w:jc w:val="both"/>
        <w:textAlignment w:val="baseline"/>
        <w:rPr>
          <w:lang w:val="ro-RO"/>
        </w:rPr>
      </w:pPr>
      <w:r w:rsidRPr="006B2701">
        <w:rPr>
          <w:rFonts w:ascii="Tahoma" w:hAnsi="Tahoma" w:cs="Tahoma"/>
          <w:b/>
          <w:bCs/>
          <w:color w:val="000000"/>
          <w:sz w:val="24"/>
          <w:szCs w:val="24"/>
          <w:lang w:val="ro-RO"/>
        </w:rPr>
        <w:t xml:space="preserve">Activele fixe necorporale </w:t>
      </w:r>
      <w:r w:rsidRPr="006B2701">
        <w:rPr>
          <w:rFonts w:ascii="Tahoma" w:hAnsi="Tahoma" w:cs="Tahoma"/>
          <w:bCs/>
          <w:color w:val="000000"/>
          <w:sz w:val="24"/>
          <w:szCs w:val="24"/>
          <w:lang w:val="ro-RO"/>
        </w:rPr>
        <w:t xml:space="preserve">sunt în sumă </w:t>
      </w:r>
      <w:r w:rsidRPr="006B2701">
        <w:rPr>
          <w:rFonts w:ascii="Tahoma" w:hAnsi="Tahoma" w:cs="Tahoma"/>
          <w:bCs/>
          <w:sz w:val="24"/>
          <w:szCs w:val="24"/>
          <w:lang w:val="ro-RO"/>
        </w:rPr>
        <w:t xml:space="preserve">de </w:t>
      </w:r>
      <w:r w:rsidRPr="006B2701">
        <w:rPr>
          <w:rFonts w:ascii="Tahoma" w:hAnsi="Tahoma" w:cs="Tahoma"/>
          <w:b/>
          <w:bCs/>
          <w:sz w:val="24"/>
          <w:szCs w:val="24"/>
          <w:lang w:val="ro-RO"/>
        </w:rPr>
        <w:t xml:space="preserve">3.978,12 </w:t>
      </w:r>
      <w:r w:rsidRPr="006B2701">
        <w:rPr>
          <w:rFonts w:ascii="Tahoma" w:hAnsi="Tahoma" w:cs="Tahoma"/>
          <w:b/>
          <w:bCs/>
          <w:color w:val="000000"/>
          <w:sz w:val="24"/>
          <w:szCs w:val="24"/>
          <w:lang w:val="ro-RO"/>
        </w:rPr>
        <w:t>milioane lei</w:t>
      </w:r>
      <w:r w:rsidRPr="006B2701">
        <w:rPr>
          <w:rFonts w:ascii="Tahoma" w:hAnsi="Tahoma" w:cs="Tahoma"/>
          <w:color w:val="000000"/>
          <w:sz w:val="24"/>
          <w:szCs w:val="24"/>
          <w:lang w:val="ro-RO"/>
        </w:rPr>
        <w:t xml:space="preserve"> </w:t>
      </w:r>
      <w:proofErr w:type="spellStart"/>
      <w:r w:rsidRPr="006B2701">
        <w:rPr>
          <w:rFonts w:ascii="Tahoma" w:hAnsi="Tahoma" w:cs="Tahoma"/>
          <w:color w:val="000000"/>
          <w:sz w:val="24"/>
          <w:szCs w:val="24"/>
          <w:lang w:val="ro-RO"/>
        </w:rPr>
        <w:t>şi</w:t>
      </w:r>
      <w:proofErr w:type="spellEnd"/>
      <w:r w:rsidRPr="006B2701">
        <w:rPr>
          <w:rFonts w:ascii="Tahoma" w:hAnsi="Tahoma" w:cs="Tahoma"/>
          <w:color w:val="000000"/>
          <w:sz w:val="24"/>
          <w:szCs w:val="24"/>
          <w:lang w:val="ro-RO"/>
        </w:rPr>
        <w:t xml:space="preserve"> reprezintă contravaloarea programelor informatice, licențelor, brevetelor, cheltuielilor de dezvoltare etc. deținute de instituțiile publice din care: </w:t>
      </w:r>
    </w:p>
    <w:p w14:paraId="29505BEF" w14:textId="77777777" w:rsidR="00D37C85" w:rsidRPr="006B2701" w:rsidRDefault="00D37C85" w:rsidP="00D37C85">
      <w:pPr>
        <w:spacing w:line="276" w:lineRule="auto"/>
        <w:ind w:firstLine="570"/>
        <w:jc w:val="both"/>
        <w:textAlignment w:val="baseline"/>
        <w:rPr>
          <w:rFonts w:ascii="Tahoma" w:hAnsi="Tahoma" w:cs="Tahoma"/>
          <w:color w:val="000000"/>
          <w:sz w:val="24"/>
          <w:szCs w:val="24"/>
          <w:lang w:val="ro-RO"/>
        </w:rPr>
      </w:pPr>
    </w:p>
    <w:p w14:paraId="0AE39E05" w14:textId="77777777" w:rsidR="00D37C85" w:rsidRPr="006B2701" w:rsidRDefault="00D37C85" w:rsidP="00073FA4">
      <w:pPr>
        <w:pStyle w:val="ListParagraph"/>
        <w:numPr>
          <w:ilvl w:val="0"/>
          <w:numId w:val="27"/>
        </w:numPr>
        <w:spacing w:after="160" w:line="276" w:lineRule="auto"/>
        <w:ind w:left="1080"/>
        <w:jc w:val="both"/>
        <w:textAlignment w:val="baseline"/>
        <w:rPr>
          <w:lang w:val="ro-RO"/>
        </w:rPr>
      </w:pPr>
      <w:r w:rsidRPr="006B2701">
        <w:rPr>
          <w:rFonts w:ascii="Tahoma" w:hAnsi="Tahoma" w:cs="Tahoma"/>
          <w:b/>
          <w:bCs/>
          <w:sz w:val="24"/>
          <w:szCs w:val="24"/>
          <w:lang w:val="ro-RO"/>
        </w:rPr>
        <w:t xml:space="preserve">2.415,35 milioane lei </w:t>
      </w:r>
      <w:r w:rsidRPr="006B2701">
        <w:rPr>
          <w:rFonts w:ascii="Tahoma" w:hAnsi="Tahoma" w:cs="Tahoma"/>
          <w:sz w:val="24"/>
          <w:szCs w:val="24"/>
          <w:lang w:val="ro-RO"/>
        </w:rPr>
        <w:t xml:space="preserve">(60,72 % din total active fixe necorporale) reprezentând </w:t>
      </w:r>
      <w:r w:rsidRPr="006B2701">
        <w:rPr>
          <w:rFonts w:ascii="Tahoma" w:hAnsi="Tahoma" w:cs="Tahoma"/>
          <w:bCs/>
          <w:sz w:val="24"/>
          <w:szCs w:val="24"/>
          <w:lang w:val="ro-RO"/>
        </w:rPr>
        <w:t>active fixe necorporale</w:t>
      </w:r>
      <w:r w:rsidRPr="006B2701">
        <w:rPr>
          <w:rFonts w:ascii="Tahoma" w:hAnsi="Tahoma" w:cs="Tahoma"/>
          <w:sz w:val="24"/>
          <w:szCs w:val="24"/>
          <w:lang w:val="ro-RO"/>
        </w:rPr>
        <w:t xml:space="preserve"> raportate în situațiile financiare anuale centralizate ale ordonatorilor principali de credite ai bugetului de stat;</w:t>
      </w:r>
    </w:p>
    <w:p w14:paraId="5931D026" w14:textId="77777777" w:rsidR="00D37C85" w:rsidRPr="006B2701" w:rsidRDefault="00D37C85" w:rsidP="00073FA4">
      <w:pPr>
        <w:pStyle w:val="ListParagraph"/>
        <w:numPr>
          <w:ilvl w:val="0"/>
          <w:numId w:val="27"/>
        </w:numPr>
        <w:spacing w:after="160" w:line="276" w:lineRule="auto"/>
        <w:ind w:left="1080"/>
        <w:jc w:val="both"/>
        <w:textAlignment w:val="baseline"/>
        <w:rPr>
          <w:lang w:val="ro-RO"/>
        </w:rPr>
      </w:pPr>
      <w:r w:rsidRPr="006B2701">
        <w:rPr>
          <w:rFonts w:ascii="Tahoma" w:hAnsi="Tahoma" w:cs="Tahoma"/>
          <w:b/>
          <w:bCs/>
          <w:sz w:val="24"/>
          <w:szCs w:val="24"/>
          <w:lang w:val="ro-RO"/>
        </w:rPr>
        <w:t>1.488,12 milioane lei</w:t>
      </w:r>
      <w:r w:rsidRPr="006B2701">
        <w:rPr>
          <w:rFonts w:ascii="Tahoma" w:hAnsi="Tahoma" w:cs="Tahoma"/>
          <w:sz w:val="24"/>
          <w:szCs w:val="24"/>
          <w:lang w:val="ro-RO"/>
        </w:rPr>
        <w:t xml:space="preserve"> (37,40 % din total active fixe necorporale) reprezentând active fixe necorporale raportate în situațiile financiare anuale centralizate privind execuția bugetelor locale pe ansamblul județelor și al municipiului București;</w:t>
      </w:r>
    </w:p>
    <w:p w14:paraId="670B33B2" w14:textId="77777777" w:rsidR="00D37C85" w:rsidRPr="006B2701" w:rsidRDefault="00D37C85" w:rsidP="00073FA4">
      <w:pPr>
        <w:pStyle w:val="ListParagraph"/>
        <w:numPr>
          <w:ilvl w:val="0"/>
          <w:numId w:val="27"/>
        </w:numPr>
        <w:spacing w:after="160" w:line="276" w:lineRule="auto"/>
        <w:ind w:left="1080"/>
        <w:jc w:val="both"/>
        <w:textAlignment w:val="baseline"/>
        <w:rPr>
          <w:lang w:val="ro-RO"/>
        </w:rPr>
      </w:pPr>
      <w:r w:rsidRPr="006B2701">
        <w:rPr>
          <w:rFonts w:ascii="Tahoma" w:hAnsi="Tahoma" w:cs="Tahoma"/>
          <w:b/>
          <w:bCs/>
          <w:sz w:val="24"/>
          <w:szCs w:val="24"/>
          <w:lang w:val="ro-RO"/>
        </w:rPr>
        <w:t>38,89 milioane lei</w:t>
      </w:r>
      <w:r w:rsidRPr="006B2701">
        <w:rPr>
          <w:rFonts w:ascii="Tahoma" w:hAnsi="Tahoma" w:cs="Tahoma"/>
          <w:sz w:val="24"/>
          <w:szCs w:val="24"/>
          <w:lang w:val="ro-RO"/>
        </w:rPr>
        <w:t xml:space="preserve"> (0,98 % din total active fixe necorporale) reprezentând </w:t>
      </w:r>
      <w:r w:rsidRPr="006B2701">
        <w:rPr>
          <w:rFonts w:ascii="Tahoma" w:hAnsi="Tahoma" w:cs="Tahoma"/>
          <w:bCs/>
          <w:sz w:val="24"/>
          <w:szCs w:val="24"/>
          <w:lang w:val="ro-RO"/>
        </w:rPr>
        <w:t xml:space="preserve">active fixe necorporale </w:t>
      </w:r>
      <w:r w:rsidRPr="006B2701">
        <w:rPr>
          <w:rFonts w:ascii="Tahoma" w:hAnsi="Tahoma" w:cs="Tahoma"/>
          <w:sz w:val="24"/>
          <w:szCs w:val="24"/>
          <w:lang w:val="ro-RO"/>
        </w:rPr>
        <w:t xml:space="preserve">raportate în situațiile financiare anuale centralizate ale ordonatorilor principali de credite ai bugetului asigurărilor sociale  de stat, bugetului asigurărilor pentru șomaj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bugetului Fondului național unic de asigurări sociale de sănătate;</w:t>
      </w:r>
    </w:p>
    <w:p w14:paraId="33CB111A" w14:textId="77777777" w:rsidR="00D37C85" w:rsidRPr="006B2701" w:rsidRDefault="00D37C85" w:rsidP="00073FA4">
      <w:pPr>
        <w:pStyle w:val="ListParagraph"/>
        <w:numPr>
          <w:ilvl w:val="0"/>
          <w:numId w:val="27"/>
        </w:numPr>
        <w:spacing w:after="120" w:line="276" w:lineRule="auto"/>
        <w:ind w:left="1080"/>
        <w:jc w:val="both"/>
        <w:textAlignment w:val="baseline"/>
        <w:rPr>
          <w:lang w:val="ro-RO"/>
        </w:rPr>
      </w:pPr>
      <w:r w:rsidRPr="006B2701">
        <w:rPr>
          <w:rFonts w:ascii="Tahoma" w:hAnsi="Tahoma" w:cs="Tahoma"/>
          <w:b/>
          <w:bCs/>
          <w:sz w:val="24"/>
          <w:szCs w:val="24"/>
          <w:lang w:val="ro-RO"/>
        </w:rPr>
        <w:t>35,76 milioane lei</w:t>
      </w:r>
      <w:r w:rsidRPr="006B2701">
        <w:rPr>
          <w:rFonts w:ascii="Tahoma" w:hAnsi="Tahoma" w:cs="Tahoma"/>
          <w:sz w:val="24"/>
          <w:szCs w:val="24"/>
          <w:lang w:val="ro-RO"/>
        </w:rPr>
        <w:t xml:space="preserve"> (0,90 % din total active fixe necorporale) reprezentând </w:t>
      </w:r>
      <w:r w:rsidRPr="006B2701">
        <w:rPr>
          <w:rFonts w:ascii="Tahoma" w:hAnsi="Tahoma" w:cs="Tahoma"/>
          <w:bCs/>
          <w:sz w:val="24"/>
          <w:szCs w:val="24"/>
          <w:lang w:val="ro-RO"/>
        </w:rPr>
        <w:t xml:space="preserve">active fixe necorporale </w:t>
      </w:r>
      <w:r w:rsidRPr="006B2701">
        <w:rPr>
          <w:rFonts w:ascii="Tahoma" w:hAnsi="Tahoma" w:cs="Tahoma"/>
          <w:sz w:val="24"/>
          <w:szCs w:val="24"/>
          <w:lang w:val="ro-RO"/>
        </w:rPr>
        <w:t xml:space="preserve">raportate în situațiile financiare anuale centralizate ale instituțiilor publice finanțate integral din venituri proprii. </w:t>
      </w:r>
    </w:p>
    <w:p w14:paraId="105BD955" w14:textId="4E96ADB9" w:rsidR="00D37C85" w:rsidRPr="006B2701" w:rsidRDefault="00D37C85" w:rsidP="00D37C85">
      <w:pPr>
        <w:spacing w:after="120" w:line="276" w:lineRule="auto"/>
        <w:jc w:val="both"/>
        <w:textAlignment w:val="baseline"/>
        <w:rPr>
          <w:lang w:val="ro-RO"/>
        </w:rPr>
      </w:pPr>
      <w:r w:rsidRPr="006B2701">
        <w:rPr>
          <w:rFonts w:ascii="Tahoma" w:hAnsi="Tahoma" w:cs="Tahoma"/>
          <w:bCs/>
          <w:sz w:val="24"/>
          <w:szCs w:val="24"/>
          <w:lang w:val="ro-RO"/>
        </w:rPr>
        <w:lastRenderedPageBreak/>
        <w:t>Activele fixe corporale</w:t>
      </w:r>
      <w:r w:rsidRPr="006B2701">
        <w:rPr>
          <w:rFonts w:ascii="Tahoma" w:hAnsi="Tahoma" w:cs="Tahoma"/>
          <w:sz w:val="24"/>
          <w:szCs w:val="24"/>
          <w:lang w:val="ro-RO"/>
        </w:rPr>
        <w:t xml:space="preserve"> cuprind: terenuri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clădiri, instalații tehnice, mijloace de transport, animale </w:t>
      </w:r>
      <w:proofErr w:type="spellStart"/>
      <w:r w:rsidRPr="006B2701">
        <w:rPr>
          <w:rFonts w:ascii="Tahoma" w:hAnsi="Tahoma" w:cs="Tahoma"/>
          <w:sz w:val="24"/>
          <w:szCs w:val="24"/>
          <w:lang w:val="ro-RO"/>
        </w:rPr>
        <w:t>şi</w:t>
      </w:r>
      <w:proofErr w:type="spellEnd"/>
      <w:r w:rsidRPr="006B2701">
        <w:rPr>
          <w:rFonts w:ascii="Tahoma" w:hAnsi="Tahoma" w:cs="Tahoma"/>
          <w:sz w:val="24"/>
          <w:szCs w:val="24"/>
          <w:lang w:val="ro-RO"/>
        </w:rPr>
        <w:t xml:space="preserve"> plantații, mobilier, aparatură birotică, alte active corporale  deținute de instituțiile publice. Acestea prezintă un sold la sfârșitul anului de </w:t>
      </w:r>
      <w:r w:rsidRPr="006B2701">
        <w:rPr>
          <w:rFonts w:ascii="Tahoma" w:hAnsi="Tahoma" w:cs="Tahoma"/>
          <w:b/>
          <w:bCs/>
          <w:sz w:val="24"/>
          <w:szCs w:val="24"/>
          <w:lang w:val="ro-RO"/>
        </w:rPr>
        <w:t>1.069.104,31 milioane lei</w:t>
      </w:r>
      <w:r w:rsidRPr="006B2701">
        <w:rPr>
          <w:rFonts w:ascii="Tahoma" w:hAnsi="Tahoma" w:cs="Tahoma"/>
          <w:bCs/>
          <w:sz w:val="24"/>
          <w:szCs w:val="24"/>
          <w:lang w:val="ro-RO"/>
        </w:rPr>
        <w:t xml:space="preserve">. </w:t>
      </w:r>
    </w:p>
    <w:p w14:paraId="2EAD3EEA" w14:textId="77777777" w:rsidR="00D37C85" w:rsidRPr="006B2701" w:rsidRDefault="00D37C85" w:rsidP="00D37C85">
      <w:pPr>
        <w:spacing w:after="120" w:line="276" w:lineRule="auto"/>
        <w:jc w:val="both"/>
        <w:textAlignment w:val="baseline"/>
        <w:rPr>
          <w:rFonts w:ascii="Tahoma" w:hAnsi="Tahoma" w:cs="Tahoma"/>
          <w:color w:val="000000"/>
          <w:sz w:val="24"/>
          <w:szCs w:val="24"/>
          <w:lang w:val="ro-RO"/>
        </w:rPr>
      </w:pPr>
      <w:r w:rsidRPr="006B2701">
        <w:rPr>
          <w:rFonts w:ascii="Tahoma" w:hAnsi="Tahoma" w:cs="Tahoma"/>
          <w:b/>
          <w:bCs/>
          <w:color w:val="000000"/>
          <w:sz w:val="24"/>
          <w:szCs w:val="24"/>
          <w:lang w:val="ro-RO"/>
        </w:rPr>
        <w:t>Stocurile</w:t>
      </w:r>
      <w:r w:rsidRPr="006B2701">
        <w:rPr>
          <w:rFonts w:ascii="Tahoma" w:hAnsi="Tahoma" w:cs="Tahoma"/>
          <w:color w:val="000000"/>
          <w:sz w:val="24"/>
          <w:szCs w:val="24"/>
          <w:lang w:val="ro-RO"/>
        </w:rPr>
        <w:t xml:space="preserve"> sunt active circulante deținute pentru a fi vândute pe parcursul desfășurării normale a activității sau materii prime, materiale </w:t>
      </w:r>
      <w:proofErr w:type="spellStart"/>
      <w:r w:rsidRPr="006B2701">
        <w:rPr>
          <w:rFonts w:ascii="Tahoma" w:hAnsi="Tahoma" w:cs="Tahoma"/>
          <w:color w:val="000000"/>
          <w:sz w:val="24"/>
          <w:szCs w:val="24"/>
          <w:lang w:val="ro-RO"/>
        </w:rPr>
        <w:t>şi</w:t>
      </w:r>
      <w:proofErr w:type="spellEnd"/>
      <w:r w:rsidRPr="006B2701">
        <w:rPr>
          <w:rFonts w:ascii="Tahoma" w:hAnsi="Tahoma" w:cs="Tahoma"/>
          <w:color w:val="000000"/>
          <w:sz w:val="24"/>
          <w:szCs w:val="24"/>
          <w:lang w:val="ro-RO"/>
        </w:rPr>
        <w:t xml:space="preserve"> alte consumabile ce urmează a fi folosite în desfășurarea activității instituției. </w:t>
      </w:r>
    </w:p>
    <w:p w14:paraId="475350DA" w14:textId="31D2A730" w:rsidR="00D37C85" w:rsidRPr="006B2701" w:rsidRDefault="00D37C85" w:rsidP="00D37C85">
      <w:pPr>
        <w:spacing w:after="120" w:line="276" w:lineRule="auto"/>
        <w:jc w:val="both"/>
        <w:textAlignment w:val="baseline"/>
        <w:rPr>
          <w:lang w:val="ro-RO"/>
        </w:rPr>
      </w:pPr>
      <w:r w:rsidRPr="006B2701">
        <w:rPr>
          <w:rFonts w:ascii="Tahoma" w:hAnsi="Tahoma" w:cs="Tahoma"/>
          <w:color w:val="000000"/>
          <w:sz w:val="24"/>
          <w:szCs w:val="24"/>
          <w:lang w:val="ro-RO"/>
        </w:rPr>
        <w:t xml:space="preserve">La data de 31 decembrie 2022 stocurile sunt </w:t>
      </w:r>
      <w:r w:rsidRPr="006B2701">
        <w:rPr>
          <w:rFonts w:ascii="Tahoma" w:hAnsi="Tahoma" w:cs="Tahoma"/>
          <w:bCs/>
          <w:color w:val="000000"/>
          <w:sz w:val="24"/>
          <w:szCs w:val="24"/>
          <w:lang w:val="ro-RO"/>
        </w:rPr>
        <w:t xml:space="preserve">în sumă </w:t>
      </w:r>
      <w:r w:rsidRPr="006B2701">
        <w:rPr>
          <w:rFonts w:ascii="Tahoma" w:hAnsi="Tahoma" w:cs="Tahoma"/>
          <w:bCs/>
          <w:sz w:val="24"/>
          <w:szCs w:val="24"/>
          <w:lang w:val="ro-RO"/>
        </w:rPr>
        <w:t xml:space="preserve">de </w:t>
      </w:r>
      <w:r w:rsidRPr="006B2701">
        <w:rPr>
          <w:rFonts w:ascii="Tahoma" w:hAnsi="Tahoma" w:cs="Tahoma"/>
          <w:b/>
          <w:bCs/>
          <w:sz w:val="24"/>
          <w:szCs w:val="24"/>
          <w:lang w:val="ro-RO"/>
        </w:rPr>
        <w:t xml:space="preserve">36.764,81 </w:t>
      </w:r>
      <w:r w:rsidRPr="006B2701">
        <w:rPr>
          <w:rFonts w:ascii="Tahoma" w:hAnsi="Tahoma" w:cs="Tahoma"/>
          <w:b/>
          <w:bCs/>
          <w:color w:val="000000"/>
          <w:sz w:val="24"/>
          <w:szCs w:val="24"/>
          <w:lang w:val="ro-RO"/>
        </w:rPr>
        <w:t>milioane lei</w:t>
      </w:r>
      <w:r w:rsidRPr="006B2701">
        <w:rPr>
          <w:rFonts w:ascii="Tahoma" w:hAnsi="Tahoma" w:cs="Tahoma"/>
          <w:b/>
          <w:color w:val="000000"/>
          <w:sz w:val="24"/>
          <w:szCs w:val="24"/>
          <w:lang w:val="ro-RO"/>
        </w:rPr>
        <w:t xml:space="preserve">. </w:t>
      </w:r>
    </w:p>
    <w:p w14:paraId="09ABF341" w14:textId="77777777" w:rsidR="00AD08EF" w:rsidRPr="006B2701" w:rsidRDefault="00AD08EF" w:rsidP="00D37C85">
      <w:pPr>
        <w:spacing w:after="120"/>
        <w:rPr>
          <w:lang w:val="ro-RO"/>
        </w:rPr>
      </w:pPr>
    </w:p>
    <w:p w14:paraId="1FBB9F3A" w14:textId="3B753600" w:rsidR="002E149A" w:rsidRPr="006B2701" w:rsidRDefault="002E149A" w:rsidP="002E149A">
      <w:pPr>
        <w:overflowPunct w:val="0"/>
        <w:autoSpaceDE w:val="0"/>
        <w:autoSpaceDN w:val="0"/>
        <w:adjustRightInd w:val="0"/>
        <w:spacing w:line="276" w:lineRule="auto"/>
        <w:ind w:firstLine="720"/>
        <w:jc w:val="both"/>
        <w:textAlignment w:val="baseline"/>
        <w:rPr>
          <w:rFonts w:ascii="Tahoma" w:hAnsi="Tahoma" w:cs="Tahoma"/>
          <w:b/>
          <w:color w:val="000000"/>
          <w:sz w:val="24"/>
          <w:szCs w:val="24"/>
          <w:lang w:val="ro-RO"/>
        </w:rPr>
      </w:pPr>
    </w:p>
    <w:p w14:paraId="11BEB6AD" w14:textId="4C0577F7" w:rsidR="002E149A" w:rsidRPr="006B2701" w:rsidRDefault="002E149A">
      <w:pPr>
        <w:rPr>
          <w:rFonts w:ascii="Tahoma" w:hAnsi="Tahoma" w:cs="Tahoma"/>
          <w:lang w:val="ro-RO"/>
        </w:rPr>
      </w:pPr>
      <w:r w:rsidRPr="006B2701">
        <w:rPr>
          <w:rFonts w:ascii="Tahoma" w:hAnsi="Tahoma" w:cs="Tahoma"/>
          <w:lang w:val="ro-RO"/>
        </w:rPr>
        <w:br w:type="page"/>
      </w:r>
    </w:p>
    <w:p w14:paraId="57D37AB0" w14:textId="2EBC6B61" w:rsidR="00BA5E33" w:rsidRPr="006B2701" w:rsidRDefault="00BA5E33" w:rsidP="000F5753">
      <w:pPr>
        <w:pStyle w:val="Heading1"/>
        <w:spacing w:line="276" w:lineRule="auto"/>
        <w:rPr>
          <w:rFonts w:ascii="Tahoma" w:hAnsi="Tahoma" w:cs="Tahoma"/>
          <w:b/>
          <w:bCs/>
          <w:color w:val="auto"/>
          <w:sz w:val="24"/>
          <w:szCs w:val="24"/>
          <w:lang w:val="ro-RO"/>
        </w:rPr>
      </w:pPr>
      <w:bookmarkStart w:id="11" w:name="_Toc516046460"/>
      <w:r w:rsidRPr="006B2701">
        <w:rPr>
          <w:rFonts w:ascii="Arial" w:hAnsi="Arial" w:cs="Arial"/>
          <w:b/>
          <w:bCs/>
          <w:color w:val="auto"/>
          <w:sz w:val="24"/>
          <w:szCs w:val="24"/>
          <w:lang w:val="ro-RO"/>
        </w:rPr>
        <w:lastRenderedPageBreak/>
        <w:t>VI.</w:t>
      </w:r>
      <w:r w:rsidR="00141977" w:rsidRPr="006B2701">
        <w:rPr>
          <w:rFonts w:ascii="Arial" w:hAnsi="Arial" w:cs="Arial"/>
          <w:b/>
          <w:bCs/>
          <w:color w:val="auto"/>
          <w:sz w:val="24"/>
          <w:szCs w:val="24"/>
          <w:lang w:val="ro-RO"/>
        </w:rPr>
        <w:t xml:space="preserve"> </w:t>
      </w:r>
      <w:r w:rsidR="00141977" w:rsidRPr="006B2701">
        <w:rPr>
          <w:rFonts w:ascii="Tahoma" w:hAnsi="Tahoma" w:cs="Tahoma"/>
          <w:b/>
          <w:bCs/>
          <w:color w:val="auto"/>
          <w:sz w:val="24"/>
          <w:szCs w:val="24"/>
          <w:lang w:val="ro-RO"/>
        </w:rPr>
        <w:t>Finanțarea</w:t>
      </w:r>
      <w:r w:rsidRPr="006B2701">
        <w:rPr>
          <w:rFonts w:ascii="Tahoma" w:hAnsi="Tahoma" w:cs="Tahoma"/>
          <w:b/>
          <w:bCs/>
          <w:color w:val="auto"/>
          <w:sz w:val="24"/>
          <w:szCs w:val="24"/>
          <w:lang w:val="ro-RO"/>
        </w:rPr>
        <w:t xml:space="preserve"> deficitului bugetar </w:t>
      </w:r>
      <w:r w:rsidR="00977242" w:rsidRPr="006B2701">
        <w:rPr>
          <w:rFonts w:ascii="Tahoma" w:hAnsi="Tahoma" w:cs="Tahoma"/>
          <w:b/>
          <w:bCs/>
          <w:color w:val="auto"/>
          <w:sz w:val="24"/>
          <w:szCs w:val="24"/>
          <w:lang w:val="ro-RO"/>
        </w:rPr>
        <w:t>și</w:t>
      </w:r>
      <w:r w:rsidRPr="006B2701">
        <w:rPr>
          <w:rFonts w:ascii="Tahoma" w:hAnsi="Tahoma" w:cs="Tahoma"/>
          <w:b/>
          <w:bCs/>
          <w:color w:val="auto"/>
          <w:sz w:val="24"/>
          <w:szCs w:val="24"/>
          <w:lang w:val="ro-RO"/>
        </w:rPr>
        <w:t xml:space="preserve"> datoria publică</w:t>
      </w:r>
      <w:bookmarkEnd w:id="11"/>
    </w:p>
    <w:p w14:paraId="7B87D27C" w14:textId="77777777" w:rsidR="001E1C0F" w:rsidRPr="006B2701" w:rsidRDefault="001E1C0F" w:rsidP="001E1C0F">
      <w:pPr>
        <w:widowControl w:val="0"/>
        <w:spacing w:after="120" w:line="276" w:lineRule="auto"/>
        <w:ind w:left="1070" w:firstLine="720"/>
        <w:jc w:val="both"/>
        <w:rPr>
          <w:rFonts w:ascii="Tahoma" w:hAnsi="Tahoma" w:cs="Tahoma"/>
          <w:b/>
          <w:bCs/>
          <w:sz w:val="24"/>
          <w:szCs w:val="24"/>
          <w:lang w:val="ro-RO"/>
        </w:rPr>
      </w:pPr>
    </w:p>
    <w:p w14:paraId="72BA09BA" w14:textId="70A81703" w:rsidR="00BA5E33" w:rsidRPr="006B2701" w:rsidRDefault="001E1C0F" w:rsidP="001E1C0F">
      <w:pPr>
        <w:widowControl w:val="0"/>
        <w:spacing w:after="120" w:line="276" w:lineRule="auto"/>
        <w:ind w:left="1070" w:hanging="350"/>
        <w:jc w:val="both"/>
        <w:rPr>
          <w:rFonts w:ascii="Tahoma" w:hAnsi="Tahoma" w:cs="Tahoma"/>
          <w:b/>
          <w:bCs/>
          <w:sz w:val="24"/>
          <w:szCs w:val="24"/>
          <w:lang w:val="ro-RO"/>
        </w:rPr>
      </w:pPr>
      <w:r w:rsidRPr="006B2701">
        <w:rPr>
          <w:rFonts w:ascii="Tahoma" w:hAnsi="Tahoma" w:cs="Tahoma"/>
          <w:b/>
          <w:bCs/>
          <w:sz w:val="24"/>
          <w:szCs w:val="24"/>
          <w:lang w:val="ro-RO"/>
        </w:rPr>
        <w:t>VI</w:t>
      </w:r>
      <w:r w:rsidR="00BA5E33" w:rsidRPr="006B2701">
        <w:rPr>
          <w:rFonts w:ascii="Tahoma" w:hAnsi="Tahoma" w:cs="Tahoma"/>
          <w:b/>
          <w:bCs/>
          <w:sz w:val="24"/>
          <w:szCs w:val="24"/>
          <w:lang w:val="ro-RO"/>
        </w:rPr>
        <w:t>.1 Datoria publică</w:t>
      </w:r>
    </w:p>
    <w:p w14:paraId="46F5D585" w14:textId="2594BEB9" w:rsidR="00B23BC7" w:rsidRPr="006B2701" w:rsidRDefault="00B23BC7" w:rsidP="00B23BC7">
      <w:pPr>
        <w:widowControl w:val="0"/>
        <w:spacing w:after="120" w:line="276" w:lineRule="auto"/>
        <w:jc w:val="both"/>
        <w:rPr>
          <w:rFonts w:ascii="Tahoma" w:hAnsi="Tahoma" w:cs="Tahoma"/>
          <w:sz w:val="24"/>
          <w:szCs w:val="24"/>
          <w:lang w:val="ro-RO"/>
        </w:rPr>
      </w:pPr>
      <w:r w:rsidRPr="006B2701">
        <w:rPr>
          <w:rFonts w:ascii="Tahoma" w:hAnsi="Tahoma" w:cs="Tahoma"/>
          <w:sz w:val="24"/>
          <w:szCs w:val="24"/>
          <w:lang w:val="ro-RO"/>
        </w:rPr>
        <w:t>La sfârșitul anului 2022, datoria guvernamentală conform metodologiei UE a reprezentat 47,3%</w:t>
      </w:r>
      <w:r w:rsidRPr="006B2701">
        <w:rPr>
          <w:rFonts w:ascii="Tahoma" w:hAnsi="Tahoma" w:cs="Tahoma"/>
          <w:sz w:val="24"/>
          <w:szCs w:val="24"/>
          <w:vertAlign w:val="superscript"/>
          <w:lang w:val="ro-RO"/>
        </w:rPr>
        <w:footnoteReference w:id="22"/>
      </w:r>
      <w:r w:rsidRPr="006B2701">
        <w:rPr>
          <w:rFonts w:ascii="Tahoma" w:hAnsi="Tahoma" w:cs="Tahoma"/>
          <w:sz w:val="24"/>
          <w:szCs w:val="24"/>
          <w:lang w:val="ro-RO"/>
        </w:rPr>
        <w:t xml:space="preserve"> din PIB în scădere comparativ cu nivelul de 48,6% din PIB,  înregistrat la sfârșitul anului 2021, </w:t>
      </w:r>
      <w:r w:rsidR="00BF7BDF" w:rsidRPr="006B2701">
        <w:rPr>
          <w:rFonts w:ascii="Tahoma" w:hAnsi="Tahoma" w:cs="Tahoma"/>
          <w:sz w:val="24"/>
          <w:szCs w:val="24"/>
          <w:lang w:val="ro-RO"/>
        </w:rPr>
        <w:t xml:space="preserve"> </w:t>
      </w:r>
      <w:r w:rsidRPr="006B2701">
        <w:rPr>
          <w:rFonts w:ascii="Tahoma" w:hAnsi="Tahoma" w:cs="Tahoma"/>
          <w:sz w:val="24"/>
          <w:szCs w:val="24"/>
          <w:lang w:val="ro-RO"/>
        </w:rPr>
        <w:t>cu încadrarea în plafonul anual de 49,8% din PIB stabilit prin Legea nr.312/2021 pentru aprobarea plafoanelor unor indicatori specificați în cadrul fiscal-bugetar pe anul 2022.</w:t>
      </w:r>
    </w:p>
    <w:p w14:paraId="600D1945" w14:textId="77777777" w:rsidR="00B23BC7" w:rsidRPr="006B2701" w:rsidRDefault="00B23BC7" w:rsidP="00B23BC7">
      <w:pPr>
        <w:widowControl w:val="0"/>
        <w:spacing w:after="120" w:line="276" w:lineRule="auto"/>
        <w:jc w:val="both"/>
        <w:rPr>
          <w:rFonts w:ascii="Tahoma" w:eastAsia="MS Mincho" w:hAnsi="Tahoma" w:cs="Tahoma"/>
          <w:noProof/>
          <w:sz w:val="24"/>
          <w:szCs w:val="24"/>
          <w:lang w:val="ro-RO" w:eastAsia="ja-JP"/>
        </w:rPr>
      </w:pPr>
      <w:r w:rsidRPr="006B2701">
        <w:rPr>
          <w:rFonts w:ascii="Tahoma" w:hAnsi="Tahoma" w:cs="Tahoma"/>
          <w:sz w:val="24"/>
          <w:szCs w:val="24"/>
          <w:lang w:val="ro-RO"/>
        </w:rPr>
        <w:t xml:space="preserve">La 31 decembrie 2022, din totalul datoriei publice guvernamentale, datoria internă a reprezentat 23,8% din PIB, iar datoria externă 23,5% din PIB. </w:t>
      </w:r>
    </w:p>
    <w:p w14:paraId="718F509E" w14:textId="77777777" w:rsidR="00B23BC7" w:rsidRPr="006B2701" w:rsidRDefault="00B23BC7" w:rsidP="00B23BC7">
      <w:pPr>
        <w:spacing w:after="120" w:line="276" w:lineRule="auto"/>
        <w:jc w:val="both"/>
        <w:rPr>
          <w:rFonts w:ascii="Tahoma" w:eastAsia="MS Mincho" w:hAnsi="Tahoma" w:cs="Tahoma"/>
          <w:color w:val="000000"/>
          <w:sz w:val="24"/>
          <w:szCs w:val="24"/>
          <w:lang w:val="ro-RO" w:eastAsia="ja-JP"/>
        </w:rPr>
      </w:pPr>
      <w:r w:rsidRPr="006B2701">
        <w:rPr>
          <w:rFonts w:ascii="Tahoma" w:eastAsia="MS Mincho" w:hAnsi="Tahoma" w:cs="Tahoma"/>
          <w:color w:val="000000"/>
          <w:sz w:val="24"/>
          <w:szCs w:val="24"/>
          <w:lang w:val="ro-RO" w:eastAsia="ja-JP"/>
        </w:rPr>
        <w:t>Conform datelor publicate de EUROSTAT</w:t>
      </w:r>
      <w:r w:rsidRPr="006B2701">
        <w:rPr>
          <w:rFonts w:ascii="Tahoma" w:eastAsia="MS Mincho" w:hAnsi="Tahoma" w:cs="Tahoma"/>
          <w:sz w:val="24"/>
          <w:szCs w:val="24"/>
          <w:lang w:val="ro-RO" w:eastAsia="ja-JP"/>
        </w:rPr>
        <w:t xml:space="preserve">, </w:t>
      </w:r>
      <w:r w:rsidRPr="006B2701">
        <w:rPr>
          <w:rFonts w:ascii="Tahoma" w:eastAsia="MS Mincho" w:hAnsi="Tahoma" w:cs="Tahoma"/>
          <w:color w:val="000000"/>
          <w:sz w:val="24"/>
          <w:szCs w:val="24"/>
          <w:lang w:val="ro-RO" w:eastAsia="ja-JP"/>
        </w:rPr>
        <w:t>la sfârșitul anului 2022 România s-a situat pe locul 18 între statele membre UE ca nivel de îndatorare, media datoriei guvernamentale pentru zona euro (EA 19) fiind de 91,6% din PIB, iar cea pentru UE27 de 84,0% din PIB.</w:t>
      </w:r>
    </w:p>
    <w:p w14:paraId="2214B476" w14:textId="77777777" w:rsidR="00B23BC7" w:rsidRPr="006B2701" w:rsidRDefault="00B23BC7" w:rsidP="00B23BC7">
      <w:pPr>
        <w:spacing w:after="240" w:line="276" w:lineRule="auto"/>
        <w:jc w:val="both"/>
        <w:rPr>
          <w:rFonts w:ascii="Tahoma" w:eastAsia="MS Mincho" w:hAnsi="Tahoma" w:cs="Tahoma"/>
          <w:sz w:val="24"/>
          <w:szCs w:val="24"/>
          <w:lang w:val="ro-RO" w:eastAsia="ja-JP"/>
        </w:rPr>
      </w:pPr>
      <w:r w:rsidRPr="006B2701">
        <w:rPr>
          <w:rFonts w:ascii="Tahoma" w:eastAsia="MS Mincho" w:hAnsi="Tahoma" w:cs="Tahoma"/>
          <w:sz w:val="24"/>
          <w:szCs w:val="24"/>
          <w:lang w:val="ro-RO" w:eastAsia="ja-JP"/>
        </w:rPr>
        <w:t xml:space="preserve">Un număr de 13 state membre au înregistrat, la finele anului 2022, un nivel al datoriei publice guvernamentale PIB de peste 60% din PIB, cele mai ridicate niveluri înregistrându-se în Grecia (171,3%), Italia (144,4%), Portugalia (113,9%), Spania (113,2%), Franța (111,6%) și Belgia (105,1%). </w:t>
      </w:r>
    </w:p>
    <w:p w14:paraId="0356AB64" w14:textId="77777777" w:rsidR="001E1C0F" w:rsidRPr="006B2701" w:rsidRDefault="001E1C0F" w:rsidP="002A6290">
      <w:pPr>
        <w:widowControl w:val="0"/>
        <w:spacing w:after="120" w:line="276" w:lineRule="auto"/>
        <w:ind w:firstLine="720"/>
        <w:jc w:val="both"/>
        <w:rPr>
          <w:rFonts w:ascii="Tahoma" w:hAnsi="Tahoma" w:cs="Tahoma"/>
          <w:b/>
          <w:bCs/>
          <w:sz w:val="24"/>
          <w:szCs w:val="24"/>
          <w:lang w:val="ro-RO"/>
        </w:rPr>
      </w:pPr>
      <w:r w:rsidRPr="006B2701">
        <w:rPr>
          <w:rFonts w:ascii="Tahoma" w:hAnsi="Tahoma" w:cs="Tahoma"/>
          <w:b/>
          <w:bCs/>
          <w:sz w:val="24"/>
          <w:szCs w:val="24"/>
          <w:lang w:val="ro-RO"/>
        </w:rPr>
        <w:t xml:space="preserve">VI.2 Finanțarea deficitului bugetar </w:t>
      </w:r>
    </w:p>
    <w:p w14:paraId="4EA91944" w14:textId="765B2503" w:rsidR="00B23BC7" w:rsidRPr="006B2701" w:rsidRDefault="00B23BC7" w:rsidP="00B23BC7">
      <w:pPr>
        <w:suppressAutoHyphens/>
        <w:spacing w:after="120" w:line="276" w:lineRule="auto"/>
        <w:jc w:val="both"/>
        <w:rPr>
          <w:rFonts w:ascii="Tahoma" w:eastAsia="SimSun" w:hAnsi="Tahoma" w:cs="Tahoma"/>
          <w:color w:val="00000A"/>
          <w:kern w:val="1"/>
          <w:sz w:val="24"/>
          <w:szCs w:val="24"/>
          <w:lang w:val="ro-RO" w:eastAsia="zh-CN"/>
        </w:rPr>
      </w:pPr>
      <w:r w:rsidRPr="006B2701">
        <w:rPr>
          <w:rFonts w:ascii="Tahoma" w:eastAsia="SimSun" w:hAnsi="Tahoma" w:cs="Tahoma"/>
          <w:color w:val="00000A"/>
          <w:kern w:val="1"/>
          <w:sz w:val="24"/>
          <w:szCs w:val="24"/>
          <w:lang w:val="ro-RO" w:eastAsia="zh-CN"/>
        </w:rPr>
        <w:t xml:space="preserve">Pe parcursul anului 2022, Ministerul Finanțelor a menținut o politică de emisiuni  predictibilă și flexibilă adaptată la cerințele mediului investițional, în contextul evoluțiilor adverse de pe piețele financiare urmare a conflictului geopolitic dintre Rusia și Ucraina . </w:t>
      </w:r>
    </w:p>
    <w:p w14:paraId="220A4894" w14:textId="572492F9" w:rsidR="00B23BC7" w:rsidRPr="006B2701" w:rsidRDefault="00B23BC7" w:rsidP="00B23BC7">
      <w:pPr>
        <w:suppressAutoHyphens/>
        <w:spacing w:after="120" w:line="276" w:lineRule="auto"/>
        <w:jc w:val="both"/>
        <w:rPr>
          <w:rFonts w:ascii="Tahoma" w:eastAsia="MS Mincho" w:hAnsi="Tahoma" w:cs="Tahoma"/>
          <w:sz w:val="24"/>
          <w:szCs w:val="24"/>
          <w:lang w:val="ro-RO" w:eastAsia="ja-JP"/>
        </w:rPr>
      </w:pPr>
      <w:r w:rsidRPr="006B2701">
        <w:rPr>
          <w:rFonts w:ascii="Tahoma" w:eastAsia="SimSun" w:hAnsi="Tahoma" w:cs="Tahoma"/>
          <w:color w:val="00000A"/>
          <w:kern w:val="1"/>
          <w:sz w:val="24"/>
          <w:szCs w:val="24"/>
          <w:lang w:val="ro-RO" w:eastAsia="zh-CN"/>
        </w:rPr>
        <w:t xml:space="preserve">Finanțarea deficitului bugetar în anul  2022 s-a realizat din surse interne și  externe. Sursele necesare refinanțării datoriei publice guvernamentale s-au asigurat de pe piețele pe care s-au emis inițial aceste datorii, precum </w:t>
      </w:r>
      <w:proofErr w:type="spellStart"/>
      <w:r w:rsidRPr="006B2701">
        <w:rPr>
          <w:rFonts w:ascii="Tahoma" w:eastAsia="SimSun" w:hAnsi="Tahoma" w:cs="Tahoma"/>
          <w:color w:val="00000A"/>
          <w:kern w:val="1"/>
          <w:sz w:val="24"/>
          <w:szCs w:val="24"/>
          <w:lang w:val="ro-RO" w:eastAsia="zh-CN"/>
        </w:rPr>
        <w:t>şi</w:t>
      </w:r>
      <w:proofErr w:type="spellEnd"/>
      <w:r w:rsidRPr="006B2701">
        <w:rPr>
          <w:rFonts w:ascii="Tahoma" w:eastAsia="SimSun" w:hAnsi="Tahoma" w:cs="Tahoma"/>
          <w:color w:val="00000A"/>
          <w:kern w:val="1"/>
          <w:sz w:val="24"/>
          <w:szCs w:val="24"/>
          <w:lang w:val="ro-RO" w:eastAsia="zh-CN"/>
        </w:rPr>
        <w:t xml:space="preserve"> din rezerva financiară în valută la dispoziția Ministerului Finanțelor. </w:t>
      </w:r>
    </w:p>
    <w:p w14:paraId="32A9646A" w14:textId="2E40A3C8" w:rsidR="00B23BC7" w:rsidRPr="006B2701" w:rsidRDefault="00B23BC7" w:rsidP="00B23BC7">
      <w:pPr>
        <w:suppressAutoHyphens/>
        <w:spacing w:after="120" w:line="276" w:lineRule="auto"/>
        <w:jc w:val="both"/>
        <w:rPr>
          <w:rFonts w:ascii="Tahoma" w:hAnsi="Tahoma" w:cs="Tahoma"/>
          <w:sz w:val="24"/>
          <w:szCs w:val="24"/>
          <w:lang w:val="ro-RO" w:eastAsia="ro-RO"/>
        </w:rPr>
      </w:pPr>
      <w:r w:rsidRPr="006B2701">
        <w:rPr>
          <w:rFonts w:ascii="Tahoma" w:eastAsia="Times New Roman" w:hAnsi="Tahoma" w:cs="Tahoma"/>
          <w:bCs/>
          <w:sz w:val="24"/>
          <w:szCs w:val="24"/>
          <w:lang w:val="ro-RO"/>
        </w:rPr>
        <w:t>Pentru acoperirea necesarului brut de finanțare de cca 150 mld. lei (10,7% din PIB) determinat de nivelul deficitului bugetului general consolidat de 5,7%</w:t>
      </w:r>
      <w:r w:rsidRPr="006B2701">
        <w:rPr>
          <w:rFonts w:ascii="Tahoma" w:eastAsia="Times New Roman" w:hAnsi="Tahoma" w:cs="Tahoma"/>
          <w:bCs/>
          <w:sz w:val="24"/>
          <w:szCs w:val="24"/>
          <w:vertAlign w:val="superscript"/>
          <w:lang w:val="ro-RO"/>
        </w:rPr>
        <w:footnoteReference w:id="23"/>
      </w:r>
      <w:r w:rsidRPr="006B2701">
        <w:rPr>
          <w:rFonts w:ascii="Tahoma" w:eastAsia="Times New Roman" w:hAnsi="Tahoma" w:cs="Tahoma"/>
          <w:bCs/>
          <w:sz w:val="24"/>
          <w:szCs w:val="24"/>
          <w:lang w:val="ro-RO"/>
        </w:rPr>
        <w:t xml:space="preserve"> din PIB, dar și pentru consolidarea rezervei în valută la dispoziția Trezoreriei Statului, finanțarea deficitului bugetar și refinanțarea datoriei publice guvernamentale a fost asigurată din următoarele surse:</w:t>
      </w:r>
    </w:p>
    <w:p w14:paraId="277DFD2B" w14:textId="77777777" w:rsidR="00B23BC7" w:rsidRPr="006B2701" w:rsidRDefault="00B23BC7" w:rsidP="00B23BC7">
      <w:pPr>
        <w:numPr>
          <w:ilvl w:val="0"/>
          <w:numId w:val="14"/>
        </w:numPr>
        <w:suppressAutoHyphens/>
        <w:spacing w:after="120" w:line="276" w:lineRule="auto"/>
        <w:ind w:left="568" w:hanging="284"/>
        <w:jc w:val="both"/>
        <w:rPr>
          <w:rFonts w:ascii="Tahoma" w:eastAsia="Times New Roman" w:hAnsi="Tahoma" w:cs="Tahoma"/>
          <w:sz w:val="24"/>
          <w:szCs w:val="24"/>
          <w:u w:val="single"/>
          <w:lang w:val="ro-RO" w:eastAsia="zh-CN"/>
        </w:rPr>
      </w:pPr>
      <w:r w:rsidRPr="006B2701">
        <w:rPr>
          <w:rFonts w:ascii="Tahoma" w:eastAsia="Times New Roman" w:hAnsi="Tahoma" w:cs="Tahoma"/>
          <w:sz w:val="24"/>
          <w:szCs w:val="24"/>
          <w:u w:val="single"/>
          <w:lang w:val="ro-RO" w:eastAsia="zh-CN"/>
        </w:rPr>
        <w:t xml:space="preserve">Piața internă :  </w:t>
      </w:r>
    </w:p>
    <w:p w14:paraId="2766191D" w14:textId="77777777" w:rsidR="00B23BC7" w:rsidRPr="006B2701" w:rsidRDefault="00B23BC7" w:rsidP="00B23BC7">
      <w:pPr>
        <w:spacing w:after="120" w:line="276" w:lineRule="auto"/>
        <w:jc w:val="both"/>
        <w:rPr>
          <w:rFonts w:ascii="Tahoma" w:hAnsi="Tahoma" w:cs="Tahoma"/>
          <w:color w:val="FF0000"/>
          <w:sz w:val="24"/>
          <w:szCs w:val="24"/>
          <w:lang w:val="ro-RO"/>
        </w:rPr>
      </w:pPr>
      <w:r w:rsidRPr="006B2701">
        <w:rPr>
          <w:rFonts w:ascii="Tahoma" w:hAnsi="Tahoma" w:cs="Tahoma"/>
          <w:sz w:val="24"/>
          <w:szCs w:val="24"/>
          <w:lang w:val="ro-RO"/>
        </w:rPr>
        <w:t xml:space="preserve">În anul 2022 </w:t>
      </w:r>
      <w:r w:rsidRPr="006B2701">
        <w:rPr>
          <w:rFonts w:ascii="Tahoma" w:eastAsia="MS Mincho" w:hAnsi="Tahoma" w:cs="Tahoma"/>
          <w:sz w:val="24"/>
          <w:szCs w:val="24"/>
          <w:lang w:val="ro-RO" w:eastAsia="ja-JP"/>
        </w:rPr>
        <w:t>s-au emis titluri de stat și împrumuturi pe piața internă în valoare totală de cca. 90 mld. echivalent lei, incluzând obligațiuni de stat denominate în EUR în valoare de 1 mld. EUR și titluri de stat destinate populației în valoare de cca 18 mld. lei.</w:t>
      </w:r>
      <w:r w:rsidRPr="006B2701">
        <w:rPr>
          <w:rFonts w:ascii="Tahoma" w:hAnsi="Tahoma" w:cs="Tahoma"/>
          <w:color w:val="FF0000"/>
          <w:sz w:val="24"/>
          <w:szCs w:val="24"/>
          <w:lang w:val="ro-RO"/>
        </w:rPr>
        <w:t xml:space="preserve"> </w:t>
      </w:r>
    </w:p>
    <w:p w14:paraId="12DE33BF" w14:textId="77777777" w:rsidR="00B23BC7" w:rsidRPr="006B2701" w:rsidRDefault="00B23BC7" w:rsidP="00B23BC7">
      <w:pPr>
        <w:spacing w:after="120" w:line="276" w:lineRule="auto"/>
        <w:jc w:val="both"/>
        <w:rPr>
          <w:rFonts w:ascii="Tahoma" w:eastAsia="MS Mincho" w:hAnsi="Tahoma" w:cs="Tahoma"/>
          <w:sz w:val="24"/>
          <w:szCs w:val="24"/>
          <w:lang w:val="ro-RO" w:eastAsia="ja-JP"/>
        </w:rPr>
      </w:pPr>
    </w:p>
    <w:p w14:paraId="059C17E6" w14:textId="0747B632" w:rsidR="00B23BC7" w:rsidRPr="006B2701" w:rsidRDefault="00B23BC7" w:rsidP="00B23BC7">
      <w:pPr>
        <w:spacing w:after="120" w:line="276" w:lineRule="auto"/>
        <w:jc w:val="both"/>
        <w:rPr>
          <w:rFonts w:ascii="Tahoma" w:eastAsia="MS Mincho" w:hAnsi="Tahoma" w:cs="Tahoma"/>
          <w:sz w:val="24"/>
          <w:szCs w:val="24"/>
          <w:lang w:val="ro-RO" w:eastAsia="ja-JP"/>
        </w:rPr>
      </w:pPr>
      <w:r w:rsidRPr="006B2701">
        <w:rPr>
          <w:rFonts w:ascii="Tahoma" w:eastAsia="MS Mincho" w:hAnsi="Tahoma" w:cs="Tahoma"/>
          <w:sz w:val="24"/>
          <w:szCs w:val="24"/>
          <w:lang w:val="ro-RO" w:eastAsia="ja-JP"/>
        </w:rPr>
        <w:lastRenderedPageBreak/>
        <w:t xml:space="preserve">Politica Ministerului Finanțelor a urmărit extinderea maturității medii rămase a titlurilor de stat, mare parte din emisiuni fiind emise pe segmentul </w:t>
      </w:r>
      <w:proofErr w:type="spellStart"/>
      <w:r w:rsidRPr="006B2701">
        <w:rPr>
          <w:rFonts w:ascii="Tahoma" w:eastAsia="MS Mincho" w:hAnsi="Tahoma" w:cs="Tahoma"/>
          <w:sz w:val="24"/>
          <w:szCs w:val="24"/>
          <w:lang w:val="ro-RO" w:eastAsia="ja-JP"/>
        </w:rPr>
        <w:t>maturităților</w:t>
      </w:r>
      <w:proofErr w:type="spellEnd"/>
      <w:r w:rsidRPr="006B2701">
        <w:rPr>
          <w:rFonts w:ascii="Tahoma" w:eastAsia="MS Mincho" w:hAnsi="Tahoma" w:cs="Tahoma"/>
          <w:sz w:val="24"/>
          <w:szCs w:val="24"/>
          <w:lang w:val="ro-RO" w:eastAsia="ja-JP"/>
        </w:rPr>
        <w:t xml:space="preserve"> medii și lungi.</w:t>
      </w:r>
    </w:p>
    <w:p w14:paraId="49EAA944" w14:textId="42488EFE" w:rsidR="00B23BC7" w:rsidRPr="006B2701" w:rsidRDefault="00B23BC7" w:rsidP="00B23BC7">
      <w:pPr>
        <w:spacing w:after="120" w:line="276" w:lineRule="auto"/>
        <w:jc w:val="both"/>
        <w:rPr>
          <w:rFonts w:ascii="Tahoma" w:eastAsia="MS Mincho" w:hAnsi="Tahoma" w:cs="Tahoma"/>
          <w:sz w:val="24"/>
          <w:szCs w:val="24"/>
          <w:lang w:val="ro-RO" w:eastAsia="ja-JP"/>
        </w:rPr>
      </w:pPr>
      <w:r w:rsidRPr="006B2701">
        <w:rPr>
          <w:rFonts w:ascii="Tahoma" w:eastAsia="MS Mincho" w:hAnsi="Tahoma" w:cs="Tahoma"/>
          <w:sz w:val="24"/>
          <w:szCs w:val="24"/>
          <w:lang w:val="ro-RO" w:eastAsia="ja-JP"/>
        </w:rPr>
        <w:t xml:space="preserve">Obligațiunile de stat de tip </w:t>
      </w:r>
      <w:proofErr w:type="spellStart"/>
      <w:r w:rsidRPr="006B2701">
        <w:rPr>
          <w:rFonts w:ascii="Tahoma" w:eastAsia="MS Mincho" w:hAnsi="Tahoma" w:cs="Tahoma"/>
          <w:sz w:val="24"/>
          <w:szCs w:val="24"/>
          <w:lang w:val="ro-RO" w:eastAsia="ja-JP"/>
        </w:rPr>
        <w:t>benchmark</w:t>
      </w:r>
      <w:proofErr w:type="spellEnd"/>
      <w:r w:rsidRPr="006B2701">
        <w:rPr>
          <w:rFonts w:ascii="Tahoma" w:eastAsia="MS Mincho" w:hAnsi="Tahoma" w:cs="Tahoma"/>
          <w:sz w:val="24"/>
          <w:szCs w:val="24"/>
          <w:lang w:val="ro-RO" w:eastAsia="ja-JP"/>
        </w:rPr>
        <w:t xml:space="preserve"> denominate în lei cu scadențe inițiale cuprinse între 3 - 15 ani au fost emise și redeschise aproape în fiecare lună. </w:t>
      </w:r>
    </w:p>
    <w:p w14:paraId="4A6C7948" w14:textId="53A8AA3B" w:rsidR="00B23BC7" w:rsidRPr="006B2701" w:rsidRDefault="00B23BC7" w:rsidP="00B23BC7">
      <w:pPr>
        <w:spacing w:after="120" w:line="276" w:lineRule="auto"/>
        <w:jc w:val="both"/>
        <w:rPr>
          <w:rFonts w:ascii="Tahoma" w:eastAsia="MS Mincho" w:hAnsi="Tahoma" w:cs="Tahoma"/>
          <w:sz w:val="24"/>
          <w:szCs w:val="24"/>
          <w:lang w:val="ro-RO" w:eastAsia="ja-JP"/>
        </w:rPr>
      </w:pPr>
      <w:r w:rsidRPr="006B2701">
        <w:rPr>
          <w:rFonts w:ascii="Tahoma" w:eastAsia="MS Mincho" w:hAnsi="Tahoma" w:cs="Tahoma"/>
          <w:sz w:val="24"/>
          <w:szCs w:val="24"/>
          <w:lang w:val="ro-RO" w:eastAsia="ja-JP"/>
        </w:rPr>
        <w:t xml:space="preserve">Astfel, titlurile de stat emise pe piața interbancară au avut următoarea structură de </w:t>
      </w:r>
      <w:r w:rsidR="00F874EE" w:rsidRPr="006B2701">
        <w:rPr>
          <w:rFonts w:ascii="Tahoma" w:eastAsia="MS Mincho" w:hAnsi="Tahoma" w:cs="Tahoma"/>
          <w:sz w:val="24"/>
          <w:szCs w:val="24"/>
          <w:lang w:val="ro-RO" w:eastAsia="ja-JP"/>
        </w:rPr>
        <w:t>maturități</w:t>
      </w:r>
      <w:r w:rsidRPr="006B2701">
        <w:rPr>
          <w:rFonts w:ascii="Tahoma" w:eastAsia="MS Mincho" w:hAnsi="Tahoma" w:cs="Tahoma"/>
          <w:sz w:val="24"/>
          <w:szCs w:val="24"/>
          <w:lang w:val="ro-RO" w:eastAsia="ja-JP"/>
        </w:rPr>
        <w:t xml:space="preserve">: </w:t>
      </w:r>
    </w:p>
    <w:p w14:paraId="3E75A85B" w14:textId="77777777" w:rsidR="00B23BC7" w:rsidRPr="006B2701" w:rsidRDefault="00B23BC7" w:rsidP="00B23BC7">
      <w:pPr>
        <w:spacing w:after="120" w:line="276" w:lineRule="auto"/>
        <w:ind w:left="851" w:hanging="284"/>
        <w:jc w:val="both"/>
        <w:rPr>
          <w:rFonts w:ascii="Tahoma" w:eastAsia="MS Mincho" w:hAnsi="Tahoma" w:cs="Tahoma"/>
          <w:sz w:val="24"/>
          <w:szCs w:val="24"/>
          <w:lang w:val="ro-RO" w:eastAsia="ja-JP"/>
        </w:rPr>
      </w:pPr>
      <w:r w:rsidRPr="006B2701">
        <w:rPr>
          <w:rFonts w:ascii="Tahoma" w:eastAsia="MS Mincho" w:hAnsi="Tahoma" w:cs="Tahoma"/>
          <w:sz w:val="24"/>
          <w:szCs w:val="24"/>
          <w:lang w:val="ro-RO" w:eastAsia="ja-JP"/>
        </w:rPr>
        <w:t xml:space="preserve">a) 9,2% reprezintă emisiuni de certificate de trezorerie cu </w:t>
      </w:r>
      <w:proofErr w:type="spellStart"/>
      <w:r w:rsidRPr="006B2701">
        <w:rPr>
          <w:rFonts w:ascii="Tahoma" w:eastAsia="MS Mincho" w:hAnsi="Tahoma" w:cs="Tahoma"/>
          <w:sz w:val="24"/>
          <w:szCs w:val="24"/>
          <w:lang w:val="ro-RO" w:eastAsia="ja-JP"/>
        </w:rPr>
        <w:t>discont</w:t>
      </w:r>
      <w:proofErr w:type="spellEnd"/>
      <w:r w:rsidRPr="006B2701">
        <w:rPr>
          <w:rFonts w:ascii="Tahoma" w:eastAsia="MS Mincho" w:hAnsi="Tahoma" w:cs="Tahoma"/>
          <w:sz w:val="24"/>
          <w:szCs w:val="24"/>
          <w:lang w:val="ro-RO" w:eastAsia="ja-JP"/>
        </w:rPr>
        <w:t xml:space="preserve"> și emisiuni de obligațiuni de tip </w:t>
      </w:r>
      <w:proofErr w:type="spellStart"/>
      <w:r w:rsidRPr="006B2701">
        <w:rPr>
          <w:rFonts w:ascii="Tahoma" w:eastAsia="MS Mincho" w:hAnsi="Tahoma" w:cs="Tahoma"/>
          <w:sz w:val="24"/>
          <w:szCs w:val="24"/>
          <w:lang w:val="ro-RO" w:eastAsia="ja-JP"/>
        </w:rPr>
        <w:t>benchmark</w:t>
      </w:r>
      <w:proofErr w:type="spellEnd"/>
      <w:r w:rsidRPr="006B2701">
        <w:rPr>
          <w:rFonts w:ascii="Tahoma" w:eastAsia="MS Mincho" w:hAnsi="Tahoma" w:cs="Tahoma"/>
          <w:sz w:val="24"/>
          <w:szCs w:val="24"/>
          <w:lang w:val="ro-RO" w:eastAsia="ja-JP"/>
        </w:rPr>
        <w:t xml:space="preserve"> cu maturități reziduale până la 1 an; </w:t>
      </w:r>
    </w:p>
    <w:p w14:paraId="42C885CC" w14:textId="77777777" w:rsidR="00B23BC7" w:rsidRPr="006B2701" w:rsidRDefault="00B23BC7" w:rsidP="00B23BC7">
      <w:pPr>
        <w:spacing w:after="120" w:line="276" w:lineRule="auto"/>
        <w:ind w:left="851" w:hanging="284"/>
        <w:jc w:val="both"/>
        <w:rPr>
          <w:rFonts w:ascii="Tahoma" w:eastAsia="MS Mincho" w:hAnsi="Tahoma" w:cs="Tahoma"/>
          <w:sz w:val="24"/>
          <w:szCs w:val="24"/>
          <w:lang w:val="ro-RO" w:eastAsia="ja-JP"/>
        </w:rPr>
      </w:pPr>
      <w:r w:rsidRPr="006B2701">
        <w:rPr>
          <w:rFonts w:ascii="Tahoma" w:eastAsia="MS Mincho" w:hAnsi="Tahoma" w:cs="Tahoma"/>
          <w:sz w:val="24"/>
          <w:szCs w:val="24"/>
          <w:lang w:val="ro-RO" w:eastAsia="ja-JP"/>
        </w:rPr>
        <w:t xml:space="preserve">b) 28,3% reprezintă emisiuni de obligațiuni de tip </w:t>
      </w:r>
      <w:proofErr w:type="spellStart"/>
      <w:r w:rsidRPr="006B2701">
        <w:rPr>
          <w:rFonts w:ascii="Tahoma" w:eastAsia="MS Mincho" w:hAnsi="Tahoma" w:cs="Tahoma"/>
          <w:sz w:val="24"/>
          <w:szCs w:val="24"/>
          <w:lang w:val="ro-RO" w:eastAsia="ja-JP"/>
        </w:rPr>
        <w:t>benchmark</w:t>
      </w:r>
      <w:proofErr w:type="spellEnd"/>
      <w:r w:rsidRPr="006B2701">
        <w:rPr>
          <w:rFonts w:ascii="Tahoma" w:eastAsia="MS Mincho" w:hAnsi="Tahoma" w:cs="Tahoma"/>
          <w:sz w:val="24"/>
          <w:szCs w:val="24"/>
          <w:lang w:val="ro-RO" w:eastAsia="ja-JP"/>
        </w:rPr>
        <w:t xml:space="preserve"> cu maturități reziduale între 1 și 5 ani; </w:t>
      </w:r>
      <w:proofErr w:type="spellStart"/>
      <w:r w:rsidRPr="006B2701">
        <w:rPr>
          <w:rFonts w:ascii="Tahoma" w:eastAsia="MS Mincho" w:hAnsi="Tahoma" w:cs="Tahoma"/>
          <w:sz w:val="24"/>
          <w:szCs w:val="24"/>
          <w:lang w:val="ro-RO" w:eastAsia="ja-JP"/>
        </w:rPr>
        <w:t>şi</w:t>
      </w:r>
      <w:proofErr w:type="spellEnd"/>
      <w:r w:rsidRPr="006B2701">
        <w:rPr>
          <w:rFonts w:ascii="Tahoma" w:eastAsia="MS Mincho" w:hAnsi="Tahoma" w:cs="Tahoma"/>
          <w:sz w:val="24"/>
          <w:szCs w:val="24"/>
          <w:lang w:val="ro-RO" w:eastAsia="ja-JP"/>
        </w:rPr>
        <w:t xml:space="preserve"> </w:t>
      </w:r>
    </w:p>
    <w:p w14:paraId="2049AA26" w14:textId="00621B00" w:rsidR="00B23BC7" w:rsidRPr="006B2701" w:rsidRDefault="00B23BC7" w:rsidP="00B23BC7">
      <w:pPr>
        <w:spacing w:after="120" w:line="276" w:lineRule="auto"/>
        <w:ind w:left="851" w:hanging="284"/>
        <w:jc w:val="both"/>
        <w:rPr>
          <w:rFonts w:ascii="Tahoma" w:eastAsia="MS Mincho" w:hAnsi="Tahoma" w:cs="Tahoma"/>
          <w:sz w:val="24"/>
          <w:szCs w:val="24"/>
          <w:lang w:val="ro-RO" w:eastAsia="ja-JP"/>
        </w:rPr>
      </w:pPr>
      <w:r w:rsidRPr="006B2701">
        <w:rPr>
          <w:rFonts w:ascii="Tahoma" w:eastAsia="MS Mincho" w:hAnsi="Tahoma" w:cs="Tahoma"/>
          <w:sz w:val="24"/>
          <w:szCs w:val="24"/>
          <w:lang w:val="ro-RO" w:eastAsia="ja-JP"/>
        </w:rPr>
        <w:t xml:space="preserve">c) 62,5% reprezintă emisiuni de obligațiuni de tip </w:t>
      </w:r>
      <w:proofErr w:type="spellStart"/>
      <w:r w:rsidRPr="006B2701">
        <w:rPr>
          <w:rFonts w:ascii="Tahoma" w:eastAsia="MS Mincho" w:hAnsi="Tahoma" w:cs="Tahoma"/>
          <w:sz w:val="24"/>
          <w:szCs w:val="24"/>
          <w:lang w:val="ro-RO" w:eastAsia="ja-JP"/>
        </w:rPr>
        <w:t>benchmark</w:t>
      </w:r>
      <w:proofErr w:type="spellEnd"/>
      <w:r w:rsidRPr="006B2701">
        <w:rPr>
          <w:rFonts w:ascii="Tahoma" w:eastAsia="MS Mincho" w:hAnsi="Tahoma" w:cs="Tahoma"/>
          <w:sz w:val="24"/>
          <w:szCs w:val="24"/>
          <w:lang w:val="ro-RO" w:eastAsia="ja-JP"/>
        </w:rPr>
        <w:t xml:space="preserve"> cu maturități reziduale între 5 </w:t>
      </w:r>
      <w:proofErr w:type="spellStart"/>
      <w:r w:rsidRPr="006B2701">
        <w:rPr>
          <w:rFonts w:ascii="Tahoma" w:eastAsia="MS Mincho" w:hAnsi="Tahoma" w:cs="Tahoma"/>
          <w:sz w:val="24"/>
          <w:szCs w:val="24"/>
          <w:lang w:val="ro-RO" w:eastAsia="ja-JP"/>
        </w:rPr>
        <w:t>şi</w:t>
      </w:r>
      <w:proofErr w:type="spellEnd"/>
      <w:r w:rsidRPr="006B2701">
        <w:rPr>
          <w:rFonts w:ascii="Tahoma" w:eastAsia="MS Mincho" w:hAnsi="Tahoma" w:cs="Tahoma"/>
          <w:sz w:val="24"/>
          <w:szCs w:val="24"/>
          <w:lang w:val="ro-RO" w:eastAsia="ja-JP"/>
        </w:rPr>
        <w:t xml:space="preserve"> 14 ani. </w:t>
      </w:r>
    </w:p>
    <w:p w14:paraId="11B708D1" w14:textId="7E0534D9" w:rsidR="00B23BC7" w:rsidRPr="006B2701" w:rsidRDefault="00B23BC7" w:rsidP="00B23BC7">
      <w:pPr>
        <w:spacing w:after="120" w:line="276" w:lineRule="auto"/>
        <w:jc w:val="both"/>
        <w:rPr>
          <w:rFonts w:ascii="Tahoma" w:eastAsia="Times New Roman" w:hAnsi="Tahoma" w:cs="Tahoma"/>
          <w:lang w:val="ro-RO" w:eastAsia="zh-CN"/>
        </w:rPr>
      </w:pPr>
      <w:r w:rsidRPr="006B2701">
        <w:rPr>
          <w:rFonts w:ascii="Tahoma" w:eastAsia="MS Mincho" w:hAnsi="Tahoma" w:cs="Tahoma"/>
          <w:sz w:val="24"/>
          <w:szCs w:val="24"/>
          <w:lang w:val="ro-RO" w:eastAsia="ja-JP"/>
        </w:rPr>
        <w:t xml:space="preserve">În anul 2022 au continuat emisiunile destinate populației prin cele două programe TEZAUR și FIDELIS. În cadrul Programului TEZAUR derulat prin intermediul unităților operative ale Trezoreriei Statului, precum și prin subunitățile poștale ale Companiei Naționale Poșta Română S.A., au fost lansate 11 emisiuni cu maturități cuprinse între 1 și 5 ani, în care peste 114.000 de persoane fizice au investit cca 12 mld. lei. În cadrul Programului FIDELIS derulat prin intermediul </w:t>
      </w:r>
      <w:r w:rsidRPr="006B2701">
        <w:rPr>
          <w:rFonts w:ascii="Tahoma" w:eastAsia="MS Mincho" w:hAnsi="Tahoma" w:cs="Tahoma"/>
          <w:bCs/>
          <w:sz w:val="24"/>
          <w:szCs w:val="24"/>
          <w:lang w:val="ro-RO" w:eastAsia="ja-JP"/>
        </w:rPr>
        <w:t xml:space="preserve">sindicatului de bănci selectat format din Banca Transilvania/BT Capital </w:t>
      </w:r>
      <w:proofErr w:type="spellStart"/>
      <w:r w:rsidRPr="006B2701">
        <w:rPr>
          <w:rFonts w:ascii="Tahoma" w:eastAsia="MS Mincho" w:hAnsi="Tahoma" w:cs="Tahoma"/>
          <w:bCs/>
          <w:sz w:val="24"/>
          <w:szCs w:val="24"/>
          <w:lang w:val="ro-RO" w:eastAsia="ja-JP"/>
        </w:rPr>
        <w:t>Partners</w:t>
      </w:r>
      <w:proofErr w:type="spellEnd"/>
      <w:r w:rsidRPr="006B2701">
        <w:rPr>
          <w:rFonts w:ascii="Tahoma" w:eastAsia="MS Mincho" w:hAnsi="Tahoma" w:cs="Tahoma"/>
          <w:bCs/>
          <w:sz w:val="24"/>
          <w:szCs w:val="24"/>
          <w:lang w:val="ro-RO" w:eastAsia="ja-JP"/>
        </w:rPr>
        <w:t xml:space="preserve">, BCR, BRD și </w:t>
      </w:r>
      <w:proofErr w:type="spellStart"/>
      <w:r w:rsidRPr="006B2701">
        <w:rPr>
          <w:rFonts w:ascii="Tahoma" w:eastAsia="MS Mincho" w:hAnsi="Tahoma" w:cs="Tahoma"/>
          <w:bCs/>
          <w:sz w:val="24"/>
          <w:szCs w:val="24"/>
          <w:lang w:val="ro-RO" w:eastAsia="ja-JP"/>
        </w:rPr>
        <w:t>AlphaBank</w:t>
      </w:r>
      <w:proofErr w:type="spellEnd"/>
      <w:r w:rsidRPr="006B2701">
        <w:rPr>
          <w:rFonts w:ascii="Tahoma" w:eastAsia="MS Mincho" w:hAnsi="Tahoma" w:cs="Tahoma"/>
          <w:bCs/>
          <w:sz w:val="24"/>
          <w:szCs w:val="24"/>
          <w:lang w:val="ro-RO" w:eastAsia="ja-JP"/>
        </w:rPr>
        <w:t>,</w:t>
      </w:r>
      <w:r w:rsidRPr="006B2701">
        <w:rPr>
          <w:rFonts w:ascii="Tahoma" w:eastAsia="MS Mincho" w:hAnsi="Tahoma" w:cs="Tahoma"/>
          <w:sz w:val="24"/>
          <w:szCs w:val="24"/>
          <w:lang w:val="ro-RO" w:eastAsia="ja-JP"/>
        </w:rPr>
        <w:t xml:space="preserve"> au fost lansate patru emisiuni, atât</w:t>
      </w:r>
      <w:r w:rsidRPr="006B2701">
        <w:rPr>
          <w:rFonts w:ascii="Tahoma" w:eastAsia="MS Mincho" w:hAnsi="Tahoma" w:cs="Tahoma"/>
          <w:bCs/>
          <w:sz w:val="24"/>
          <w:szCs w:val="24"/>
          <w:lang w:val="ro-RO" w:eastAsia="ja-JP"/>
        </w:rPr>
        <w:t xml:space="preserve"> în lei (maturități cuprinse între 1 și 3 ani), cât și în EUR (maturități cuprinse între 1 și 2 ani), cu o valoare atrasă de cca 6 mld. echivalent lei.</w:t>
      </w:r>
    </w:p>
    <w:p w14:paraId="35D9E490" w14:textId="77777777" w:rsidR="00B23BC7" w:rsidRPr="006B2701" w:rsidRDefault="00B23BC7" w:rsidP="00B23BC7">
      <w:pPr>
        <w:numPr>
          <w:ilvl w:val="0"/>
          <w:numId w:val="14"/>
        </w:numPr>
        <w:spacing w:after="120" w:line="276" w:lineRule="auto"/>
        <w:ind w:left="568" w:hanging="284"/>
        <w:jc w:val="both"/>
        <w:rPr>
          <w:rFonts w:ascii="Tahoma" w:hAnsi="Tahoma" w:cs="Tahoma"/>
          <w:color w:val="000000"/>
          <w:sz w:val="24"/>
          <w:lang w:val="ro-RO"/>
        </w:rPr>
      </w:pPr>
      <w:r w:rsidRPr="006B2701">
        <w:rPr>
          <w:rFonts w:ascii="Tahoma" w:eastAsia="Times New Roman" w:hAnsi="Tahoma" w:cs="Tahoma"/>
          <w:sz w:val="24"/>
          <w:szCs w:val="24"/>
          <w:u w:val="single"/>
          <w:lang w:val="ro-RO" w:eastAsia="zh-CN"/>
        </w:rPr>
        <w:t xml:space="preserve">Piața externă </w:t>
      </w:r>
    </w:p>
    <w:p w14:paraId="0322295B" w14:textId="0C69EACE" w:rsidR="00B23BC7" w:rsidRPr="006B2701" w:rsidRDefault="00B23BC7" w:rsidP="00B23BC7">
      <w:pPr>
        <w:spacing w:after="120" w:line="276" w:lineRule="auto"/>
        <w:jc w:val="both"/>
        <w:rPr>
          <w:rFonts w:ascii="Tahoma" w:hAnsi="Tahoma" w:cs="Tahoma"/>
          <w:sz w:val="24"/>
          <w:szCs w:val="24"/>
          <w:lang w:val="ro-RO"/>
        </w:rPr>
      </w:pPr>
      <w:r w:rsidRPr="006B2701">
        <w:rPr>
          <w:rFonts w:ascii="Tahoma" w:hAnsi="Tahoma" w:cs="Tahoma"/>
          <w:sz w:val="24"/>
          <w:szCs w:val="24"/>
          <w:lang w:val="ro-RO"/>
        </w:rPr>
        <w:t xml:space="preserve">În anul 2022 finanțarea externă a fost asigurată prin emisiuni de </w:t>
      </w:r>
      <w:r w:rsidR="00F874EE" w:rsidRPr="006B2701">
        <w:rPr>
          <w:rFonts w:ascii="Tahoma" w:hAnsi="Tahoma" w:cs="Tahoma"/>
          <w:sz w:val="24"/>
          <w:szCs w:val="24"/>
          <w:lang w:val="ro-RO"/>
        </w:rPr>
        <w:t>euroobligațiuni</w:t>
      </w:r>
      <w:r w:rsidRPr="006B2701">
        <w:rPr>
          <w:rFonts w:ascii="Tahoma" w:hAnsi="Tahoma" w:cs="Tahoma"/>
          <w:sz w:val="24"/>
          <w:szCs w:val="24"/>
          <w:lang w:val="ro-RO"/>
        </w:rPr>
        <w:t xml:space="preserve"> și trageri în cadrul împrumuturilor de la instituțiile financiare internaționale (BEI, BIRD CE, etc).</w:t>
      </w:r>
    </w:p>
    <w:p w14:paraId="50992EA5" w14:textId="77777777" w:rsidR="00B23BC7" w:rsidRPr="006B2701" w:rsidRDefault="00B23BC7" w:rsidP="00B23BC7">
      <w:pPr>
        <w:spacing w:after="120" w:line="276" w:lineRule="auto"/>
        <w:jc w:val="both"/>
        <w:rPr>
          <w:rFonts w:ascii="Tahoma" w:hAnsi="Tahoma" w:cs="Tahoma"/>
          <w:sz w:val="24"/>
          <w:szCs w:val="24"/>
          <w:lang w:val="ro-RO"/>
        </w:rPr>
      </w:pPr>
      <w:r w:rsidRPr="006B2701">
        <w:rPr>
          <w:rFonts w:ascii="Tahoma" w:hAnsi="Tahoma" w:cs="Tahoma"/>
          <w:sz w:val="24"/>
          <w:szCs w:val="24"/>
          <w:lang w:val="ro-RO"/>
        </w:rPr>
        <w:t xml:space="preserve">În cadrul Programului Medium </w:t>
      </w:r>
      <w:proofErr w:type="spellStart"/>
      <w:r w:rsidRPr="006B2701">
        <w:rPr>
          <w:rFonts w:ascii="Tahoma" w:hAnsi="Tahoma" w:cs="Tahoma"/>
          <w:sz w:val="24"/>
          <w:szCs w:val="24"/>
          <w:lang w:val="ro-RO"/>
        </w:rPr>
        <w:t>Term</w:t>
      </w:r>
      <w:proofErr w:type="spellEnd"/>
      <w:r w:rsidRPr="006B2701">
        <w:rPr>
          <w:rFonts w:ascii="Tahoma" w:hAnsi="Tahoma" w:cs="Tahoma"/>
          <w:sz w:val="24"/>
          <w:szCs w:val="24"/>
          <w:lang w:val="ro-RO"/>
        </w:rPr>
        <w:t xml:space="preserve"> Notes, au fost lansate 3 emisiuni și 4 plasamente private, fiind atrasă suma de 8,5 mld. EUR echivalent, după cum urmează: </w:t>
      </w:r>
    </w:p>
    <w:p w14:paraId="1F9F5EB1" w14:textId="77777777" w:rsidR="00B23BC7" w:rsidRPr="006B2701" w:rsidRDefault="00B23BC7" w:rsidP="00B23BC7">
      <w:pPr>
        <w:shd w:val="clear" w:color="auto" w:fill="FFFFFF"/>
        <w:spacing w:before="120" w:after="120" w:line="276" w:lineRule="auto"/>
        <w:ind w:left="851" w:hanging="284"/>
        <w:jc w:val="both"/>
        <w:rPr>
          <w:rFonts w:ascii="Tahoma" w:hAnsi="Tahoma" w:cs="Tahoma"/>
          <w:sz w:val="24"/>
          <w:szCs w:val="24"/>
          <w:lang w:val="ro-RO"/>
        </w:rPr>
      </w:pPr>
      <w:r w:rsidRPr="006B2701">
        <w:rPr>
          <w:rFonts w:ascii="Tahoma" w:hAnsi="Tahoma" w:cs="Tahoma"/>
          <w:kern w:val="1"/>
          <w:sz w:val="24"/>
          <w:szCs w:val="24"/>
          <w:lang w:val="ro-RO"/>
        </w:rPr>
        <w:t xml:space="preserve">• </w:t>
      </w:r>
      <w:r w:rsidRPr="006B2701">
        <w:rPr>
          <w:rFonts w:ascii="Tahoma" w:hAnsi="Tahoma" w:cs="Tahoma"/>
          <w:sz w:val="24"/>
          <w:szCs w:val="24"/>
          <w:lang w:val="ro-RO"/>
        </w:rPr>
        <w:t>Ianuarie – emisiune în două tranșe în sumă de 2,44 mld. USD, cu maturități de 5 și 10 ani; emisiune în două tranșe în sumă de 2,5 mld. EUR, cu maturități de 6 și 12 ani;</w:t>
      </w:r>
    </w:p>
    <w:p w14:paraId="40006240" w14:textId="77777777" w:rsidR="00B23BC7" w:rsidRPr="006B2701" w:rsidRDefault="00B23BC7" w:rsidP="00B23BC7">
      <w:pPr>
        <w:shd w:val="clear" w:color="auto" w:fill="FFFFFF"/>
        <w:spacing w:before="120" w:after="120" w:line="276" w:lineRule="auto"/>
        <w:ind w:left="851" w:hanging="284"/>
        <w:jc w:val="both"/>
        <w:rPr>
          <w:rFonts w:ascii="Tahoma" w:hAnsi="Tahoma" w:cs="Tahoma"/>
          <w:sz w:val="24"/>
          <w:szCs w:val="24"/>
          <w:lang w:val="ro-RO"/>
        </w:rPr>
      </w:pPr>
      <w:r w:rsidRPr="006B2701">
        <w:rPr>
          <w:rFonts w:ascii="Tahoma" w:hAnsi="Tahoma" w:cs="Tahoma"/>
          <w:sz w:val="24"/>
          <w:szCs w:val="24"/>
          <w:lang w:val="ro-RO"/>
        </w:rPr>
        <w:t>• Mai - emisiune în două tranșe în sumă de 1,75 mld. USD, cu maturități de 5 și 12 ani;</w:t>
      </w:r>
    </w:p>
    <w:p w14:paraId="6C625182" w14:textId="5389AC90" w:rsidR="00B23BC7" w:rsidRPr="006B2701" w:rsidRDefault="00B23BC7" w:rsidP="00B23BC7">
      <w:pPr>
        <w:shd w:val="clear" w:color="auto" w:fill="FFFFFF"/>
        <w:spacing w:before="120" w:after="120" w:line="276" w:lineRule="auto"/>
        <w:ind w:left="851" w:hanging="284"/>
        <w:jc w:val="both"/>
        <w:rPr>
          <w:rFonts w:ascii="Tahoma" w:eastAsia="Times New Roman" w:hAnsi="Tahoma" w:cs="Tahoma"/>
          <w:sz w:val="24"/>
          <w:szCs w:val="24"/>
          <w:lang w:val="ro-RO" w:eastAsia="zh-CN"/>
        </w:rPr>
      </w:pPr>
      <w:r w:rsidRPr="006B2701">
        <w:rPr>
          <w:rFonts w:ascii="Tahoma" w:hAnsi="Tahoma" w:cs="Tahoma"/>
          <w:sz w:val="24"/>
          <w:szCs w:val="24"/>
          <w:lang w:val="ro-RO"/>
        </w:rPr>
        <w:t xml:space="preserve">• Septembrie - emisiune în două tranșe în sumă de 1,35 mld. EUR, cu maturități de 4 și 7 ani. </w:t>
      </w:r>
    </w:p>
    <w:p w14:paraId="6647546A" w14:textId="1647129D" w:rsidR="00B23BC7" w:rsidRPr="006B2701" w:rsidRDefault="00B23BC7" w:rsidP="00B23BC7">
      <w:pPr>
        <w:suppressAutoHyphens/>
        <w:spacing w:after="120" w:line="276" w:lineRule="auto"/>
        <w:jc w:val="both"/>
        <w:rPr>
          <w:rFonts w:ascii="Tahoma" w:eastAsia="Times New Roman" w:hAnsi="Tahoma" w:cs="Tahoma"/>
          <w:sz w:val="24"/>
          <w:szCs w:val="24"/>
          <w:lang w:val="ro-RO" w:eastAsia="zh-CN"/>
        </w:rPr>
      </w:pPr>
      <w:r w:rsidRPr="006B2701">
        <w:rPr>
          <w:rFonts w:ascii="Tahoma" w:eastAsia="Times New Roman" w:hAnsi="Tahoma" w:cs="Tahoma"/>
          <w:sz w:val="24"/>
          <w:szCs w:val="24"/>
          <w:lang w:val="ro-RO" w:eastAsia="zh-CN"/>
        </w:rPr>
        <w:t xml:space="preserve">În perioada august - noiembrie au fost efectuate plasamente private în valoare de cca 600 </w:t>
      </w:r>
      <w:proofErr w:type="spellStart"/>
      <w:r w:rsidRPr="006B2701">
        <w:rPr>
          <w:rFonts w:ascii="Tahoma" w:eastAsia="Times New Roman" w:hAnsi="Tahoma" w:cs="Tahoma"/>
          <w:sz w:val="24"/>
          <w:szCs w:val="24"/>
          <w:lang w:val="ro-RO" w:eastAsia="zh-CN"/>
        </w:rPr>
        <w:t>mln</w:t>
      </w:r>
      <w:proofErr w:type="spellEnd"/>
      <w:r w:rsidRPr="006B2701">
        <w:rPr>
          <w:rFonts w:ascii="Tahoma" w:eastAsia="Times New Roman" w:hAnsi="Tahoma" w:cs="Tahoma"/>
          <w:sz w:val="24"/>
          <w:szCs w:val="24"/>
          <w:lang w:val="ro-RO" w:eastAsia="zh-CN"/>
        </w:rPr>
        <w:t>. echivalent EUR, prin redeschideri ale emisiunilor externe existente cu maturități reziduale cuprinse între 2-12 ani.</w:t>
      </w:r>
    </w:p>
    <w:p w14:paraId="5C0441AA" w14:textId="396F12E3" w:rsidR="00B23BC7" w:rsidRPr="006B2701" w:rsidRDefault="00B23BC7" w:rsidP="00B23BC7">
      <w:pPr>
        <w:suppressAutoHyphens/>
        <w:spacing w:after="120" w:line="276" w:lineRule="auto"/>
        <w:jc w:val="both"/>
        <w:rPr>
          <w:rFonts w:ascii="Tahoma" w:eastAsia="Times New Roman" w:hAnsi="Tahoma" w:cs="Tahoma"/>
          <w:sz w:val="24"/>
          <w:szCs w:val="24"/>
          <w:lang w:val="ro-RO" w:eastAsia="zh-CN"/>
        </w:rPr>
      </w:pPr>
      <w:r w:rsidRPr="006B2701">
        <w:rPr>
          <w:rFonts w:ascii="Tahoma" w:eastAsia="Times New Roman" w:hAnsi="Tahoma" w:cs="Tahoma"/>
          <w:sz w:val="24"/>
          <w:szCs w:val="24"/>
          <w:lang w:val="ro-RO" w:eastAsia="zh-CN"/>
        </w:rPr>
        <w:t xml:space="preserve">Operațiunile de pe piața externă au inclus și trageri în valoare totală de cca. 4 mld. EUR aferente împrumuturilor contractate de la instituții financiare internaționale (BEI, BIRD, etc.) </w:t>
      </w:r>
      <w:r w:rsidRPr="006B2701">
        <w:rPr>
          <w:rFonts w:ascii="Tahoma" w:eastAsia="Times New Roman" w:hAnsi="Tahoma" w:cs="Tahoma"/>
          <w:sz w:val="24"/>
          <w:szCs w:val="24"/>
          <w:lang w:val="ro-RO"/>
        </w:rPr>
        <w:lastRenderedPageBreak/>
        <w:t>precum și împrumuturilor de la Uniunea Europeană (UE) în cadrul instrumentelor de finanțare instituite la nivelul UE începând cu anul 2020.</w:t>
      </w:r>
    </w:p>
    <w:p w14:paraId="0EE05F47" w14:textId="7BBB88CB" w:rsidR="00B23BC7" w:rsidRPr="006B2701" w:rsidRDefault="00B23BC7" w:rsidP="00B23BC7">
      <w:pPr>
        <w:suppressAutoHyphens/>
        <w:spacing w:after="120" w:line="276" w:lineRule="auto"/>
        <w:jc w:val="both"/>
        <w:rPr>
          <w:rFonts w:ascii="Tahoma" w:eastAsia="Times New Roman" w:hAnsi="Tahoma" w:cs="Tahoma"/>
          <w:bCs/>
          <w:sz w:val="24"/>
          <w:szCs w:val="24"/>
          <w:lang w:val="ro-RO"/>
        </w:rPr>
      </w:pPr>
      <w:r w:rsidRPr="006B2701">
        <w:rPr>
          <w:rFonts w:ascii="Tahoma" w:eastAsia="Times New Roman" w:hAnsi="Tahoma" w:cs="Tahoma"/>
          <w:bCs/>
          <w:sz w:val="24"/>
          <w:szCs w:val="24"/>
          <w:lang w:val="ro-RO"/>
        </w:rPr>
        <w:t>Pentru îmbunătățirea managementului datoriei publice și evitarea presiunilor sezoniere în asigurarea surselor de finanțare a deficitului bugetar și de refinanțare a datoriei publice guvernamentale, în vederea reducerii riscului de refinanțare și de lichiditate, politica Ministerului Finanțelor a fost de menținere a rezervei financiare (buffer) în valută la dispoziția Trezoreriei Statului, în valoare echivalentă acoperirii necesităților de finanțare a deficitului bugetar și refinanțării datoriei publice de până la 4 luni.</w:t>
      </w:r>
    </w:p>
    <w:p w14:paraId="50B3DF70" w14:textId="77777777" w:rsidR="00B23BC7" w:rsidRPr="006B2701" w:rsidRDefault="00B23BC7" w:rsidP="00B23BC7">
      <w:pPr>
        <w:suppressAutoHyphens/>
        <w:spacing w:after="120" w:line="276" w:lineRule="auto"/>
        <w:jc w:val="both"/>
        <w:rPr>
          <w:rFonts w:ascii="Tahoma" w:eastAsia="Times New Roman" w:hAnsi="Tahoma" w:cs="Tahoma"/>
          <w:bCs/>
          <w:sz w:val="24"/>
          <w:szCs w:val="24"/>
          <w:lang w:val="ro-RO"/>
        </w:rPr>
      </w:pPr>
      <w:r w:rsidRPr="006B2701">
        <w:rPr>
          <w:rFonts w:ascii="Tahoma" w:eastAsia="Times New Roman" w:hAnsi="Tahoma" w:cs="Tahoma"/>
          <w:bCs/>
          <w:sz w:val="24"/>
          <w:szCs w:val="24"/>
          <w:lang w:val="ro-RO"/>
        </w:rPr>
        <w:t xml:space="preserve">În anul 2022, </w:t>
      </w:r>
      <w:r w:rsidRPr="006B2701">
        <w:rPr>
          <w:rFonts w:ascii="Tahoma" w:eastAsia="Times New Roman" w:hAnsi="Tahoma" w:cs="Tahoma"/>
          <w:b/>
          <w:bCs/>
          <w:sz w:val="24"/>
          <w:szCs w:val="24"/>
          <w:lang w:val="ro-RO"/>
        </w:rPr>
        <w:t xml:space="preserve">garanțiile de stat acordate în cadrul programelor guvernamentale </w:t>
      </w:r>
      <w:r w:rsidRPr="006B2701">
        <w:rPr>
          <w:rFonts w:ascii="Tahoma" w:eastAsia="Times New Roman" w:hAnsi="Tahoma" w:cs="Tahoma"/>
          <w:bCs/>
          <w:sz w:val="24"/>
          <w:szCs w:val="24"/>
          <w:lang w:val="ro-RO"/>
        </w:rPr>
        <w:t>(IMM Invest, etc.) au fost în sumă de cca.19 mld. lei, în limita plafonului de 40 mld. lei stabilit prin Legea nr.312/2021 pentru aprobarea plafoanelor unor indicatori specificați în cadrul fiscal-bugetar pe anul 2022 și actualizat prin Ordonanța Guvernului nr.19/2022 cu privire la rectificarea bugetului de stat pe anul 2022.</w:t>
      </w:r>
    </w:p>
    <w:p w14:paraId="7A82D5A3" w14:textId="77777777" w:rsidR="001E1C0F" w:rsidRPr="006B2701" w:rsidRDefault="001E1C0F" w:rsidP="002A6290">
      <w:pPr>
        <w:suppressAutoHyphens/>
        <w:spacing w:before="100" w:beforeAutospacing="1" w:after="100" w:afterAutospacing="1" w:line="276" w:lineRule="auto"/>
        <w:ind w:firstLine="720"/>
        <w:jc w:val="both"/>
        <w:rPr>
          <w:rFonts w:ascii="Tahoma" w:eastAsia="MS Mincho" w:hAnsi="Tahoma" w:cs="Tahoma"/>
          <w:sz w:val="24"/>
          <w:szCs w:val="24"/>
          <w:lang w:val="ro-RO" w:eastAsia="ja-JP"/>
        </w:rPr>
      </w:pPr>
      <w:r w:rsidRPr="006B2701">
        <w:rPr>
          <w:rFonts w:ascii="Tahoma" w:hAnsi="Tahoma" w:cs="Tahoma"/>
          <w:b/>
          <w:bCs/>
          <w:sz w:val="24"/>
          <w:szCs w:val="24"/>
          <w:lang w:val="ro-RO"/>
        </w:rPr>
        <w:t>VI.3 Datoria publică locală</w:t>
      </w:r>
    </w:p>
    <w:p w14:paraId="7139D4B0" w14:textId="77777777" w:rsidR="00B23BC7" w:rsidRPr="006B2701" w:rsidRDefault="00B23BC7" w:rsidP="00B23BC7">
      <w:pPr>
        <w:suppressAutoHyphens/>
        <w:spacing w:line="276" w:lineRule="auto"/>
        <w:jc w:val="both"/>
        <w:rPr>
          <w:rFonts w:ascii="Tahoma" w:eastAsia="Times New Roman" w:hAnsi="Tahoma" w:cs="Tahoma"/>
          <w:bCs/>
          <w:sz w:val="24"/>
          <w:szCs w:val="24"/>
          <w:lang w:val="ro-RO"/>
        </w:rPr>
      </w:pPr>
      <w:r w:rsidRPr="006B2701">
        <w:rPr>
          <w:rFonts w:ascii="Tahoma" w:eastAsia="Times New Roman" w:hAnsi="Tahoma" w:cs="Tahoma"/>
          <w:bCs/>
          <w:sz w:val="24"/>
          <w:szCs w:val="24"/>
          <w:lang w:val="ro-RO"/>
        </w:rPr>
        <w:t>În anul 2022, tragerile autorizate din finanțările rambursabile contractate sau care urmau să fie contractate de către unitățile/subdiviziunile administrativ-teritoriale au fost în sumă de cca 2 mld. lei, iar finanțările rambursabile autorizate pentru a fi contractate de unitățile/subdiviziunile administrativ-teritoriale pentru realizarea de investiții publice de interes local au fost în valoare de cca. 2 mld. lei, în limita plafoanelor anuale aprobate prin Legea nr. 312/2021 pentru aprobarea plafoanelor unor indicatori specificați în cadrul fiscal-bugetar pe anul 2022, cu modificările aduse prin Ordonanța Guvernului nr. 19/2022 cu privire la rectificarea bugetului de stat pe anul 2022 și Ordonanța de urgență a Guvernului nr. 160/2022 cu privire la rectificarea bugetului de stat pe anul 2022.</w:t>
      </w:r>
    </w:p>
    <w:p w14:paraId="52A16736" w14:textId="77777777" w:rsidR="00B23BC7" w:rsidRPr="006B2701" w:rsidRDefault="00B23BC7" w:rsidP="00B23BC7">
      <w:pPr>
        <w:spacing w:before="120" w:line="276" w:lineRule="auto"/>
        <w:jc w:val="both"/>
        <w:rPr>
          <w:rFonts w:ascii="Tahoma" w:eastAsia="Times New Roman" w:hAnsi="Tahoma" w:cs="Tahoma"/>
          <w:bCs/>
          <w:sz w:val="24"/>
          <w:szCs w:val="24"/>
          <w:lang w:val="ro-RO"/>
        </w:rPr>
      </w:pPr>
      <w:r w:rsidRPr="006B2701">
        <w:rPr>
          <w:rFonts w:ascii="Tahoma" w:eastAsia="Times New Roman" w:hAnsi="Tahoma" w:cs="Tahoma"/>
          <w:bCs/>
          <w:sz w:val="24"/>
          <w:szCs w:val="24"/>
          <w:lang w:val="ro-RO"/>
        </w:rPr>
        <w:t xml:space="preserve">De asemenea, au fost autorizate finanțări rambursabile, în sumă totală de cca. 788,8 mil. lei, pentru a fi contractate de unitățile/subdiviziunile administrativ-teritoriale în vederea </w:t>
      </w:r>
      <w:proofErr w:type="spellStart"/>
      <w:r w:rsidRPr="006B2701">
        <w:rPr>
          <w:rFonts w:ascii="Tahoma" w:eastAsia="Times New Roman" w:hAnsi="Tahoma" w:cs="Tahoma"/>
          <w:bCs/>
          <w:sz w:val="24"/>
          <w:szCs w:val="24"/>
          <w:lang w:val="ro-RO"/>
        </w:rPr>
        <w:t>prefinanțării</w:t>
      </w:r>
      <w:proofErr w:type="spellEnd"/>
      <w:r w:rsidRPr="006B2701">
        <w:rPr>
          <w:rFonts w:ascii="Tahoma" w:eastAsia="Times New Roman" w:hAnsi="Tahoma" w:cs="Tahoma"/>
          <w:bCs/>
          <w:sz w:val="24"/>
          <w:szCs w:val="24"/>
          <w:lang w:val="ro-RO"/>
        </w:rPr>
        <w:t xml:space="preserve"> și/sau cofinanțării de proiecte care beneficiază de fonduri externe nerambursabile de la Uniunea Europeană.</w:t>
      </w:r>
    </w:p>
    <w:p w14:paraId="15016573" w14:textId="77777777" w:rsidR="00B23BC7" w:rsidRPr="006B2701" w:rsidRDefault="00B23BC7" w:rsidP="00B23BC7">
      <w:pPr>
        <w:suppressAutoHyphens/>
        <w:spacing w:after="120" w:line="276" w:lineRule="auto"/>
        <w:ind w:left="714"/>
        <w:jc w:val="both"/>
        <w:rPr>
          <w:rFonts w:ascii="Tahoma" w:eastAsia="MS Mincho" w:hAnsi="Tahoma" w:cs="Tahoma"/>
          <w:sz w:val="24"/>
          <w:szCs w:val="24"/>
          <w:lang w:val="ro-RO" w:eastAsia="ja-JP"/>
        </w:rPr>
      </w:pPr>
    </w:p>
    <w:p w14:paraId="51254539" w14:textId="77777777" w:rsidR="00262B47" w:rsidRPr="006B2701" w:rsidRDefault="00262B47" w:rsidP="002A6290">
      <w:pPr>
        <w:suppressAutoHyphens/>
        <w:spacing w:before="100" w:beforeAutospacing="1" w:after="100" w:afterAutospacing="1" w:line="276" w:lineRule="auto"/>
        <w:ind w:left="851"/>
        <w:jc w:val="both"/>
        <w:rPr>
          <w:rFonts w:ascii="Tahoma" w:eastAsia="MS Mincho" w:hAnsi="Tahoma" w:cs="Tahoma"/>
          <w:sz w:val="24"/>
          <w:szCs w:val="24"/>
          <w:lang w:val="ro-RO" w:eastAsia="ja-JP"/>
        </w:rPr>
      </w:pPr>
    </w:p>
    <w:p w14:paraId="12FA68A4" w14:textId="72D0D7B2" w:rsidR="00217D2C" w:rsidRPr="006B2701" w:rsidRDefault="00BA5E33" w:rsidP="00B23BC7">
      <w:pPr>
        <w:pStyle w:val="Heading1"/>
        <w:spacing w:line="276" w:lineRule="auto"/>
        <w:rPr>
          <w:lang w:val="ro-RO"/>
        </w:rPr>
      </w:pPr>
      <w:bookmarkStart w:id="12" w:name="_Toc516046461"/>
      <w:r w:rsidRPr="006B2701">
        <w:rPr>
          <w:rFonts w:ascii="Arial" w:eastAsia="MS Mincho" w:hAnsi="Arial" w:cs="Arial"/>
          <w:color w:val="000000"/>
          <w:sz w:val="24"/>
          <w:szCs w:val="24"/>
          <w:lang w:val="ro-RO" w:eastAsia="ja-JP"/>
        </w:rPr>
        <w:lastRenderedPageBreak/>
        <w:t>Anexa nr.1 -Execuția bugetului general consolidat în anul 20</w:t>
      </w:r>
      <w:bookmarkStart w:id="13" w:name="_Toc516046462"/>
      <w:bookmarkEnd w:id="12"/>
      <w:r w:rsidR="007D52C8" w:rsidRPr="006B2701">
        <w:rPr>
          <w:rFonts w:ascii="Arial" w:eastAsia="MS Mincho" w:hAnsi="Arial" w:cs="Arial"/>
          <w:color w:val="000000"/>
          <w:sz w:val="24"/>
          <w:szCs w:val="24"/>
          <w:lang w:val="ro-RO" w:eastAsia="ja-JP"/>
        </w:rPr>
        <w:t>2</w:t>
      </w:r>
      <w:r w:rsidR="00F27F99" w:rsidRPr="006B2701">
        <w:rPr>
          <w:rFonts w:ascii="Arial" w:eastAsia="MS Mincho" w:hAnsi="Arial" w:cs="Arial"/>
          <w:color w:val="000000"/>
          <w:sz w:val="24"/>
          <w:szCs w:val="24"/>
          <w:lang w:val="ro-RO" w:eastAsia="ja-JP"/>
        </w:rPr>
        <w:t>2</w:t>
      </w:r>
      <w:r w:rsidR="007D52C8" w:rsidRPr="006B2701">
        <w:rPr>
          <w:noProof/>
          <w:lang w:val="ro-RO"/>
        </w:rPr>
        <w:t xml:space="preserve"> </w:t>
      </w:r>
      <w:r w:rsidR="0073616C">
        <w:rPr>
          <w:lang w:val="ro-RO"/>
        </w:rPr>
        <w:pict w14:anchorId="7A503A13">
          <v:shape id="_x0000_i1048" type="#_x0000_t75" style="width:475.45pt;height:694.2pt">
            <v:imagedata r:id="rId30" o:title=""/>
          </v:shape>
        </w:pict>
      </w:r>
    </w:p>
    <w:p w14:paraId="40DB16D7" w14:textId="635FA274" w:rsidR="00BA5E33" w:rsidRPr="006B2701" w:rsidRDefault="00BA5E33" w:rsidP="0039084A">
      <w:pPr>
        <w:pStyle w:val="Heading1"/>
        <w:rPr>
          <w:rFonts w:ascii="Arial" w:eastAsia="MS Mincho" w:hAnsi="Arial" w:cs="Arial"/>
          <w:color w:val="auto"/>
          <w:sz w:val="24"/>
          <w:szCs w:val="24"/>
          <w:lang w:val="ro-RO" w:eastAsia="ja-JP"/>
        </w:rPr>
      </w:pPr>
      <w:bookmarkStart w:id="14" w:name="_Toc516046463"/>
      <w:bookmarkEnd w:id="13"/>
      <w:r w:rsidRPr="007471C1">
        <w:rPr>
          <w:rFonts w:ascii="Arial" w:eastAsia="MS Mincho" w:hAnsi="Arial" w:cs="Arial"/>
          <w:b/>
          <w:color w:val="auto"/>
          <w:sz w:val="24"/>
          <w:szCs w:val="24"/>
          <w:lang w:val="ro-RO" w:eastAsia="ja-JP"/>
        </w:rPr>
        <w:lastRenderedPageBreak/>
        <w:t>Anexa nr.2 - Tabelul</w:t>
      </w:r>
      <w:r w:rsidRPr="006B2701">
        <w:rPr>
          <w:rFonts w:ascii="Arial" w:eastAsia="MS Mincho" w:hAnsi="Arial" w:cs="Arial"/>
          <w:b/>
          <w:color w:val="auto"/>
          <w:sz w:val="24"/>
          <w:szCs w:val="24"/>
          <w:lang w:val="ro-RO" w:eastAsia="ja-JP"/>
        </w:rPr>
        <w:t xml:space="preserve"> de </w:t>
      </w:r>
      <w:r w:rsidR="00F0617D" w:rsidRPr="006B2701">
        <w:rPr>
          <w:rFonts w:ascii="Arial" w:eastAsia="MS Mincho" w:hAnsi="Arial" w:cs="Arial"/>
          <w:b/>
          <w:color w:val="auto"/>
          <w:sz w:val="24"/>
          <w:szCs w:val="24"/>
          <w:lang w:val="ro-RO" w:eastAsia="ja-JP"/>
        </w:rPr>
        <w:t>corespondență</w:t>
      </w:r>
      <w:r w:rsidRPr="006B2701">
        <w:rPr>
          <w:rFonts w:ascii="Arial" w:eastAsia="MS Mincho" w:hAnsi="Arial" w:cs="Arial"/>
          <w:b/>
          <w:color w:val="auto"/>
          <w:sz w:val="24"/>
          <w:szCs w:val="24"/>
          <w:lang w:val="ro-RO" w:eastAsia="ja-JP"/>
        </w:rPr>
        <w:t xml:space="preserve">  privind  metodologia de </w:t>
      </w:r>
      <w:r w:rsidR="00F0617D" w:rsidRPr="006B2701">
        <w:rPr>
          <w:rFonts w:ascii="Arial" w:eastAsia="MS Mincho" w:hAnsi="Arial" w:cs="Arial"/>
          <w:b/>
          <w:color w:val="auto"/>
          <w:sz w:val="24"/>
          <w:szCs w:val="24"/>
          <w:lang w:val="ro-RO" w:eastAsia="ja-JP"/>
        </w:rPr>
        <w:t>tranziție</w:t>
      </w:r>
      <w:r w:rsidRPr="006B2701">
        <w:rPr>
          <w:rFonts w:ascii="Arial" w:eastAsia="MS Mincho" w:hAnsi="Arial" w:cs="Arial"/>
          <w:b/>
          <w:color w:val="auto"/>
          <w:sz w:val="24"/>
          <w:szCs w:val="24"/>
          <w:lang w:val="ro-RO" w:eastAsia="ja-JP"/>
        </w:rPr>
        <w:t xml:space="preserve"> între d</w:t>
      </w:r>
      <w:r w:rsidR="00F874EE">
        <w:rPr>
          <w:rFonts w:ascii="Arial" w:eastAsia="MS Mincho" w:hAnsi="Arial" w:cs="Arial"/>
          <w:b/>
          <w:color w:val="auto"/>
          <w:sz w:val="24"/>
          <w:szCs w:val="24"/>
          <w:lang w:val="ro-RO" w:eastAsia="ja-JP"/>
        </w:rPr>
        <w:t>atele bazate pe contabilitatea î</w:t>
      </w:r>
      <w:r w:rsidRPr="006B2701">
        <w:rPr>
          <w:rFonts w:ascii="Arial" w:eastAsia="MS Mincho" w:hAnsi="Arial" w:cs="Arial"/>
          <w:b/>
          <w:color w:val="auto"/>
          <w:sz w:val="24"/>
          <w:szCs w:val="24"/>
          <w:lang w:val="ro-RO" w:eastAsia="ja-JP"/>
        </w:rPr>
        <w:t xml:space="preserve">n numerar </w:t>
      </w:r>
      <w:r w:rsidR="00F874EE" w:rsidRPr="006B2701">
        <w:rPr>
          <w:rFonts w:ascii="Arial" w:eastAsia="MS Mincho" w:hAnsi="Arial" w:cs="Arial"/>
          <w:b/>
          <w:color w:val="auto"/>
          <w:sz w:val="24"/>
          <w:szCs w:val="24"/>
          <w:lang w:val="ro-RO" w:eastAsia="ja-JP"/>
        </w:rPr>
        <w:t>și</w:t>
      </w:r>
      <w:r w:rsidRPr="006B2701">
        <w:rPr>
          <w:rFonts w:ascii="Arial" w:eastAsia="MS Mincho" w:hAnsi="Arial" w:cs="Arial"/>
          <w:b/>
          <w:color w:val="auto"/>
          <w:sz w:val="24"/>
          <w:szCs w:val="24"/>
          <w:lang w:val="ro-RO" w:eastAsia="ja-JP"/>
        </w:rPr>
        <w:t xml:space="preserve"> datele bazate pe standardele sistemului european de conturi 20</w:t>
      </w:r>
      <w:bookmarkEnd w:id="14"/>
      <w:r w:rsidR="00536BB6" w:rsidRPr="006B2701">
        <w:rPr>
          <w:rFonts w:ascii="Arial" w:eastAsia="MS Mincho" w:hAnsi="Arial" w:cs="Arial"/>
          <w:b/>
          <w:color w:val="auto"/>
          <w:sz w:val="24"/>
          <w:szCs w:val="24"/>
          <w:lang w:val="ro-RO" w:eastAsia="ja-JP"/>
        </w:rPr>
        <w:t>2</w:t>
      </w:r>
      <w:r w:rsidR="002A6290" w:rsidRPr="006B2701">
        <w:rPr>
          <w:rFonts w:ascii="Arial" w:eastAsia="MS Mincho" w:hAnsi="Arial" w:cs="Arial"/>
          <w:b/>
          <w:color w:val="auto"/>
          <w:sz w:val="24"/>
          <w:szCs w:val="24"/>
          <w:lang w:val="ro-RO" w:eastAsia="ja-JP"/>
        </w:rPr>
        <w:t>1</w:t>
      </w:r>
    </w:p>
    <w:p w14:paraId="30080A8D" w14:textId="77777777" w:rsidR="00BA5E33" w:rsidRPr="006B2701" w:rsidRDefault="00BA5E33" w:rsidP="000F5753">
      <w:pPr>
        <w:spacing w:line="276" w:lineRule="auto"/>
        <w:ind w:left="-426"/>
        <w:rPr>
          <w:rFonts w:ascii="Arial" w:eastAsia="MS Mincho" w:hAnsi="Arial" w:cs="Arial"/>
          <w:sz w:val="24"/>
          <w:szCs w:val="24"/>
          <w:lang w:val="ro-RO" w:eastAsia="ja-JP"/>
        </w:rPr>
      </w:pPr>
    </w:p>
    <w:p w14:paraId="2C419EC8" w14:textId="77777777" w:rsidR="00BA5E33" w:rsidRPr="006B2701" w:rsidRDefault="00BA5E33" w:rsidP="000F5753">
      <w:pPr>
        <w:spacing w:line="276" w:lineRule="auto"/>
        <w:ind w:left="-426"/>
        <w:rPr>
          <w:rFonts w:ascii="Arial" w:eastAsia="MS Mincho" w:hAnsi="Arial" w:cs="Arial"/>
          <w:sz w:val="24"/>
          <w:szCs w:val="24"/>
          <w:lang w:val="ro-RO" w:eastAsia="ja-JP"/>
        </w:rPr>
      </w:pPr>
    </w:p>
    <w:p w14:paraId="6C752BC1" w14:textId="4BFBB107" w:rsidR="00BA5E33" w:rsidRPr="006B2701" w:rsidRDefault="00BA5E33" w:rsidP="000F5753">
      <w:pPr>
        <w:tabs>
          <w:tab w:val="left" w:pos="709"/>
          <w:tab w:val="left" w:pos="3255"/>
        </w:tabs>
        <w:spacing w:line="276" w:lineRule="auto"/>
        <w:jc w:val="both"/>
        <w:rPr>
          <w:rFonts w:ascii="Arial" w:eastAsia="MS Mincho" w:hAnsi="Arial" w:cs="Arial"/>
          <w:sz w:val="24"/>
          <w:szCs w:val="24"/>
          <w:lang w:val="ro-RO" w:eastAsia="ja-JP"/>
        </w:rPr>
      </w:pPr>
      <w:r w:rsidRPr="006B2701">
        <w:rPr>
          <w:rFonts w:ascii="Arial" w:eastAsia="MS Mincho" w:hAnsi="Arial" w:cs="Arial"/>
          <w:sz w:val="24"/>
          <w:szCs w:val="24"/>
          <w:lang w:val="ro-RO" w:eastAsia="ja-JP"/>
        </w:rPr>
        <w:tab/>
        <w:t xml:space="preserve">Prin Directiva nr.85/2011 privind </w:t>
      </w:r>
      <w:r w:rsidR="00F0617D" w:rsidRPr="006B2701">
        <w:rPr>
          <w:rFonts w:ascii="Arial" w:eastAsia="MS Mincho" w:hAnsi="Arial" w:cs="Arial"/>
          <w:sz w:val="24"/>
          <w:szCs w:val="24"/>
          <w:lang w:val="ro-RO" w:eastAsia="ja-JP"/>
        </w:rPr>
        <w:t>cerințele</w:t>
      </w:r>
      <w:r w:rsidRPr="006B2701">
        <w:rPr>
          <w:rFonts w:ascii="Arial" w:eastAsia="MS Mincho" w:hAnsi="Arial" w:cs="Arial"/>
          <w:sz w:val="24"/>
          <w:szCs w:val="24"/>
          <w:lang w:val="ro-RO" w:eastAsia="ja-JP"/>
        </w:rPr>
        <w:t xml:space="preserve"> referitoare la cadrele bugetare ale statelor membre, Consiliul Uniunii Euro</w:t>
      </w:r>
      <w:r w:rsidR="00AA7481">
        <w:rPr>
          <w:rFonts w:ascii="Arial" w:eastAsia="MS Mincho" w:hAnsi="Arial" w:cs="Arial"/>
          <w:sz w:val="24"/>
          <w:szCs w:val="24"/>
          <w:lang w:val="ro-RO" w:eastAsia="ja-JP"/>
        </w:rPr>
        <w:t>pene solicită conform art.3.(2)</w:t>
      </w:r>
      <w:r w:rsidRPr="006B2701">
        <w:rPr>
          <w:rFonts w:ascii="Arial" w:eastAsia="MS Mincho" w:hAnsi="Arial" w:cs="Arial"/>
          <w:sz w:val="24"/>
          <w:szCs w:val="24"/>
          <w:lang w:val="ro-RO" w:eastAsia="ja-JP"/>
        </w:rPr>
        <w:t xml:space="preserve">, publicarea unui tabel de </w:t>
      </w:r>
      <w:r w:rsidR="00F0617D" w:rsidRPr="006B2701">
        <w:rPr>
          <w:rFonts w:ascii="Arial" w:eastAsia="MS Mincho" w:hAnsi="Arial" w:cs="Arial"/>
          <w:sz w:val="24"/>
          <w:szCs w:val="24"/>
          <w:lang w:val="ro-RO" w:eastAsia="ja-JP"/>
        </w:rPr>
        <w:t>corespondență</w:t>
      </w:r>
      <w:r w:rsidRPr="006B2701">
        <w:rPr>
          <w:rFonts w:ascii="Arial" w:eastAsia="MS Mincho" w:hAnsi="Arial" w:cs="Arial"/>
          <w:sz w:val="24"/>
          <w:szCs w:val="24"/>
          <w:lang w:val="ro-RO" w:eastAsia="ja-JP"/>
        </w:rPr>
        <w:t xml:space="preserve"> detaliat, care indică metodologia de </w:t>
      </w:r>
      <w:r w:rsidR="00F0617D" w:rsidRPr="006B2701">
        <w:rPr>
          <w:rFonts w:ascii="Arial" w:eastAsia="MS Mincho" w:hAnsi="Arial" w:cs="Arial"/>
          <w:sz w:val="24"/>
          <w:szCs w:val="24"/>
          <w:lang w:val="ro-RO" w:eastAsia="ja-JP"/>
        </w:rPr>
        <w:t>tranziție</w:t>
      </w:r>
      <w:r w:rsidRPr="006B2701">
        <w:rPr>
          <w:rFonts w:ascii="Arial" w:eastAsia="MS Mincho" w:hAnsi="Arial" w:cs="Arial"/>
          <w:sz w:val="24"/>
          <w:szCs w:val="24"/>
          <w:lang w:val="ro-RO" w:eastAsia="ja-JP"/>
        </w:rPr>
        <w:t xml:space="preserve"> de la datele bazate pe contabilitatea de casă la datele bazate pe standardele Sistemului European de Conturi - SEC.</w:t>
      </w:r>
    </w:p>
    <w:p w14:paraId="661C87CB" w14:textId="77777777" w:rsidR="00BA5E33" w:rsidRPr="006B2701" w:rsidRDefault="00BA5E33" w:rsidP="000F5753">
      <w:pPr>
        <w:tabs>
          <w:tab w:val="left" w:pos="1320"/>
          <w:tab w:val="left" w:pos="3255"/>
        </w:tabs>
        <w:spacing w:line="276" w:lineRule="auto"/>
        <w:jc w:val="both"/>
        <w:rPr>
          <w:rFonts w:ascii="Arial" w:eastAsia="MS Mincho" w:hAnsi="Arial" w:cs="Arial"/>
          <w:sz w:val="24"/>
          <w:szCs w:val="24"/>
          <w:lang w:val="ro-RO" w:eastAsia="ja-JP"/>
        </w:rPr>
      </w:pPr>
    </w:p>
    <w:p w14:paraId="6F925A2C" w14:textId="77777777" w:rsidR="00BA5E33" w:rsidRPr="006B2701" w:rsidRDefault="00BA5E33" w:rsidP="000F5753">
      <w:pPr>
        <w:tabs>
          <w:tab w:val="left" w:pos="1320"/>
          <w:tab w:val="left" w:pos="3255"/>
        </w:tabs>
        <w:spacing w:line="276" w:lineRule="auto"/>
        <w:jc w:val="both"/>
        <w:rPr>
          <w:rFonts w:ascii="Arial" w:eastAsia="MS Mincho" w:hAnsi="Arial" w:cs="Arial"/>
          <w:sz w:val="24"/>
          <w:szCs w:val="24"/>
          <w:lang w:val="ro-RO" w:eastAsia="ja-JP"/>
        </w:rPr>
      </w:pPr>
    </w:p>
    <w:p w14:paraId="5C9A4B9C" w14:textId="77777777" w:rsidR="00BA5E33" w:rsidRPr="006B2701" w:rsidRDefault="00BA5E33" w:rsidP="000F5753">
      <w:pPr>
        <w:tabs>
          <w:tab w:val="left" w:pos="3060"/>
          <w:tab w:val="left" w:pos="3255"/>
        </w:tabs>
        <w:spacing w:line="276" w:lineRule="auto"/>
        <w:rPr>
          <w:rFonts w:ascii="Arial" w:eastAsia="MS Mincho" w:hAnsi="Arial" w:cs="Arial"/>
          <w:b/>
          <w:sz w:val="24"/>
          <w:szCs w:val="24"/>
          <w:lang w:val="ro-RO" w:eastAsia="ja-JP"/>
        </w:rPr>
      </w:pPr>
      <w:r w:rsidRPr="006B2701">
        <w:rPr>
          <w:rFonts w:ascii="Arial" w:eastAsia="MS Mincho" w:hAnsi="Arial" w:cs="Arial"/>
          <w:b/>
          <w:sz w:val="24"/>
          <w:szCs w:val="24"/>
          <w:lang w:val="ro-RO" w:eastAsia="ja-JP"/>
        </w:rPr>
        <w:tab/>
      </w:r>
      <w:r w:rsidRPr="006B2701">
        <w:rPr>
          <w:rFonts w:ascii="Arial" w:eastAsia="MS Mincho" w:hAnsi="Arial" w:cs="Arial"/>
          <w:b/>
          <w:sz w:val="24"/>
          <w:szCs w:val="24"/>
          <w:lang w:val="ro-RO" w:eastAsia="ja-JP"/>
        </w:rPr>
        <w:tab/>
      </w:r>
    </w:p>
    <w:p w14:paraId="265382CE" w14:textId="77777777" w:rsidR="00BA5E33" w:rsidRPr="006B2701" w:rsidRDefault="00BA5E33" w:rsidP="000F5753">
      <w:pPr>
        <w:tabs>
          <w:tab w:val="left" w:pos="3255"/>
        </w:tabs>
        <w:spacing w:line="276" w:lineRule="auto"/>
        <w:jc w:val="center"/>
        <w:rPr>
          <w:rFonts w:ascii="Arial" w:eastAsia="MS Mincho" w:hAnsi="Arial" w:cs="Arial"/>
          <w:b/>
          <w:sz w:val="24"/>
          <w:szCs w:val="24"/>
          <w:lang w:val="ro-RO" w:eastAsia="ja-JP"/>
        </w:rPr>
        <w:sectPr w:rsidR="00BA5E33" w:rsidRPr="006B2701" w:rsidSect="00FE6AC3">
          <w:footerReference w:type="even" r:id="rId31"/>
          <w:footerReference w:type="default" r:id="rId32"/>
          <w:type w:val="continuous"/>
          <w:pgSz w:w="11907" w:h="16840" w:code="9"/>
          <w:pgMar w:top="576" w:right="850" w:bottom="576" w:left="1411" w:header="720" w:footer="720" w:gutter="0"/>
          <w:pgNumType w:start="0"/>
          <w:cols w:space="720"/>
          <w:titlePg/>
          <w:docGrid w:linePitch="360"/>
        </w:sectPr>
      </w:pPr>
    </w:p>
    <w:p w14:paraId="6CCDD839" w14:textId="0751207C" w:rsidR="00BA5E33" w:rsidRPr="006B2701" w:rsidRDefault="00465243" w:rsidP="000F5753">
      <w:pPr>
        <w:tabs>
          <w:tab w:val="left" w:pos="114"/>
          <w:tab w:val="left" w:pos="3255"/>
          <w:tab w:val="center" w:pos="7569"/>
        </w:tabs>
        <w:spacing w:line="276" w:lineRule="auto"/>
        <w:rPr>
          <w:rFonts w:ascii="Arial" w:eastAsia="MS Mincho" w:hAnsi="Arial" w:cs="Arial"/>
          <w:b/>
          <w:sz w:val="24"/>
          <w:szCs w:val="24"/>
          <w:lang w:val="ro-RO" w:eastAsia="ja-JP"/>
        </w:rPr>
      </w:pPr>
      <w:r w:rsidRPr="006B2701">
        <w:rPr>
          <w:rFonts w:ascii="Arial" w:hAnsi="Arial" w:cs="Arial"/>
          <w:noProof/>
          <w:sz w:val="24"/>
          <w:szCs w:val="24"/>
        </w:rPr>
        <w:lastRenderedPageBreak/>
        <mc:AlternateContent>
          <mc:Choice Requires="wps">
            <w:drawing>
              <wp:anchor distT="0" distB="0" distL="114300" distR="114300" simplePos="0" relativeHeight="251684352" behindDoc="0" locked="0" layoutInCell="1" allowOverlap="1" wp14:anchorId="4B43A39C" wp14:editId="70B68A44">
                <wp:simplePos x="0" y="0"/>
                <wp:positionH relativeFrom="column">
                  <wp:posOffset>4991735</wp:posOffset>
                </wp:positionH>
                <wp:positionV relativeFrom="paragraph">
                  <wp:posOffset>-146050</wp:posOffset>
                </wp:positionV>
                <wp:extent cx="1104900" cy="342900"/>
                <wp:effectExtent l="0" t="0" r="19050" b="19050"/>
                <wp:wrapNone/>
                <wp:docPr id="7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42900"/>
                        </a:xfrm>
                        <a:prstGeom prst="rect">
                          <a:avLst/>
                        </a:prstGeom>
                        <a:solidFill>
                          <a:srgbClr val="FFFFFF"/>
                        </a:solidFill>
                        <a:ln w="9525">
                          <a:solidFill>
                            <a:srgbClr val="000000"/>
                          </a:solidFill>
                          <a:miter lim="800000"/>
                          <a:headEnd/>
                          <a:tailEnd/>
                        </a:ln>
                      </wps:spPr>
                      <wps:txbx>
                        <w:txbxContent>
                          <w:p w14:paraId="70CF62FE" w14:textId="77777777" w:rsidR="003D10DF" w:rsidRPr="00CB1B24" w:rsidRDefault="003D10DF" w:rsidP="000B76FB">
                            <w:pPr>
                              <w:rPr>
                                <w:lang w:val="ro-RO"/>
                              </w:rPr>
                            </w:pPr>
                            <w:r>
                              <w:rPr>
                                <w:lang w:val="ro-RO"/>
                              </w:rPr>
                              <w:t xml:space="preserve">Baza </w:t>
                            </w:r>
                            <w:proofErr w:type="spellStart"/>
                            <w:r>
                              <w:rPr>
                                <w:lang w:val="ro-RO"/>
                              </w:rPr>
                              <w:t>accrual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3A39C" id="Rectangle 81" o:spid="_x0000_s1026" style="position:absolute;margin-left:393.05pt;margin-top:-11.5pt;width:87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">
                <v:textbox>
                  <w:txbxContent>
                    <w:p w14:paraId="70CF62FE" w14:textId="77777777" w:rsidR="003D10DF" w:rsidRPr="00CB1B24" w:rsidRDefault="003D10DF" w:rsidP="000B76FB">
                      <w:pPr>
                        <w:rPr>
                          <w:lang w:val="ro-RO"/>
                        </w:rPr>
                      </w:pPr>
                      <w:r>
                        <w:rPr>
                          <w:lang w:val="ro-RO"/>
                        </w:rPr>
                        <w:t xml:space="preserve">Baza </w:t>
                      </w:r>
                      <w:proofErr w:type="spellStart"/>
                      <w:r>
                        <w:rPr>
                          <w:lang w:val="ro-RO"/>
                        </w:rPr>
                        <w:t>accrual</w:t>
                      </w:r>
                      <w:proofErr w:type="spellEnd"/>
                    </w:p>
                  </w:txbxContent>
                </v:textbox>
              </v:rect>
            </w:pict>
          </mc:Fallback>
        </mc:AlternateContent>
      </w:r>
      <w:r w:rsidRPr="006B2701">
        <w:rPr>
          <w:rFonts w:ascii="Arial" w:hAnsi="Arial" w:cs="Arial"/>
          <w:noProof/>
          <w:sz w:val="24"/>
          <w:szCs w:val="24"/>
        </w:rPr>
        <mc:AlternateContent>
          <mc:Choice Requires="wps">
            <w:drawing>
              <wp:anchor distT="0" distB="0" distL="114300" distR="114300" simplePos="0" relativeHeight="251682304" behindDoc="0" locked="0" layoutInCell="1" allowOverlap="1" wp14:anchorId="178BC32A" wp14:editId="414ADC74">
                <wp:simplePos x="0" y="0"/>
                <wp:positionH relativeFrom="column">
                  <wp:posOffset>4976496</wp:posOffset>
                </wp:positionH>
                <wp:positionV relativeFrom="paragraph">
                  <wp:posOffset>-648970</wp:posOffset>
                </wp:positionV>
                <wp:extent cx="1120140" cy="342900"/>
                <wp:effectExtent l="0" t="0" r="22860" b="19050"/>
                <wp:wrapNone/>
                <wp:docPr id="7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342900"/>
                        </a:xfrm>
                        <a:prstGeom prst="rect">
                          <a:avLst/>
                        </a:prstGeom>
                        <a:solidFill>
                          <a:srgbClr val="FFFFFF"/>
                        </a:solidFill>
                        <a:ln w="9525">
                          <a:solidFill>
                            <a:srgbClr val="000000"/>
                          </a:solidFill>
                          <a:miter lim="800000"/>
                          <a:headEnd/>
                          <a:tailEnd/>
                        </a:ln>
                      </wps:spPr>
                      <wps:txbx>
                        <w:txbxContent>
                          <w:p w14:paraId="5DB57694" w14:textId="77777777" w:rsidR="003D10DF" w:rsidRPr="00CB1B24" w:rsidRDefault="003D10DF" w:rsidP="000B76FB">
                            <w:pPr>
                              <w:rPr>
                                <w:lang w:val="ro-RO"/>
                              </w:rPr>
                            </w:pPr>
                            <w:r>
                              <w:rPr>
                                <w:lang w:val="ro-RO"/>
                              </w:rP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BC32A" id="Rectangle 78" o:spid="_x0000_s1027" style="position:absolute;margin-left:391.85pt;margin-top:-51.1pt;width:88.2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">
                <v:textbox>
                  <w:txbxContent>
                    <w:p w14:paraId="5DB57694" w14:textId="77777777" w:rsidR="003D10DF" w:rsidRPr="00CB1B24" w:rsidRDefault="003D10DF" w:rsidP="000B76FB">
                      <w:pPr>
                        <w:rPr>
                          <w:lang w:val="ro-RO"/>
                        </w:rPr>
                      </w:pPr>
                      <w:r>
                        <w:rPr>
                          <w:lang w:val="ro-RO"/>
                        </w:rPr>
                        <w:t>Raportare SEC</w:t>
                      </w:r>
                    </w:p>
                  </w:txbxContent>
                </v:textbox>
              </v:rect>
            </w:pict>
          </mc:Fallback>
        </mc:AlternateContent>
      </w:r>
      <w:r w:rsidR="00363D22" w:rsidRPr="006B2701">
        <w:rPr>
          <w:rFonts w:ascii="Arial" w:hAnsi="Arial" w:cs="Arial"/>
          <w:noProof/>
          <w:sz w:val="24"/>
          <w:szCs w:val="24"/>
        </w:rPr>
        <mc:AlternateContent>
          <mc:Choice Requires="wps">
            <w:drawing>
              <wp:anchor distT="0" distB="0" distL="114300" distR="114300" simplePos="0" relativeHeight="251685376" behindDoc="0" locked="0" layoutInCell="1" allowOverlap="1" wp14:anchorId="5FB8E9F2" wp14:editId="4E57EF57">
                <wp:simplePos x="0" y="0"/>
                <wp:positionH relativeFrom="column">
                  <wp:posOffset>5679440</wp:posOffset>
                </wp:positionH>
                <wp:positionV relativeFrom="paragraph">
                  <wp:posOffset>204470</wp:posOffset>
                </wp:positionV>
                <wp:extent cx="0" cy="142875"/>
                <wp:effectExtent l="76200" t="0" r="57150" b="47625"/>
                <wp:wrapNone/>
                <wp:docPr id="73"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AD136" id="Straight Connector 7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2pt,16.1pt" to="447.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">
                <v:stroke endarrow="block"/>
              </v:line>
            </w:pict>
          </mc:Fallback>
        </mc:AlternateContent>
      </w:r>
      <w:r w:rsidR="00363D22" w:rsidRPr="006B2701">
        <w:rPr>
          <w:rFonts w:ascii="Arial" w:hAnsi="Arial" w:cs="Arial"/>
          <w:noProof/>
          <w:sz w:val="24"/>
          <w:szCs w:val="24"/>
        </w:rPr>
        <mc:AlternateContent>
          <mc:Choice Requires="wps">
            <w:drawing>
              <wp:anchor distT="0" distB="0" distL="114300" distR="114300" simplePos="0" relativeHeight="251683328" behindDoc="0" locked="0" layoutInCell="1" allowOverlap="1" wp14:anchorId="7DAAB0FF" wp14:editId="4CC8BED4">
                <wp:simplePos x="0" y="0"/>
                <wp:positionH relativeFrom="column">
                  <wp:posOffset>5650865</wp:posOffset>
                </wp:positionH>
                <wp:positionV relativeFrom="paragraph">
                  <wp:posOffset>-300355</wp:posOffset>
                </wp:positionV>
                <wp:extent cx="0" cy="161925"/>
                <wp:effectExtent l="76200" t="0" r="57150" b="47625"/>
                <wp:wrapNone/>
                <wp:docPr id="78"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69962" id="Straight Connector 80"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95pt,-23.65pt" to="444.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">
                <v:stroke endarrow="block"/>
              </v:line>
            </w:pict>
          </mc:Fallback>
        </mc:AlternateContent>
      </w:r>
      <w:r w:rsidR="00363D22" w:rsidRPr="006B2701">
        <w:rPr>
          <w:rFonts w:ascii="Arial" w:hAnsi="Arial" w:cs="Arial"/>
          <w:noProof/>
          <w:sz w:val="24"/>
          <w:szCs w:val="24"/>
        </w:rPr>
        <mc:AlternateContent>
          <mc:Choice Requires="wps">
            <w:drawing>
              <wp:anchor distT="0" distB="0" distL="114300" distR="114300" simplePos="0" relativeHeight="251680256" behindDoc="0" locked="0" layoutInCell="1" allowOverlap="1" wp14:anchorId="6B5C8021" wp14:editId="56AC7077">
                <wp:simplePos x="0" y="0"/>
                <wp:positionH relativeFrom="column">
                  <wp:posOffset>1160145</wp:posOffset>
                </wp:positionH>
                <wp:positionV relativeFrom="paragraph">
                  <wp:posOffset>176530</wp:posOffset>
                </wp:positionV>
                <wp:extent cx="0" cy="114300"/>
                <wp:effectExtent l="5080" t="7620" r="13970" b="11430"/>
                <wp:wrapNone/>
                <wp:docPr id="71"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4980C" id="Straight Connector 7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13.9pt" to="91.3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"/>
            </w:pict>
          </mc:Fallback>
        </mc:AlternateContent>
      </w:r>
      <w:r w:rsidR="00363D22" w:rsidRPr="006B2701">
        <w:rPr>
          <w:rFonts w:ascii="Arial" w:hAnsi="Arial" w:cs="Arial"/>
          <w:noProof/>
          <w:sz w:val="24"/>
          <w:szCs w:val="24"/>
        </w:rPr>
        <mc:AlternateContent>
          <mc:Choice Requires="wps">
            <w:drawing>
              <wp:anchor distT="0" distB="0" distL="114300" distR="114300" simplePos="0" relativeHeight="251681280" behindDoc="0" locked="0" layoutInCell="1" allowOverlap="1" wp14:anchorId="30637673" wp14:editId="72C3DEDC">
                <wp:simplePos x="0" y="0"/>
                <wp:positionH relativeFrom="column">
                  <wp:posOffset>2865754</wp:posOffset>
                </wp:positionH>
                <wp:positionV relativeFrom="paragraph">
                  <wp:posOffset>175895</wp:posOffset>
                </wp:positionV>
                <wp:extent cx="0" cy="104775"/>
                <wp:effectExtent l="0" t="0" r="19050" b="28575"/>
                <wp:wrapNone/>
                <wp:docPr id="72"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A6D46" id="Straight Connector 7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13.85pt" to="225.6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"/>
            </w:pict>
          </mc:Fallback>
        </mc:AlternateContent>
      </w:r>
      <w:r w:rsidR="00363D22" w:rsidRPr="006B2701">
        <w:rPr>
          <w:rFonts w:ascii="Arial" w:hAnsi="Arial" w:cs="Arial"/>
          <w:noProof/>
          <w:sz w:val="24"/>
          <w:szCs w:val="24"/>
        </w:rPr>
        <mc:AlternateContent>
          <mc:Choice Requires="wps">
            <w:drawing>
              <wp:anchor distT="0" distB="0" distL="114300" distR="114300" simplePos="0" relativeHeight="251679232" behindDoc="0" locked="0" layoutInCell="1" allowOverlap="1" wp14:anchorId="5F4989E4" wp14:editId="233BE64B">
                <wp:simplePos x="0" y="0"/>
                <wp:positionH relativeFrom="column">
                  <wp:posOffset>1162050</wp:posOffset>
                </wp:positionH>
                <wp:positionV relativeFrom="paragraph">
                  <wp:posOffset>176530</wp:posOffset>
                </wp:positionV>
                <wp:extent cx="1701165" cy="0"/>
                <wp:effectExtent l="6985" t="7620" r="6350" b="11430"/>
                <wp:wrapNone/>
                <wp:docPr id="70"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449A6" id="Straight Connector 7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3.9pt" to="225.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lfHgIAADg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"/>
            </w:pict>
          </mc:Fallback>
        </mc:AlternateContent>
      </w:r>
      <w:r w:rsidR="00363D22" w:rsidRPr="006B2701">
        <w:rPr>
          <w:rFonts w:ascii="Arial" w:hAnsi="Arial" w:cs="Arial"/>
          <w:noProof/>
          <w:sz w:val="24"/>
          <w:szCs w:val="24"/>
        </w:rPr>
        <mc:AlternateContent>
          <mc:Choice Requires="wps">
            <w:drawing>
              <wp:anchor distT="0" distB="0" distL="114300" distR="114300" simplePos="0" relativeHeight="251677184" behindDoc="0" locked="0" layoutInCell="1" allowOverlap="1" wp14:anchorId="4BFE8564" wp14:editId="7E50255E">
                <wp:simplePos x="0" y="0"/>
                <wp:positionH relativeFrom="column">
                  <wp:posOffset>1993266</wp:posOffset>
                </wp:positionH>
                <wp:positionV relativeFrom="paragraph">
                  <wp:posOffset>-71755</wp:posOffset>
                </wp:positionV>
                <wp:extent cx="0" cy="247650"/>
                <wp:effectExtent l="0" t="0" r="19050" b="19050"/>
                <wp:wrapNone/>
                <wp:docPr id="68"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B7AA9" id="Straight Connector 7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5pt,-5.65pt" to="156.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"/>
            </w:pict>
          </mc:Fallback>
        </mc:AlternateContent>
      </w:r>
      <w:r w:rsidR="00657E1D" w:rsidRPr="006B2701">
        <w:rPr>
          <w:rFonts w:ascii="Arial" w:hAnsi="Arial" w:cs="Arial"/>
          <w:noProof/>
          <w:sz w:val="24"/>
          <w:szCs w:val="24"/>
        </w:rPr>
        <mc:AlternateContent>
          <mc:Choice Requires="wps">
            <w:drawing>
              <wp:anchor distT="0" distB="0" distL="114300" distR="114300" simplePos="0" relativeHeight="251673088" behindDoc="0" locked="0" layoutInCell="1" allowOverlap="1" wp14:anchorId="63B67165" wp14:editId="69291F68">
                <wp:simplePos x="0" y="0"/>
                <wp:positionH relativeFrom="column">
                  <wp:posOffset>3450590</wp:posOffset>
                </wp:positionH>
                <wp:positionV relativeFrom="paragraph">
                  <wp:posOffset>-290831</wp:posOffset>
                </wp:positionV>
                <wp:extent cx="1524000" cy="819150"/>
                <wp:effectExtent l="0" t="38100" r="57150" b="19050"/>
                <wp:wrapNone/>
                <wp:docPr id="77"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819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51EA6" id="Straight Connector 79"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7pt,-22.9pt" to="391.7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">
                <v:stroke endarrow="block"/>
              </v:line>
            </w:pict>
          </mc:Fallback>
        </mc:AlternateContent>
      </w:r>
      <w:r w:rsidR="001170D5" w:rsidRPr="006B2701">
        <w:rPr>
          <w:rFonts w:ascii="Arial" w:hAnsi="Arial" w:cs="Arial"/>
          <w:noProof/>
          <w:sz w:val="24"/>
          <w:szCs w:val="24"/>
        </w:rPr>
        <mc:AlternateContent>
          <mc:Choice Requires="wps">
            <w:drawing>
              <wp:anchor distT="0" distB="0" distL="114300" distR="114300" simplePos="0" relativeHeight="251674112" behindDoc="0" locked="0" layoutInCell="1" allowOverlap="1" wp14:anchorId="69A6D250" wp14:editId="3FDF38BB">
                <wp:simplePos x="0" y="0"/>
                <wp:positionH relativeFrom="column">
                  <wp:posOffset>1013460</wp:posOffset>
                </wp:positionH>
                <wp:positionV relativeFrom="paragraph">
                  <wp:posOffset>-523875</wp:posOffset>
                </wp:positionV>
                <wp:extent cx="1943100" cy="457200"/>
                <wp:effectExtent l="10795" t="7620" r="8255" b="11430"/>
                <wp:wrapNone/>
                <wp:docPr id="75"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oundRect">
                          <a:avLst>
                            <a:gd name="adj" fmla="val 16667"/>
                          </a:avLst>
                        </a:prstGeom>
                        <a:solidFill>
                          <a:srgbClr val="FFFFFF"/>
                        </a:solidFill>
                        <a:ln w="9525">
                          <a:solidFill>
                            <a:srgbClr val="000000"/>
                          </a:solidFill>
                          <a:round/>
                          <a:headEnd/>
                          <a:tailEnd/>
                        </a:ln>
                      </wps:spPr>
                      <wps:txbx>
                        <w:txbxContent>
                          <w:p w14:paraId="43B52C7C" w14:textId="63EDF9FF" w:rsidR="003D10DF" w:rsidRPr="00783633" w:rsidRDefault="003D10DF" w:rsidP="000B76FB">
                            <w:pPr>
                              <w:jc w:val="center"/>
                              <w:rPr>
                                <w:rFonts w:ascii="Arial (W1)" w:hAnsi="Arial (W1)"/>
                                <w:b/>
                                <w:lang w:val="ro-RO"/>
                              </w:rPr>
                            </w:pPr>
                            <w:r w:rsidRPr="00783633">
                              <w:rPr>
                                <w:rFonts w:ascii="Arial (W1)" w:hAnsi="Arial (W1)"/>
                                <w:b/>
                                <w:lang w:val="ro-RO"/>
                              </w:rPr>
                              <w:t>Administrația publică centrală -S1311-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6D250" id="Rounded Rectangle 77" o:spid="_x0000_s1028" style="position:absolute;margin-left:79.8pt;margin-top:-41.25pt;width:153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">
                <v:textbox>
                  <w:txbxContent>
                    <w:p w14:paraId="43B52C7C" w14:textId="63EDF9FF" w:rsidR="003D10DF" w:rsidRPr="00783633" w:rsidRDefault="003D10DF" w:rsidP="000B76FB">
                      <w:pPr>
                        <w:jc w:val="center"/>
                        <w:rPr>
                          <w:rFonts w:ascii="Arial (W1)" w:hAnsi="Arial (W1)"/>
                          <w:b/>
                          <w:lang w:val="ro-RO"/>
                        </w:rPr>
                      </w:pPr>
                      <w:r w:rsidRPr="00783633">
                        <w:rPr>
                          <w:rFonts w:ascii="Arial (W1)" w:hAnsi="Arial (W1)"/>
                          <w:b/>
                          <w:lang w:val="ro-RO"/>
                        </w:rPr>
                        <w:t>Administrația publică centrală -S1311-</w:t>
                      </w:r>
                    </w:p>
                  </w:txbxContent>
                </v:textbox>
              </v:roundrect>
            </w:pict>
          </mc:Fallback>
        </mc:AlternateContent>
      </w:r>
      <w:r w:rsidR="00BA5E33" w:rsidRPr="006B2701">
        <w:rPr>
          <w:rFonts w:ascii="Arial" w:eastAsia="MS Mincho" w:hAnsi="Arial" w:cs="Arial"/>
          <w:b/>
          <w:sz w:val="24"/>
          <w:szCs w:val="24"/>
          <w:lang w:val="ro-RO" w:eastAsia="ja-JP"/>
        </w:rPr>
        <w:tab/>
      </w:r>
    </w:p>
    <w:p w14:paraId="2FECF62C" w14:textId="14A0F732" w:rsidR="00BA5E33" w:rsidRPr="006B2701" w:rsidRDefault="00465243" w:rsidP="000F5753">
      <w:pPr>
        <w:tabs>
          <w:tab w:val="left" w:pos="3255"/>
        </w:tabs>
        <w:spacing w:line="276" w:lineRule="auto"/>
        <w:jc w:val="center"/>
        <w:rPr>
          <w:rFonts w:ascii="Arial" w:eastAsia="MS Mincho" w:hAnsi="Arial" w:cs="Arial"/>
          <w:b/>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86400" behindDoc="0" locked="0" layoutInCell="1" allowOverlap="1" wp14:anchorId="726DF8AA" wp14:editId="48A69132">
                <wp:simplePos x="0" y="0"/>
                <wp:positionH relativeFrom="column">
                  <wp:posOffset>4770755</wp:posOffset>
                </wp:positionH>
                <wp:positionV relativeFrom="paragraph">
                  <wp:posOffset>147955</wp:posOffset>
                </wp:positionV>
                <wp:extent cx="5135880" cy="5387340"/>
                <wp:effectExtent l="0" t="0" r="26670" b="22860"/>
                <wp:wrapNone/>
                <wp:docPr id="7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5387340"/>
                        </a:xfrm>
                        <a:prstGeom prst="rect">
                          <a:avLst/>
                        </a:prstGeom>
                        <a:solidFill>
                          <a:srgbClr val="FFFFFF"/>
                        </a:solidFill>
                        <a:ln w="9525">
                          <a:solidFill>
                            <a:srgbClr val="000000"/>
                          </a:solidFill>
                          <a:miter lim="800000"/>
                          <a:headEnd/>
                          <a:tailEnd/>
                        </a:ln>
                      </wps:spPr>
                      <wps:txbx>
                        <w:txbxContent>
                          <w:p w14:paraId="2F1E5B6B" w14:textId="1CF370D1" w:rsidR="003D10DF" w:rsidRPr="00875EBA" w:rsidRDefault="003D10DF" w:rsidP="00875EBA">
                            <w:pPr>
                              <w:rPr>
                                <w:lang w:val="ro-RO"/>
                              </w:rPr>
                            </w:pPr>
                            <w:r w:rsidRPr="00875EBA">
                              <w:rPr>
                                <w:lang w:val="ro-RO"/>
                              </w:rPr>
                              <w:t xml:space="preserve">-Soldul bugetului de stat ca diferență dintre venituri </w:t>
                            </w:r>
                            <w:proofErr w:type="spellStart"/>
                            <w:r w:rsidRPr="00875EBA">
                              <w:rPr>
                                <w:lang w:val="ro-RO"/>
                              </w:rPr>
                              <w:t>şi</w:t>
                            </w:r>
                            <w:proofErr w:type="spellEnd"/>
                            <w:r w:rsidRPr="00875EBA">
                              <w:rPr>
                                <w:lang w:val="ro-RO"/>
                              </w:rPr>
                              <w:t xml:space="preserve"> cheltuieli este cel aprobat de Parlament si prezentat in prima linie (</w:t>
                            </w:r>
                            <w:proofErr w:type="spellStart"/>
                            <w:r w:rsidRPr="00875EBA">
                              <w:rPr>
                                <w:lang w:val="ro-RO"/>
                              </w:rPr>
                              <w:t>working</w:t>
                            </w:r>
                            <w:proofErr w:type="spellEnd"/>
                            <w:r w:rsidRPr="00875EBA">
                              <w:rPr>
                                <w:lang w:val="ro-RO"/>
                              </w:rPr>
                              <w:t xml:space="preserve"> </w:t>
                            </w:r>
                            <w:proofErr w:type="spellStart"/>
                            <w:r w:rsidRPr="00875EBA">
                              <w:rPr>
                                <w:lang w:val="ro-RO"/>
                              </w:rPr>
                              <w:t>balance</w:t>
                            </w:r>
                            <w:proofErr w:type="spellEnd"/>
                            <w:r w:rsidRPr="00875EBA">
                              <w:rPr>
                                <w:lang w:val="ro-RO"/>
                              </w:rPr>
                              <w:t xml:space="preserve">) din tabel. Tranzacțiile aferente acestui sold sunt calculate atât pe partea de venituri, cât </w:t>
                            </w:r>
                            <w:proofErr w:type="spellStart"/>
                            <w:r w:rsidRPr="00875EBA">
                              <w:rPr>
                                <w:lang w:val="ro-RO"/>
                              </w:rPr>
                              <w:t>şi</w:t>
                            </w:r>
                            <w:proofErr w:type="spellEnd"/>
                            <w:r w:rsidRPr="00875EBA">
                              <w:rPr>
                                <w:lang w:val="ro-RO"/>
                              </w:rPr>
                              <w:t xml:space="preserve"> pe partea de cheltuieli.  </w:t>
                            </w:r>
                          </w:p>
                          <w:p w14:paraId="3AA5DE4E" w14:textId="04C6DE84" w:rsidR="003D10DF" w:rsidRPr="00875EBA" w:rsidRDefault="003D10DF" w:rsidP="00875EBA">
                            <w:pPr>
                              <w:rPr>
                                <w:lang w:val="ro-RO"/>
                              </w:rPr>
                            </w:pPr>
                            <w:r w:rsidRPr="00875EBA">
                              <w:rPr>
                                <w:lang w:val="ro-RO"/>
                              </w:rPr>
                              <w:t xml:space="preserve">Veniturile în </w:t>
                            </w:r>
                            <w:proofErr w:type="spellStart"/>
                            <w:r w:rsidRPr="00875EBA">
                              <w:rPr>
                                <w:lang w:val="ro-RO"/>
                              </w:rPr>
                              <w:t>accrual</w:t>
                            </w:r>
                            <w:proofErr w:type="spellEnd"/>
                            <w:r w:rsidRPr="00875EBA">
                              <w:rPr>
                                <w:lang w:val="ro-RO"/>
                              </w:rPr>
                              <w:t xml:space="preserve">, respectiv veniturile fiscale cash sunt ajustate conform metodei simple de ajustare temporala cu o perioada de o luna, cu excepția impozitului pe profit care are o marjă de 3 luni. Astfel, tranzacțiile sunt înregistrate atunci când a avut loc activitatea care generează obligația fiscală. Creanțele din tranzacții comerciale, precum </w:t>
                            </w:r>
                            <w:proofErr w:type="spellStart"/>
                            <w:r w:rsidRPr="00875EBA">
                              <w:rPr>
                                <w:lang w:val="ro-RO"/>
                              </w:rPr>
                              <w:t>şi</w:t>
                            </w:r>
                            <w:proofErr w:type="spellEnd"/>
                            <w:r w:rsidRPr="00875EBA">
                              <w:rPr>
                                <w:lang w:val="ro-RO"/>
                              </w:rPr>
                              <w:t xml:space="preserve"> cheltuielile militare sunt înregistrate în sistem </w:t>
                            </w:r>
                            <w:proofErr w:type="spellStart"/>
                            <w:r w:rsidRPr="00875EBA">
                              <w:rPr>
                                <w:lang w:val="ro-RO"/>
                              </w:rPr>
                              <w:t>accrual</w:t>
                            </w:r>
                            <w:proofErr w:type="spellEnd"/>
                            <w:r w:rsidRPr="00875EBA">
                              <w:rPr>
                                <w:lang w:val="ro-RO"/>
                              </w:rPr>
                              <w:t xml:space="preserve">. </w:t>
                            </w:r>
                          </w:p>
                          <w:p w14:paraId="084E264A" w14:textId="7733367C" w:rsidR="003D10DF" w:rsidRPr="00875EBA" w:rsidRDefault="003D10DF" w:rsidP="00875EBA">
                            <w:pPr>
                              <w:rPr>
                                <w:lang w:val="ro-RO"/>
                              </w:rPr>
                            </w:pPr>
                            <w:r w:rsidRPr="00875EBA">
                              <w:rPr>
                                <w:lang w:val="ro-RO"/>
                              </w:rPr>
                              <w:t xml:space="preserve">  -Cheltuielile în </w:t>
                            </w:r>
                            <w:proofErr w:type="spellStart"/>
                            <w:r w:rsidRPr="00875EBA">
                              <w:rPr>
                                <w:lang w:val="ro-RO"/>
                              </w:rPr>
                              <w:t>accrual</w:t>
                            </w:r>
                            <w:proofErr w:type="spellEnd"/>
                            <w:r w:rsidRPr="00875EBA">
                              <w:rPr>
                                <w:lang w:val="ro-RO"/>
                              </w:rPr>
                              <w:t xml:space="preserve">, respectiv la cheltuieli  se adaugă </w:t>
                            </w:r>
                            <w:r w:rsidRPr="00875EBA">
                              <w:rPr>
                                <w:b/>
                                <w:lang w:val="ro-RO"/>
                              </w:rPr>
                              <w:t>sume de plătit</w:t>
                            </w:r>
                            <w:r w:rsidRPr="00875EBA">
                              <w:rPr>
                                <w:lang w:val="ro-RO"/>
                              </w:rPr>
                              <w:t xml:space="preserve"> aferente datoriilor comerciale, salarii, contribuții, alte drepturi, din bilanțul instituțiilor publice.  Tranzacțiile financiare cum ar fi rambursările, împrumuturile,  sunt eliminate. Din transferurile de la UE sunt eliminate cele pentru sectorul privat, fermieri. Diferența dintre venituri </w:t>
                            </w:r>
                            <w:proofErr w:type="spellStart"/>
                            <w:r w:rsidRPr="00875EBA">
                              <w:rPr>
                                <w:lang w:val="ro-RO"/>
                              </w:rPr>
                              <w:t>şi</w:t>
                            </w:r>
                            <w:proofErr w:type="spellEnd"/>
                            <w:r w:rsidRPr="00875EBA">
                              <w:rPr>
                                <w:lang w:val="ro-RO"/>
                              </w:rPr>
                              <w:t xml:space="preserve"> cheltuieli aferente fondurilor UE se înregistrează la sume de primit/de plătit, pentru a nu avea impact pe deficit.</w:t>
                            </w:r>
                          </w:p>
                          <w:p w14:paraId="391F9117" w14:textId="43DA5CAF" w:rsidR="003D10DF" w:rsidRPr="00875EBA" w:rsidRDefault="003D10DF" w:rsidP="00875EBA">
                            <w:pPr>
                              <w:rPr>
                                <w:lang w:val="ro-RO"/>
                              </w:rPr>
                            </w:pPr>
                            <w:r w:rsidRPr="00875EBA">
                              <w:rPr>
                                <w:lang w:val="ro-RO"/>
                              </w:rPr>
                              <w:t xml:space="preserve">Se include diferența dintre dobânda plătita si </w:t>
                            </w:r>
                            <w:proofErr w:type="spellStart"/>
                            <w:r w:rsidRPr="00875EBA">
                              <w:rPr>
                                <w:lang w:val="ro-RO"/>
                              </w:rPr>
                              <w:t>accruata</w:t>
                            </w:r>
                            <w:proofErr w:type="spellEnd"/>
                            <w:r w:rsidRPr="00875EBA">
                              <w:rPr>
                                <w:lang w:val="ro-RO"/>
                              </w:rPr>
                              <w:t xml:space="preserve">. </w:t>
                            </w:r>
                          </w:p>
                          <w:p w14:paraId="0B0DFFA4" w14:textId="7544A537" w:rsidR="003D10DF" w:rsidRPr="00875EBA" w:rsidRDefault="003D10DF" w:rsidP="00875EBA">
                            <w:pPr>
                              <w:rPr>
                                <w:lang w:val="ro-RO"/>
                              </w:rPr>
                            </w:pPr>
                            <w:r w:rsidRPr="00875EBA">
                              <w:rPr>
                                <w:lang w:val="ro-RO"/>
                              </w:rPr>
                              <w:t>-Conform criteriului de 50% și a criteriilor calitative se stabilește dacă unitățile au sau nu activitate de piață. Sunt incluse companiile publice de stat ale căror încasări din vânzări acoperă mai puțin de 50% din costurile de producție, aplicându-se și testul calitativ. Datele operative sunt transmise de companii electronic prin formularul S1001. La  trimestre se estimează soldul companiilor.</w:t>
                            </w:r>
                          </w:p>
                          <w:p w14:paraId="3314F9B7" w14:textId="70CABD07" w:rsidR="003D10DF" w:rsidRPr="00875EBA" w:rsidRDefault="003D10DF" w:rsidP="00875EBA">
                            <w:pPr>
                              <w:rPr>
                                <w:lang w:val="ro-RO"/>
                              </w:rPr>
                            </w:pPr>
                            <w:r w:rsidRPr="00875EBA">
                              <w:rPr>
                                <w:lang w:val="ro-RO"/>
                              </w:rPr>
                              <w:t xml:space="preserve">-La ajustări se includ: titlurile de despăgubire; transferul de la buget de stat la fond de risc; influențe din garanții repetate; anulari de datorii din creanțe externe; creșteri de capital; ajutoare externe ale MFP; </w:t>
                            </w:r>
                            <w:proofErr w:type="spellStart"/>
                            <w:r w:rsidRPr="00875EBA">
                              <w:rPr>
                                <w:lang w:val="ro-RO"/>
                              </w:rPr>
                              <w:t>superdividende</w:t>
                            </w:r>
                            <w:proofErr w:type="spellEnd"/>
                            <w:r w:rsidRPr="00875EBA">
                              <w:rPr>
                                <w:lang w:val="ro-RO"/>
                              </w:rPr>
                              <w:t xml:space="preserve">; dobânzi </w:t>
                            </w:r>
                            <w:proofErr w:type="spellStart"/>
                            <w:r w:rsidRPr="00875EBA">
                              <w:rPr>
                                <w:lang w:val="ro-RO"/>
                              </w:rPr>
                              <w:t>şi</w:t>
                            </w:r>
                            <w:proofErr w:type="spellEnd"/>
                            <w:r w:rsidRPr="00875EBA">
                              <w:rPr>
                                <w:lang w:val="ro-RO"/>
                              </w:rPr>
                              <w:t xml:space="preserve"> garanții executate aferente fondurilor de garantare; corecții aferente fondurilor UE. Totodată s-au inclus</w:t>
                            </w:r>
                            <w:r w:rsidRPr="00841EAA">
                              <w:rPr>
                                <w:lang w:val="ro-RO"/>
                              </w:rPr>
                              <w:t>:</w:t>
                            </w:r>
                            <w:r w:rsidRPr="00875EBA">
                              <w:rPr>
                                <w:lang w:val="ro-RO"/>
                              </w:rPr>
                              <w:t xml:space="preserve"> licențele de telefonie mobilă  înregistrate eșalonat pe toată durata contractului; ajustări contribuția României la bugetul UE; contribuția României la instrumentul de asistență pentru refugiați; fondul pentru garantarea depozitelor populației; împrumuturi nete Eximbank, diferențe salariale pentru învățământ (legea nr.85/2016), eliminarea sumelor care tranzitează conturile guvernamentale aferente fluxurilor dintre Comisia Europeană și alte sectoare (S11,S14).</w:t>
                            </w:r>
                          </w:p>
                          <w:p w14:paraId="46BCB1BB" w14:textId="77777777" w:rsidR="003D10DF" w:rsidRPr="00006966" w:rsidRDefault="003D10DF"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DF8AA" id="Rectangle 76" o:spid="_x0000_s1029" style="position:absolute;left:0;text-align:left;margin-left:375.65pt;margin-top:11.65pt;width:404.4pt;height:424.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">
                <v:textbox>
                  <w:txbxContent>
                    <w:p w14:paraId="2F1E5B6B" w14:textId="1CF370D1" w:rsidR="003D10DF" w:rsidRPr="00875EBA" w:rsidRDefault="003D10DF" w:rsidP="00875EBA">
                      <w:pPr>
                        <w:rPr>
                          <w:lang w:val="ro-RO"/>
                        </w:rPr>
                      </w:pPr>
                      <w:r w:rsidRPr="00875EBA">
                        <w:rPr>
                          <w:lang w:val="ro-RO"/>
                        </w:rPr>
                        <w:t xml:space="preserve">-Soldul bugetului de stat ca diferență dintre venituri </w:t>
                      </w:r>
                      <w:proofErr w:type="spellStart"/>
                      <w:r w:rsidRPr="00875EBA">
                        <w:rPr>
                          <w:lang w:val="ro-RO"/>
                        </w:rPr>
                        <w:t>şi</w:t>
                      </w:r>
                      <w:proofErr w:type="spellEnd"/>
                      <w:r w:rsidRPr="00875EBA">
                        <w:rPr>
                          <w:lang w:val="ro-RO"/>
                        </w:rPr>
                        <w:t xml:space="preserve"> cheltuieli este cel aprobat de Parlament si prezentat in prima linie (</w:t>
                      </w:r>
                      <w:proofErr w:type="spellStart"/>
                      <w:r w:rsidRPr="00875EBA">
                        <w:rPr>
                          <w:lang w:val="ro-RO"/>
                        </w:rPr>
                        <w:t>working</w:t>
                      </w:r>
                      <w:proofErr w:type="spellEnd"/>
                      <w:r w:rsidRPr="00875EBA">
                        <w:rPr>
                          <w:lang w:val="ro-RO"/>
                        </w:rPr>
                        <w:t xml:space="preserve"> </w:t>
                      </w:r>
                      <w:proofErr w:type="spellStart"/>
                      <w:r w:rsidRPr="00875EBA">
                        <w:rPr>
                          <w:lang w:val="ro-RO"/>
                        </w:rPr>
                        <w:t>balance</w:t>
                      </w:r>
                      <w:proofErr w:type="spellEnd"/>
                      <w:r w:rsidRPr="00875EBA">
                        <w:rPr>
                          <w:lang w:val="ro-RO"/>
                        </w:rPr>
                        <w:t xml:space="preserve">) din tabel. Tranzacțiile aferente acestui sold sunt calculate atât pe partea de venituri, cât </w:t>
                      </w:r>
                      <w:proofErr w:type="spellStart"/>
                      <w:r w:rsidRPr="00875EBA">
                        <w:rPr>
                          <w:lang w:val="ro-RO"/>
                        </w:rPr>
                        <w:t>şi</w:t>
                      </w:r>
                      <w:proofErr w:type="spellEnd"/>
                      <w:r w:rsidRPr="00875EBA">
                        <w:rPr>
                          <w:lang w:val="ro-RO"/>
                        </w:rPr>
                        <w:t xml:space="preserve"> pe partea de cheltuieli.  </w:t>
                      </w:r>
                    </w:p>
                    <w:p w14:paraId="3AA5DE4E" w14:textId="04C6DE84" w:rsidR="003D10DF" w:rsidRPr="00875EBA" w:rsidRDefault="003D10DF" w:rsidP="00875EBA">
                      <w:pPr>
                        <w:rPr>
                          <w:lang w:val="ro-RO"/>
                        </w:rPr>
                      </w:pPr>
                      <w:r w:rsidRPr="00875EBA">
                        <w:rPr>
                          <w:lang w:val="ro-RO"/>
                        </w:rPr>
                        <w:t xml:space="preserve">Veniturile în </w:t>
                      </w:r>
                      <w:proofErr w:type="spellStart"/>
                      <w:r w:rsidRPr="00875EBA">
                        <w:rPr>
                          <w:lang w:val="ro-RO"/>
                        </w:rPr>
                        <w:t>accrual</w:t>
                      </w:r>
                      <w:proofErr w:type="spellEnd"/>
                      <w:r w:rsidRPr="00875EBA">
                        <w:rPr>
                          <w:lang w:val="ro-RO"/>
                        </w:rPr>
                        <w:t xml:space="preserve">, respectiv veniturile fiscale cash sunt ajustate conform metodei simple de ajustare temporala cu o perioada de o luna, cu excepția impozitului pe profit care are o marjă de 3 luni. Astfel, tranzacțiile sunt înregistrate atunci când a avut loc activitatea care generează obligația fiscală. Creanțele din tranzacții comerciale, precum </w:t>
                      </w:r>
                      <w:proofErr w:type="spellStart"/>
                      <w:r w:rsidRPr="00875EBA">
                        <w:rPr>
                          <w:lang w:val="ro-RO"/>
                        </w:rPr>
                        <w:t>şi</w:t>
                      </w:r>
                      <w:proofErr w:type="spellEnd"/>
                      <w:r w:rsidRPr="00875EBA">
                        <w:rPr>
                          <w:lang w:val="ro-RO"/>
                        </w:rPr>
                        <w:t xml:space="preserve"> cheltuielile militare sunt înregistrate în sistem </w:t>
                      </w:r>
                      <w:proofErr w:type="spellStart"/>
                      <w:r w:rsidRPr="00875EBA">
                        <w:rPr>
                          <w:lang w:val="ro-RO"/>
                        </w:rPr>
                        <w:t>accrual</w:t>
                      </w:r>
                      <w:proofErr w:type="spellEnd"/>
                      <w:r w:rsidRPr="00875EBA">
                        <w:rPr>
                          <w:lang w:val="ro-RO"/>
                        </w:rPr>
                        <w:t xml:space="preserve">. </w:t>
                      </w:r>
                    </w:p>
                    <w:p w14:paraId="084E264A" w14:textId="7733367C" w:rsidR="003D10DF" w:rsidRPr="00875EBA" w:rsidRDefault="003D10DF" w:rsidP="00875EBA">
                      <w:pPr>
                        <w:rPr>
                          <w:lang w:val="ro-RO"/>
                        </w:rPr>
                      </w:pPr>
                      <w:r w:rsidRPr="00875EBA">
                        <w:rPr>
                          <w:lang w:val="ro-RO"/>
                        </w:rPr>
                        <w:t xml:space="preserve">  -Cheltuielile în </w:t>
                      </w:r>
                      <w:proofErr w:type="spellStart"/>
                      <w:r w:rsidRPr="00875EBA">
                        <w:rPr>
                          <w:lang w:val="ro-RO"/>
                        </w:rPr>
                        <w:t>accrual</w:t>
                      </w:r>
                      <w:proofErr w:type="spellEnd"/>
                      <w:r w:rsidRPr="00875EBA">
                        <w:rPr>
                          <w:lang w:val="ro-RO"/>
                        </w:rPr>
                        <w:t xml:space="preserve">, respectiv la cheltuieli  se adaugă </w:t>
                      </w:r>
                      <w:r w:rsidRPr="00875EBA">
                        <w:rPr>
                          <w:b/>
                          <w:lang w:val="ro-RO"/>
                        </w:rPr>
                        <w:t>sume de plătit</w:t>
                      </w:r>
                      <w:r w:rsidRPr="00875EBA">
                        <w:rPr>
                          <w:lang w:val="ro-RO"/>
                        </w:rPr>
                        <w:t xml:space="preserve"> aferente datoriilor comerciale, salarii, contribuții, alte drepturi, din bilanțul instituțiilor publice.  Tranzacțiile financiare cum ar fi rambursările, împrumuturile,  sunt eliminate. Din transferurile de la UE sunt eliminate cele pentru sectorul privat, fermieri. Diferența dintre venituri </w:t>
                      </w:r>
                      <w:proofErr w:type="spellStart"/>
                      <w:r w:rsidRPr="00875EBA">
                        <w:rPr>
                          <w:lang w:val="ro-RO"/>
                        </w:rPr>
                        <w:t>şi</w:t>
                      </w:r>
                      <w:proofErr w:type="spellEnd"/>
                      <w:r w:rsidRPr="00875EBA">
                        <w:rPr>
                          <w:lang w:val="ro-RO"/>
                        </w:rPr>
                        <w:t xml:space="preserve"> cheltuieli aferente fondurilor UE se înregistrează la sume de primit/de plătit, pentru a nu avea impact pe deficit.</w:t>
                      </w:r>
                    </w:p>
                    <w:p w14:paraId="391F9117" w14:textId="43DA5CAF" w:rsidR="003D10DF" w:rsidRPr="00875EBA" w:rsidRDefault="003D10DF" w:rsidP="00875EBA">
                      <w:pPr>
                        <w:rPr>
                          <w:lang w:val="ro-RO"/>
                        </w:rPr>
                      </w:pPr>
                      <w:r w:rsidRPr="00875EBA">
                        <w:rPr>
                          <w:lang w:val="ro-RO"/>
                        </w:rPr>
                        <w:t xml:space="preserve">Se include diferența dintre dobânda plătita si </w:t>
                      </w:r>
                      <w:proofErr w:type="spellStart"/>
                      <w:r w:rsidRPr="00875EBA">
                        <w:rPr>
                          <w:lang w:val="ro-RO"/>
                        </w:rPr>
                        <w:t>accruata</w:t>
                      </w:r>
                      <w:proofErr w:type="spellEnd"/>
                      <w:r w:rsidRPr="00875EBA">
                        <w:rPr>
                          <w:lang w:val="ro-RO"/>
                        </w:rPr>
                        <w:t xml:space="preserve">. </w:t>
                      </w:r>
                    </w:p>
                    <w:p w14:paraId="0B0DFFA4" w14:textId="7544A537" w:rsidR="003D10DF" w:rsidRPr="00875EBA" w:rsidRDefault="003D10DF" w:rsidP="00875EBA">
                      <w:pPr>
                        <w:rPr>
                          <w:lang w:val="ro-RO"/>
                        </w:rPr>
                      </w:pPr>
                      <w:r w:rsidRPr="00875EBA">
                        <w:rPr>
                          <w:lang w:val="ro-RO"/>
                        </w:rPr>
                        <w:t>-Conform criteriului de 50% și a criteriilor calitative se stabilește dacă unitățile au sau nu activitate de piață. Sunt incluse companiile publice de stat ale căror încasări din vânzări acoperă mai puțin de 50% din costurile de producție, aplicându-se și testul calitativ. Datele operative sunt transmise de companii electronic prin formularul S1001. La  trimestre se estimează soldul companiilor.</w:t>
                      </w:r>
                    </w:p>
                    <w:p w14:paraId="3314F9B7" w14:textId="70CABD07" w:rsidR="003D10DF" w:rsidRPr="00875EBA" w:rsidRDefault="003D10DF" w:rsidP="00875EBA">
                      <w:pPr>
                        <w:rPr>
                          <w:lang w:val="ro-RO"/>
                        </w:rPr>
                      </w:pPr>
                      <w:r w:rsidRPr="00875EBA">
                        <w:rPr>
                          <w:lang w:val="ro-RO"/>
                        </w:rPr>
                        <w:t xml:space="preserve">-La ajustări se includ: titlurile de despăgubire; transferul de la buget de stat la fond de risc; influențe din garanții repetate; anulari de datorii din creanțe externe; creșteri de capital; ajutoare externe ale MFP; </w:t>
                      </w:r>
                      <w:proofErr w:type="spellStart"/>
                      <w:r w:rsidRPr="00875EBA">
                        <w:rPr>
                          <w:lang w:val="ro-RO"/>
                        </w:rPr>
                        <w:t>superdividende</w:t>
                      </w:r>
                      <w:proofErr w:type="spellEnd"/>
                      <w:r w:rsidRPr="00875EBA">
                        <w:rPr>
                          <w:lang w:val="ro-RO"/>
                        </w:rPr>
                        <w:t xml:space="preserve">; dobânzi </w:t>
                      </w:r>
                      <w:proofErr w:type="spellStart"/>
                      <w:r w:rsidRPr="00875EBA">
                        <w:rPr>
                          <w:lang w:val="ro-RO"/>
                        </w:rPr>
                        <w:t>şi</w:t>
                      </w:r>
                      <w:proofErr w:type="spellEnd"/>
                      <w:r w:rsidRPr="00875EBA">
                        <w:rPr>
                          <w:lang w:val="ro-RO"/>
                        </w:rPr>
                        <w:t xml:space="preserve"> garanții executate aferente fondurilor de garantare; corecții aferente fondurilor UE. Totodată s-au inclus</w:t>
                      </w:r>
                      <w:r w:rsidRPr="00841EAA">
                        <w:rPr>
                          <w:lang w:val="ro-RO"/>
                        </w:rPr>
                        <w:t>:</w:t>
                      </w:r>
                      <w:r w:rsidRPr="00875EBA">
                        <w:rPr>
                          <w:lang w:val="ro-RO"/>
                        </w:rPr>
                        <w:t xml:space="preserve"> licențele de telefonie mobilă  înregistrate eșalonat pe toată durata contractului; ajustări contribuția României la bugetul UE; contribuția României la instrumentul de asistență pentru refugiați; fondul pentru garantarea depozitelor populației; împrumuturi nete Eximbank, diferențe salariale pentru învățământ (legea nr.85/2016), eliminarea sumelor care tranzitează conturile guvernamentale aferente fluxurilor dintre Comisia Europeană și alte sectoare (S11,S14).</w:t>
                      </w:r>
                    </w:p>
                    <w:p w14:paraId="46BCB1BB" w14:textId="77777777" w:rsidR="003D10DF" w:rsidRPr="00006966" w:rsidRDefault="003D10DF" w:rsidP="000B76FB">
                      <w:pPr>
                        <w:rPr>
                          <w:lang w:val="ro-RO"/>
                        </w:rPr>
                      </w:pPr>
                    </w:p>
                  </w:txbxContent>
                </v:textbox>
              </v:rect>
            </w:pict>
          </mc:Fallback>
        </mc:AlternateContent>
      </w:r>
      <w:r w:rsidR="00363D22" w:rsidRPr="006B2701">
        <w:rPr>
          <w:rFonts w:ascii="Arial" w:hAnsi="Arial" w:cs="Arial"/>
          <w:noProof/>
          <w:sz w:val="24"/>
          <w:szCs w:val="24"/>
        </w:rPr>
        <mc:AlternateContent>
          <mc:Choice Requires="wps">
            <w:drawing>
              <wp:anchor distT="0" distB="0" distL="114300" distR="114300" simplePos="0" relativeHeight="251676160" behindDoc="0" locked="0" layoutInCell="1" allowOverlap="1" wp14:anchorId="71902676" wp14:editId="7E37FDB8">
                <wp:simplePos x="0" y="0"/>
                <wp:positionH relativeFrom="column">
                  <wp:posOffset>2358390</wp:posOffset>
                </wp:positionH>
                <wp:positionV relativeFrom="paragraph">
                  <wp:posOffset>114300</wp:posOffset>
                </wp:positionV>
                <wp:extent cx="1028700" cy="457200"/>
                <wp:effectExtent l="12700" t="7620" r="6350" b="11430"/>
                <wp:wrapNone/>
                <wp:docPr id="66"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solidFill>
                          <a:srgbClr val="FFFFFF"/>
                        </a:solidFill>
                        <a:ln w="9525">
                          <a:solidFill>
                            <a:srgbClr val="000000"/>
                          </a:solidFill>
                          <a:round/>
                          <a:headEnd/>
                          <a:tailEnd/>
                        </a:ln>
                      </wps:spPr>
                      <wps:txbx>
                        <w:txbxContent>
                          <w:p w14:paraId="5CF74BAA" w14:textId="77777777" w:rsidR="003D10DF" w:rsidRPr="00783633" w:rsidRDefault="003D10DF" w:rsidP="000B76FB">
                            <w:pPr>
                              <w:rPr>
                                <w:rFonts w:ascii="Arial (W1)" w:hAnsi="Arial (W1)"/>
                                <w:lang w:val="ro-RO"/>
                              </w:rPr>
                            </w:pPr>
                            <w:r w:rsidRPr="00783633">
                              <w:rPr>
                                <w:rFonts w:ascii="Arial (W1)" w:hAnsi="Arial (W1)"/>
                                <w:lang w:val="ro-RO"/>
                              </w:rPr>
                              <w:t>Trimestrial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02676" id="Rounded Rectangle 68" o:spid="_x0000_s1030" style="position:absolute;left:0;text-align:left;margin-left:185.7pt;margin-top:9pt;width:81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">
                <v:textbox>
                  <w:txbxContent>
                    <w:p w14:paraId="5CF74BAA" w14:textId="77777777" w:rsidR="003D10DF" w:rsidRPr="00783633" w:rsidRDefault="003D10DF" w:rsidP="000B76FB">
                      <w:pPr>
                        <w:rPr>
                          <w:rFonts w:ascii="Arial (W1)" w:hAnsi="Arial (W1)"/>
                          <w:lang w:val="ro-RO"/>
                        </w:rPr>
                      </w:pPr>
                      <w:r w:rsidRPr="00783633">
                        <w:rPr>
                          <w:rFonts w:ascii="Arial (W1)" w:hAnsi="Arial (W1)"/>
                          <w:lang w:val="ro-RO"/>
                        </w:rPr>
                        <w:t>Trimestrial</w:t>
                      </w:r>
                    </w:p>
                  </w:txbxContent>
                </v:textbox>
              </v:roundrect>
            </w:pict>
          </mc:Fallback>
        </mc:AlternateContent>
      </w:r>
      <w:r w:rsidR="001170D5" w:rsidRPr="006B2701">
        <w:rPr>
          <w:rFonts w:ascii="Arial" w:hAnsi="Arial" w:cs="Arial"/>
          <w:noProof/>
          <w:sz w:val="24"/>
          <w:szCs w:val="24"/>
        </w:rPr>
        <mc:AlternateContent>
          <mc:Choice Requires="wps">
            <w:drawing>
              <wp:anchor distT="0" distB="0" distL="114300" distR="114300" simplePos="0" relativeHeight="251675136" behindDoc="0" locked="0" layoutInCell="1" allowOverlap="1" wp14:anchorId="3C669526" wp14:editId="4674AFF1">
                <wp:simplePos x="0" y="0"/>
                <wp:positionH relativeFrom="column">
                  <wp:posOffset>107315</wp:posOffset>
                </wp:positionH>
                <wp:positionV relativeFrom="paragraph">
                  <wp:posOffset>79375</wp:posOffset>
                </wp:positionV>
                <wp:extent cx="1371600" cy="352425"/>
                <wp:effectExtent l="0" t="0" r="19050" b="28575"/>
                <wp:wrapNone/>
                <wp:docPr id="67"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52425"/>
                        </a:xfrm>
                        <a:prstGeom prst="roundRect">
                          <a:avLst>
                            <a:gd name="adj" fmla="val 16667"/>
                          </a:avLst>
                        </a:prstGeom>
                        <a:solidFill>
                          <a:srgbClr val="FFFFFF"/>
                        </a:solidFill>
                        <a:ln w="9525">
                          <a:solidFill>
                            <a:srgbClr val="000000"/>
                          </a:solidFill>
                          <a:round/>
                          <a:headEnd/>
                          <a:tailEnd/>
                        </a:ln>
                      </wps:spPr>
                      <wps:txbx>
                        <w:txbxContent>
                          <w:p w14:paraId="6F483840" w14:textId="77777777" w:rsidR="003D10DF" w:rsidRPr="004B3882" w:rsidRDefault="003D10DF" w:rsidP="000B76FB">
                            <w:pPr>
                              <w:jc w:val="center"/>
                              <w:rPr>
                                <w:rFonts w:ascii="Arial (W1)" w:hAnsi="Arial (W1)"/>
                              </w:rPr>
                            </w:pPr>
                            <w:r w:rsidRPr="004B3882">
                              <w:rPr>
                                <w:rFonts w:ascii="Arial (W1)" w:hAnsi="Arial (W1)"/>
                              </w:rPr>
                              <w:t>Lunar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69526" id="Rounded Rectangle 69" o:spid="_x0000_s1031" style="position:absolute;left:0;text-align:left;margin-left:8.45pt;margin-top:6.25pt;width:108pt;height:27.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">
                <v:textbox>
                  <w:txbxContent>
                    <w:p w14:paraId="6F483840" w14:textId="77777777" w:rsidR="003D10DF" w:rsidRPr="004B3882" w:rsidRDefault="003D10DF" w:rsidP="000B76FB">
                      <w:pPr>
                        <w:jc w:val="center"/>
                        <w:rPr>
                          <w:rFonts w:ascii="Arial (W1)" w:hAnsi="Arial (W1)"/>
                        </w:rPr>
                      </w:pPr>
                      <w:r w:rsidRPr="004B3882">
                        <w:rPr>
                          <w:rFonts w:ascii="Arial (W1)" w:hAnsi="Arial (W1)"/>
                        </w:rPr>
                        <w:t>Lunar</w:t>
                      </w:r>
                    </w:p>
                  </w:txbxContent>
                </v:textbox>
              </v:roundrect>
            </w:pict>
          </mc:Fallback>
        </mc:AlternateContent>
      </w:r>
      <w:r w:rsidR="00B54EB1" w:rsidRPr="006B2701">
        <w:rPr>
          <w:rFonts w:ascii="Arial" w:hAnsi="Arial" w:cs="Arial"/>
          <w:noProof/>
          <w:sz w:val="24"/>
          <w:szCs w:val="24"/>
        </w:rPr>
        <mc:AlternateContent>
          <mc:Choice Requires="wps">
            <w:drawing>
              <wp:anchor distT="0" distB="0" distL="114300" distR="114300" simplePos="0" relativeHeight="251678208" behindDoc="0" locked="0" layoutInCell="1" allowOverlap="1" wp14:anchorId="058E81ED" wp14:editId="471B1E9D">
                <wp:simplePos x="0" y="0"/>
                <wp:positionH relativeFrom="column">
                  <wp:posOffset>1319530</wp:posOffset>
                </wp:positionH>
                <wp:positionV relativeFrom="paragraph">
                  <wp:posOffset>-1385570</wp:posOffset>
                </wp:positionV>
                <wp:extent cx="1714500" cy="0"/>
                <wp:effectExtent l="12065" t="8890" r="6985" b="10160"/>
                <wp:wrapNone/>
                <wp:docPr id="69"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E706F" id="Straight Connector 7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pt,-109.1pt" to="238.9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nvHwIAADg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"/>
            </w:pict>
          </mc:Fallback>
        </mc:AlternateContent>
      </w:r>
    </w:p>
    <w:p w14:paraId="30ACCC61" w14:textId="77777777" w:rsidR="00BA5E33" w:rsidRPr="006B2701" w:rsidRDefault="00B54EB1" w:rsidP="000F5753">
      <w:pPr>
        <w:tabs>
          <w:tab w:val="left" w:pos="3255"/>
          <w:tab w:val="center" w:pos="7569"/>
          <w:tab w:val="left" w:pos="11655"/>
        </w:tabs>
        <w:spacing w:line="276" w:lineRule="auto"/>
        <w:rPr>
          <w:rFonts w:ascii="Arial" w:eastAsia="MS Mincho" w:hAnsi="Arial" w:cs="Arial"/>
          <w:b/>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68992" behindDoc="0" locked="0" layoutInCell="1" allowOverlap="1" wp14:anchorId="76724BBE" wp14:editId="19D0A8A5">
                <wp:simplePos x="0" y="0"/>
                <wp:positionH relativeFrom="column">
                  <wp:posOffset>3040380</wp:posOffset>
                </wp:positionH>
                <wp:positionV relativeFrom="paragraph">
                  <wp:posOffset>407670</wp:posOffset>
                </wp:positionV>
                <wp:extent cx="0" cy="342900"/>
                <wp:effectExtent l="56515" t="7620" r="57785" b="20955"/>
                <wp:wrapNone/>
                <wp:docPr id="65"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109F3" id="Straight Connector 6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32.1pt" to="239.4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">
                <v:stroke endarrow="block"/>
              </v:line>
            </w:pict>
          </mc:Fallback>
        </mc:AlternateContent>
      </w:r>
      <w:r w:rsidR="00BA5E33" w:rsidRPr="006B2701">
        <w:rPr>
          <w:rFonts w:ascii="Arial" w:eastAsia="MS Mincho" w:hAnsi="Arial" w:cs="Arial"/>
          <w:b/>
          <w:sz w:val="24"/>
          <w:szCs w:val="24"/>
          <w:lang w:val="ro-RO" w:eastAsia="ja-JP"/>
        </w:rPr>
        <w:tab/>
      </w:r>
      <w:r w:rsidR="00BA5E33" w:rsidRPr="006B2701">
        <w:rPr>
          <w:rFonts w:ascii="Arial" w:eastAsia="MS Mincho" w:hAnsi="Arial" w:cs="Arial"/>
          <w:b/>
          <w:sz w:val="24"/>
          <w:szCs w:val="24"/>
          <w:lang w:val="ro-RO" w:eastAsia="ja-JP"/>
        </w:rPr>
        <w:tab/>
      </w:r>
      <w:r w:rsidR="00BA5E33" w:rsidRPr="006B2701">
        <w:rPr>
          <w:rFonts w:ascii="Arial" w:eastAsia="MS Mincho" w:hAnsi="Arial" w:cs="Arial"/>
          <w:b/>
          <w:sz w:val="24"/>
          <w:szCs w:val="24"/>
          <w:lang w:val="ro-RO" w:eastAsia="ja-JP"/>
        </w:rPr>
        <w:tab/>
      </w:r>
    </w:p>
    <w:p w14:paraId="70296945" w14:textId="5499D955" w:rsidR="00BA5E33" w:rsidRPr="006B2701" w:rsidRDefault="00465243" w:rsidP="000F5753">
      <w:pPr>
        <w:tabs>
          <w:tab w:val="left" w:pos="3255"/>
        </w:tabs>
        <w:spacing w:line="276" w:lineRule="auto"/>
        <w:jc w:val="center"/>
        <w:rPr>
          <w:rFonts w:ascii="Arial" w:eastAsia="MS Mincho" w:hAnsi="Arial" w:cs="Arial"/>
          <w:b/>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65920" behindDoc="0" locked="0" layoutInCell="1" allowOverlap="1" wp14:anchorId="0C646950" wp14:editId="3D83B191">
                <wp:simplePos x="0" y="0"/>
                <wp:positionH relativeFrom="column">
                  <wp:posOffset>-37465</wp:posOffset>
                </wp:positionH>
                <wp:positionV relativeFrom="paragraph">
                  <wp:posOffset>217170</wp:posOffset>
                </wp:positionV>
                <wp:extent cx="2209800" cy="403860"/>
                <wp:effectExtent l="0" t="0" r="19050" b="15240"/>
                <wp:wrapNone/>
                <wp:docPr id="6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03860"/>
                        </a:xfrm>
                        <a:prstGeom prst="rect">
                          <a:avLst/>
                        </a:prstGeom>
                        <a:solidFill>
                          <a:srgbClr val="FFFFFF"/>
                        </a:solidFill>
                        <a:ln w="9525">
                          <a:solidFill>
                            <a:srgbClr val="000000"/>
                          </a:solidFill>
                          <a:miter lim="800000"/>
                          <a:headEnd/>
                          <a:tailEnd/>
                        </a:ln>
                      </wps:spPr>
                      <wps:txbx>
                        <w:txbxContent>
                          <w:p w14:paraId="429B8B69" w14:textId="77777777" w:rsidR="003D10DF" w:rsidRDefault="003D10DF" w:rsidP="000B76FB">
                            <w:pPr>
                              <w:jc w:val="center"/>
                              <w:rPr>
                                <w:lang w:val="ro-RO"/>
                              </w:rPr>
                            </w:pPr>
                            <w:r>
                              <w:rPr>
                                <w:lang w:val="ro-RO"/>
                              </w:rPr>
                              <w:t>Baza cash</w:t>
                            </w:r>
                          </w:p>
                          <w:p w14:paraId="644023E4" w14:textId="78D09C92" w:rsidR="003D10DF" w:rsidRPr="0032759E" w:rsidRDefault="003D10DF" w:rsidP="000B76FB">
                            <w:pPr>
                              <w:rPr>
                                <w:lang w:val="ro-RO"/>
                              </w:rPr>
                            </w:pPr>
                            <w:r>
                              <w:rPr>
                                <w:lang w:val="ro-RO"/>
                              </w:rPr>
                              <w:t xml:space="preserve">Ministerul Finanțelor Publice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46950" id="Rectangle 62" o:spid="_x0000_s1032" style="position:absolute;left:0;text-align:left;margin-left:-2.95pt;margin-top:17.1pt;width:174pt;height:3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">
                <v:textbox>
                  <w:txbxContent>
                    <w:p w14:paraId="429B8B69" w14:textId="77777777" w:rsidR="003D10DF" w:rsidRDefault="003D10DF" w:rsidP="000B76FB">
                      <w:pPr>
                        <w:jc w:val="center"/>
                        <w:rPr>
                          <w:lang w:val="ro-RO"/>
                        </w:rPr>
                      </w:pPr>
                      <w:r>
                        <w:rPr>
                          <w:lang w:val="ro-RO"/>
                        </w:rPr>
                        <w:t>Baza cash</w:t>
                      </w:r>
                    </w:p>
                    <w:p w14:paraId="644023E4" w14:textId="78D09C92" w:rsidR="003D10DF" w:rsidRPr="0032759E" w:rsidRDefault="003D10DF" w:rsidP="000B76FB">
                      <w:pPr>
                        <w:rPr>
                          <w:lang w:val="ro-RO"/>
                        </w:rPr>
                      </w:pPr>
                      <w:r>
                        <w:rPr>
                          <w:lang w:val="ro-RO"/>
                        </w:rPr>
                        <w:t xml:space="preserve">Ministerul Finanțelor Publice </w:t>
                      </w:r>
                    </w:p>
                  </w:txbxContent>
                </v:textbox>
              </v:rect>
            </w:pict>
          </mc:Fallback>
        </mc:AlternateContent>
      </w:r>
      <w:r w:rsidR="00B54EB1" w:rsidRPr="006B2701">
        <w:rPr>
          <w:rFonts w:ascii="Arial" w:hAnsi="Arial" w:cs="Arial"/>
          <w:noProof/>
          <w:sz w:val="24"/>
          <w:szCs w:val="24"/>
        </w:rPr>
        <mc:AlternateContent>
          <mc:Choice Requires="wps">
            <w:drawing>
              <wp:anchor distT="0" distB="0" distL="114300" distR="114300" simplePos="0" relativeHeight="251670016" behindDoc="0" locked="0" layoutInCell="1" allowOverlap="1" wp14:anchorId="74E275B7" wp14:editId="2ECADB07">
                <wp:simplePos x="0" y="0"/>
                <wp:positionH relativeFrom="column">
                  <wp:posOffset>869315</wp:posOffset>
                </wp:positionH>
                <wp:positionV relativeFrom="paragraph">
                  <wp:posOffset>38100</wp:posOffset>
                </wp:positionV>
                <wp:extent cx="0" cy="171450"/>
                <wp:effectExtent l="76200" t="0" r="57150" b="57150"/>
                <wp:wrapNone/>
                <wp:docPr id="63"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FB029" id="Straight Connector 6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3pt" to="68.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">
                <v:stroke endarrow="block"/>
              </v:line>
            </w:pict>
          </mc:Fallback>
        </mc:AlternateContent>
      </w:r>
    </w:p>
    <w:p w14:paraId="7FB87991" w14:textId="67F246FA" w:rsidR="00BA5E33" w:rsidRPr="006B2701" w:rsidRDefault="00B54EB1" w:rsidP="000F5753">
      <w:pPr>
        <w:tabs>
          <w:tab w:val="left" w:pos="3255"/>
        </w:tabs>
        <w:spacing w:line="276" w:lineRule="auto"/>
        <w:jc w:val="center"/>
        <w:rPr>
          <w:rFonts w:ascii="Arial" w:eastAsia="MS Mincho" w:hAnsi="Arial" w:cs="Arial"/>
          <w:b/>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67968" behindDoc="0" locked="0" layoutInCell="1" allowOverlap="1" wp14:anchorId="37416499" wp14:editId="2D337D07">
                <wp:simplePos x="0" y="0"/>
                <wp:positionH relativeFrom="column">
                  <wp:posOffset>941070</wp:posOffset>
                </wp:positionH>
                <wp:positionV relativeFrom="paragraph">
                  <wp:posOffset>472440</wp:posOffset>
                </wp:positionV>
                <wp:extent cx="0" cy="342900"/>
                <wp:effectExtent l="52705" t="7620" r="61595" b="20955"/>
                <wp:wrapNone/>
                <wp:docPr id="62"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8A201" id="Straight Connector 6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7.2pt" to="74.1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">
                <v:stroke endarrow="block"/>
              </v:line>
            </w:pict>
          </mc:Fallback>
        </mc:AlternateContent>
      </w:r>
    </w:p>
    <w:p w14:paraId="631CB978" w14:textId="77777777" w:rsidR="00BA5E33" w:rsidRPr="006B2701" w:rsidRDefault="00BA5E33" w:rsidP="000F5753">
      <w:pPr>
        <w:tabs>
          <w:tab w:val="left" w:pos="3255"/>
          <w:tab w:val="left" w:pos="11745"/>
        </w:tabs>
        <w:spacing w:line="276" w:lineRule="auto"/>
        <w:rPr>
          <w:rFonts w:ascii="Arial" w:eastAsia="MS Mincho" w:hAnsi="Arial" w:cs="Arial"/>
          <w:b/>
          <w:sz w:val="24"/>
          <w:szCs w:val="24"/>
          <w:lang w:val="ro-RO" w:eastAsia="ja-JP"/>
        </w:rPr>
      </w:pPr>
      <w:r w:rsidRPr="006B2701">
        <w:rPr>
          <w:rFonts w:ascii="Arial" w:eastAsia="MS Mincho" w:hAnsi="Arial" w:cs="Arial"/>
          <w:b/>
          <w:sz w:val="24"/>
          <w:szCs w:val="24"/>
          <w:lang w:val="ro-RO" w:eastAsia="ja-JP"/>
        </w:rPr>
        <w:tab/>
      </w:r>
      <w:r w:rsidRPr="006B2701">
        <w:rPr>
          <w:rFonts w:ascii="Arial" w:eastAsia="MS Mincho" w:hAnsi="Arial" w:cs="Arial"/>
          <w:b/>
          <w:sz w:val="24"/>
          <w:szCs w:val="24"/>
          <w:lang w:val="ro-RO" w:eastAsia="ja-JP"/>
        </w:rPr>
        <w:tab/>
      </w:r>
    </w:p>
    <w:p w14:paraId="60040BEE" w14:textId="77777777" w:rsidR="00BA5E33" w:rsidRPr="006B2701" w:rsidRDefault="001170D5" w:rsidP="000F5753">
      <w:pPr>
        <w:spacing w:line="276" w:lineRule="auto"/>
        <w:rPr>
          <w:rFonts w:ascii="Arial" w:eastAsia="MS Mincho" w:hAnsi="Arial" w:cs="Arial"/>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66944" behindDoc="0" locked="0" layoutInCell="1" allowOverlap="1" wp14:anchorId="53831F0D" wp14:editId="684B0DB0">
                <wp:simplePos x="0" y="0"/>
                <wp:positionH relativeFrom="column">
                  <wp:posOffset>2388870</wp:posOffset>
                </wp:positionH>
                <wp:positionV relativeFrom="paragraph">
                  <wp:posOffset>16510</wp:posOffset>
                </wp:positionV>
                <wp:extent cx="2063115" cy="457200"/>
                <wp:effectExtent l="5080" t="7620" r="8255" b="11430"/>
                <wp:wrapNone/>
                <wp:docPr id="6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457200"/>
                        </a:xfrm>
                        <a:prstGeom prst="rect">
                          <a:avLst/>
                        </a:prstGeom>
                        <a:solidFill>
                          <a:srgbClr val="FFFFFF"/>
                        </a:solidFill>
                        <a:ln w="9525">
                          <a:solidFill>
                            <a:srgbClr val="000000"/>
                          </a:solidFill>
                          <a:miter lim="800000"/>
                          <a:headEnd/>
                          <a:tailEnd/>
                        </a:ln>
                      </wps:spPr>
                      <wps:txbx>
                        <w:txbxContent>
                          <w:p w14:paraId="286362FA" w14:textId="77777777" w:rsidR="003D10DF" w:rsidRDefault="003D10DF" w:rsidP="000B76FB">
                            <w:pPr>
                              <w:jc w:val="center"/>
                              <w:rPr>
                                <w:lang w:val="ro-RO"/>
                              </w:rPr>
                            </w:pPr>
                            <w:r>
                              <w:rPr>
                                <w:lang w:val="ro-RO"/>
                              </w:rPr>
                              <w:t>Baza cash</w:t>
                            </w:r>
                          </w:p>
                          <w:p w14:paraId="07D8DCE0" w14:textId="02D9F4C7" w:rsidR="003D10DF" w:rsidRPr="0032759E" w:rsidRDefault="003D10DF" w:rsidP="000B76FB">
                            <w:pPr>
                              <w:rPr>
                                <w:lang w:val="ro-RO"/>
                              </w:rPr>
                            </w:pPr>
                            <w:r>
                              <w:rPr>
                                <w:lang w:val="ro-RO"/>
                              </w:rPr>
                              <w:t>Ministerul Finanțelor Publice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31F0D" id="Rectangle 66" o:spid="_x0000_s1033" style="position:absolute;margin-left:188.1pt;margin-top:1.3pt;width:162.4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">
                <v:textbox>
                  <w:txbxContent>
                    <w:p w14:paraId="286362FA" w14:textId="77777777" w:rsidR="003D10DF" w:rsidRDefault="003D10DF" w:rsidP="000B76FB">
                      <w:pPr>
                        <w:jc w:val="center"/>
                        <w:rPr>
                          <w:lang w:val="ro-RO"/>
                        </w:rPr>
                      </w:pPr>
                      <w:r>
                        <w:rPr>
                          <w:lang w:val="ro-RO"/>
                        </w:rPr>
                        <w:t>Baza cash</w:t>
                      </w:r>
                    </w:p>
                    <w:p w14:paraId="07D8DCE0" w14:textId="02D9F4C7" w:rsidR="003D10DF" w:rsidRPr="0032759E" w:rsidRDefault="003D10DF" w:rsidP="000B76FB">
                      <w:pPr>
                        <w:rPr>
                          <w:lang w:val="ro-RO"/>
                        </w:rPr>
                      </w:pPr>
                      <w:r>
                        <w:rPr>
                          <w:lang w:val="ro-RO"/>
                        </w:rPr>
                        <w:t>Ministerul Finanțelor Publice</w:t>
                      </w:r>
                    </w:p>
                  </w:txbxContent>
                </v:textbox>
              </v:rect>
            </w:pict>
          </mc:Fallback>
        </mc:AlternateContent>
      </w:r>
    </w:p>
    <w:p w14:paraId="164A936A" w14:textId="77777777" w:rsidR="00BA5E33" w:rsidRPr="006B2701" w:rsidRDefault="00BA5E33" w:rsidP="000F5753">
      <w:pPr>
        <w:spacing w:line="276" w:lineRule="auto"/>
        <w:rPr>
          <w:rFonts w:ascii="Arial" w:eastAsia="MS Mincho" w:hAnsi="Arial" w:cs="Arial"/>
          <w:sz w:val="24"/>
          <w:szCs w:val="24"/>
          <w:lang w:val="ro-RO" w:eastAsia="ja-JP"/>
        </w:rPr>
      </w:pPr>
    </w:p>
    <w:p w14:paraId="4605F6D7" w14:textId="36C63E20" w:rsidR="00BA5E33" w:rsidRPr="006B2701" w:rsidRDefault="00465243" w:rsidP="000F5753">
      <w:pPr>
        <w:spacing w:line="276" w:lineRule="auto"/>
        <w:rPr>
          <w:rFonts w:ascii="Arial" w:eastAsia="MS Mincho" w:hAnsi="Arial" w:cs="Arial"/>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29056" behindDoc="0" locked="0" layoutInCell="1" allowOverlap="1" wp14:anchorId="037A30C8" wp14:editId="10F4DC03">
                <wp:simplePos x="0" y="0"/>
                <wp:positionH relativeFrom="column">
                  <wp:posOffset>2538096</wp:posOffset>
                </wp:positionH>
                <wp:positionV relativeFrom="paragraph">
                  <wp:posOffset>108585</wp:posOffset>
                </wp:positionV>
                <wp:extent cx="2057400" cy="2057400"/>
                <wp:effectExtent l="0" t="0" r="19050" b="19050"/>
                <wp:wrapNone/>
                <wp:docPr id="58" name="Flowchart: Proces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057400"/>
                        </a:xfrm>
                        <a:prstGeom prst="flowChartProcess">
                          <a:avLst/>
                        </a:prstGeom>
                        <a:solidFill>
                          <a:srgbClr val="FFFFFF"/>
                        </a:solidFill>
                        <a:ln w="9525">
                          <a:solidFill>
                            <a:srgbClr val="000000"/>
                          </a:solidFill>
                          <a:miter lim="800000"/>
                          <a:headEnd/>
                          <a:tailEnd/>
                        </a:ln>
                      </wps:spPr>
                      <wps:txbx>
                        <w:txbxContent>
                          <w:p w14:paraId="2CADAE01" w14:textId="77777777" w:rsidR="003D10DF" w:rsidRPr="00841EAA" w:rsidRDefault="003D10DF" w:rsidP="000B76FB">
                            <w:pPr>
                              <w:rPr>
                                <w:b/>
                                <w:lang w:val="fr-FR"/>
                              </w:rPr>
                            </w:pPr>
                            <w:r w:rsidRPr="00FE4FEA">
                              <w:rPr>
                                <w:b/>
                                <w:lang w:val="ro-RO"/>
                              </w:rPr>
                              <w:t>Sursa de date primare</w:t>
                            </w:r>
                            <w:r w:rsidRPr="00841EAA">
                              <w:rPr>
                                <w:b/>
                                <w:lang w:val="fr-FR"/>
                              </w:rPr>
                              <w:t>:</w:t>
                            </w:r>
                          </w:p>
                          <w:p w14:paraId="1DF91E01" w14:textId="77777777" w:rsidR="003D10DF" w:rsidRPr="001900CF" w:rsidRDefault="003D10DF" w:rsidP="000B76FB">
                            <w:pPr>
                              <w:rPr>
                                <w:lang w:val="ro-RO"/>
                              </w:rPr>
                            </w:pPr>
                            <w:r w:rsidRPr="001900CF">
                              <w:rPr>
                                <w:lang w:val="ro-RO"/>
                              </w:rPr>
                              <w:t>-Buget de stat</w:t>
                            </w:r>
                          </w:p>
                          <w:p w14:paraId="7900C455" w14:textId="77777777" w:rsidR="003D10DF" w:rsidRPr="006632C1" w:rsidRDefault="003D10DF" w:rsidP="000B76FB">
                            <w:pPr>
                              <w:rPr>
                                <w:lang w:val="ro-RO"/>
                              </w:rPr>
                            </w:pPr>
                            <w:r w:rsidRPr="006632C1">
                              <w:rPr>
                                <w:lang w:val="ro-RO"/>
                              </w:rPr>
                              <w:t>-Trezoreria Statului</w:t>
                            </w:r>
                          </w:p>
                          <w:p w14:paraId="2D78E505" w14:textId="7B42A35E" w:rsidR="003D10DF" w:rsidRDefault="003D10DF" w:rsidP="000B76FB">
                            <w:pPr>
                              <w:rPr>
                                <w:lang w:val="ro-RO"/>
                              </w:rPr>
                            </w:pPr>
                            <w:r w:rsidRPr="006632C1">
                              <w:rPr>
                                <w:lang w:val="ro-RO"/>
                              </w:rPr>
                              <w:t>-Instituțiile finanțate integral sau parțial din venituri proprii</w:t>
                            </w:r>
                          </w:p>
                          <w:p w14:paraId="11F6B946" w14:textId="2DF8FA10" w:rsidR="003D10DF" w:rsidRDefault="003D10DF" w:rsidP="000B76FB">
                            <w:pPr>
                              <w:rPr>
                                <w:lang w:val="ro-RO"/>
                              </w:rPr>
                            </w:pPr>
                            <w:r>
                              <w:rPr>
                                <w:lang w:val="ro-RO"/>
                              </w:rPr>
                              <w:t xml:space="preserve">-Bugetul Companiei Naționale de Autostrăzi </w:t>
                            </w:r>
                            <w:proofErr w:type="spellStart"/>
                            <w:r>
                              <w:rPr>
                                <w:lang w:val="ro-RO"/>
                              </w:rPr>
                              <w:t>şi</w:t>
                            </w:r>
                            <w:proofErr w:type="spellEnd"/>
                            <w:r>
                              <w:rPr>
                                <w:lang w:val="ro-RO"/>
                              </w:rPr>
                              <w:t xml:space="preserve"> Drumuri Naționale</w:t>
                            </w:r>
                          </w:p>
                          <w:p w14:paraId="412E7EB5" w14:textId="77777777" w:rsidR="003D10DF" w:rsidRDefault="003D10DF" w:rsidP="000B76FB">
                            <w:pPr>
                              <w:rPr>
                                <w:lang w:val="ro-RO"/>
                              </w:rPr>
                            </w:pPr>
                            <w:r>
                              <w:rPr>
                                <w:lang w:val="ro-RO"/>
                              </w:rPr>
                              <w:t>-Fonduri externe nerambursabile</w:t>
                            </w:r>
                          </w:p>
                          <w:p w14:paraId="2FBFBC26" w14:textId="77777777" w:rsidR="003D10DF" w:rsidRDefault="003D10DF" w:rsidP="000B76FB">
                            <w:pPr>
                              <w:rPr>
                                <w:lang w:val="ro-RO"/>
                              </w:rPr>
                            </w:pPr>
                            <w:r>
                              <w:rPr>
                                <w:lang w:val="ro-RO"/>
                              </w:rPr>
                              <w:t>-Credite externe</w:t>
                            </w:r>
                          </w:p>
                          <w:p w14:paraId="69A1C1D6" w14:textId="77777777" w:rsidR="003D10DF" w:rsidRDefault="003D10DF" w:rsidP="000B76FB">
                            <w:pPr>
                              <w:rPr>
                                <w:lang w:val="ro-RO"/>
                              </w:rPr>
                            </w:pPr>
                          </w:p>
                          <w:p w14:paraId="7D962C3E" w14:textId="77777777" w:rsidR="003D10DF" w:rsidRPr="002B553C" w:rsidRDefault="003D10DF"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A30C8" id="_x0000_t109" coordsize="21600,21600" o:spt="109" path="m,l,21600r21600,l21600,xe">
                <v:stroke joinstyle="miter"/>
                <v:path gradientshapeok="t" o:connecttype="rect"/>
              </v:shapetype>
              <v:shape id="Flowchart: Process 60" o:spid="_x0000_s1034" type="#_x0000_t109" style="position:absolute;margin-left:199.85pt;margin-top:8.55pt;width:162pt;height:16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">
                <v:textbox>
                  <w:txbxContent>
                    <w:p w14:paraId="2CADAE01" w14:textId="77777777" w:rsidR="003D10DF" w:rsidRPr="00841EAA" w:rsidRDefault="003D10DF" w:rsidP="000B76FB">
                      <w:pPr>
                        <w:rPr>
                          <w:b/>
                          <w:lang w:val="fr-FR"/>
                        </w:rPr>
                      </w:pPr>
                      <w:r w:rsidRPr="00FE4FEA">
                        <w:rPr>
                          <w:b/>
                          <w:lang w:val="ro-RO"/>
                        </w:rPr>
                        <w:t>Sursa de date primare</w:t>
                      </w:r>
                      <w:r w:rsidRPr="00841EAA">
                        <w:rPr>
                          <w:b/>
                          <w:lang w:val="fr-FR"/>
                        </w:rPr>
                        <w:t>:</w:t>
                      </w:r>
                    </w:p>
                    <w:p w14:paraId="1DF91E01" w14:textId="77777777" w:rsidR="003D10DF" w:rsidRPr="001900CF" w:rsidRDefault="003D10DF" w:rsidP="000B76FB">
                      <w:pPr>
                        <w:rPr>
                          <w:lang w:val="ro-RO"/>
                        </w:rPr>
                      </w:pPr>
                      <w:r w:rsidRPr="001900CF">
                        <w:rPr>
                          <w:lang w:val="ro-RO"/>
                        </w:rPr>
                        <w:t>-Buget de stat</w:t>
                      </w:r>
                    </w:p>
                    <w:p w14:paraId="7900C455" w14:textId="77777777" w:rsidR="003D10DF" w:rsidRPr="006632C1" w:rsidRDefault="003D10DF" w:rsidP="000B76FB">
                      <w:pPr>
                        <w:rPr>
                          <w:lang w:val="ro-RO"/>
                        </w:rPr>
                      </w:pPr>
                      <w:r w:rsidRPr="006632C1">
                        <w:rPr>
                          <w:lang w:val="ro-RO"/>
                        </w:rPr>
                        <w:t>-Trezoreria Statului</w:t>
                      </w:r>
                    </w:p>
                    <w:p w14:paraId="2D78E505" w14:textId="7B42A35E" w:rsidR="003D10DF" w:rsidRDefault="003D10DF" w:rsidP="000B76FB">
                      <w:pPr>
                        <w:rPr>
                          <w:lang w:val="ro-RO"/>
                        </w:rPr>
                      </w:pPr>
                      <w:r w:rsidRPr="006632C1">
                        <w:rPr>
                          <w:lang w:val="ro-RO"/>
                        </w:rPr>
                        <w:t>-Instituțiile finanțate integral sau parțial din venituri proprii</w:t>
                      </w:r>
                    </w:p>
                    <w:p w14:paraId="11F6B946" w14:textId="2DF8FA10" w:rsidR="003D10DF" w:rsidRDefault="003D10DF" w:rsidP="000B76FB">
                      <w:pPr>
                        <w:rPr>
                          <w:lang w:val="ro-RO"/>
                        </w:rPr>
                      </w:pPr>
                      <w:r>
                        <w:rPr>
                          <w:lang w:val="ro-RO"/>
                        </w:rPr>
                        <w:t xml:space="preserve">-Bugetul Companiei Naționale de Autostrăzi </w:t>
                      </w:r>
                      <w:proofErr w:type="spellStart"/>
                      <w:r>
                        <w:rPr>
                          <w:lang w:val="ro-RO"/>
                        </w:rPr>
                        <w:t>şi</w:t>
                      </w:r>
                      <w:proofErr w:type="spellEnd"/>
                      <w:r>
                        <w:rPr>
                          <w:lang w:val="ro-RO"/>
                        </w:rPr>
                        <w:t xml:space="preserve"> Drumuri Naționale</w:t>
                      </w:r>
                    </w:p>
                    <w:p w14:paraId="412E7EB5" w14:textId="77777777" w:rsidR="003D10DF" w:rsidRDefault="003D10DF" w:rsidP="000B76FB">
                      <w:pPr>
                        <w:rPr>
                          <w:lang w:val="ro-RO"/>
                        </w:rPr>
                      </w:pPr>
                      <w:r>
                        <w:rPr>
                          <w:lang w:val="ro-RO"/>
                        </w:rPr>
                        <w:t>-Fonduri externe nerambursabile</w:t>
                      </w:r>
                    </w:p>
                    <w:p w14:paraId="2FBFBC26" w14:textId="77777777" w:rsidR="003D10DF" w:rsidRDefault="003D10DF" w:rsidP="000B76FB">
                      <w:pPr>
                        <w:rPr>
                          <w:lang w:val="ro-RO"/>
                        </w:rPr>
                      </w:pPr>
                      <w:r>
                        <w:rPr>
                          <w:lang w:val="ro-RO"/>
                        </w:rPr>
                        <w:t>-Credite externe</w:t>
                      </w:r>
                    </w:p>
                    <w:p w14:paraId="69A1C1D6" w14:textId="77777777" w:rsidR="003D10DF" w:rsidRDefault="003D10DF" w:rsidP="000B76FB">
                      <w:pPr>
                        <w:rPr>
                          <w:lang w:val="ro-RO"/>
                        </w:rPr>
                      </w:pPr>
                    </w:p>
                    <w:p w14:paraId="7D962C3E" w14:textId="77777777" w:rsidR="003D10DF" w:rsidRPr="002B553C" w:rsidRDefault="003D10DF" w:rsidP="000B76FB">
                      <w:pPr>
                        <w:rPr>
                          <w:lang w:val="ro-RO"/>
                        </w:rPr>
                      </w:pPr>
                    </w:p>
                  </w:txbxContent>
                </v:textbox>
              </v:shape>
            </w:pict>
          </mc:Fallback>
        </mc:AlternateContent>
      </w:r>
      <w:r w:rsidR="001170D5" w:rsidRPr="006B2701">
        <w:rPr>
          <w:rFonts w:ascii="Arial" w:hAnsi="Arial" w:cs="Arial"/>
          <w:noProof/>
          <w:sz w:val="24"/>
          <w:szCs w:val="24"/>
        </w:rPr>
        <mc:AlternateContent>
          <mc:Choice Requires="wps">
            <w:drawing>
              <wp:anchor distT="0" distB="0" distL="114300" distR="114300" simplePos="0" relativeHeight="251628032" behindDoc="0" locked="0" layoutInCell="1" allowOverlap="1" wp14:anchorId="22591339" wp14:editId="6E4A1DD3">
                <wp:simplePos x="0" y="0"/>
                <wp:positionH relativeFrom="column">
                  <wp:posOffset>-45720</wp:posOffset>
                </wp:positionH>
                <wp:positionV relativeFrom="paragraph">
                  <wp:posOffset>90805</wp:posOffset>
                </wp:positionV>
                <wp:extent cx="2280285" cy="2057400"/>
                <wp:effectExtent l="8890" t="7620" r="6350" b="11430"/>
                <wp:wrapNone/>
                <wp:docPr id="59" name="Flowchart: Proces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2057400"/>
                        </a:xfrm>
                        <a:prstGeom prst="flowChartProcess">
                          <a:avLst/>
                        </a:prstGeom>
                        <a:solidFill>
                          <a:srgbClr val="FFFFFF"/>
                        </a:solidFill>
                        <a:ln w="9525">
                          <a:solidFill>
                            <a:srgbClr val="000000"/>
                          </a:solidFill>
                          <a:miter lim="800000"/>
                          <a:headEnd/>
                          <a:tailEnd/>
                        </a:ln>
                      </wps:spPr>
                      <wps:txbx>
                        <w:txbxContent>
                          <w:p w14:paraId="42DE74AF" w14:textId="77777777" w:rsidR="003D10DF" w:rsidRPr="00841EAA" w:rsidRDefault="003D10DF" w:rsidP="000B76FB">
                            <w:pPr>
                              <w:rPr>
                                <w:b/>
                                <w:lang w:val="fr-FR"/>
                              </w:rPr>
                            </w:pPr>
                            <w:r w:rsidRPr="00FE4FEA">
                              <w:rPr>
                                <w:b/>
                                <w:lang w:val="ro-RO"/>
                              </w:rPr>
                              <w:t>Sursa de date primare</w:t>
                            </w:r>
                            <w:r w:rsidRPr="00841EAA">
                              <w:rPr>
                                <w:b/>
                                <w:lang w:val="fr-FR"/>
                              </w:rPr>
                              <w:t>:</w:t>
                            </w:r>
                          </w:p>
                          <w:p w14:paraId="6B2F3397" w14:textId="77777777" w:rsidR="003D10DF" w:rsidRPr="006632C1" w:rsidRDefault="003D10DF" w:rsidP="000B76FB">
                            <w:pPr>
                              <w:rPr>
                                <w:lang w:val="ro-RO"/>
                              </w:rPr>
                            </w:pPr>
                            <w:r w:rsidRPr="006632C1">
                              <w:rPr>
                                <w:lang w:val="ro-RO"/>
                              </w:rPr>
                              <w:t>-Buget de stat</w:t>
                            </w:r>
                          </w:p>
                          <w:p w14:paraId="0CDB15C7" w14:textId="77777777" w:rsidR="003D10DF" w:rsidRPr="006632C1" w:rsidRDefault="003D10DF" w:rsidP="000B76FB">
                            <w:pPr>
                              <w:rPr>
                                <w:lang w:val="ro-RO"/>
                              </w:rPr>
                            </w:pPr>
                            <w:r w:rsidRPr="006632C1">
                              <w:rPr>
                                <w:lang w:val="ro-RO"/>
                              </w:rPr>
                              <w:t>-Trezoreria Statului</w:t>
                            </w:r>
                          </w:p>
                          <w:p w14:paraId="4BDF38C0" w14:textId="499D2316" w:rsidR="003D10DF" w:rsidRPr="006632C1" w:rsidRDefault="003D10DF" w:rsidP="000B76FB">
                            <w:pPr>
                              <w:rPr>
                                <w:lang w:val="ro-RO"/>
                              </w:rPr>
                            </w:pPr>
                            <w:r w:rsidRPr="006632C1">
                              <w:rPr>
                                <w:lang w:val="ro-RO"/>
                              </w:rPr>
                              <w:t>-Instituțiile finanțate integral sau parțial din venituri proprii</w:t>
                            </w:r>
                            <w:r>
                              <w:rPr>
                                <w:lang w:val="ro-RO"/>
                              </w:rPr>
                              <w:t xml:space="preserve"> + estimări</w:t>
                            </w:r>
                          </w:p>
                          <w:p w14:paraId="4D910633" w14:textId="4D74CB3E" w:rsidR="003D10DF" w:rsidRDefault="003D10DF" w:rsidP="000B76FB">
                            <w:pPr>
                              <w:rPr>
                                <w:lang w:val="ro-RO"/>
                              </w:rPr>
                            </w:pPr>
                            <w:r>
                              <w:rPr>
                                <w:lang w:val="ro-RO"/>
                              </w:rPr>
                              <w:t xml:space="preserve">-Bugetul Companiei Naționale de Autostrăzi </w:t>
                            </w:r>
                            <w:proofErr w:type="spellStart"/>
                            <w:r>
                              <w:rPr>
                                <w:lang w:val="ro-RO"/>
                              </w:rPr>
                              <w:t>şi</w:t>
                            </w:r>
                            <w:proofErr w:type="spellEnd"/>
                            <w:r>
                              <w:rPr>
                                <w:lang w:val="ro-RO"/>
                              </w:rPr>
                              <w:t xml:space="preserve"> Drumuri Naționale</w:t>
                            </w:r>
                          </w:p>
                          <w:p w14:paraId="4FA7B44F" w14:textId="77777777" w:rsidR="003D10DF" w:rsidRDefault="003D10DF" w:rsidP="000B76FB">
                            <w:pPr>
                              <w:rPr>
                                <w:lang w:val="ro-RO"/>
                              </w:rPr>
                            </w:pPr>
                            <w:r>
                              <w:rPr>
                                <w:lang w:val="ro-RO"/>
                              </w:rPr>
                              <w:t>-Fonduri externe nerambursabile</w:t>
                            </w:r>
                          </w:p>
                          <w:p w14:paraId="6FBD161C" w14:textId="3DDED820" w:rsidR="003D10DF" w:rsidRDefault="003D10DF" w:rsidP="000B76FB">
                            <w:pPr>
                              <w:rPr>
                                <w:lang w:val="ro-RO"/>
                              </w:rPr>
                            </w:pPr>
                            <w:r>
                              <w:rPr>
                                <w:lang w:val="ro-RO"/>
                              </w:rPr>
                              <w:t>-Credite externe + estimări</w:t>
                            </w:r>
                          </w:p>
                          <w:p w14:paraId="44062117" w14:textId="77777777" w:rsidR="003D10DF" w:rsidRDefault="003D10DF" w:rsidP="000B76FB">
                            <w:pPr>
                              <w:rPr>
                                <w:lang w:val="ro-RO"/>
                              </w:rPr>
                            </w:pPr>
                          </w:p>
                          <w:p w14:paraId="3A303F01" w14:textId="77777777" w:rsidR="003D10DF" w:rsidRPr="002B553C" w:rsidRDefault="003D10DF"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91339" id="Flowchart: Process 61" o:spid="_x0000_s1035" type="#_x0000_t109" style="position:absolute;margin-left:-3.6pt;margin-top:7.15pt;width:179.55pt;height:16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">
                <v:textbox>
                  <w:txbxContent>
                    <w:p w14:paraId="42DE74AF" w14:textId="77777777" w:rsidR="003D10DF" w:rsidRPr="00841EAA" w:rsidRDefault="003D10DF" w:rsidP="000B76FB">
                      <w:pPr>
                        <w:rPr>
                          <w:b/>
                          <w:lang w:val="fr-FR"/>
                        </w:rPr>
                      </w:pPr>
                      <w:r w:rsidRPr="00FE4FEA">
                        <w:rPr>
                          <w:b/>
                          <w:lang w:val="ro-RO"/>
                        </w:rPr>
                        <w:t>Sursa de date primare</w:t>
                      </w:r>
                      <w:r w:rsidRPr="00841EAA">
                        <w:rPr>
                          <w:b/>
                          <w:lang w:val="fr-FR"/>
                        </w:rPr>
                        <w:t>:</w:t>
                      </w:r>
                    </w:p>
                    <w:p w14:paraId="6B2F3397" w14:textId="77777777" w:rsidR="003D10DF" w:rsidRPr="006632C1" w:rsidRDefault="003D10DF" w:rsidP="000B76FB">
                      <w:pPr>
                        <w:rPr>
                          <w:lang w:val="ro-RO"/>
                        </w:rPr>
                      </w:pPr>
                      <w:r w:rsidRPr="006632C1">
                        <w:rPr>
                          <w:lang w:val="ro-RO"/>
                        </w:rPr>
                        <w:t>-Buget de stat</w:t>
                      </w:r>
                    </w:p>
                    <w:p w14:paraId="0CDB15C7" w14:textId="77777777" w:rsidR="003D10DF" w:rsidRPr="006632C1" w:rsidRDefault="003D10DF" w:rsidP="000B76FB">
                      <w:pPr>
                        <w:rPr>
                          <w:lang w:val="ro-RO"/>
                        </w:rPr>
                      </w:pPr>
                      <w:r w:rsidRPr="006632C1">
                        <w:rPr>
                          <w:lang w:val="ro-RO"/>
                        </w:rPr>
                        <w:t>-Trezoreria Statului</w:t>
                      </w:r>
                    </w:p>
                    <w:p w14:paraId="4BDF38C0" w14:textId="499D2316" w:rsidR="003D10DF" w:rsidRPr="006632C1" w:rsidRDefault="003D10DF" w:rsidP="000B76FB">
                      <w:pPr>
                        <w:rPr>
                          <w:lang w:val="ro-RO"/>
                        </w:rPr>
                      </w:pPr>
                      <w:r w:rsidRPr="006632C1">
                        <w:rPr>
                          <w:lang w:val="ro-RO"/>
                        </w:rPr>
                        <w:t>-Instituțiile finanțate integral sau parțial din venituri proprii</w:t>
                      </w:r>
                      <w:r>
                        <w:rPr>
                          <w:lang w:val="ro-RO"/>
                        </w:rPr>
                        <w:t xml:space="preserve"> + estimări</w:t>
                      </w:r>
                    </w:p>
                    <w:p w14:paraId="4D910633" w14:textId="4D74CB3E" w:rsidR="003D10DF" w:rsidRDefault="003D10DF" w:rsidP="000B76FB">
                      <w:pPr>
                        <w:rPr>
                          <w:lang w:val="ro-RO"/>
                        </w:rPr>
                      </w:pPr>
                      <w:r>
                        <w:rPr>
                          <w:lang w:val="ro-RO"/>
                        </w:rPr>
                        <w:t xml:space="preserve">-Bugetul Companiei Naționale de Autostrăzi </w:t>
                      </w:r>
                      <w:proofErr w:type="spellStart"/>
                      <w:r>
                        <w:rPr>
                          <w:lang w:val="ro-RO"/>
                        </w:rPr>
                        <w:t>şi</w:t>
                      </w:r>
                      <w:proofErr w:type="spellEnd"/>
                      <w:r>
                        <w:rPr>
                          <w:lang w:val="ro-RO"/>
                        </w:rPr>
                        <w:t xml:space="preserve"> Drumuri Naționale</w:t>
                      </w:r>
                    </w:p>
                    <w:p w14:paraId="4FA7B44F" w14:textId="77777777" w:rsidR="003D10DF" w:rsidRDefault="003D10DF" w:rsidP="000B76FB">
                      <w:pPr>
                        <w:rPr>
                          <w:lang w:val="ro-RO"/>
                        </w:rPr>
                      </w:pPr>
                      <w:r>
                        <w:rPr>
                          <w:lang w:val="ro-RO"/>
                        </w:rPr>
                        <w:t>-Fonduri externe nerambursabile</w:t>
                      </w:r>
                    </w:p>
                    <w:p w14:paraId="6FBD161C" w14:textId="3DDED820" w:rsidR="003D10DF" w:rsidRDefault="003D10DF" w:rsidP="000B76FB">
                      <w:pPr>
                        <w:rPr>
                          <w:lang w:val="ro-RO"/>
                        </w:rPr>
                      </w:pPr>
                      <w:r>
                        <w:rPr>
                          <w:lang w:val="ro-RO"/>
                        </w:rPr>
                        <w:t>-Credite externe + estimări</w:t>
                      </w:r>
                    </w:p>
                    <w:p w14:paraId="44062117" w14:textId="77777777" w:rsidR="003D10DF" w:rsidRDefault="003D10DF" w:rsidP="000B76FB">
                      <w:pPr>
                        <w:rPr>
                          <w:lang w:val="ro-RO"/>
                        </w:rPr>
                      </w:pPr>
                    </w:p>
                    <w:p w14:paraId="3A303F01" w14:textId="77777777" w:rsidR="003D10DF" w:rsidRPr="002B553C" w:rsidRDefault="003D10DF" w:rsidP="000B76FB">
                      <w:pPr>
                        <w:rPr>
                          <w:lang w:val="ro-RO"/>
                        </w:rPr>
                      </w:pPr>
                    </w:p>
                  </w:txbxContent>
                </v:textbox>
              </v:shape>
            </w:pict>
          </mc:Fallback>
        </mc:AlternateContent>
      </w:r>
    </w:p>
    <w:p w14:paraId="6DDB6BD2" w14:textId="77777777" w:rsidR="00BA5E33" w:rsidRPr="006B2701" w:rsidRDefault="00BA5E33" w:rsidP="000F5753">
      <w:pPr>
        <w:spacing w:line="276" w:lineRule="auto"/>
        <w:rPr>
          <w:rFonts w:ascii="Arial" w:eastAsia="MS Mincho" w:hAnsi="Arial" w:cs="Arial"/>
          <w:sz w:val="24"/>
          <w:szCs w:val="24"/>
          <w:lang w:val="ro-RO" w:eastAsia="ja-JP"/>
        </w:rPr>
      </w:pPr>
    </w:p>
    <w:p w14:paraId="15C44FB4" w14:textId="77777777" w:rsidR="00BA5E33" w:rsidRPr="006B2701" w:rsidRDefault="00BA5E33" w:rsidP="000F5753">
      <w:pPr>
        <w:spacing w:line="276" w:lineRule="auto"/>
        <w:rPr>
          <w:rFonts w:ascii="Arial" w:eastAsia="MS Mincho" w:hAnsi="Arial" w:cs="Arial"/>
          <w:sz w:val="24"/>
          <w:szCs w:val="24"/>
          <w:lang w:val="ro-RO" w:eastAsia="ja-JP"/>
        </w:rPr>
      </w:pPr>
      <w:r w:rsidRPr="006B2701">
        <w:rPr>
          <w:rFonts w:ascii="Arial" w:eastAsia="MS Mincho" w:hAnsi="Arial" w:cs="Arial"/>
          <w:sz w:val="24"/>
          <w:szCs w:val="24"/>
          <w:lang w:val="ro-RO" w:eastAsia="ja-JP"/>
        </w:rPr>
        <w:t xml:space="preserve">                                                                                                                                   </w:t>
      </w:r>
    </w:p>
    <w:p w14:paraId="27325BF9" w14:textId="77777777" w:rsidR="00BA5E33" w:rsidRPr="006B2701" w:rsidRDefault="00BA5E33" w:rsidP="000F5753">
      <w:pPr>
        <w:spacing w:line="276" w:lineRule="auto"/>
        <w:rPr>
          <w:rFonts w:ascii="Arial" w:eastAsia="MS Mincho" w:hAnsi="Arial" w:cs="Arial"/>
          <w:sz w:val="24"/>
          <w:szCs w:val="24"/>
          <w:lang w:val="ro-RO" w:eastAsia="ja-JP"/>
        </w:rPr>
      </w:pPr>
    </w:p>
    <w:p w14:paraId="51FF200B" w14:textId="77777777" w:rsidR="00BA5E33" w:rsidRPr="006B2701" w:rsidRDefault="00BA5E33" w:rsidP="000F5753">
      <w:pPr>
        <w:spacing w:line="276" w:lineRule="auto"/>
        <w:rPr>
          <w:rFonts w:ascii="Arial" w:eastAsia="MS Mincho" w:hAnsi="Arial" w:cs="Arial"/>
          <w:sz w:val="24"/>
          <w:szCs w:val="24"/>
          <w:lang w:val="ro-RO" w:eastAsia="ja-JP"/>
        </w:rPr>
      </w:pPr>
    </w:p>
    <w:p w14:paraId="437D35DD" w14:textId="77777777" w:rsidR="00BA5E33" w:rsidRPr="006B2701" w:rsidRDefault="00BA5E33" w:rsidP="000F5753">
      <w:pPr>
        <w:spacing w:line="276" w:lineRule="auto"/>
        <w:rPr>
          <w:rFonts w:ascii="Arial" w:eastAsia="MS Mincho" w:hAnsi="Arial" w:cs="Arial"/>
          <w:sz w:val="24"/>
          <w:szCs w:val="24"/>
          <w:lang w:val="ro-RO" w:eastAsia="ja-JP"/>
        </w:rPr>
      </w:pPr>
    </w:p>
    <w:p w14:paraId="35884065" w14:textId="77777777" w:rsidR="00BA5E33" w:rsidRPr="006B2701" w:rsidRDefault="00BA5E33" w:rsidP="000F5753">
      <w:pPr>
        <w:spacing w:line="276" w:lineRule="auto"/>
        <w:rPr>
          <w:rFonts w:ascii="Arial" w:eastAsia="MS Mincho" w:hAnsi="Arial" w:cs="Arial"/>
          <w:sz w:val="24"/>
          <w:szCs w:val="24"/>
          <w:lang w:val="ro-RO" w:eastAsia="ja-JP"/>
        </w:rPr>
      </w:pPr>
    </w:p>
    <w:p w14:paraId="471B25C1" w14:textId="77777777" w:rsidR="00BA5E33" w:rsidRPr="006B2701" w:rsidRDefault="00BA5E33" w:rsidP="000F5753">
      <w:pPr>
        <w:spacing w:line="276" w:lineRule="auto"/>
        <w:rPr>
          <w:rFonts w:ascii="Arial" w:eastAsia="MS Mincho" w:hAnsi="Arial" w:cs="Arial"/>
          <w:sz w:val="24"/>
          <w:szCs w:val="24"/>
          <w:lang w:val="ro-RO" w:eastAsia="ja-JP"/>
        </w:rPr>
      </w:pPr>
    </w:p>
    <w:p w14:paraId="77842664" w14:textId="77777777" w:rsidR="00BA5E33" w:rsidRPr="006B2701" w:rsidRDefault="00BA5E33" w:rsidP="000F5753">
      <w:pPr>
        <w:spacing w:line="276" w:lineRule="auto"/>
        <w:rPr>
          <w:rFonts w:ascii="Arial" w:eastAsia="MS Mincho" w:hAnsi="Arial" w:cs="Arial"/>
          <w:sz w:val="24"/>
          <w:szCs w:val="24"/>
          <w:lang w:val="ro-RO" w:eastAsia="ja-JP"/>
        </w:rPr>
      </w:pPr>
    </w:p>
    <w:p w14:paraId="23C1BCE5" w14:textId="77777777" w:rsidR="00BA5E33" w:rsidRPr="006B2701" w:rsidRDefault="00BA5E33" w:rsidP="000F5753">
      <w:pPr>
        <w:spacing w:line="276" w:lineRule="auto"/>
        <w:rPr>
          <w:rFonts w:ascii="Arial" w:eastAsia="MS Mincho" w:hAnsi="Arial" w:cs="Arial"/>
          <w:sz w:val="24"/>
          <w:szCs w:val="24"/>
          <w:lang w:val="ro-RO" w:eastAsia="ja-JP"/>
        </w:rPr>
      </w:pPr>
    </w:p>
    <w:p w14:paraId="5A786CB0" w14:textId="77777777" w:rsidR="00BA5E33" w:rsidRPr="006B2701" w:rsidRDefault="00363D22" w:rsidP="000F5753">
      <w:pPr>
        <w:spacing w:line="276" w:lineRule="auto"/>
        <w:rPr>
          <w:rFonts w:ascii="Arial" w:eastAsia="MS Mincho" w:hAnsi="Arial" w:cs="Arial"/>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71040" behindDoc="0" locked="0" layoutInCell="1" allowOverlap="1" wp14:anchorId="0F0CDAF1" wp14:editId="7B3805B9">
                <wp:simplePos x="0" y="0"/>
                <wp:positionH relativeFrom="column">
                  <wp:posOffset>3707765</wp:posOffset>
                </wp:positionH>
                <wp:positionV relativeFrom="paragraph">
                  <wp:posOffset>158114</wp:posOffset>
                </wp:positionV>
                <wp:extent cx="0" cy="276225"/>
                <wp:effectExtent l="76200" t="0" r="57150" b="47625"/>
                <wp:wrapNone/>
                <wp:docPr id="55"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92B39" id="Straight Connector 5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2.45pt" to="291.9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">
                <v:stroke endarrow="block"/>
              </v:line>
            </w:pict>
          </mc:Fallback>
        </mc:AlternateContent>
      </w:r>
      <w:r w:rsidRPr="006B2701">
        <w:rPr>
          <w:rFonts w:ascii="Arial" w:hAnsi="Arial" w:cs="Arial"/>
          <w:noProof/>
          <w:sz w:val="24"/>
          <w:szCs w:val="24"/>
        </w:rPr>
        <mc:AlternateContent>
          <mc:Choice Requires="wps">
            <w:drawing>
              <wp:anchor distT="0" distB="0" distL="114300" distR="114300" simplePos="0" relativeHeight="251672064" behindDoc="0" locked="0" layoutInCell="1" allowOverlap="1" wp14:anchorId="2F408790" wp14:editId="599D74CE">
                <wp:simplePos x="0" y="0"/>
                <wp:positionH relativeFrom="column">
                  <wp:posOffset>945515</wp:posOffset>
                </wp:positionH>
                <wp:positionV relativeFrom="paragraph">
                  <wp:posOffset>148590</wp:posOffset>
                </wp:positionV>
                <wp:extent cx="0" cy="285750"/>
                <wp:effectExtent l="76200" t="0" r="57150" b="57150"/>
                <wp:wrapNone/>
                <wp:docPr id="57"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AABA3" id="Straight Connector 59"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1.7pt" to="74.4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">
                <v:stroke endarrow="block"/>
              </v:line>
            </w:pict>
          </mc:Fallback>
        </mc:AlternateContent>
      </w:r>
    </w:p>
    <w:p w14:paraId="58EE916D" w14:textId="77777777" w:rsidR="00BA5E33" w:rsidRPr="006B2701" w:rsidRDefault="00363D22" w:rsidP="000F5753">
      <w:pPr>
        <w:spacing w:line="276" w:lineRule="auto"/>
        <w:rPr>
          <w:rFonts w:ascii="Arial" w:eastAsia="MS Mincho" w:hAnsi="Arial" w:cs="Arial"/>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30080" behindDoc="0" locked="0" layoutInCell="1" allowOverlap="1" wp14:anchorId="0896E658" wp14:editId="5551E6DD">
                <wp:simplePos x="0" y="0"/>
                <wp:positionH relativeFrom="column">
                  <wp:posOffset>-167005</wp:posOffset>
                </wp:positionH>
                <wp:positionV relativeFrom="paragraph">
                  <wp:posOffset>231140</wp:posOffset>
                </wp:positionV>
                <wp:extent cx="2202180" cy="457200"/>
                <wp:effectExtent l="0" t="0" r="26670" b="19050"/>
                <wp:wrapNone/>
                <wp:docPr id="56" name="Flowchart: Proces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457200"/>
                        </a:xfrm>
                        <a:prstGeom prst="flowChartProcess">
                          <a:avLst/>
                        </a:prstGeom>
                        <a:solidFill>
                          <a:srgbClr val="FFFFFF"/>
                        </a:solidFill>
                        <a:ln w="9525">
                          <a:solidFill>
                            <a:srgbClr val="000000"/>
                          </a:solidFill>
                          <a:miter lim="800000"/>
                          <a:headEnd/>
                          <a:tailEnd/>
                        </a:ln>
                      </wps:spPr>
                      <wps:txbx>
                        <w:txbxContent>
                          <w:p w14:paraId="100F2EF9" w14:textId="77777777" w:rsidR="003D10DF" w:rsidRDefault="003D10DF" w:rsidP="000B76FB">
                            <w:r>
                              <w:rPr>
                                <w:lang w:val="ro-RO"/>
                              </w:rPr>
                              <w:t>Standarde utilizate</w:t>
                            </w:r>
                            <w:r>
                              <w:t>:</w:t>
                            </w:r>
                          </w:p>
                          <w:p w14:paraId="3189AEC5" w14:textId="2276E113" w:rsidR="003D10DF" w:rsidRPr="006632C1" w:rsidRDefault="003D10DF" w:rsidP="000B76FB">
                            <w:pPr>
                              <w:rPr>
                                <w:lang w:val="ro-RO"/>
                              </w:rPr>
                            </w:pPr>
                            <w:r>
                              <w:t>-</w:t>
                            </w:r>
                            <w:r w:rsidRPr="006632C1">
                              <w:rPr>
                                <w:lang w:val="ro-RO"/>
                              </w:rPr>
                              <w:t>metodologie națională</w:t>
                            </w:r>
                          </w:p>
                          <w:p w14:paraId="0A028AC5" w14:textId="77777777" w:rsidR="003D10DF" w:rsidRPr="000D6F49" w:rsidRDefault="003D10DF"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E658" id="Flowchart: Process 58" o:spid="_x0000_s1036" type="#_x0000_t109" style="position:absolute;margin-left:-13.15pt;margin-top:18.2pt;width:173.4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">
                <v:textbox>
                  <w:txbxContent>
                    <w:p w14:paraId="100F2EF9" w14:textId="77777777" w:rsidR="003D10DF" w:rsidRDefault="003D10DF" w:rsidP="000B76FB">
                      <w:r>
                        <w:rPr>
                          <w:lang w:val="ro-RO"/>
                        </w:rPr>
                        <w:t>Standarde utilizate</w:t>
                      </w:r>
                      <w:r>
                        <w:t>:</w:t>
                      </w:r>
                    </w:p>
                    <w:p w14:paraId="3189AEC5" w14:textId="2276E113" w:rsidR="003D10DF" w:rsidRPr="006632C1" w:rsidRDefault="003D10DF" w:rsidP="000B76FB">
                      <w:pPr>
                        <w:rPr>
                          <w:lang w:val="ro-RO"/>
                        </w:rPr>
                      </w:pPr>
                      <w:r>
                        <w:t>-</w:t>
                      </w:r>
                      <w:r w:rsidRPr="006632C1">
                        <w:rPr>
                          <w:lang w:val="ro-RO"/>
                        </w:rPr>
                        <w:t>metodologie națională</w:t>
                      </w:r>
                    </w:p>
                    <w:p w14:paraId="0A028AC5" w14:textId="77777777" w:rsidR="003D10DF" w:rsidRPr="000D6F49" w:rsidRDefault="003D10DF" w:rsidP="000B76FB"/>
                  </w:txbxContent>
                </v:textbox>
              </v:shape>
            </w:pict>
          </mc:Fallback>
        </mc:AlternateContent>
      </w:r>
    </w:p>
    <w:p w14:paraId="534DD53E" w14:textId="77777777" w:rsidR="00BA5E33" w:rsidRPr="006B2701" w:rsidRDefault="00363D22" w:rsidP="000F5753">
      <w:pPr>
        <w:tabs>
          <w:tab w:val="left" w:pos="11400"/>
        </w:tabs>
        <w:spacing w:line="276" w:lineRule="auto"/>
        <w:rPr>
          <w:rFonts w:ascii="Arial" w:eastAsia="MS Mincho" w:hAnsi="Arial" w:cs="Arial"/>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31104" behindDoc="0" locked="0" layoutInCell="1" allowOverlap="1" wp14:anchorId="0CC1E59B" wp14:editId="481D671A">
                <wp:simplePos x="0" y="0"/>
                <wp:positionH relativeFrom="column">
                  <wp:posOffset>2317116</wp:posOffset>
                </wp:positionH>
                <wp:positionV relativeFrom="paragraph">
                  <wp:posOffset>29845</wp:posOffset>
                </wp:positionV>
                <wp:extent cx="2278380" cy="457200"/>
                <wp:effectExtent l="0" t="0" r="26670" b="19050"/>
                <wp:wrapNone/>
                <wp:docPr id="53" name="Flowchart: Proces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457200"/>
                        </a:xfrm>
                        <a:prstGeom prst="flowChartProcess">
                          <a:avLst/>
                        </a:prstGeom>
                        <a:solidFill>
                          <a:srgbClr val="FFFFFF"/>
                        </a:solidFill>
                        <a:ln w="9525">
                          <a:solidFill>
                            <a:srgbClr val="000000"/>
                          </a:solidFill>
                          <a:miter lim="800000"/>
                          <a:headEnd/>
                          <a:tailEnd/>
                        </a:ln>
                      </wps:spPr>
                      <wps:txbx>
                        <w:txbxContent>
                          <w:p w14:paraId="6FB2E70E" w14:textId="77777777" w:rsidR="003D10DF" w:rsidRDefault="003D10DF" w:rsidP="000B76FB">
                            <w:r>
                              <w:rPr>
                                <w:lang w:val="ro-RO"/>
                              </w:rPr>
                              <w:t>Standarde utilizate</w:t>
                            </w:r>
                            <w:r>
                              <w:t>:</w:t>
                            </w:r>
                          </w:p>
                          <w:p w14:paraId="3D56E9D7" w14:textId="5FB1ECFD" w:rsidR="003D10DF" w:rsidRPr="006632C1" w:rsidRDefault="003D10DF" w:rsidP="000B76FB">
                            <w:pPr>
                              <w:rPr>
                                <w:lang w:val="ro-RO"/>
                              </w:rPr>
                            </w:pPr>
                            <w:r w:rsidRPr="006632C1">
                              <w:rPr>
                                <w:lang w:val="ro-RO"/>
                              </w:rPr>
                              <w:t xml:space="preserve">-metodologie </w:t>
                            </w:r>
                            <w:r>
                              <w:rPr>
                                <w:lang w:val="ro-RO"/>
                              </w:rPr>
                              <w:t>națională</w:t>
                            </w:r>
                          </w:p>
                          <w:p w14:paraId="4A55AA5B" w14:textId="77777777" w:rsidR="003D10DF" w:rsidRPr="000D6F49" w:rsidRDefault="003D10DF"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1E59B" id="Flowchart: Process 55" o:spid="_x0000_s1037" type="#_x0000_t109" style="position:absolute;margin-left:182.45pt;margin-top:2.35pt;width:179.4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">
                <v:textbox>
                  <w:txbxContent>
                    <w:p w14:paraId="6FB2E70E" w14:textId="77777777" w:rsidR="003D10DF" w:rsidRDefault="003D10DF" w:rsidP="000B76FB">
                      <w:r>
                        <w:rPr>
                          <w:lang w:val="ro-RO"/>
                        </w:rPr>
                        <w:t>Standarde utilizate</w:t>
                      </w:r>
                      <w:r>
                        <w:t>:</w:t>
                      </w:r>
                    </w:p>
                    <w:p w14:paraId="3D56E9D7" w14:textId="5FB1ECFD" w:rsidR="003D10DF" w:rsidRPr="006632C1" w:rsidRDefault="003D10DF" w:rsidP="000B76FB">
                      <w:pPr>
                        <w:rPr>
                          <w:lang w:val="ro-RO"/>
                        </w:rPr>
                      </w:pPr>
                      <w:r w:rsidRPr="006632C1">
                        <w:rPr>
                          <w:lang w:val="ro-RO"/>
                        </w:rPr>
                        <w:t xml:space="preserve">-metodologie </w:t>
                      </w:r>
                      <w:r>
                        <w:rPr>
                          <w:lang w:val="ro-RO"/>
                        </w:rPr>
                        <w:t>națională</w:t>
                      </w:r>
                    </w:p>
                    <w:p w14:paraId="4A55AA5B" w14:textId="77777777" w:rsidR="003D10DF" w:rsidRPr="000D6F49" w:rsidRDefault="003D10DF" w:rsidP="000B76FB"/>
                  </w:txbxContent>
                </v:textbox>
              </v:shape>
            </w:pict>
          </mc:Fallback>
        </mc:AlternateContent>
      </w:r>
      <w:r w:rsidR="001170D5" w:rsidRPr="006B2701">
        <w:rPr>
          <w:rFonts w:ascii="Arial" w:hAnsi="Arial" w:cs="Arial"/>
          <w:noProof/>
          <w:sz w:val="24"/>
          <w:szCs w:val="24"/>
        </w:rPr>
        <mc:AlternateContent>
          <mc:Choice Requires="wps">
            <w:drawing>
              <wp:anchor distT="0" distB="0" distL="114300" distR="114300" simplePos="0" relativeHeight="251687424" behindDoc="0" locked="0" layoutInCell="1" allowOverlap="1" wp14:anchorId="51749989" wp14:editId="0133041A">
                <wp:simplePos x="0" y="0"/>
                <wp:positionH relativeFrom="column">
                  <wp:posOffset>7581900</wp:posOffset>
                </wp:positionH>
                <wp:positionV relativeFrom="paragraph">
                  <wp:posOffset>1705610</wp:posOffset>
                </wp:positionV>
                <wp:extent cx="0" cy="228600"/>
                <wp:effectExtent l="54610" t="7620" r="59690" b="20955"/>
                <wp:wrapNone/>
                <wp:docPr id="54"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7C7E0" id="Straight Connector 56"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34.3pt" to="597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">
                <v:stroke endarrow="block"/>
              </v:line>
            </w:pict>
          </mc:Fallback>
        </mc:AlternateContent>
      </w:r>
      <w:r w:rsidR="00B54EB1" w:rsidRPr="006B2701">
        <w:rPr>
          <w:rFonts w:ascii="Arial" w:hAnsi="Arial" w:cs="Arial"/>
          <w:noProof/>
          <w:sz w:val="24"/>
          <w:szCs w:val="24"/>
        </w:rPr>
        <mc:AlternateContent>
          <mc:Choice Requires="wps">
            <w:drawing>
              <wp:anchor distT="0" distB="0" distL="114300" distR="114300" simplePos="0" relativeHeight="251664896" behindDoc="0" locked="0" layoutInCell="1" allowOverlap="1" wp14:anchorId="1D30F911" wp14:editId="7ACFCDAD">
                <wp:simplePos x="0" y="0"/>
                <wp:positionH relativeFrom="column">
                  <wp:posOffset>7202805</wp:posOffset>
                </wp:positionH>
                <wp:positionV relativeFrom="paragraph">
                  <wp:posOffset>1257300</wp:posOffset>
                </wp:positionV>
                <wp:extent cx="0" cy="228600"/>
                <wp:effectExtent l="56515" t="7620" r="57785" b="20955"/>
                <wp:wrapNone/>
                <wp:docPr id="51"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6BCC6" id="Straight Connector 5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15pt,99pt" to="567.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">
                <v:stroke endarrow="block"/>
              </v:line>
            </w:pict>
          </mc:Fallback>
        </mc:AlternateContent>
      </w:r>
      <w:r w:rsidR="00B54EB1" w:rsidRPr="006B2701">
        <w:rPr>
          <w:rFonts w:ascii="Arial" w:hAnsi="Arial" w:cs="Arial"/>
          <w:noProof/>
          <w:sz w:val="24"/>
          <w:szCs w:val="24"/>
        </w:rPr>
        <mc:AlternateContent>
          <mc:Choice Requires="wps">
            <w:drawing>
              <wp:anchor distT="0" distB="0" distL="114300" distR="114300" simplePos="0" relativeHeight="251663872" behindDoc="0" locked="0" layoutInCell="1" allowOverlap="1" wp14:anchorId="11125CA6" wp14:editId="087912AB">
                <wp:simplePos x="0" y="0"/>
                <wp:positionH relativeFrom="column">
                  <wp:posOffset>6840855</wp:posOffset>
                </wp:positionH>
                <wp:positionV relativeFrom="paragraph">
                  <wp:posOffset>685800</wp:posOffset>
                </wp:positionV>
                <wp:extent cx="0" cy="228600"/>
                <wp:effectExtent l="56515" t="7620" r="57785" b="20955"/>
                <wp:wrapNone/>
                <wp:docPr id="50"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E5E7A" id="Straight Connector 5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65pt,54pt" to="538.6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">
                <v:stroke endarrow="block"/>
              </v:line>
            </w:pict>
          </mc:Fallback>
        </mc:AlternateContent>
      </w:r>
      <w:r w:rsidR="00B54EB1" w:rsidRPr="006B2701">
        <w:rPr>
          <w:rFonts w:ascii="Arial" w:hAnsi="Arial" w:cs="Arial"/>
          <w:noProof/>
          <w:sz w:val="24"/>
          <w:szCs w:val="24"/>
        </w:rPr>
        <mc:AlternateContent>
          <mc:Choice Requires="wps">
            <w:drawing>
              <wp:anchor distT="0" distB="0" distL="114300" distR="114300" simplePos="0" relativeHeight="251659776" behindDoc="0" locked="0" layoutInCell="1" allowOverlap="1" wp14:anchorId="27CDCCBD" wp14:editId="1D34455B">
                <wp:simplePos x="0" y="0"/>
                <wp:positionH relativeFrom="column">
                  <wp:posOffset>6153150</wp:posOffset>
                </wp:positionH>
                <wp:positionV relativeFrom="paragraph">
                  <wp:posOffset>914400</wp:posOffset>
                </wp:positionV>
                <wp:extent cx="1556385" cy="342900"/>
                <wp:effectExtent l="6985" t="7620" r="8255" b="11430"/>
                <wp:wrapNone/>
                <wp:docPr id="48" name="Flowchart: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342900"/>
                        </a:xfrm>
                        <a:prstGeom prst="flowChartProcess">
                          <a:avLst/>
                        </a:prstGeom>
                        <a:solidFill>
                          <a:srgbClr val="FFFFFF"/>
                        </a:solidFill>
                        <a:ln w="9525">
                          <a:solidFill>
                            <a:srgbClr val="000000"/>
                          </a:solidFill>
                          <a:miter lim="800000"/>
                          <a:headEnd/>
                          <a:tailEnd/>
                        </a:ln>
                      </wps:spPr>
                      <wps:txbx>
                        <w:txbxContent>
                          <w:p w14:paraId="558A5D40" w14:textId="77777777" w:rsidR="003D10DF" w:rsidRPr="009727EE" w:rsidRDefault="003D10DF" w:rsidP="000B76FB">
                            <w:pPr>
                              <w:jc w:val="center"/>
                              <w:rPr>
                                <w:lang w:val="ro-RO"/>
                              </w:rPr>
                            </w:pPr>
                            <w:r>
                              <w:rPr>
                                <w:lang w:val="ro-RO"/>
                              </w:rPr>
                              <w:t xml:space="preserve">Baza </w:t>
                            </w:r>
                            <w:proofErr w:type="spellStart"/>
                            <w:r>
                              <w:rPr>
                                <w:lang w:val="ro-RO"/>
                              </w:rPr>
                              <w:t>accrual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CCBD" id="Flowchart: Process 50" o:spid="_x0000_s1038" type="#_x0000_t109" style="position:absolute;margin-left:484.5pt;margin-top:1in;width:122.5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">
                <v:textbox>
                  <w:txbxContent>
                    <w:p w14:paraId="558A5D40" w14:textId="77777777" w:rsidR="003D10DF" w:rsidRPr="009727EE" w:rsidRDefault="003D10DF" w:rsidP="000B76FB">
                      <w:pPr>
                        <w:jc w:val="center"/>
                        <w:rPr>
                          <w:lang w:val="ro-RO"/>
                        </w:rPr>
                      </w:pPr>
                      <w:r>
                        <w:rPr>
                          <w:lang w:val="ro-RO"/>
                        </w:rPr>
                        <w:t xml:space="preserve">Baza </w:t>
                      </w:r>
                      <w:proofErr w:type="spellStart"/>
                      <w:r>
                        <w:rPr>
                          <w:lang w:val="ro-RO"/>
                        </w:rPr>
                        <w:t>accrual</w:t>
                      </w:r>
                      <w:proofErr w:type="spellEnd"/>
                    </w:p>
                  </w:txbxContent>
                </v:textbox>
              </v:shape>
            </w:pict>
          </mc:Fallback>
        </mc:AlternateContent>
      </w:r>
      <w:r w:rsidR="00B54EB1" w:rsidRPr="006B2701">
        <w:rPr>
          <w:rFonts w:ascii="Arial" w:hAnsi="Arial" w:cs="Arial"/>
          <w:noProof/>
          <w:sz w:val="24"/>
          <w:szCs w:val="24"/>
        </w:rPr>
        <mc:AlternateContent>
          <mc:Choice Requires="wps">
            <w:drawing>
              <wp:anchor distT="0" distB="0" distL="114300" distR="114300" simplePos="0" relativeHeight="251658752" behindDoc="0" locked="0" layoutInCell="1" allowOverlap="1" wp14:anchorId="79556D9A" wp14:editId="5D5A99F7">
                <wp:simplePos x="0" y="0"/>
                <wp:positionH relativeFrom="column">
                  <wp:posOffset>5646420</wp:posOffset>
                </wp:positionH>
                <wp:positionV relativeFrom="paragraph">
                  <wp:posOffset>342900</wp:posOffset>
                </wp:positionV>
                <wp:extent cx="1845945" cy="342900"/>
                <wp:effectExtent l="5080" t="7620" r="6350" b="11430"/>
                <wp:wrapNone/>
                <wp:docPr id="47" name="Flowchart: Proces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342900"/>
                        </a:xfrm>
                        <a:prstGeom prst="flowChartProcess">
                          <a:avLst/>
                        </a:prstGeom>
                        <a:solidFill>
                          <a:srgbClr val="FFFFFF"/>
                        </a:solidFill>
                        <a:ln w="9525">
                          <a:solidFill>
                            <a:srgbClr val="000000"/>
                          </a:solidFill>
                          <a:miter lim="800000"/>
                          <a:headEnd/>
                          <a:tailEnd/>
                        </a:ln>
                      </wps:spPr>
                      <wps:txbx>
                        <w:txbxContent>
                          <w:p w14:paraId="7A9CB246" w14:textId="77777777" w:rsidR="003D10DF" w:rsidRPr="004129FE" w:rsidRDefault="003D10DF" w:rsidP="000B76FB">
                            <w:pPr>
                              <w:jc w:val="center"/>
                              <w:rPr>
                                <w:lang w:val="ro-RO"/>
                              </w:rPr>
                            </w:pPr>
                            <w:r>
                              <w:rPr>
                                <w:lang w:val="ro-RO"/>
                              </w:rP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56D9A" id="Flowchart: Process 49" o:spid="_x0000_s1039" type="#_x0000_t109" style="position:absolute;margin-left:444.6pt;margin-top:27pt;width:145.3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">
                <v:textbox>
                  <w:txbxContent>
                    <w:p w14:paraId="7A9CB246" w14:textId="77777777" w:rsidR="003D10DF" w:rsidRPr="004129FE" w:rsidRDefault="003D10DF" w:rsidP="000B76FB">
                      <w:pPr>
                        <w:jc w:val="center"/>
                        <w:rPr>
                          <w:lang w:val="ro-RO"/>
                        </w:rPr>
                      </w:pPr>
                      <w:r>
                        <w:rPr>
                          <w:lang w:val="ro-RO"/>
                        </w:rPr>
                        <w:t>Raportare SEC</w:t>
                      </w:r>
                    </w:p>
                  </w:txbxContent>
                </v:textbox>
              </v:shape>
            </w:pict>
          </mc:Fallback>
        </mc:AlternateContent>
      </w:r>
      <w:r w:rsidR="00BA5E33" w:rsidRPr="006B2701">
        <w:rPr>
          <w:rFonts w:ascii="Arial" w:eastAsia="MS Mincho" w:hAnsi="Arial" w:cs="Arial"/>
          <w:sz w:val="24"/>
          <w:szCs w:val="24"/>
          <w:lang w:val="ro-RO" w:eastAsia="ja-JP"/>
        </w:rPr>
        <w:tab/>
      </w:r>
      <w:r w:rsidR="001170D5" w:rsidRPr="006B2701">
        <w:rPr>
          <w:rFonts w:ascii="Arial" w:hAnsi="Arial" w:cs="Arial"/>
          <w:noProof/>
          <w:sz w:val="24"/>
          <w:szCs w:val="24"/>
        </w:rPr>
        <mc:AlternateContent>
          <mc:Choice Requires="wps">
            <w:drawing>
              <wp:anchor distT="0" distB="0" distL="114300" distR="114300" simplePos="0" relativeHeight="251689472" behindDoc="0" locked="1" layoutInCell="1" allowOverlap="1" wp14:anchorId="77D17DA8" wp14:editId="3ACE8992">
                <wp:simplePos x="0" y="0"/>
                <wp:positionH relativeFrom="column">
                  <wp:posOffset>6743700</wp:posOffset>
                </wp:positionH>
                <wp:positionV relativeFrom="paragraph">
                  <wp:posOffset>1929765</wp:posOffset>
                </wp:positionV>
                <wp:extent cx="1447800" cy="457200"/>
                <wp:effectExtent l="8890" t="5715" r="10160" b="13335"/>
                <wp:wrapNone/>
                <wp:docPr id="2"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flowChartProcess">
                          <a:avLst/>
                        </a:prstGeom>
                        <a:solidFill>
                          <a:srgbClr val="FFFFFF"/>
                        </a:solidFill>
                        <a:ln w="9525">
                          <a:solidFill>
                            <a:srgbClr val="000000"/>
                          </a:solidFill>
                          <a:miter lim="800000"/>
                          <a:headEnd/>
                          <a:tailEnd/>
                        </a:ln>
                      </wps:spPr>
                      <wps:txbx>
                        <w:txbxContent>
                          <w:p w14:paraId="30F26C15" w14:textId="77777777" w:rsidR="003D10DF" w:rsidRDefault="003D10DF" w:rsidP="001170D5">
                            <w:r>
                              <w:rPr>
                                <w:lang w:val="ro-RO"/>
                              </w:rPr>
                              <w:t>Standarde utilizate</w:t>
                            </w:r>
                            <w:r>
                              <w:t>:</w:t>
                            </w:r>
                          </w:p>
                          <w:p w14:paraId="5F2921EA" w14:textId="77777777" w:rsidR="003D10DF" w:rsidRPr="004129FE" w:rsidRDefault="003D10DF" w:rsidP="001170D5">
                            <w:pPr>
                              <w:rPr>
                                <w:lang w:val="ro-RO"/>
                              </w:rPr>
                            </w:pPr>
                            <w:r w:rsidRPr="004129FE">
                              <w:rPr>
                                <w:lang w:val="ro-RO"/>
                              </w:rPr>
                              <w:t>-</w:t>
                            </w:r>
                            <w:r>
                              <w:rPr>
                                <w:lang w:val="ro-RO"/>
                              </w:rPr>
                              <w:t xml:space="preserve">Standard SEC </w:t>
                            </w:r>
                          </w:p>
                          <w:p w14:paraId="4807085E" w14:textId="77777777" w:rsidR="003D10DF" w:rsidRPr="000D6F49" w:rsidRDefault="003D10DF" w:rsidP="001170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17DA8" id="Flowchart: Process 39" o:spid="_x0000_s1040" type="#_x0000_t109" style="position:absolute;margin-left:531pt;margin-top:151.95pt;width:114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">
                <v:textbox>
                  <w:txbxContent>
                    <w:p w14:paraId="30F26C15" w14:textId="77777777" w:rsidR="003D10DF" w:rsidRDefault="003D10DF" w:rsidP="001170D5">
                      <w:r>
                        <w:rPr>
                          <w:lang w:val="ro-RO"/>
                        </w:rPr>
                        <w:t>Standarde utilizate</w:t>
                      </w:r>
                      <w:r>
                        <w:t>:</w:t>
                      </w:r>
                    </w:p>
                    <w:p w14:paraId="5F2921EA" w14:textId="77777777" w:rsidR="003D10DF" w:rsidRPr="004129FE" w:rsidRDefault="003D10DF" w:rsidP="001170D5">
                      <w:pPr>
                        <w:rPr>
                          <w:lang w:val="ro-RO"/>
                        </w:rPr>
                      </w:pPr>
                      <w:r w:rsidRPr="004129FE">
                        <w:rPr>
                          <w:lang w:val="ro-RO"/>
                        </w:rPr>
                        <w:t>-</w:t>
                      </w:r>
                      <w:r>
                        <w:rPr>
                          <w:lang w:val="ro-RO"/>
                        </w:rPr>
                        <w:t xml:space="preserve">Standard SEC </w:t>
                      </w:r>
                    </w:p>
                    <w:p w14:paraId="4807085E" w14:textId="77777777" w:rsidR="003D10DF" w:rsidRPr="000D6F49" w:rsidRDefault="003D10DF" w:rsidP="001170D5"/>
                  </w:txbxContent>
                </v:textbox>
                <w10:anchorlock/>
              </v:shape>
            </w:pict>
          </mc:Fallback>
        </mc:AlternateContent>
      </w:r>
    </w:p>
    <w:p w14:paraId="6BFA92C6" w14:textId="77777777" w:rsidR="00BA5E33" w:rsidRPr="006B2701" w:rsidRDefault="00657E1D" w:rsidP="000F5753">
      <w:pPr>
        <w:tabs>
          <w:tab w:val="left" w:pos="6750"/>
        </w:tabs>
        <w:spacing w:line="276" w:lineRule="auto"/>
        <w:rPr>
          <w:rFonts w:ascii="Arial" w:eastAsia="MS Mincho" w:hAnsi="Arial" w:cs="Arial"/>
          <w:sz w:val="24"/>
          <w:szCs w:val="24"/>
          <w:lang w:val="ro-RO" w:eastAsia="ja-JP"/>
        </w:rPr>
      </w:pPr>
      <w:r w:rsidRPr="006B2701">
        <w:rPr>
          <w:rFonts w:ascii="Arial" w:hAnsi="Arial" w:cs="Arial"/>
          <w:noProof/>
          <w:sz w:val="24"/>
          <w:szCs w:val="24"/>
        </w:rPr>
        <w:lastRenderedPageBreak/>
        <mc:AlternateContent>
          <mc:Choice Requires="wps">
            <w:drawing>
              <wp:anchor distT="0" distB="0" distL="114300" distR="114300" simplePos="0" relativeHeight="251703808" behindDoc="0" locked="0" layoutInCell="1" allowOverlap="1" wp14:anchorId="2080837A" wp14:editId="7D40A633">
                <wp:simplePos x="0" y="0"/>
                <wp:positionH relativeFrom="column">
                  <wp:posOffset>4603115</wp:posOffset>
                </wp:positionH>
                <wp:positionV relativeFrom="paragraph">
                  <wp:posOffset>585469</wp:posOffset>
                </wp:positionV>
                <wp:extent cx="2295525" cy="790575"/>
                <wp:effectExtent l="0" t="38100" r="47625" b="28575"/>
                <wp:wrapNone/>
                <wp:docPr id="13"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790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1EC0D" id="Straight Connector 79" o:spid="_x0000_s1026" style="position:absolute;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45pt,46.1pt" to="543.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">
                <v:stroke endarrow="block"/>
              </v:line>
            </w:pict>
          </mc:Fallback>
        </mc:AlternateContent>
      </w:r>
      <w:r w:rsidRPr="006B2701">
        <w:rPr>
          <w:rFonts w:ascii="Arial" w:hAnsi="Arial" w:cs="Arial"/>
          <w:noProof/>
          <w:sz w:val="24"/>
          <w:szCs w:val="24"/>
        </w:rPr>
        <mc:AlternateContent>
          <mc:Choice Requires="wps">
            <w:drawing>
              <wp:anchor distT="0" distB="0" distL="114300" distR="114300" simplePos="0" relativeHeight="251699712" behindDoc="0" locked="0" layoutInCell="1" allowOverlap="1" wp14:anchorId="3434EC49" wp14:editId="6D598CCD">
                <wp:simplePos x="0" y="0"/>
                <wp:positionH relativeFrom="column">
                  <wp:posOffset>6806565</wp:posOffset>
                </wp:positionH>
                <wp:positionV relativeFrom="paragraph">
                  <wp:posOffset>426085</wp:posOffset>
                </wp:positionV>
                <wp:extent cx="1556385" cy="342900"/>
                <wp:effectExtent l="6985" t="7620" r="8255" b="11430"/>
                <wp:wrapNone/>
                <wp:docPr id="1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342900"/>
                        </a:xfrm>
                        <a:prstGeom prst="rect">
                          <a:avLst/>
                        </a:prstGeom>
                        <a:solidFill>
                          <a:srgbClr val="FFFFFF"/>
                        </a:solidFill>
                        <a:ln w="9525">
                          <a:solidFill>
                            <a:srgbClr val="000000"/>
                          </a:solidFill>
                          <a:miter lim="800000"/>
                          <a:headEnd/>
                          <a:tailEnd/>
                        </a:ln>
                      </wps:spPr>
                      <wps:txbx>
                        <w:txbxContent>
                          <w:p w14:paraId="27B24FCD" w14:textId="77777777" w:rsidR="003D10DF" w:rsidRPr="00CB1B24" w:rsidRDefault="003D10DF" w:rsidP="00657E1D">
                            <w:pPr>
                              <w:rPr>
                                <w:lang w:val="ro-RO"/>
                              </w:rPr>
                            </w:pPr>
                            <w:r>
                              <w:rPr>
                                <w:lang w:val="ro-RO"/>
                              </w:rP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4EC49" id="_x0000_s1041" style="position:absolute;margin-left:535.95pt;margin-top:33.55pt;width:122.55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">
                <v:textbox>
                  <w:txbxContent>
                    <w:p w14:paraId="27B24FCD" w14:textId="77777777" w:rsidR="003D10DF" w:rsidRPr="00CB1B24" w:rsidRDefault="003D10DF" w:rsidP="00657E1D">
                      <w:pPr>
                        <w:rPr>
                          <w:lang w:val="ro-RO"/>
                        </w:rPr>
                      </w:pPr>
                      <w:r>
                        <w:rPr>
                          <w:lang w:val="ro-RO"/>
                        </w:rPr>
                        <w:t>Raportare SEC</w:t>
                      </w:r>
                    </w:p>
                  </w:txbxContent>
                </v:textbox>
              </v:rect>
            </w:pict>
          </mc:Fallback>
        </mc:AlternateContent>
      </w:r>
      <w:r w:rsidRPr="006B2701">
        <w:rPr>
          <w:rFonts w:ascii="Arial" w:hAnsi="Arial" w:cs="Arial"/>
          <w:noProof/>
          <w:sz w:val="24"/>
          <w:szCs w:val="24"/>
        </w:rPr>
        <mc:AlternateContent>
          <mc:Choice Requires="wps">
            <w:drawing>
              <wp:anchor distT="0" distB="0" distL="114300" distR="114300" simplePos="0" relativeHeight="251701760" behindDoc="0" locked="0" layoutInCell="1" allowOverlap="1" wp14:anchorId="1F7B7DF9" wp14:editId="5F9C89B4">
                <wp:simplePos x="0" y="0"/>
                <wp:positionH relativeFrom="column">
                  <wp:posOffset>7467600</wp:posOffset>
                </wp:positionH>
                <wp:positionV relativeFrom="paragraph">
                  <wp:posOffset>770890</wp:posOffset>
                </wp:positionV>
                <wp:extent cx="9525" cy="266700"/>
                <wp:effectExtent l="76200" t="0" r="66675" b="57150"/>
                <wp:wrapNone/>
                <wp:docPr id="12"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01CCF" id="Straight Connector 47"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60.7pt" to="588.7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">
                <v:stroke endarrow="block"/>
              </v:line>
            </w:pict>
          </mc:Fallback>
        </mc:AlternateContent>
      </w:r>
      <w:r w:rsidRPr="006B2701">
        <w:rPr>
          <w:rFonts w:ascii="Arial" w:hAnsi="Arial" w:cs="Arial"/>
          <w:noProof/>
          <w:sz w:val="24"/>
          <w:szCs w:val="24"/>
        </w:rPr>
        <mc:AlternateContent>
          <mc:Choice Requires="wps">
            <w:drawing>
              <wp:anchor distT="0" distB="0" distL="114300" distR="114300" simplePos="0" relativeHeight="251697664" behindDoc="0" locked="0" layoutInCell="1" allowOverlap="1" wp14:anchorId="135BACD7" wp14:editId="3F025D8B">
                <wp:simplePos x="0" y="0"/>
                <wp:positionH relativeFrom="column">
                  <wp:posOffset>7458075</wp:posOffset>
                </wp:positionH>
                <wp:positionV relativeFrom="paragraph">
                  <wp:posOffset>1380490</wp:posOffset>
                </wp:positionV>
                <wp:extent cx="9525" cy="266700"/>
                <wp:effectExtent l="76200" t="0" r="66675" b="57150"/>
                <wp:wrapNone/>
                <wp:docPr id="10"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1387" id="Straight Connector 47"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25pt,108.7pt" to="588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">
                <v:stroke endarrow="block"/>
              </v:line>
            </w:pict>
          </mc:Fallback>
        </mc:AlternateContent>
      </w:r>
      <w:r w:rsidR="000C70B3" w:rsidRPr="006B2701">
        <w:rPr>
          <w:rFonts w:ascii="Arial" w:hAnsi="Arial" w:cs="Arial"/>
          <w:noProof/>
          <w:sz w:val="24"/>
          <w:szCs w:val="24"/>
        </w:rPr>
        <mc:AlternateContent>
          <mc:Choice Requires="wps">
            <w:drawing>
              <wp:anchor distT="0" distB="0" distL="114300" distR="114300" simplePos="0" relativeHeight="251695616" behindDoc="0" locked="0" layoutInCell="1" allowOverlap="1" wp14:anchorId="58CB6221" wp14:editId="0D807484">
                <wp:simplePos x="0" y="0"/>
                <wp:positionH relativeFrom="column">
                  <wp:posOffset>6896100</wp:posOffset>
                </wp:positionH>
                <wp:positionV relativeFrom="paragraph">
                  <wp:posOffset>1035685</wp:posOffset>
                </wp:positionV>
                <wp:extent cx="1303020" cy="342900"/>
                <wp:effectExtent l="6985" t="7620" r="13970" b="11430"/>
                <wp:wrapNone/>
                <wp:docPr id="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342900"/>
                        </a:xfrm>
                        <a:prstGeom prst="rect">
                          <a:avLst/>
                        </a:prstGeom>
                        <a:solidFill>
                          <a:srgbClr val="FFFFFF"/>
                        </a:solidFill>
                        <a:ln w="9525">
                          <a:solidFill>
                            <a:srgbClr val="000000"/>
                          </a:solidFill>
                          <a:miter lim="800000"/>
                          <a:headEnd/>
                          <a:tailEnd/>
                        </a:ln>
                      </wps:spPr>
                      <wps:txbx>
                        <w:txbxContent>
                          <w:p w14:paraId="318D0401" w14:textId="77777777" w:rsidR="003D10DF" w:rsidRPr="00CB1B24" w:rsidRDefault="003D10DF" w:rsidP="000C70B3">
                            <w:pPr>
                              <w:rPr>
                                <w:lang w:val="ro-RO"/>
                              </w:rPr>
                            </w:pPr>
                            <w:r>
                              <w:rPr>
                                <w:lang w:val="ro-RO"/>
                              </w:rPr>
                              <w:t xml:space="preserve">Baza </w:t>
                            </w:r>
                            <w:proofErr w:type="spellStart"/>
                            <w:r>
                              <w:rPr>
                                <w:lang w:val="ro-RO"/>
                              </w:rPr>
                              <w:t>accrual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B6221" id="_x0000_s1042" style="position:absolute;margin-left:543pt;margin-top:81.55pt;width:102.6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">
                <v:textbox>
                  <w:txbxContent>
                    <w:p w14:paraId="318D0401" w14:textId="77777777" w:rsidR="003D10DF" w:rsidRPr="00CB1B24" w:rsidRDefault="003D10DF" w:rsidP="000C70B3">
                      <w:pPr>
                        <w:rPr>
                          <w:lang w:val="ro-RO"/>
                        </w:rPr>
                      </w:pPr>
                      <w:r>
                        <w:rPr>
                          <w:lang w:val="ro-RO"/>
                        </w:rPr>
                        <w:t xml:space="preserve">Baza </w:t>
                      </w:r>
                      <w:proofErr w:type="spellStart"/>
                      <w:r>
                        <w:rPr>
                          <w:lang w:val="ro-RO"/>
                        </w:rPr>
                        <w:t>accrual</w:t>
                      </w:r>
                      <w:proofErr w:type="spellEnd"/>
                    </w:p>
                  </w:txbxContent>
                </v:textbox>
              </v:rect>
            </w:pict>
          </mc:Fallback>
        </mc:AlternateContent>
      </w:r>
      <w:r w:rsidR="001170D5" w:rsidRPr="006B2701">
        <w:rPr>
          <w:rFonts w:ascii="Arial" w:hAnsi="Arial" w:cs="Arial"/>
          <w:noProof/>
          <w:sz w:val="24"/>
          <w:szCs w:val="24"/>
        </w:rPr>
        <mc:AlternateContent>
          <mc:Choice Requires="wps">
            <w:drawing>
              <wp:anchor distT="0" distB="0" distL="114300" distR="114300" simplePos="0" relativeHeight="251660800" behindDoc="0" locked="0" layoutInCell="1" allowOverlap="1" wp14:anchorId="1402AE58" wp14:editId="45E716E6">
                <wp:simplePos x="0" y="0"/>
                <wp:positionH relativeFrom="column">
                  <wp:posOffset>6155690</wp:posOffset>
                </wp:positionH>
                <wp:positionV relativeFrom="paragraph">
                  <wp:posOffset>1614170</wp:posOffset>
                </wp:positionV>
                <wp:extent cx="3609975" cy="3429000"/>
                <wp:effectExtent l="0" t="0" r="28575" b="19050"/>
                <wp:wrapNone/>
                <wp:docPr id="52" name="Flowchart: Proces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3429000"/>
                        </a:xfrm>
                        <a:prstGeom prst="flowChartProcess">
                          <a:avLst/>
                        </a:prstGeom>
                        <a:solidFill>
                          <a:srgbClr val="FFFFFF"/>
                        </a:solidFill>
                        <a:ln w="9525">
                          <a:solidFill>
                            <a:srgbClr val="000000"/>
                          </a:solidFill>
                          <a:miter lim="800000"/>
                          <a:headEnd/>
                          <a:tailEnd/>
                        </a:ln>
                      </wps:spPr>
                      <wps:txbx>
                        <w:txbxContent>
                          <w:p w14:paraId="59CD9F57" w14:textId="54464367" w:rsidR="003D10DF" w:rsidRDefault="003D10DF" w:rsidP="000B76FB">
                            <w:pPr>
                              <w:jc w:val="both"/>
                              <w:rPr>
                                <w:lang w:val="ro-RO"/>
                              </w:rPr>
                            </w:pPr>
                            <w:r>
                              <w:rPr>
                                <w:lang w:val="ro-RO"/>
                              </w:rPr>
                              <w:t>-Veniturile fiscale in baza cash sunt ajustate conform metodei simple de ajustare temporală cu o perioadă de o lună, cu excepția impozitului pe profit care are o marjă de 3 luni. Astfel, tranzacțiile sunt înregistrate atunci când a avut loc activitatea care generează obligația fiscală.</w:t>
                            </w:r>
                          </w:p>
                          <w:p w14:paraId="4066BBB9" w14:textId="1245F836" w:rsidR="003D10DF" w:rsidRDefault="003D10DF" w:rsidP="000B76FB">
                            <w:pPr>
                              <w:jc w:val="both"/>
                              <w:rPr>
                                <w:lang w:val="ro-RO"/>
                              </w:rPr>
                            </w:pPr>
                            <w:r>
                              <w:rPr>
                                <w:lang w:val="ro-RO"/>
                              </w:rPr>
                              <w:t>-La cheltuielile bugetelor locale  se adaugă sume de plătit aferente datoriilor comerciale, salarii, contribuții, alte drepturi, din bilanțul instituțiilor publice.</w:t>
                            </w:r>
                          </w:p>
                          <w:p w14:paraId="403C905C" w14:textId="409A636A" w:rsidR="003D10DF" w:rsidRDefault="003D10DF" w:rsidP="000B76FB">
                            <w:pPr>
                              <w:jc w:val="both"/>
                              <w:rPr>
                                <w:lang w:val="ro-RO"/>
                              </w:rPr>
                            </w:pPr>
                            <w:r>
                              <w:rPr>
                                <w:lang w:val="ro-RO"/>
                              </w:rPr>
                              <w:t>-Conform criteriului de 50% sunt incluse companiile publice locale ale căror încasări din vânzări acoperă mai puțin de 50% din costurile de producție. Sunt grupate în trei categorii</w:t>
                            </w:r>
                            <w:r w:rsidRPr="00841EAA">
                              <w:rPr>
                                <w:lang w:val="ro-RO"/>
                              </w:rPr>
                              <w:t>:</w:t>
                            </w:r>
                            <w:r>
                              <w:rPr>
                                <w:lang w:val="ro-RO"/>
                              </w:rPr>
                              <w:t xml:space="preserve"> aeroporturi, centrale termice </w:t>
                            </w:r>
                            <w:proofErr w:type="spellStart"/>
                            <w:r>
                              <w:rPr>
                                <w:lang w:val="ro-RO"/>
                              </w:rPr>
                              <w:t>şi</w:t>
                            </w:r>
                            <w:proofErr w:type="spellEnd"/>
                            <w:r>
                              <w:rPr>
                                <w:lang w:val="ro-RO"/>
                              </w:rPr>
                              <w:t xml:space="preserve"> alte unități. Datele operative sunt transmise de companii electronic prin formularul S1001. La trimestre se estimează soldul companiilor.</w:t>
                            </w:r>
                          </w:p>
                          <w:p w14:paraId="6E7ADF54" w14:textId="77777777" w:rsidR="003D10DF" w:rsidRPr="007C0BCC" w:rsidRDefault="003D10DF" w:rsidP="000B76FB">
                            <w:pPr>
                              <w:jc w:val="both"/>
                              <w:rPr>
                                <w:lang w:val="ro-RO"/>
                              </w:rPr>
                            </w:pPr>
                            <w:r>
                              <w:rPr>
                                <w:lang w:val="ro-RO"/>
                              </w:rPr>
                              <w:t xml:space="preserve">-Sunt efectuate </w:t>
                            </w:r>
                            <w:r w:rsidRPr="007C0BCC">
                              <w:rPr>
                                <w:lang w:val="ro-RO"/>
                              </w:rPr>
                              <w:t>ajustări privind:</w:t>
                            </w:r>
                          </w:p>
                          <w:p w14:paraId="7AD68569" w14:textId="48E3D8F6" w:rsidR="003D10DF" w:rsidRPr="007C0BCC" w:rsidRDefault="003D10DF" w:rsidP="000B76FB">
                            <w:pPr>
                              <w:rPr>
                                <w:lang w:val="ro-RO"/>
                              </w:rPr>
                            </w:pPr>
                            <w:r w:rsidRPr="007C0BCC">
                              <w:rPr>
                                <w:lang w:val="ro-RO"/>
                              </w:rPr>
                              <w:sym w:font="Wingdings" w:char="F09F"/>
                            </w:r>
                            <w:r w:rsidRPr="007C0BCC">
                              <w:rPr>
                                <w:lang w:val="ro-RO"/>
                              </w:rPr>
                              <w:t xml:space="preserve"> diferența dintre dobânda plătită </w:t>
                            </w:r>
                            <w:proofErr w:type="spellStart"/>
                            <w:r w:rsidRPr="007C0BCC">
                              <w:rPr>
                                <w:lang w:val="ro-RO"/>
                              </w:rPr>
                              <w:t>şi</w:t>
                            </w:r>
                            <w:proofErr w:type="spellEnd"/>
                            <w:r w:rsidRPr="007C0BCC">
                              <w:rPr>
                                <w:lang w:val="ro-RO"/>
                              </w:rPr>
                              <w:t xml:space="preserve"> cea </w:t>
                            </w:r>
                            <w:proofErr w:type="spellStart"/>
                            <w:r w:rsidRPr="007C0BCC">
                              <w:rPr>
                                <w:lang w:val="ro-RO"/>
                              </w:rPr>
                              <w:t>accruată</w:t>
                            </w:r>
                            <w:proofErr w:type="spellEnd"/>
                            <w:r w:rsidRPr="007C0BCC">
                              <w:rPr>
                                <w:lang w:val="ro-RO"/>
                              </w:rPr>
                              <w:t>;</w:t>
                            </w:r>
                          </w:p>
                          <w:p w14:paraId="12C8FC91" w14:textId="782C0498" w:rsidR="003D10DF" w:rsidRPr="007C0BCC" w:rsidRDefault="003D10DF" w:rsidP="000B76FB">
                            <w:pPr>
                              <w:rPr>
                                <w:lang w:val="ro-RO"/>
                              </w:rPr>
                            </w:pPr>
                            <w:r w:rsidRPr="007C0BCC">
                              <w:rPr>
                                <w:lang w:val="ro-RO"/>
                              </w:rPr>
                              <w:sym w:font="Wingdings" w:char="F09F"/>
                            </w:r>
                            <w:r w:rsidRPr="007C0BCC">
                              <w:rPr>
                                <w:lang w:val="ro-RO"/>
                              </w:rPr>
                              <w:t xml:space="preserve"> </w:t>
                            </w:r>
                            <w:r>
                              <w:rPr>
                                <w:lang w:val="ro-RO"/>
                              </w:rPr>
                              <w:t xml:space="preserve">diferențe aferente </w:t>
                            </w:r>
                            <w:r w:rsidRPr="007C0BCC">
                              <w:rPr>
                                <w:lang w:val="ro-RO"/>
                              </w:rPr>
                              <w:t>sumel</w:t>
                            </w:r>
                            <w:r>
                              <w:rPr>
                                <w:lang w:val="ro-RO"/>
                              </w:rPr>
                              <w:t xml:space="preserve">or </w:t>
                            </w:r>
                            <w:r w:rsidRPr="007C0BCC">
                              <w:rPr>
                                <w:lang w:val="ro-RO"/>
                              </w:rPr>
                              <w:t xml:space="preserve">din tva </w:t>
                            </w:r>
                            <w:proofErr w:type="spellStart"/>
                            <w:r w:rsidRPr="007C0BCC">
                              <w:rPr>
                                <w:lang w:val="ro-RO"/>
                              </w:rPr>
                              <w:t>şi</w:t>
                            </w:r>
                            <w:proofErr w:type="spellEnd"/>
                            <w:r w:rsidRPr="007C0BCC">
                              <w:rPr>
                                <w:lang w:val="ro-RO"/>
                              </w:rPr>
                              <w:t xml:space="preserve"> impozitul pe venit defalcate de la bugetul de stat;</w:t>
                            </w:r>
                          </w:p>
                          <w:p w14:paraId="438DFE0C" w14:textId="19D38AE2" w:rsidR="003D10DF" w:rsidRPr="007C0BCC" w:rsidRDefault="003D10DF" w:rsidP="000B76FB">
                            <w:pPr>
                              <w:rPr>
                                <w:lang w:val="ro-RO"/>
                              </w:rPr>
                            </w:pPr>
                            <w:r w:rsidRPr="007C0BCC">
                              <w:rPr>
                                <w:lang w:val="ro-RO"/>
                              </w:rPr>
                              <w:sym w:font="Wingdings" w:char="F09F"/>
                            </w:r>
                            <w:r w:rsidRPr="007C0BCC">
                              <w:rPr>
                                <w:lang w:val="ro-RO"/>
                              </w:rPr>
                              <w:t>garanțiile executate.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AE58" id="Flowchart: Process 54" o:spid="_x0000_s1043" type="#_x0000_t109" style="position:absolute;margin-left:484.7pt;margin-top:127.1pt;width:284.25pt;height:27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">
                <v:textbox>
                  <w:txbxContent>
                    <w:p w14:paraId="59CD9F57" w14:textId="54464367" w:rsidR="003D10DF" w:rsidRDefault="003D10DF" w:rsidP="000B76FB">
                      <w:pPr>
                        <w:jc w:val="both"/>
                        <w:rPr>
                          <w:lang w:val="ro-RO"/>
                        </w:rPr>
                      </w:pPr>
                      <w:r>
                        <w:rPr>
                          <w:lang w:val="ro-RO"/>
                        </w:rPr>
                        <w:t>-Veniturile fiscale in baza cash sunt ajustate conform metodei simple de ajustare temporală cu o perioadă de o lună, cu excepția impozitului pe profit care are o marjă de 3 luni. Astfel, tranzacțiile sunt înregistrate atunci când a avut loc activitatea care generează obligația fiscală.</w:t>
                      </w:r>
                    </w:p>
                    <w:p w14:paraId="4066BBB9" w14:textId="1245F836" w:rsidR="003D10DF" w:rsidRDefault="003D10DF" w:rsidP="000B76FB">
                      <w:pPr>
                        <w:jc w:val="both"/>
                        <w:rPr>
                          <w:lang w:val="ro-RO"/>
                        </w:rPr>
                      </w:pPr>
                      <w:r>
                        <w:rPr>
                          <w:lang w:val="ro-RO"/>
                        </w:rPr>
                        <w:t>-La cheltuielile bugetelor locale  se adaugă sume de plătit aferente datoriilor comerciale, salarii, contribuții, alte drepturi, din bilanțul instituțiilor publice.</w:t>
                      </w:r>
                    </w:p>
                    <w:p w14:paraId="403C905C" w14:textId="409A636A" w:rsidR="003D10DF" w:rsidRDefault="003D10DF" w:rsidP="000B76FB">
                      <w:pPr>
                        <w:jc w:val="both"/>
                        <w:rPr>
                          <w:lang w:val="ro-RO"/>
                        </w:rPr>
                      </w:pPr>
                      <w:r>
                        <w:rPr>
                          <w:lang w:val="ro-RO"/>
                        </w:rPr>
                        <w:t>-Conform criteriului de 50% sunt incluse companiile publice locale ale căror încasări din vânzări acoperă mai puțin de 50% din costurile de producție. Sunt grupate în trei categorii</w:t>
                      </w:r>
                      <w:r w:rsidRPr="00841EAA">
                        <w:rPr>
                          <w:lang w:val="ro-RO"/>
                        </w:rPr>
                        <w:t>:</w:t>
                      </w:r>
                      <w:r>
                        <w:rPr>
                          <w:lang w:val="ro-RO"/>
                        </w:rPr>
                        <w:t xml:space="preserve"> aeroporturi, centrale termice </w:t>
                      </w:r>
                      <w:proofErr w:type="spellStart"/>
                      <w:r>
                        <w:rPr>
                          <w:lang w:val="ro-RO"/>
                        </w:rPr>
                        <w:t>şi</w:t>
                      </w:r>
                      <w:proofErr w:type="spellEnd"/>
                      <w:r>
                        <w:rPr>
                          <w:lang w:val="ro-RO"/>
                        </w:rPr>
                        <w:t xml:space="preserve"> alte unități. Datele operative sunt transmise de companii electronic prin formularul S1001. La trimestre se estimează soldul companiilor.</w:t>
                      </w:r>
                    </w:p>
                    <w:p w14:paraId="6E7ADF54" w14:textId="77777777" w:rsidR="003D10DF" w:rsidRPr="007C0BCC" w:rsidRDefault="003D10DF" w:rsidP="000B76FB">
                      <w:pPr>
                        <w:jc w:val="both"/>
                        <w:rPr>
                          <w:lang w:val="ro-RO"/>
                        </w:rPr>
                      </w:pPr>
                      <w:r>
                        <w:rPr>
                          <w:lang w:val="ro-RO"/>
                        </w:rPr>
                        <w:t xml:space="preserve">-Sunt efectuate </w:t>
                      </w:r>
                      <w:r w:rsidRPr="007C0BCC">
                        <w:rPr>
                          <w:lang w:val="ro-RO"/>
                        </w:rPr>
                        <w:t>ajustări privind:</w:t>
                      </w:r>
                    </w:p>
                    <w:p w14:paraId="7AD68569" w14:textId="48E3D8F6" w:rsidR="003D10DF" w:rsidRPr="007C0BCC" w:rsidRDefault="003D10DF" w:rsidP="000B76FB">
                      <w:pPr>
                        <w:rPr>
                          <w:lang w:val="ro-RO"/>
                        </w:rPr>
                      </w:pPr>
                      <w:r w:rsidRPr="007C0BCC">
                        <w:rPr>
                          <w:lang w:val="ro-RO"/>
                        </w:rPr>
                        <w:sym w:font="Wingdings" w:char="F09F"/>
                      </w:r>
                      <w:r w:rsidRPr="007C0BCC">
                        <w:rPr>
                          <w:lang w:val="ro-RO"/>
                        </w:rPr>
                        <w:t xml:space="preserve"> diferența dintre dobânda plătită </w:t>
                      </w:r>
                      <w:proofErr w:type="spellStart"/>
                      <w:r w:rsidRPr="007C0BCC">
                        <w:rPr>
                          <w:lang w:val="ro-RO"/>
                        </w:rPr>
                        <w:t>şi</w:t>
                      </w:r>
                      <w:proofErr w:type="spellEnd"/>
                      <w:r w:rsidRPr="007C0BCC">
                        <w:rPr>
                          <w:lang w:val="ro-RO"/>
                        </w:rPr>
                        <w:t xml:space="preserve"> cea </w:t>
                      </w:r>
                      <w:proofErr w:type="spellStart"/>
                      <w:r w:rsidRPr="007C0BCC">
                        <w:rPr>
                          <w:lang w:val="ro-RO"/>
                        </w:rPr>
                        <w:t>accruată</w:t>
                      </w:r>
                      <w:proofErr w:type="spellEnd"/>
                      <w:r w:rsidRPr="007C0BCC">
                        <w:rPr>
                          <w:lang w:val="ro-RO"/>
                        </w:rPr>
                        <w:t>;</w:t>
                      </w:r>
                    </w:p>
                    <w:p w14:paraId="12C8FC91" w14:textId="782C0498" w:rsidR="003D10DF" w:rsidRPr="007C0BCC" w:rsidRDefault="003D10DF" w:rsidP="000B76FB">
                      <w:pPr>
                        <w:rPr>
                          <w:lang w:val="ro-RO"/>
                        </w:rPr>
                      </w:pPr>
                      <w:r w:rsidRPr="007C0BCC">
                        <w:rPr>
                          <w:lang w:val="ro-RO"/>
                        </w:rPr>
                        <w:sym w:font="Wingdings" w:char="F09F"/>
                      </w:r>
                      <w:r w:rsidRPr="007C0BCC">
                        <w:rPr>
                          <w:lang w:val="ro-RO"/>
                        </w:rPr>
                        <w:t xml:space="preserve"> </w:t>
                      </w:r>
                      <w:r>
                        <w:rPr>
                          <w:lang w:val="ro-RO"/>
                        </w:rPr>
                        <w:t xml:space="preserve">diferențe aferente </w:t>
                      </w:r>
                      <w:r w:rsidRPr="007C0BCC">
                        <w:rPr>
                          <w:lang w:val="ro-RO"/>
                        </w:rPr>
                        <w:t>sumel</w:t>
                      </w:r>
                      <w:r>
                        <w:rPr>
                          <w:lang w:val="ro-RO"/>
                        </w:rPr>
                        <w:t xml:space="preserve">or </w:t>
                      </w:r>
                      <w:r w:rsidRPr="007C0BCC">
                        <w:rPr>
                          <w:lang w:val="ro-RO"/>
                        </w:rPr>
                        <w:t xml:space="preserve">din tva </w:t>
                      </w:r>
                      <w:proofErr w:type="spellStart"/>
                      <w:r w:rsidRPr="007C0BCC">
                        <w:rPr>
                          <w:lang w:val="ro-RO"/>
                        </w:rPr>
                        <w:t>şi</w:t>
                      </w:r>
                      <w:proofErr w:type="spellEnd"/>
                      <w:r w:rsidRPr="007C0BCC">
                        <w:rPr>
                          <w:lang w:val="ro-RO"/>
                        </w:rPr>
                        <w:t xml:space="preserve"> impozitul pe venit defalcate de la bugetul de stat;</w:t>
                      </w:r>
                    </w:p>
                    <w:p w14:paraId="438DFE0C" w14:textId="19D38AE2" w:rsidR="003D10DF" w:rsidRPr="007C0BCC" w:rsidRDefault="003D10DF" w:rsidP="000B76FB">
                      <w:pPr>
                        <w:rPr>
                          <w:lang w:val="ro-RO"/>
                        </w:rPr>
                      </w:pPr>
                      <w:r w:rsidRPr="007C0BCC">
                        <w:rPr>
                          <w:lang w:val="ro-RO"/>
                        </w:rPr>
                        <w:sym w:font="Wingdings" w:char="F09F"/>
                      </w:r>
                      <w:r w:rsidRPr="007C0BCC">
                        <w:rPr>
                          <w:lang w:val="ro-RO"/>
                        </w:rPr>
                        <w:t>garanțiile executate.</w:t>
                      </w:r>
                    </w:p>
                  </w:txbxContent>
                </v:textbox>
              </v:shape>
            </w:pict>
          </mc:Fallback>
        </mc:AlternateContent>
      </w:r>
      <w:r w:rsidR="001170D5" w:rsidRPr="006B2701">
        <w:rPr>
          <w:rFonts w:ascii="Arial" w:hAnsi="Arial" w:cs="Arial"/>
          <w:noProof/>
          <w:sz w:val="24"/>
          <w:szCs w:val="24"/>
        </w:rPr>
        <mc:AlternateContent>
          <mc:Choice Requires="wps">
            <w:drawing>
              <wp:anchor distT="0" distB="0" distL="114300" distR="114300" simplePos="0" relativeHeight="251693568" behindDoc="0" locked="0" layoutInCell="1" allowOverlap="1" wp14:anchorId="4D66407C" wp14:editId="66C4A119">
                <wp:simplePos x="0" y="0"/>
                <wp:positionH relativeFrom="column">
                  <wp:posOffset>4076700</wp:posOffset>
                </wp:positionH>
                <wp:positionV relativeFrom="paragraph">
                  <wp:posOffset>2032635</wp:posOffset>
                </wp:positionV>
                <wp:extent cx="9525" cy="266700"/>
                <wp:effectExtent l="76200" t="0" r="66675" b="57150"/>
                <wp:wrapNone/>
                <wp:docPr id="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2ACAD" id="Straight Connector 4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60.05pt" to="321.7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">
                <v:stroke endarrow="block"/>
              </v:line>
            </w:pict>
          </mc:Fallback>
        </mc:AlternateContent>
      </w:r>
      <w:r w:rsidR="001170D5" w:rsidRPr="006B2701">
        <w:rPr>
          <w:rFonts w:ascii="Arial" w:hAnsi="Arial" w:cs="Arial"/>
          <w:noProof/>
          <w:sz w:val="24"/>
          <w:szCs w:val="24"/>
        </w:rPr>
        <mc:AlternateContent>
          <mc:Choice Requires="wps">
            <w:drawing>
              <wp:anchor distT="0" distB="0" distL="114300" distR="114300" simplePos="0" relativeHeight="251653632" behindDoc="0" locked="0" layoutInCell="1" allowOverlap="1" wp14:anchorId="206523EF" wp14:editId="63205838">
                <wp:simplePos x="0" y="0"/>
                <wp:positionH relativeFrom="column">
                  <wp:posOffset>1488440</wp:posOffset>
                </wp:positionH>
                <wp:positionV relativeFrom="paragraph">
                  <wp:posOffset>2032000</wp:posOffset>
                </wp:positionV>
                <wp:extent cx="9525" cy="266700"/>
                <wp:effectExtent l="76200" t="0" r="66675" b="57150"/>
                <wp:wrapNone/>
                <wp:docPr id="45"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6096E" id="Straight Connector 47"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pt,160pt" to="117.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">
                <v:stroke endarrow="block"/>
              </v:line>
            </w:pict>
          </mc:Fallback>
        </mc:AlternateContent>
      </w:r>
      <w:r w:rsidR="0073616C">
        <w:rPr>
          <w:rFonts w:ascii="Arial" w:eastAsia="MS Mincho" w:hAnsi="Arial" w:cs="Arial"/>
          <w:sz w:val="24"/>
          <w:szCs w:val="24"/>
          <w:lang w:val="ro-RO" w:eastAsia="ja-JP"/>
        </w:rPr>
      </w:r>
      <w:r w:rsidR="0073616C">
        <w:rPr>
          <w:rFonts w:ascii="Arial" w:eastAsia="MS Mincho" w:hAnsi="Arial" w:cs="Arial"/>
          <w:sz w:val="24"/>
          <w:szCs w:val="24"/>
          <w:lang w:val="ro-RO" w:eastAsia="ja-JP"/>
        </w:rPr>
        <w:pict w14:anchorId="7B899F20">
          <v:group id="_x0000_s1113" editas="orgchart" style="width:401.85pt;height:162.45pt;mso-position-horizontal-relative:char;mso-position-vertical-relative:line" coordorigin="2843,1139" coordsize="7200,1844">
            <o:lock v:ext="edit" aspectratio="t"/>
            <o:diagram v:ext="edit" dgmstyle="0" dgmscalex="73155" dgmscaley="115451" dgmfontsize="13" constrainbounds="0,0,0,0" autolayout="f">
              <o:relationtable v:ext="edit">
                <o:rel v:ext="edit" idsrc="#_s1117" iddest="#_s1117"/>
                <o:rel v:ext="edit" idsrc="#_s1118" iddest="#_s1117" idcntr="#_s1116"/>
                <o:rel v:ext="edit" idsrc="#_s1119" iddest="#_s1117" idcntr="#_s1115"/>
              </o:relationtable>
            </o:diagram>
            <v:shape id="_x0000_s1114" type="#_x0000_t75" style="position:absolute;left:2843;top:1139;width:7200;height:1844"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15" o:spid="_x0000_s1115" type="#_x0000_t34" style="position:absolute;left:7397;top:922;width:483;height:1995;rotation:270;flip:x" o:connectortype="elbow" adj="4569,92928,-185719" strokeweight="2.25pt"/>
            <v:shape id="_s1116" o:spid="_x0000_s1116" type="#_x0000_t34" style="position:absolute;left:6070;top:1591;width:483;height:658;rotation:270" o:connectortype="elbow" adj="4569,-281948,-110564" strokeweight="2.25pt"/>
            <v:roundrect id="_s1117" o:spid="_x0000_s1117" style="position:absolute;left:5830;top:1139;width:1621;height:539;v-text-anchor:middle" arcsize="10923f" o:dgmlayout="0" o:dgmnodekind="1" filled="f" fillcolor="#bbe0e3">
              <v:textbox style="mso-next-textbox:#_s1117" inset="0,0,0,0">
                <w:txbxContent>
                  <w:p w14:paraId="7E6342CE" w14:textId="61AE7EF3" w:rsidR="003D10DF" w:rsidRDefault="003D10DF" w:rsidP="001170D5">
                    <w:pPr>
                      <w:ind w:left="-5245" w:firstLine="5245"/>
                      <w:jc w:val="center"/>
                      <w:rPr>
                        <w:b/>
                        <w:sz w:val="26"/>
                        <w:lang w:val="ro-RO"/>
                      </w:rPr>
                    </w:pPr>
                    <w:r w:rsidRPr="00783633">
                      <w:rPr>
                        <w:b/>
                        <w:sz w:val="26"/>
                        <w:lang w:val="ro-RO"/>
                      </w:rPr>
                      <w:t>Administrația</w:t>
                    </w:r>
                  </w:p>
                  <w:p w14:paraId="4106E0E8" w14:textId="77777777" w:rsidR="003D10DF" w:rsidRPr="00783633" w:rsidRDefault="003D10DF" w:rsidP="001170D5">
                    <w:pPr>
                      <w:ind w:left="-5245" w:firstLine="5245"/>
                      <w:jc w:val="center"/>
                      <w:rPr>
                        <w:b/>
                        <w:sz w:val="26"/>
                        <w:lang w:val="ro-RO"/>
                      </w:rPr>
                    </w:pPr>
                    <w:r>
                      <w:rPr>
                        <w:b/>
                        <w:sz w:val="26"/>
                        <w:lang w:val="ro-RO"/>
                      </w:rPr>
                      <w:t>Locală –S1313</w:t>
                    </w:r>
                  </w:p>
                </w:txbxContent>
              </v:textbox>
            </v:roundrect>
            <v:roundrect id="_s1118" o:spid="_x0000_s1118" style="position:absolute;left:5387;top:2161;width:1191;height:306;v-text-anchor:middle" arcsize="10923f" o:dgmlayout="0" o:dgmnodekind="0" filled="f" fillcolor="#bbe0e3">
              <v:textbox style="mso-next-textbox:#_s1118" inset="0,0,0,0">
                <w:txbxContent>
                  <w:p w14:paraId="4DC8C63F" w14:textId="77777777" w:rsidR="003D10DF" w:rsidRPr="00163462" w:rsidRDefault="003D10DF" w:rsidP="001170D5">
                    <w:pPr>
                      <w:jc w:val="center"/>
                      <w:rPr>
                        <w:sz w:val="26"/>
                        <w:lang w:val="ro-RO"/>
                      </w:rPr>
                    </w:pPr>
                    <w:r w:rsidRPr="00163462">
                      <w:rPr>
                        <w:sz w:val="26"/>
                        <w:lang w:val="ro-RO"/>
                      </w:rPr>
                      <w:t>Lunar</w:t>
                    </w:r>
                  </w:p>
                  <w:p w14:paraId="2A6A2E16" w14:textId="77777777" w:rsidR="003D10DF" w:rsidRPr="00163462" w:rsidRDefault="003D10DF" w:rsidP="001170D5">
                    <w:pPr>
                      <w:jc w:val="center"/>
                      <w:rPr>
                        <w:sz w:val="26"/>
                        <w:lang w:val="ro-RO"/>
                      </w:rPr>
                    </w:pPr>
                  </w:p>
                  <w:p w14:paraId="4676DB9B" w14:textId="77777777" w:rsidR="003D10DF" w:rsidRPr="00163462" w:rsidRDefault="003D10DF" w:rsidP="001170D5">
                    <w:pPr>
                      <w:jc w:val="center"/>
                      <w:rPr>
                        <w:sz w:val="26"/>
                        <w:lang w:val="ro-RO"/>
                      </w:rPr>
                    </w:pPr>
                  </w:p>
                  <w:p w14:paraId="58D3AC70" w14:textId="77777777" w:rsidR="003D10DF" w:rsidRPr="00163462" w:rsidRDefault="003D10DF" w:rsidP="001170D5">
                    <w:pPr>
                      <w:jc w:val="center"/>
                      <w:rPr>
                        <w:sz w:val="26"/>
                        <w:lang w:val="ro-RO"/>
                      </w:rPr>
                    </w:pPr>
                  </w:p>
                  <w:p w14:paraId="4B8B2A71" w14:textId="77777777" w:rsidR="003D10DF" w:rsidRPr="00163462" w:rsidRDefault="003D10DF" w:rsidP="001170D5">
                    <w:pPr>
                      <w:jc w:val="center"/>
                      <w:rPr>
                        <w:sz w:val="26"/>
                        <w:lang w:val="ro-RO"/>
                      </w:rPr>
                    </w:pPr>
                  </w:p>
                  <w:p w14:paraId="34E7FE27" w14:textId="77777777" w:rsidR="003D10DF" w:rsidRPr="00163462" w:rsidRDefault="003D10DF" w:rsidP="001170D5">
                    <w:pPr>
                      <w:jc w:val="center"/>
                      <w:rPr>
                        <w:sz w:val="26"/>
                        <w:lang w:val="ro-RO"/>
                      </w:rPr>
                    </w:pPr>
                  </w:p>
                  <w:p w14:paraId="430DF47C" w14:textId="77777777" w:rsidR="003D10DF" w:rsidRPr="00163462" w:rsidRDefault="003D10DF" w:rsidP="001170D5">
                    <w:pPr>
                      <w:jc w:val="center"/>
                      <w:rPr>
                        <w:sz w:val="26"/>
                        <w:lang w:val="ro-RO"/>
                      </w:rPr>
                    </w:pPr>
                  </w:p>
                  <w:p w14:paraId="09691C7B" w14:textId="77777777" w:rsidR="003D10DF" w:rsidRPr="00163462" w:rsidRDefault="003D10DF" w:rsidP="001170D5">
                    <w:pPr>
                      <w:jc w:val="center"/>
                      <w:rPr>
                        <w:sz w:val="26"/>
                        <w:lang w:val="ro-RO"/>
                      </w:rPr>
                    </w:pPr>
                  </w:p>
                  <w:p w14:paraId="20764F96" w14:textId="77777777" w:rsidR="003D10DF" w:rsidRPr="00163462" w:rsidRDefault="003D10DF" w:rsidP="001170D5">
                    <w:pPr>
                      <w:jc w:val="center"/>
                      <w:rPr>
                        <w:sz w:val="26"/>
                        <w:lang w:val="ro-RO"/>
                      </w:rPr>
                    </w:pPr>
                  </w:p>
                  <w:p w14:paraId="75D7EA1B" w14:textId="77777777" w:rsidR="003D10DF" w:rsidRPr="00163462" w:rsidRDefault="003D10DF" w:rsidP="001170D5">
                    <w:pPr>
                      <w:jc w:val="center"/>
                      <w:rPr>
                        <w:sz w:val="26"/>
                        <w:lang w:val="ro-RO"/>
                      </w:rPr>
                    </w:pPr>
                  </w:p>
                </w:txbxContent>
              </v:textbox>
            </v:roundrect>
            <v:roundrect id="_s1119" o:spid="_x0000_s1119" style="position:absolute;left:7878;top:2161;width:1515;height:306;v-text-anchor:middle" arcsize="10923f" o:dgmlayout="0" o:dgmnodekind="0" filled="f" fillcolor="#bbe0e3">
              <v:textbox style="mso-next-textbox:#_s1119" inset="0,0,0,0">
                <w:txbxContent>
                  <w:p w14:paraId="7C01BE40" w14:textId="77777777" w:rsidR="003D10DF" w:rsidRPr="00163462" w:rsidRDefault="003D10DF" w:rsidP="001170D5">
                    <w:pPr>
                      <w:jc w:val="center"/>
                      <w:rPr>
                        <w:sz w:val="26"/>
                        <w:lang w:val="ro-RO"/>
                      </w:rPr>
                    </w:pPr>
                    <w:r w:rsidRPr="00163462">
                      <w:rPr>
                        <w:sz w:val="26"/>
                        <w:lang w:val="ro-RO"/>
                      </w:rPr>
                      <w:t>Trimestrial</w:t>
                    </w:r>
                  </w:p>
                </w:txbxContent>
              </v:textbox>
            </v:roundrect>
            <v:line id="_x0000_s1120" style="position:absolute" from="6456,2156" to="6510,2156"/>
            <v:line id="_x0000_s1121" style="position:absolute" from="5958,2467" to="5959,2569">
              <v:stroke endarrow="block"/>
            </v:line>
            <v:line id="_x0000_s1122" style="position:absolute" from="8664,2467" to="8676,2603">
              <v:stroke endarrow="block"/>
            </v:line>
            <v:rect id="_x0000_s1070" style="position:absolute;left:3803;top:2575;width:3032;height:408">
              <v:textbox style="mso-next-textbox:#_x0000_s1070">
                <w:txbxContent>
                  <w:p w14:paraId="34C04421" w14:textId="77777777" w:rsidR="003D10DF" w:rsidRDefault="003D10DF" w:rsidP="000B76FB">
                    <w:pPr>
                      <w:jc w:val="center"/>
                      <w:rPr>
                        <w:lang w:val="ro-RO"/>
                      </w:rPr>
                    </w:pPr>
                    <w:r>
                      <w:rPr>
                        <w:lang w:val="ro-RO"/>
                      </w:rPr>
                      <w:t>Baza cash</w:t>
                    </w:r>
                  </w:p>
                  <w:p w14:paraId="4F0286F2" w14:textId="52FCF1A4" w:rsidR="003D10DF" w:rsidRPr="0032759E" w:rsidRDefault="003D10DF" w:rsidP="000B76FB">
                    <w:pPr>
                      <w:rPr>
                        <w:lang w:val="ro-RO"/>
                      </w:rPr>
                    </w:pPr>
                    <w:r>
                      <w:rPr>
                        <w:lang w:val="ro-RO"/>
                      </w:rPr>
                      <w:t xml:space="preserve">Ministerul Finanțelor Publice </w:t>
                    </w:r>
                  </w:p>
                </w:txbxContent>
              </v:textbox>
            </v:rect>
            <v:rect id="_x0000_s1071" style="position:absolute;left:7120;top:2575;width:2923;height:408">
              <v:textbox style="mso-next-textbox:#_x0000_s1071">
                <w:txbxContent>
                  <w:p w14:paraId="2677B9F1" w14:textId="77777777" w:rsidR="003D10DF" w:rsidRDefault="003D10DF" w:rsidP="000B76FB">
                    <w:pPr>
                      <w:jc w:val="center"/>
                      <w:rPr>
                        <w:lang w:val="ro-RO"/>
                      </w:rPr>
                    </w:pPr>
                    <w:r>
                      <w:rPr>
                        <w:lang w:val="ro-RO"/>
                      </w:rPr>
                      <w:t>Baza cash</w:t>
                    </w:r>
                  </w:p>
                  <w:p w14:paraId="5A251E01" w14:textId="3A0AFC52" w:rsidR="003D10DF" w:rsidRPr="0032759E" w:rsidRDefault="003D10DF" w:rsidP="000B76FB">
                    <w:pPr>
                      <w:rPr>
                        <w:lang w:val="ro-RO"/>
                      </w:rPr>
                    </w:pPr>
                    <w:r>
                      <w:rPr>
                        <w:lang w:val="ro-RO"/>
                      </w:rPr>
                      <w:t>Ministerul Finanțelor Publice</w:t>
                    </w:r>
                  </w:p>
                </w:txbxContent>
              </v:textbox>
            </v:rect>
            <w10:wrap type="none"/>
            <w10:anchorlock/>
          </v:group>
        </w:pict>
      </w:r>
      <w:r w:rsidR="00BA5E33" w:rsidRPr="006B2701">
        <w:rPr>
          <w:rFonts w:ascii="Arial" w:eastAsia="MS Mincho" w:hAnsi="Arial" w:cs="Arial"/>
          <w:sz w:val="24"/>
          <w:szCs w:val="24"/>
          <w:lang w:val="ro-RO" w:eastAsia="ja-JP"/>
        </w:rPr>
        <w:tab/>
      </w:r>
    </w:p>
    <w:p w14:paraId="06DD9B50" w14:textId="77777777" w:rsidR="00BA5E33" w:rsidRPr="006B2701" w:rsidRDefault="00BA5E33" w:rsidP="000F5753">
      <w:pPr>
        <w:spacing w:line="276" w:lineRule="auto"/>
        <w:rPr>
          <w:rFonts w:ascii="Arial" w:eastAsia="MS Mincho" w:hAnsi="Arial" w:cs="Arial"/>
          <w:sz w:val="24"/>
          <w:szCs w:val="24"/>
          <w:lang w:val="ro-RO" w:eastAsia="ja-JP"/>
        </w:rPr>
      </w:pPr>
    </w:p>
    <w:p w14:paraId="7E9BF665" w14:textId="77777777" w:rsidR="00BA5E33" w:rsidRPr="006B2701" w:rsidRDefault="00B54EB1" w:rsidP="000F5753">
      <w:pPr>
        <w:spacing w:line="276" w:lineRule="auto"/>
        <w:rPr>
          <w:rFonts w:ascii="Arial" w:eastAsia="MS Mincho" w:hAnsi="Arial" w:cs="Arial"/>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33152" behindDoc="0" locked="1" layoutInCell="1" allowOverlap="1" wp14:anchorId="69AA7A72" wp14:editId="4C284FF0">
                <wp:simplePos x="0" y="0"/>
                <wp:positionH relativeFrom="column">
                  <wp:posOffset>2985135</wp:posOffset>
                </wp:positionH>
                <wp:positionV relativeFrom="paragraph">
                  <wp:posOffset>-3810</wp:posOffset>
                </wp:positionV>
                <wp:extent cx="2280285" cy="1371600"/>
                <wp:effectExtent l="10795" t="5715" r="13970" b="13335"/>
                <wp:wrapNone/>
                <wp:docPr id="44" name="Flowchart: Proces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371600"/>
                        </a:xfrm>
                        <a:prstGeom prst="flowChartProcess">
                          <a:avLst/>
                        </a:prstGeom>
                        <a:solidFill>
                          <a:srgbClr val="FFFFFF"/>
                        </a:solidFill>
                        <a:ln w="9525">
                          <a:solidFill>
                            <a:srgbClr val="000000"/>
                          </a:solidFill>
                          <a:miter lim="800000"/>
                          <a:headEnd/>
                          <a:tailEnd/>
                        </a:ln>
                      </wps:spPr>
                      <wps:txbx>
                        <w:txbxContent>
                          <w:p w14:paraId="6C96D061" w14:textId="77777777" w:rsidR="003D10DF" w:rsidRPr="00841EAA" w:rsidRDefault="003D10DF" w:rsidP="000B76FB">
                            <w:pPr>
                              <w:rPr>
                                <w:b/>
                                <w:lang w:val="fr-FR"/>
                              </w:rPr>
                            </w:pPr>
                            <w:r w:rsidRPr="00FE4FEA">
                              <w:rPr>
                                <w:b/>
                                <w:lang w:val="ro-RO"/>
                              </w:rPr>
                              <w:t>Sursa de date primare</w:t>
                            </w:r>
                            <w:r w:rsidRPr="00841EAA">
                              <w:rPr>
                                <w:b/>
                                <w:lang w:val="fr-FR"/>
                              </w:rPr>
                              <w:t>:</w:t>
                            </w:r>
                          </w:p>
                          <w:p w14:paraId="70C5129F" w14:textId="77777777" w:rsidR="003D10DF" w:rsidRPr="006632C1" w:rsidRDefault="003D10DF" w:rsidP="000B76FB">
                            <w:pPr>
                              <w:rPr>
                                <w:lang w:val="ro-RO"/>
                              </w:rPr>
                            </w:pPr>
                            <w:r w:rsidRPr="006632C1">
                              <w:rPr>
                                <w:lang w:val="ro-RO"/>
                              </w:rPr>
                              <w:t>-Bugetul local</w:t>
                            </w:r>
                          </w:p>
                          <w:p w14:paraId="5368417E" w14:textId="1B4C8B76" w:rsidR="003D10DF" w:rsidRPr="006632C1" w:rsidRDefault="003D10DF" w:rsidP="000B76FB">
                            <w:pPr>
                              <w:rPr>
                                <w:lang w:val="ro-RO"/>
                              </w:rPr>
                            </w:pPr>
                            <w:r w:rsidRPr="006632C1">
                              <w:rPr>
                                <w:lang w:val="ro-RO"/>
                              </w:rPr>
                              <w:t xml:space="preserve">-Bugetul activităților finanțate din venituri proprii </w:t>
                            </w:r>
                            <w:proofErr w:type="spellStart"/>
                            <w:r w:rsidRPr="006632C1">
                              <w:rPr>
                                <w:lang w:val="ro-RO"/>
                              </w:rPr>
                              <w:t>şi</w:t>
                            </w:r>
                            <w:proofErr w:type="spellEnd"/>
                            <w:r w:rsidRPr="006632C1">
                              <w:rPr>
                                <w:lang w:val="ro-RO"/>
                              </w:rPr>
                              <w:t xml:space="preserve"> subvenții</w:t>
                            </w:r>
                          </w:p>
                          <w:p w14:paraId="61A54F9F" w14:textId="20BDA3BE" w:rsidR="003D10DF" w:rsidRDefault="003D10DF" w:rsidP="000B76FB">
                            <w:pPr>
                              <w:rPr>
                                <w:lang w:val="ro-RO"/>
                              </w:rPr>
                            </w:pPr>
                            <w:r w:rsidRPr="006632C1">
                              <w:rPr>
                                <w:lang w:val="ro-RO"/>
                              </w:rPr>
                              <w:t>-Buget</w:t>
                            </w:r>
                            <w:r>
                              <w:rPr>
                                <w:lang w:val="ro-RO"/>
                              </w:rPr>
                              <w:t>ele</w:t>
                            </w:r>
                            <w:r w:rsidRPr="006632C1">
                              <w:rPr>
                                <w:lang w:val="ro-RO"/>
                              </w:rPr>
                              <w:t xml:space="preserve"> împrumuturilor interne </w:t>
                            </w:r>
                            <w:proofErr w:type="spellStart"/>
                            <w:r>
                              <w:rPr>
                                <w:lang w:val="ro-RO"/>
                              </w:rPr>
                              <w:t>ş</w:t>
                            </w:r>
                            <w:r w:rsidRPr="006632C1">
                              <w:rPr>
                                <w:lang w:val="ro-RO"/>
                              </w:rPr>
                              <w:t>i</w:t>
                            </w:r>
                            <w:proofErr w:type="spellEnd"/>
                            <w:r w:rsidRPr="006632C1">
                              <w:rPr>
                                <w:lang w:val="ro-RO"/>
                              </w:rPr>
                              <w:t xml:space="preserve"> externe</w:t>
                            </w:r>
                          </w:p>
                          <w:p w14:paraId="1DEC603A" w14:textId="77777777" w:rsidR="003D10DF" w:rsidRDefault="003D10DF" w:rsidP="000B76FB">
                            <w:pPr>
                              <w:rPr>
                                <w:lang w:val="ro-RO"/>
                              </w:rPr>
                            </w:pPr>
                          </w:p>
                          <w:p w14:paraId="10346644" w14:textId="77777777" w:rsidR="003D10DF" w:rsidRPr="002B553C" w:rsidRDefault="003D10DF"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A7A72" id="Flowchart: Process 46" o:spid="_x0000_s1044" type="#_x0000_t109" style="position:absolute;margin-left:235.05pt;margin-top:-.3pt;width:179.55pt;height:10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">
                <v:textbox>
                  <w:txbxContent>
                    <w:p w14:paraId="6C96D061" w14:textId="77777777" w:rsidR="003D10DF" w:rsidRPr="00841EAA" w:rsidRDefault="003D10DF" w:rsidP="000B76FB">
                      <w:pPr>
                        <w:rPr>
                          <w:b/>
                          <w:lang w:val="fr-FR"/>
                        </w:rPr>
                      </w:pPr>
                      <w:r w:rsidRPr="00FE4FEA">
                        <w:rPr>
                          <w:b/>
                          <w:lang w:val="ro-RO"/>
                        </w:rPr>
                        <w:t>Sursa de date primare</w:t>
                      </w:r>
                      <w:r w:rsidRPr="00841EAA">
                        <w:rPr>
                          <w:b/>
                          <w:lang w:val="fr-FR"/>
                        </w:rPr>
                        <w:t>:</w:t>
                      </w:r>
                    </w:p>
                    <w:p w14:paraId="70C5129F" w14:textId="77777777" w:rsidR="003D10DF" w:rsidRPr="006632C1" w:rsidRDefault="003D10DF" w:rsidP="000B76FB">
                      <w:pPr>
                        <w:rPr>
                          <w:lang w:val="ro-RO"/>
                        </w:rPr>
                      </w:pPr>
                      <w:r w:rsidRPr="006632C1">
                        <w:rPr>
                          <w:lang w:val="ro-RO"/>
                        </w:rPr>
                        <w:t>-Bugetul local</w:t>
                      </w:r>
                    </w:p>
                    <w:p w14:paraId="5368417E" w14:textId="1B4C8B76" w:rsidR="003D10DF" w:rsidRPr="006632C1" w:rsidRDefault="003D10DF" w:rsidP="000B76FB">
                      <w:pPr>
                        <w:rPr>
                          <w:lang w:val="ro-RO"/>
                        </w:rPr>
                      </w:pPr>
                      <w:r w:rsidRPr="006632C1">
                        <w:rPr>
                          <w:lang w:val="ro-RO"/>
                        </w:rPr>
                        <w:t xml:space="preserve">-Bugetul activităților finanțate din venituri proprii </w:t>
                      </w:r>
                      <w:proofErr w:type="spellStart"/>
                      <w:r w:rsidRPr="006632C1">
                        <w:rPr>
                          <w:lang w:val="ro-RO"/>
                        </w:rPr>
                        <w:t>şi</w:t>
                      </w:r>
                      <w:proofErr w:type="spellEnd"/>
                      <w:r w:rsidRPr="006632C1">
                        <w:rPr>
                          <w:lang w:val="ro-RO"/>
                        </w:rPr>
                        <w:t xml:space="preserve"> subvenții</w:t>
                      </w:r>
                    </w:p>
                    <w:p w14:paraId="61A54F9F" w14:textId="20BDA3BE" w:rsidR="003D10DF" w:rsidRDefault="003D10DF" w:rsidP="000B76FB">
                      <w:pPr>
                        <w:rPr>
                          <w:lang w:val="ro-RO"/>
                        </w:rPr>
                      </w:pPr>
                      <w:r w:rsidRPr="006632C1">
                        <w:rPr>
                          <w:lang w:val="ro-RO"/>
                        </w:rPr>
                        <w:t>-Buget</w:t>
                      </w:r>
                      <w:r>
                        <w:rPr>
                          <w:lang w:val="ro-RO"/>
                        </w:rPr>
                        <w:t>ele</w:t>
                      </w:r>
                      <w:r w:rsidRPr="006632C1">
                        <w:rPr>
                          <w:lang w:val="ro-RO"/>
                        </w:rPr>
                        <w:t xml:space="preserve"> împrumuturilor interne </w:t>
                      </w:r>
                      <w:proofErr w:type="spellStart"/>
                      <w:r>
                        <w:rPr>
                          <w:lang w:val="ro-RO"/>
                        </w:rPr>
                        <w:t>ş</w:t>
                      </w:r>
                      <w:r w:rsidRPr="006632C1">
                        <w:rPr>
                          <w:lang w:val="ro-RO"/>
                        </w:rPr>
                        <w:t>i</w:t>
                      </w:r>
                      <w:proofErr w:type="spellEnd"/>
                      <w:r w:rsidRPr="006632C1">
                        <w:rPr>
                          <w:lang w:val="ro-RO"/>
                        </w:rPr>
                        <w:t xml:space="preserve"> externe</w:t>
                      </w:r>
                    </w:p>
                    <w:p w14:paraId="1DEC603A" w14:textId="77777777" w:rsidR="003D10DF" w:rsidRDefault="003D10DF" w:rsidP="000B76FB">
                      <w:pPr>
                        <w:rPr>
                          <w:lang w:val="ro-RO"/>
                        </w:rPr>
                      </w:pPr>
                    </w:p>
                    <w:p w14:paraId="10346644" w14:textId="77777777" w:rsidR="003D10DF" w:rsidRPr="002B553C" w:rsidRDefault="003D10DF" w:rsidP="000B76FB">
                      <w:pPr>
                        <w:rPr>
                          <w:lang w:val="ro-RO"/>
                        </w:rPr>
                      </w:pPr>
                    </w:p>
                  </w:txbxContent>
                </v:textbox>
                <w10:anchorlock/>
              </v:shape>
            </w:pict>
          </mc:Fallback>
        </mc:AlternateContent>
      </w:r>
      <w:r w:rsidRPr="006B2701">
        <w:rPr>
          <w:rFonts w:ascii="Arial" w:hAnsi="Arial" w:cs="Arial"/>
          <w:noProof/>
          <w:sz w:val="24"/>
          <w:szCs w:val="24"/>
        </w:rPr>
        <mc:AlternateContent>
          <mc:Choice Requires="wps">
            <w:drawing>
              <wp:anchor distT="0" distB="0" distL="114300" distR="114300" simplePos="0" relativeHeight="251632128" behindDoc="0" locked="1" layoutInCell="1" allowOverlap="1" wp14:anchorId="418F92F0" wp14:editId="3C04D87B">
                <wp:simplePos x="0" y="0"/>
                <wp:positionH relativeFrom="column">
                  <wp:posOffset>495300</wp:posOffset>
                </wp:positionH>
                <wp:positionV relativeFrom="paragraph">
                  <wp:posOffset>3175</wp:posOffset>
                </wp:positionV>
                <wp:extent cx="2280285" cy="1374140"/>
                <wp:effectExtent l="6985" t="5715" r="8255" b="10795"/>
                <wp:wrapNone/>
                <wp:docPr id="43" name="Flowchart: Proces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374140"/>
                        </a:xfrm>
                        <a:prstGeom prst="flowChartProcess">
                          <a:avLst/>
                        </a:prstGeom>
                        <a:solidFill>
                          <a:srgbClr val="FFFFFF"/>
                        </a:solidFill>
                        <a:ln w="9525">
                          <a:solidFill>
                            <a:srgbClr val="000000"/>
                          </a:solidFill>
                          <a:miter lim="800000"/>
                          <a:headEnd/>
                          <a:tailEnd/>
                        </a:ln>
                      </wps:spPr>
                      <wps:txbx>
                        <w:txbxContent>
                          <w:p w14:paraId="5DB3DD98" w14:textId="77777777" w:rsidR="003D10DF" w:rsidRPr="00841EAA" w:rsidRDefault="003D10DF" w:rsidP="000B76FB">
                            <w:pPr>
                              <w:rPr>
                                <w:b/>
                                <w:lang w:val="fr-FR"/>
                              </w:rPr>
                            </w:pPr>
                            <w:r w:rsidRPr="00FE4FEA">
                              <w:rPr>
                                <w:b/>
                                <w:lang w:val="ro-RO"/>
                              </w:rPr>
                              <w:t>Sursa de date primare</w:t>
                            </w:r>
                            <w:r w:rsidRPr="00841EAA">
                              <w:rPr>
                                <w:b/>
                                <w:lang w:val="fr-FR"/>
                              </w:rPr>
                              <w:t>:</w:t>
                            </w:r>
                          </w:p>
                          <w:p w14:paraId="5848ED94" w14:textId="77777777" w:rsidR="003D10DF" w:rsidRPr="006632C1" w:rsidRDefault="003D10DF" w:rsidP="000B76FB">
                            <w:pPr>
                              <w:rPr>
                                <w:lang w:val="ro-RO"/>
                              </w:rPr>
                            </w:pPr>
                            <w:r w:rsidRPr="006632C1">
                              <w:rPr>
                                <w:lang w:val="ro-RO"/>
                              </w:rPr>
                              <w:t>-Bugetul local</w:t>
                            </w:r>
                          </w:p>
                          <w:p w14:paraId="00CF2D0C" w14:textId="62F7B0EC" w:rsidR="003D10DF" w:rsidRPr="006632C1" w:rsidRDefault="003D10DF" w:rsidP="000B76FB">
                            <w:pPr>
                              <w:rPr>
                                <w:lang w:val="ro-RO"/>
                              </w:rPr>
                            </w:pPr>
                            <w:r w:rsidRPr="006632C1">
                              <w:rPr>
                                <w:lang w:val="ro-RO"/>
                              </w:rPr>
                              <w:t xml:space="preserve">-Bugetul activităților finanțați din venituri proprii </w:t>
                            </w:r>
                            <w:proofErr w:type="spellStart"/>
                            <w:r w:rsidRPr="006632C1">
                              <w:rPr>
                                <w:lang w:val="ro-RO"/>
                              </w:rPr>
                              <w:t>şi</w:t>
                            </w:r>
                            <w:proofErr w:type="spellEnd"/>
                            <w:r w:rsidRPr="006632C1">
                              <w:rPr>
                                <w:lang w:val="ro-RO"/>
                              </w:rPr>
                              <w:t xml:space="preserve"> subvenții</w:t>
                            </w:r>
                            <w:r>
                              <w:rPr>
                                <w:lang w:val="ro-RO"/>
                              </w:rPr>
                              <w:t xml:space="preserve"> + estimări</w:t>
                            </w:r>
                          </w:p>
                          <w:p w14:paraId="26FFD684" w14:textId="77777777" w:rsidR="003D10DF" w:rsidRPr="006632C1" w:rsidRDefault="003D10DF" w:rsidP="000B76FB">
                            <w:pPr>
                              <w:rPr>
                                <w:lang w:val="ro-RO"/>
                              </w:rPr>
                            </w:pPr>
                            <w:r w:rsidRPr="006632C1">
                              <w:rPr>
                                <w:lang w:val="ro-RO"/>
                              </w:rPr>
                              <w:t>-Buget</w:t>
                            </w:r>
                            <w:r>
                              <w:rPr>
                                <w:lang w:val="ro-RO"/>
                              </w:rPr>
                              <w:t>ele</w:t>
                            </w:r>
                            <w:r w:rsidRPr="006632C1">
                              <w:rPr>
                                <w:lang w:val="ro-RO"/>
                              </w:rPr>
                              <w:t xml:space="preserve"> </w:t>
                            </w:r>
                            <w:r>
                              <w:rPr>
                                <w:lang w:val="ro-RO"/>
                              </w:rPr>
                              <w:t>î</w:t>
                            </w:r>
                            <w:r w:rsidRPr="006632C1">
                              <w:rPr>
                                <w:lang w:val="ro-RO"/>
                              </w:rPr>
                              <w:t>mprumuturilor interne</w:t>
                            </w:r>
                            <w:r>
                              <w:rPr>
                                <w:lang w:val="ro-RO"/>
                              </w:rPr>
                              <w:t xml:space="preserve"> </w:t>
                            </w:r>
                            <w:proofErr w:type="spellStart"/>
                            <w:r>
                              <w:rPr>
                                <w:lang w:val="ro-RO"/>
                              </w:rPr>
                              <w:t>ş</w:t>
                            </w:r>
                            <w:r w:rsidRPr="006632C1">
                              <w:rPr>
                                <w:lang w:val="ro-RO"/>
                              </w:rPr>
                              <w:t>i</w:t>
                            </w:r>
                            <w:proofErr w:type="spellEnd"/>
                            <w:r w:rsidRPr="006632C1">
                              <w:rPr>
                                <w:lang w:val="ro-RO"/>
                              </w:rPr>
                              <w:t xml:space="preserve"> externe</w:t>
                            </w:r>
                            <w:r>
                              <w:rPr>
                                <w:lang w:val="ro-RO"/>
                              </w:rPr>
                              <w:t xml:space="preserve"> +estimări</w:t>
                            </w:r>
                          </w:p>
                          <w:p w14:paraId="3FD53F6D" w14:textId="77777777" w:rsidR="003D10DF" w:rsidRDefault="003D10DF" w:rsidP="000B76FB">
                            <w:pPr>
                              <w:rPr>
                                <w:lang w:val="ro-RO"/>
                              </w:rPr>
                            </w:pPr>
                          </w:p>
                          <w:p w14:paraId="72EF03C9" w14:textId="77777777" w:rsidR="003D10DF" w:rsidRDefault="003D10DF" w:rsidP="000B76FB">
                            <w:pPr>
                              <w:rPr>
                                <w:lang w:val="ro-RO"/>
                              </w:rPr>
                            </w:pPr>
                          </w:p>
                          <w:p w14:paraId="56712D9B" w14:textId="77777777" w:rsidR="003D10DF" w:rsidRPr="002B553C" w:rsidRDefault="003D10DF"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F92F0" id="Flowchart: Process 45" o:spid="_x0000_s1045" type="#_x0000_t109" style="position:absolute;margin-left:39pt;margin-top:.25pt;width:179.55pt;height:108.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">
                <v:textbox>
                  <w:txbxContent>
                    <w:p w14:paraId="5DB3DD98" w14:textId="77777777" w:rsidR="003D10DF" w:rsidRPr="00841EAA" w:rsidRDefault="003D10DF" w:rsidP="000B76FB">
                      <w:pPr>
                        <w:rPr>
                          <w:b/>
                          <w:lang w:val="fr-FR"/>
                        </w:rPr>
                      </w:pPr>
                      <w:r w:rsidRPr="00FE4FEA">
                        <w:rPr>
                          <w:b/>
                          <w:lang w:val="ro-RO"/>
                        </w:rPr>
                        <w:t>Sursa de date primare</w:t>
                      </w:r>
                      <w:r w:rsidRPr="00841EAA">
                        <w:rPr>
                          <w:b/>
                          <w:lang w:val="fr-FR"/>
                        </w:rPr>
                        <w:t>:</w:t>
                      </w:r>
                    </w:p>
                    <w:p w14:paraId="5848ED94" w14:textId="77777777" w:rsidR="003D10DF" w:rsidRPr="006632C1" w:rsidRDefault="003D10DF" w:rsidP="000B76FB">
                      <w:pPr>
                        <w:rPr>
                          <w:lang w:val="ro-RO"/>
                        </w:rPr>
                      </w:pPr>
                      <w:r w:rsidRPr="006632C1">
                        <w:rPr>
                          <w:lang w:val="ro-RO"/>
                        </w:rPr>
                        <w:t>-Bugetul local</w:t>
                      </w:r>
                    </w:p>
                    <w:p w14:paraId="00CF2D0C" w14:textId="62F7B0EC" w:rsidR="003D10DF" w:rsidRPr="006632C1" w:rsidRDefault="003D10DF" w:rsidP="000B76FB">
                      <w:pPr>
                        <w:rPr>
                          <w:lang w:val="ro-RO"/>
                        </w:rPr>
                      </w:pPr>
                      <w:r w:rsidRPr="006632C1">
                        <w:rPr>
                          <w:lang w:val="ro-RO"/>
                        </w:rPr>
                        <w:t xml:space="preserve">-Bugetul activităților finanțați din venituri proprii </w:t>
                      </w:r>
                      <w:proofErr w:type="spellStart"/>
                      <w:r w:rsidRPr="006632C1">
                        <w:rPr>
                          <w:lang w:val="ro-RO"/>
                        </w:rPr>
                        <w:t>şi</w:t>
                      </w:r>
                      <w:proofErr w:type="spellEnd"/>
                      <w:r w:rsidRPr="006632C1">
                        <w:rPr>
                          <w:lang w:val="ro-RO"/>
                        </w:rPr>
                        <w:t xml:space="preserve"> subvenții</w:t>
                      </w:r>
                      <w:r>
                        <w:rPr>
                          <w:lang w:val="ro-RO"/>
                        </w:rPr>
                        <w:t xml:space="preserve"> + estimări</w:t>
                      </w:r>
                    </w:p>
                    <w:p w14:paraId="26FFD684" w14:textId="77777777" w:rsidR="003D10DF" w:rsidRPr="006632C1" w:rsidRDefault="003D10DF" w:rsidP="000B76FB">
                      <w:pPr>
                        <w:rPr>
                          <w:lang w:val="ro-RO"/>
                        </w:rPr>
                      </w:pPr>
                      <w:r w:rsidRPr="006632C1">
                        <w:rPr>
                          <w:lang w:val="ro-RO"/>
                        </w:rPr>
                        <w:t>-Buget</w:t>
                      </w:r>
                      <w:r>
                        <w:rPr>
                          <w:lang w:val="ro-RO"/>
                        </w:rPr>
                        <w:t>ele</w:t>
                      </w:r>
                      <w:r w:rsidRPr="006632C1">
                        <w:rPr>
                          <w:lang w:val="ro-RO"/>
                        </w:rPr>
                        <w:t xml:space="preserve"> </w:t>
                      </w:r>
                      <w:r>
                        <w:rPr>
                          <w:lang w:val="ro-RO"/>
                        </w:rPr>
                        <w:t>î</w:t>
                      </w:r>
                      <w:r w:rsidRPr="006632C1">
                        <w:rPr>
                          <w:lang w:val="ro-RO"/>
                        </w:rPr>
                        <w:t>mprumuturilor interne</w:t>
                      </w:r>
                      <w:r>
                        <w:rPr>
                          <w:lang w:val="ro-RO"/>
                        </w:rPr>
                        <w:t xml:space="preserve"> </w:t>
                      </w:r>
                      <w:proofErr w:type="spellStart"/>
                      <w:r>
                        <w:rPr>
                          <w:lang w:val="ro-RO"/>
                        </w:rPr>
                        <w:t>ş</w:t>
                      </w:r>
                      <w:r w:rsidRPr="006632C1">
                        <w:rPr>
                          <w:lang w:val="ro-RO"/>
                        </w:rPr>
                        <w:t>i</w:t>
                      </w:r>
                      <w:proofErr w:type="spellEnd"/>
                      <w:r w:rsidRPr="006632C1">
                        <w:rPr>
                          <w:lang w:val="ro-RO"/>
                        </w:rPr>
                        <w:t xml:space="preserve"> externe</w:t>
                      </w:r>
                      <w:r>
                        <w:rPr>
                          <w:lang w:val="ro-RO"/>
                        </w:rPr>
                        <w:t xml:space="preserve"> +estimări</w:t>
                      </w:r>
                    </w:p>
                    <w:p w14:paraId="3FD53F6D" w14:textId="77777777" w:rsidR="003D10DF" w:rsidRDefault="003D10DF" w:rsidP="000B76FB">
                      <w:pPr>
                        <w:rPr>
                          <w:lang w:val="ro-RO"/>
                        </w:rPr>
                      </w:pPr>
                    </w:p>
                    <w:p w14:paraId="72EF03C9" w14:textId="77777777" w:rsidR="003D10DF" w:rsidRDefault="003D10DF" w:rsidP="000B76FB">
                      <w:pPr>
                        <w:rPr>
                          <w:lang w:val="ro-RO"/>
                        </w:rPr>
                      </w:pPr>
                    </w:p>
                    <w:p w14:paraId="56712D9B" w14:textId="77777777" w:rsidR="003D10DF" w:rsidRPr="002B553C" w:rsidRDefault="003D10DF" w:rsidP="000B76FB">
                      <w:pPr>
                        <w:rPr>
                          <w:lang w:val="ro-RO"/>
                        </w:rPr>
                      </w:pPr>
                    </w:p>
                  </w:txbxContent>
                </v:textbox>
                <w10:anchorlock/>
              </v:shape>
            </w:pict>
          </mc:Fallback>
        </mc:AlternateContent>
      </w:r>
    </w:p>
    <w:p w14:paraId="40487295" w14:textId="77777777" w:rsidR="00BA5E33" w:rsidRPr="006B2701" w:rsidRDefault="00BA5E33" w:rsidP="000F5753">
      <w:pPr>
        <w:spacing w:line="276" w:lineRule="auto"/>
        <w:rPr>
          <w:rFonts w:ascii="Arial" w:eastAsia="MS Mincho" w:hAnsi="Arial" w:cs="Arial"/>
          <w:sz w:val="24"/>
          <w:szCs w:val="24"/>
          <w:lang w:val="ro-RO" w:eastAsia="ja-JP"/>
        </w:rPr>
      </w:pPr>
    </w:p>
    <w:p w14:paraId="36609B91" w14:textId="77777777" w:rsidR="00BA5E33" w:rsidRPr="006B2701" w:rsidRDefault="00BA5E33" w:rsidP="000F5753">
      <w:pPr>
        <w:spacing w:line="276" w:lineRule="auto"/>
        <w:rPr>
          <w:rFonts w:ascii="Arial" w:eastAsia="MS Mincho" w:hAnsi="Arial" w:cs="Arial"/>
          <w:sz w:val="24"/>
          <w:szCs w:val="24"/>
          <w:lang w:val="ro-RO" w:eastAsia="ja-JP"/>
        </w:rPr>
      </w:pPr>
    </w:p>
    <w:p w14:paraId="333CD08F" w14:textId="77777777" w:rsidR="00BA5E33" w:rsidRPr="006B2701" w:rsidRDefault="00BA5E33" w:rsidP="000F5753">
      <w:pPr>
        <w:spacing w:line="276" w:lineRule="auto"/>
        <w:rPr>
          <w:rFonts w:ascii="Arial" w:eastAsia="MS Mincho" w:hAnsi="Arial" w:cs="Arial"/>
          <w:sz w:val="24"/>
          <w:szCs w:val="24"/>
          <w:lang w:val="ro-RO" w:eastAsia="ja-JP"/>
        </w:rPr>
      </w:pPr>
    </w:p>
    <w:p w14:paraId="3F19D158" w14:textId="77777777" w:rsidR="00BA5E33" w:rsidRPr="006B2701" w:rsidRDefault="00BA5E33" w:rsidP="000F5753">
      <w:pPr>
        <w:tabs>
          <w:tab w:val="left" w:pos="7065"/>
        </w:tabs>
        <w:spacing w:line="276" w:lineRule="auto"/>
        <w:rPr>
          <w:rFonts w:ascii="Arial" w:eastAsia="MS Mincho" w:hAnsi="Arial" w:cs="Arial"/>
          <w:sz w:val="24"/>
          <w:szCs w:val="24"/>
          <w:lang w:val="ro-RO" w:eastAsia="ja-JP"/>
        </w:rPr>
      </w:pPr>
      <w:r w:rsidRPr="006B2701">
        <w:rPr>
          <w:rFonts w:ascii="Arial" w:eastAsia="MS Mincho" w:hAnsi="Arial" w:cs="Arial"/>
          <w:sz w:val="24"/>
          <w:szCs w:val="24"/>
          <w:lang w:val="ro-RO" w:eastAsia="ja-JP"/>
        </w:rPr>
        <w:tab/>
      </w:r>
    </w:p>
    <w:p w14:paraId="5C80FD2D" w14:textId="77777777" w:rsidR="00BA5E33" w:rsidRPr="006B2701" w:rsidRDefault="00BA5E33" w:rsidP="000F5753">
      <w:pPr>
        <w:tabs>
          <w:tab w:val="left" w:pos="2940"/>
        </w:tabs>
        <w:spacing w:line="276" w:lineRule="auto"/>
        <w:rPr>
          <w:rFonts w:ascii="Arial" w:eastAsia="MS Mincho" w:hAnsi="Arial" w:cs="Arial"/>
          <w:sz w:val="24"/>
          <w:szCs w:val="24"/>
          <w:lang w:val="ro-RO" w:eastAsia="ja-JP"/>
        </w:rPr>
      </w:pPr>
      <w:r w:rsidRPr="006B2701">
        <w:rPr>
          <w:rFonts w:ascii="Arial" w:eastAsia="MS Mincho" w:hAnsi="Arial" w:cs="Arial"/>
          <w:sz w:val="24"/>
          <w:szCs w:val="24"/>
          <w:lang w:val="ro-RO" w:eastAsia="ja-JP"/>
        </w:rPr>
        <w:tab/>
      </w:r>
    </w:p>
    <w:p w14:paraId="5B7D89E1" w14:textId="77777777" w:rsidR="00BA5E33" w:rsidRPr="006B2701" w:rsidRDefault="00BA5E33" w:rsidP="000F5753">
      <w:pPr>
        <w:spacing w:line="276" w:lineRule="auto"/>
        <w:rPr>
          <w:rFonts w:ascii="Arial" w:eastAsia="MS Mincho" w:hAnsi="Arial" w:cs="Arial"/>
          <w:sz w:val="24"/>
          <w:szCs w:val="24"/>
          <w:lang w:val="ro-RO" w:eastAsia="ja-JP"/>
        </w:rPr>
      </w:pPr>
    </w:p>
    <w:p w14:paraId="7A1F511B" w14:textId="77777777" w:rsidR="00BA5E33" w:rsidRPr="006B2701" w:rsidRDefault="00B54EB1" w:rsidP="000F5753">
      <w:pPr>
        <w:spacing w:line="276" w:lineRule="auto"/>
        <w:rPr>
          <w:rFonts w:ascii="Arial" w:eastAsia="MS Mincho" w:hAnsi="Arial" w:cs="Arial"/>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56704" behindDoc="0" locked="1" layoutInCell="1" allowOverlap="1" wp14:anchorId="20F1B19D" wp14:editId="7337A016">
                <wp:simplePos x="0" y="0"/>
                <wp:positionH relativeFrom="column">
                  <wp:posOffset>4204335</wp:posOffset>
                </wp:positionH>
                <wp:positionV relativeFrom="paragraph">
                  <wp:posOffset>-97155</wp:posOffset>
                </wp:positionV>
                <wp:extent cx="0" cy="457200"/>
                <wp:effectExtent l="58420" t="5715" r="55880" b="22860"/>
                <wp:wrapNone/>
                <wp:docPr id="42"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4A533" id="Straight Connector 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05pt,-7.65pt" to="331.0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9Z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">
                <v:stroke endarrow="block"/>
                <w10:anchorlock/>
              </v:line>
            </w:pict>
          </mc:Fallback>
        </mc:AlternateContent>
      </w:r>
      <w:r w:rsidRPr="006B2701">
        <w:rPr>
          <w:rFonts w:ascii="Arial" w:hAnsi="Arial" w:cs="Arial"/>
          <w:noProof/>
          <w:sz w:val="24"/>
          <w:szCs w:val="24"/>
        </w:rPr>
        <mc:AlternateContent>
          <mc:Choice Requires="wps">
            <w:drawing>
              <wp:anchor distT="0" distB="0" distL="114300" distR="114300" simplePos="0" relativeHeight="251655680" behindDoc="0" locked="1" layoutInCell="1" allowOverlap="1" wp14:anchorId="380553D8" wp14:editId="3F6E5604">
                <wp:simplePos x="0" y="0"/>
                <wp:positionH relativeFrom="column">
                  <wp:posOffset>1579245</wp:posOffset>
                </wp:positionH>
                <wp:positionV relativeFrom="paragraph">
                  <wp:posOffset>-116205</wp:posOffset>
                </wp:positionV>
                <wp:extent cx="0" cy="457200"/>
                <wp:effectExtent l="52705" t="5715" r="61595" b="22860"/>
                <wp:wrapNone/>
                <wp:docPr id="41"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A248F" id="Straight Connector 4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5pt,-9.15pt" to="124.3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">
                <v:stroke endarrow="block"/>
                <w10:anchorlock/>
              </v:line>
            </w:pict>
          </mc:Fallback>
        </mc:AlternateContent>
      </w:r>
    </w:p>
    <w:p w14:paraId="1E7766E1" w14:textId="77777777" w:rsidR="00BA5E33" w:rsidRPr="006B2701" w:rsidRDefault="00BA5E33" w:rsidP="000F5753">
      <w:pPr>
        <w:spacing w:line="276" w:lineRule="auto"/>
        <w:rPr>
          <w:rFonts w:ascii="Arial" w:eastAsia="MS Mincho" w:hAnsi="Arial" w:cs="Arial"/>
          <w:sz w:val="24"/>
          <w:szCs w:val="24"/>
          <w:lang w:val="ro-RO" w:eastAsia="ja-JP"/>
        </w:rPr>
      </w:pPr>
    </w:p>
    <w:p w14:paraId="65B29922" w14:textId="77777777" w:rsidR="00BA5E33" w:rsidRPr="006B2701" w:rsidRDefault="00B54EB1" w:rsidP="000F5753">
      <w:pPr>
        <w:spacing w:line="276" w:lineRule="auto"/>
        <w:rPr>
          <w:rFonts w:ascii="Arial" w:eastAsia="MS Mincho" w:hAnsi="Arial" w:cs="Arial"/>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34176" behindDoc="0" locked="1" layoutInCell="1" allowOverlap="1" wp14:anchorId="06E6BB69" wp14:editId="5CB06A75">
                <wp:simplePos x="0" y="0"/>
                <wp:positionH relativeFrom="column">
                  <wp:posOffset>636270</wp:posOffset>
                </wp:positionH>
                <wp:positionV relativeFrom="paragraph">
                  <wp:posOffset>-39370</wp:posOffset>
                </wp:positionV>
                <wp:extent cx="1882140" cy="457200"/>
                <wp:effectExtent l="5080" t="5715" r="8255" b="13335"/>
                <wp:wrapNone/>
                <wp:docPr id="40" name="Flowchart: Proc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457200"/>
                        </a:xfrm>
                        <a:prstGeom prst="flowChartProcess">
                          <a:avLst/>
                        </a:prstGeom>
                        <a:solidFill>
                          <a:srgbClr val="FFFFFF"/>
                        </a:solidFill>
                        <a:ln w="9525">
                          <a:solidFill>
                            <a:srgbClr val="000000"/>
                          </a:solidFill>
                          <a:miter lim="800000"/>
                          <a:headEnd/>
                          <a:tailEnd/>
                        </a:ln>
                      </wps:spPr>
                      <wps:txbx>
                        <w:txbxContent>
                          <w:p w14:paraId="51A5A333" w14:textId="77777777" w:rsidR="003D10DF" w:rsidRDefault="003D10DF" w:rsidP="000B76FB">
                            <w:r>
                              <w:rPr>
                                <w:lang w:val="ro-RO"/>
                              </w:rPr>
                              <w:t>Standarde utilizate</w:t>
                            </w:r>
                            <w:r>
                              <w:t>:</w:t>
                            </w:r>
                          </w:p>
                          <w:p w14:paraId="5A72CB65" w14:textId="167589D7" w:rsidR="003D10DF" w:rsidRPr="000D6F49" w:rsidRDefault="003D10DF" w:rsidP="000B76FB">
                            <w:r>
                              <w:t>-</w:t>
                            </w:r>
                            <w:r w:rsidRPr="006632C1">
                              <w:rPr>
                                <w:lang w:val="ro-RO"/>
                              </w:rPr>
                              <w:t>metodologie na</w:t>
                            </w:r>
                            <w:r>
                              <w:rPr>
                                <w:lang w:val="ro-RO"/>
                              </w:rPr>
                              <w:t>țională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6BB69" id="Flowchart: Process 42" o:spid="_x0000_s1046" type="#_x0000_t109" style="position:absolute;margin-left:50.1pt;margin-top:-3.1pt;width:148.2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">
                <v:textbox>
                  <w:txbxContent>
                    <w:p w14:paraId="51A5A333" w14:textId="77777777" w:rsidR="003D10DF" w:rsidRDefault="003D10DF" w:rsidP="000B76FB">
                      <w:r>
                        <w:rPr>
                          <w:lang w:val="ro-RO"/>
                        </w:rPr>
                        <w:t>Standarde utilizate</w:t>
                      </w:r>
                      <w:r>
                        <w:t>:</w:t>
                      </w:r>
                    </w:p>
                    <w:p w14:paraId="5A72CB65" w14:textId="167589D7" w:rsidR="003D10DF" w:rsidRPr="000D6F49" w:rsidRDefault="003D10DF" w:rsidP="000B76FB">
                      <w:r>
                        <w:t>-</w:t>
                      </w:r>
                      <w:r w:rsidRPr="006632C1">
                        <w:rPr>
                          <w:lang w:val="ro-RO"/>
                        </w:rPr>
                        <w:t>metodologie na</w:t>
                      </w:r>
                      <w:r>
                        <w:rPr>
                          <w:lang w:val="ro-RO"/>
                        </w:rPr>
                        <w:t>țională</w:t>
                      </w:r>
                    </w:p>
                  </w:txbxContent>
                </v:textbox>
                <w10:anchorlock/>
              </v:shape>
            </w:pict>
          </mc:Fallback>
        </mc:AlternateContent>
      </w:r>
      <w:r w:rsidRPr="006B2701">
        <w:rPr>
          <w:rFonts w:ascii="Arial" w:hAnsi="Arial" w:cs="Arial"/>
          <w:noProof/>
          <w:sz w:val="24"/>
          <w:szCs w:val="24"/>
        </w:rPr>
        <mc:AlternateContent>
          <mc:Choice Requires="wps">
            <w:drawing>
              <wp:anchor distT="0" distB="0" distL="114300" distR="114300" simplePos="0" relativeHeight="251635200" behindDoc="0" locked="1" layoutInCell="1" allowOverlap="1" wp14:anchorId="76F0F6FF" wp14:editId="15409571">
                <wp:simplePos x="0" y="0"/>
                <wp:positionH relativeFrom="column">
                  <wp:posOffset>3345180</wp:posOffset>
                </wp:positionH>
                <wp:positionV relativeFrom="paragraph">
                  <wp:posOffset>-36830</wp:posOffset>
                </wp:positionV>
                <wp:extent cx="1845945" cy="457200"/>
                <wp:effectExtent l="8890" t="8255" r="12065" b="10795"/>
                <wp:wrapNone/>
                <wp:docPr id="39" name="Flowchart: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457200"/>
                        </a:xfrm>
                        <a:prstGeom prst="flowChartProcess">
                          <a:avLst/>
                        </a:prstGeom>
                        <a:solidFill>
                          <a:srgbClr val="FFFFFF"/>
                        </a:solidFill>
                        <a:ln w="9525">
                          <a:solidFill>
                            <a:srgbClr val="000000"/>
                          </a:solidFill>
                          <a:miter lim="800000"/>
                          <a:headEnd/>
                          <a:tailEnd/>
                        </a:ln>
                      </wps:spPr>
                      <wps:txbx>
                        <w:txbxContent>
                          <w:p w14:paraId="55CAF588" w14:textId="77777777" w:rsidR="003D10DF" w:rsidRDefault="003D10DF" w:rsidP="000B76FB">
                            <w:r>
                              <w:rPr>
                                <w:lang w:val="ro-RO"/>
                              </w:rPr>
                              <w:t>Standarde utilizate</w:t>
                            </w:r>
                            <w:r>
                              <w:t>:</w:t>
                            </w:r>
                          </w:p>
                          <w:p w14:paraId="663A520C" w14:textId="6C8D8C7E" w:rsidR="003D10DF" w:rsidRPr="006632C1" w:rsidRDefault="003D10DF" w:rsidP="000B76FB">
                            <w:pPr>
                              <w:rPr>
                                <w:lang w:val="ro-RO"/>
                              </w:rPr>
                            </w:pPr>
                            <w:r>
                              <w:t>-</w:t>
                            </w:r>
                            <w:r>
                              <w:rPr>
                                <w:lang w:val="ro-RO"/>
                              </w:rPr>
                              <w:t>metodologie națională</w:t>
                            </w:r>
                          </w:p>
                          <w:p w14:paraId="666A9463" w14:textId="77777777" w:rsidR="003D10DF" w:rsidRPr="000D6F49" w:rsidRDefault="003D10DF"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0F6FF" id="Flowchart: Process 41" o:spid="_x0000_s1047" type="#_x0000_t109" style="position:absolute;margin-left:263.4pt;margin-top:-2.9pt;width:145.35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">
                <v:textbox>
                  <w:txbxContent>
                    <w:p w14:paraId="55CAF588" w14:textId="77777777" w:rsidR="003D10DF" w:rsidRDefault="003D10DF" w:rsidP="000B76FB">
                      <w:r>
                        <w:rPr>
                          <w:lang w:val="ro-RO"/>
                        </w:rPr>
                        <w:t>Standarde utilizate</w:t>
                      </w:r>
                      <w:r>
                        <w:t>:</w:t>
                      </w:r>
                    </w:p>
                    <w:p w14:paraId="663A520C" w14:textId="6C8D8C7E" w:rsidR="003D10DF" w:rsidRPr="006632C1" w:rsidRDefault="003D10DF" w:rsidP="000B76FB">
                      <w:pPr>
                        <w:rPr>
                          <w:lang w:val="ro-RO"/>
                        </w:rPr>
                      </w:pPr>
                      <w:r>
                        <w:t>-</w:t>
                      </w:r>
                      <w:r>
                        <w:rPr>
                          <w:lang w:val="ro-RO"/>
                        </w:rPr>
                        <w:t>metodologie națională</w:t>
                      </w:r>
                    </w:p>
                    <w:p w14:paraId="666A9463" w14:textId="77777777" w:rsidR="003D10DF" w:rsidRPr="000D6F49" w:rsidRDefault="003D10DF" w:rsidP="000B76FB"/>
                  </w:txbxContent>
                </v:textbox>
                <w10:anchorlock/>
              </v:shape>
            </w:pict>
          </mc:Fallback>
        </mc:AlternateContent>
      </w:r>
    </w:p>
    <w:p w14:paraId="0FA98D90" w14:textId="77777777" w:rsidR="00BA5E33" w:rsidRPr="006B2701" w:rsidRDefault="00BA5E33" w:rsidP="000F5753">
      <w:pPr>
        <w:spacing w:line="276" w:lineRule="auto"/>
        <w:rPr>
          <w:rFonts w:ascii="Arial" w:eastAsia="MS Mincho" w:hAnsi="Arial" w:cs="Arial"/>
          <w:sz w:val="24"/>
          <w:szCs w:val="24"/>
          <w:lang w:val="ro-RO" w:eastAsia="ja-JP"/>
        </w:rPr>
      </w:pPr>
    </w:p>
    <w:p w14:paraId="76A8897A" w14:textId="77777777" w:rsidR="00BA5E33" w:rsidRPr="006B2701" w:rsidRDefault="00B54EB1" w:rsidP="000F5753">
      <w:pPr>
        <w:tabs>
          <w:tab w:val="left" w:pos="2175"/>
        </w:tabs>
        <w:spacing w:line="276" w:lineRule="auto"/>
        <w:rPr>
          <w:rFonts w:ascii="Arial" w:eastAsia="MS Mincho" w:hAnsi="Arial" w:cs="Arial"/>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62848" behindDoc="0" locked="1" layoutInCell="1" allowOverlap="1" wp14:anchorId="69B1CCD1" wp14:editId="650B53AD">
                <wp:simplePos x="0" y="0"/>
                <wp:positionH relativeFrom="column">
                  <wp:posOffset>7764780</wp:posOffset>
                </wp:positionH>
                <wp:positionV relativeFrom="paragraph">
                  <wp:posOffset>523240</wp:posOffset>
                </wp:positionV>
                <wp:extent cx="0" cy="571500"/>
                <wp:effectExtent l="56515" t="5715" r="57785" b="22860"/>
                <wp:wrapNone/>
                <wp:docPr id="38"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0EA52" id="Straight Connector 4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4pt,41.2pt" to="611.4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">
                <v:stroke endarrow="block"/>
                <w10:anchorlock/>
              </v:line>
            </w:pict>
          </mc:Fallback>
        </mc:AlternateContent>
      </w:r>
      <w:r w:rsidR="00BA5E33" w:rsidRPr="006B2701">
        <w:rPr>
          <w:rFonts w:ascii="Arial" w:eastAsia="MS Mincho" w:hAnsi="Arial" w:cs="Arial"/>
          <w:sz w:val="24"/>
          <w:szCs w:val="24"/>
          <w:lang w:val="ro-RO" w:eastAsia="ja-JP"/>
        </w:rPr>
        <w:tab/>
      </w:r>
    </w:p>
    <w:p w14:paraId="3AAF080E" w14:textId="77777777" w:rsidR="00BA5E33" w:rsidRPr="006B2701" w:rsidRDefault="00B54EB1" w:rsidP="000F5753">
      <w:pPr>
        <w:spacing w:line="276" w:lineRule="auto"/>
        <w:rPr>
          <w:rFonts w:ascii="Arial" w:eastAsia="MS Mincho" w:hAnsi="Arial" w:cs="Arial"/>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61824" behindDoc="0" locked="1" layoutInCell="1" allowOverlap="1" wp14:anchorId="7E96074F" wp14:editId="5CA35E61">
                <wp:simplePos x="0" y="0"/>
                <wp:positionH relativeFrom="column">
                  <wp:posOffset>6898005</wp:posOffset>
                </wp:positionH>
                <wp:positionV relativeFrom="paragraph">
                  <wp:posOffset>899795</wp:posOffset>
                </wp:positionV>
                <wp:extent cx="1447800" cy="457200"/>
                <wp:effectExtent l="8890" t="5715" r="10160" b="13335"/>
                <wp:wrapNone/>
                <wp:docPr id="37"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flowChartProcess">
                          <a:avLst/>
                        </a:prstGeom>
                        <a:solidFill>
                          <a:srgbClr val="FFFFFF"/>
                        </a:solidFill>
                        <a:ln w="9525">
                          <a:solidFill>
                            <a:srgbClr val="000000"/>
                          </a:solidFill>
                          <a:miter lim="800000"/>
                          <a:headEnd/>
                          <a:tailEnd/>
                        </a:ln>
                      </wps:spPr>
                      <wps:txbx>
                        <w:txbxContent>
                          <w:p w14:paraId="1823151C" w14:textId="77777777" w:rsidR="003D10DF" w:rsidRDefault="003D10DF" w:rsidP="000B76FB">
                            <w:r>
                              <w:rPr>
                                <w:lang w:val="ro-RO"/>
                              </w:rPr>
                              <w:t>Standarde utilizate</w:t>
                            </w:r>
                            <w:r>
                              <w:t>:</w:t>
                            </w:r>
                          </w:p>
                          <w:p w14:paraId="14ED9689" w14:textId="77777777" w:rsidR="003D10DF" w:rsidRPr="004129FE" w:rsidRDefault="003D10DF" w:rsidP="000B76FB">
                            <w:pPr>
                              <w:rPr>
                                <w:lang w:val="ro-RO"/>
                              </w:rPr>
                            </w:pPr>
                            <w:r w:rsidRPr="004129FE">
                              <w:rPr>
                                <w:lang w:val="ro-RO"/>
                              </w:rPr>
                              <w:t>-</w:t>
                            </w:r>
                            <w:r>
                              <w:rPr>
                                <w:lang w:val="ro-RO"/>
                              </w:rPr>
                              <w:t xml:space="preserve">Standard SEC </w:t>
                            </w:r>
                          </w:p>
                          <w:p w14:paraId="79B4C48E" w14:textId="77777777" w:rsidR="003D10DF" w:rsidRPr="000D6F49" w:rsidRDefault="003D10DF"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6074F" id="_x0000_s1048" type="#_x0000_t109" style="position:absolute;margin-left:543.15pt;margin-top:70.85pt;width:114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">
                <v:textbox>
                  <w:txbxContent>
                    <w:p w14:paraId="1823151C" w14:textId="77777777" w:rsidR="003D10DF" w:rsidRDefault="003D10DF" w:rsidP="000B76FB">
                      <w:r>
                        <w:rPr>
                          <w:lang w:val="ro-RO"/>
                        </w:rPr>
                        <w:t>Standarde utilizate</w:t>
                      </w:r>
                      <w:r>
                        <w:t>:</w:t>
                      </w:r>
                    </w:p>
                    <w:p w14:paraId="14ED9689" w14:textId="77777777" w:rsidR="003D10DF" w:rsidRPr="004129FE" w:rsidRDefault="003D10DF" w:rsidP="000B76FB">
                      <w:pPr>
                        <w:rPr>
                          <w:lang w:val="ro-RO"/>
                        </w:rPr>
                      </w:pPr>
                      <w:r w:rsidRPr="004129FE">
                        <w:rPr>
                          <w:lang w:val="ro-RO"/>
                        </w:rPr>
                        <w:t>-</w:t>
                      </w:r>
                      <w:r>
                        <w:rPr>
                          <w:lang w:val="ro-RO"/>
                        </w:rPr>
                        <w:t xml:space="preserve">Standard SEC </w:t>
                      </w:r>
                    </w:p>
                    <w:p w14:paraId="79B4C48E" w14:textId="77777777" w:rsidR="003D10DF" w:rsidRPr="000D6F49" w:rsidRDefault="003D10DF" w:rsidP="000B76FB"/>
                  </w:txbxContent>
                </v:textbox>
                <w10:anchorlock/>
              </v:shape>
            </w:pict>
          </mc:Fallback>
        </mc:AlternateContent>
      </w:r>
    </w:p>
    <w:p w14:paraId="67D4C8F1" w14:textId="77777777" w:rsidR="00BA5E33" w:rsidRPr="006B2701" w:rsidRDefault="00BA5E33" w:rsidP="000F5753">
      <w:pPr>
        <w:spacing w:line="276" w:lineRule="auto"/>
        <w:rPr>
          <w:rFonts w:ascii="Arial" w:eastAsia="MS Mincho" w:hAnsi="Arial" w:cs="Arial"/>
          <w:sz w:val="24"/>
          <w:szCs w:val="24"/>
          <w:lang w:val="ro-RO" w:eastAsia="ja-JP"/>
        </w:rPr>
        <w:sectPr w:rsidR="00BA5E33" w:rsidRPr="006B2701" w:rsidSect="00FE6AC3">
          <w:pgSz w:w="16840" w:h="11907" w:orient="landscape" w:code="9"/>
          <w:pgMar w:top="1418" w:right="851" w:bottom="567" w:left="851" w:header="720" w:footer="720" w:gutter="0"/>
          <w:pgNumType w:start="0"/>
          <w:cols w:space="720"/>
          <w:titlePg/>
          <w:docGrid w:linePitch="360"/>
        </w:sectPr>
      </w:pPr>
    </w:p>
    <w:p w14:paraId="692DA6CE" w14:textId="539C5474" w:rsidR="00BA5E33" w:rsidRPr="006B2701" w:rsidRDefault="00B54EB1" w:rsidP="000F5753">
      <w:pPr>
        <w:spacing w:line="276" w:lineRule="auto"/>
        <w:rPr>
          <w:rFonts w:ascii="Arial" w:eastAsia="MS Mincho" w:hAnsi="Arial" w:cs="Arial"/>
          <w:sz w:val="24"/>
          <w:szCs w:val="24"/>
          <w:lang w:val="ro-RO" w:eastAsia="ja-JP"/>
        </w:rPr>
      </w:pPr>
      <w:r w:rsidRPr="006B2701">
        <w:rPr>
          <w:rFonts w:ascii="Arial" w:hAnsi="Arial" w:cs="Arial"/>
          <w:noProof/>
          <w:sz w:val="24"/>
          <w:szCs w:val="24"/>
        </w:rPr>
        <w:lastRenderedPageBreak/>
        <mc:AlternateContent>
          <mc:Choice Requires="wps">
            <w:drawing>
              <wp:anchor distT="0" distB="0" distL="114300" distR="114300" simplePos="0" relativeHeight="251650560" behindDoc="0" locked="1" layoutInCell="1" allowOverlap="1" wp14:anchorId="026892AC" wp14:editId="00CF8563">
                <wp:simplePos x="0" y="0"/>
                <wp:positionH relativeFrom="column">
                  <wp:posOffset>4051935</wp:posOffset>
                </wp:positionH>
                <wp:positionV relativeFrom="paragraph">
                  <wp:posOffset>2309495</wp:posOffset>
                </wp:positionV>
                <wp:extent cx="0" cy="400050"/>
                <wp:effectExtent l="76200" t="0" r="57150" b="57150"/>
                <wp:wrapNone/>
                <wp:docPr id="36"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77133" id="Straight Connector 3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81.85pt" to="319.05pt,2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">
                <v:stroke endarrow="block"/>
                <w10:anchorlock/>
              </v:line>
            </w:pict>
          </mc:Fallback>
        </mc:AlternateContent>
      </w:r>
      <w:r w:rsidRPr="006B2701">
        <w:rPr>
          <w:rFonts w:ascii="Arial" w:hAnsi="Arial" w:cs="Arial"/>
          <w:noProof/>
          <w:sz w:val="24"/>
          <w:szCs w:val="24"/>
        </w:rPr>
        <mc:AlternateContent>
          <mc:Choice Requires="wps">
            <w:drawing>
              <wp:anchor distT="0" distB="0" distL="114300" distR="114300" simplePos="0" relativeHeight="251649536" behindDoc="0" locked="1" layoutInCell="1" allowOverlap="1" wp14:anchorId="343CE396" wp14:editId="1EF3B9F2">
                <wp:simplePos x="0" y="0"/>
                <wp:positionH relativeFrom="column">
                  <wp:posOffset>1303020</wp:posOffset>
                </wp:positionH>
                <wp:positionV relativeFrom="paragraph">
                  <wp:posOffset>2257425</wp:posOffset>
                </wp:positionV>
                <wp:extent cx="0" cy="457200"/>
                <wp:effectExtent l="60960" t="7620" r="53340" b="20955"/>
                <wp:wrapNone/>
                <wp:docPr id="35"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17FC2" id="Straight Connector 3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77.75pt" to="102.6pt,2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">
                <v:stroke endarrow="block"/>
                <w10:anchorlock/>
              </v:line>
            </w:pict>
          </mc:Fallback>
        </mc:AlternateContent>
      </w:r>
      <w:r w:rsidRPr="006B2701">
        <w:rPr>
          <w:rFonts w:ascii="Arial" w:hAnsi="Arial" w:cs="Arial"/>
          <w:noProof/>
          <w:sz w:val="24"/>
          <w:szCs w:val="24"/>
        </w:rPr>
        <mc:AlternateContent>
          <mc:Choice Requires="wps">
            <w:drawing>
              <wp:anchor distT="0" distB="0" distL="114300" distR="114300" simplePos="0" relativeHeight="251644416" behindDoc="0" locked="1" layoutInCell="1" allowOverlap="1" wp14:anchorId="0731320D" wp14:editId="0559D03D">
                <wp:simplePos x="0" y="0"/>
                <wp:positionH relativeFrom="column">
                  <wp:posOffset>4198620</wp:posOffset>
                </wp:positionH>
                <wp:positionV relativeFrom="paragraph">
                  <wp:posOffset>1371600</wp:posOffset>
                </wp:positionV>
                <wp:extent cx="1303020" cy="0"/>
                <wp:effectExtent l="13335" t="55245" r="17145" b="59055"/>
                <wp:wrapNone/>
                <wp:docPr id="34"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02F8E" id="Straight Connector 3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6pt,108pt" to="433.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c5NQIAAFo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">
                <v:stroke endarrow="block"/>
                <w10:anchorlock/>
              </v:line>
            </w:pict>
          </mc:Fallback>
        </mc:AlternateContent>
      </w:r>
      <w:r w:rsidRPr="006B2701">
        <w:rPr>
          <w:rFonts w:ascii="Arial" w:hAnsi="Arial" w:cs="Arial"/>
          <w:noProof/>
          <w:sz w:val="24"/>
          <w:szCs w:val="24"/>
        </w:rPr>
        <mc:AlternateContent>
          <mc:Choice Requires="wps">
            <w:drawing>
              <wp:anchor distT="0" distB="0" distL="114300" distR="114300" simplePos="0" relativeHeight="251646464" behindDoc="0" locked="1" layoutInCell="1" allowOverlap="1" wp14:anchorId="61967622" wp14:editId="643EE0DC">
                <wp:simplePos x="0" y="0"/>
                <wp:positionH relativeFrom="column">
                  <wp:posOffset>6551295</wp:posOffset>
                </wp:positionH>
                <wp:positionV relativeFrom="paragraph">
                  <wp:posOffset>1600200</wp:posOffset>
                </wp:positionV>
                <wp:extent cx="0" cy="228600"/>
                <wp:effectExtent l="60960" t="7620" r="53340" b="20955"/>
                <wp:wrapNone/>
                <wp:docPr id="3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5184A" id="Straight Connector 3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85pt,126pt" to="515.8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">
                <v:stroke endarrow="block"/>
                <w10:anchorlock/>
              </v:line>
            </w:pict>
          </mc:Fallback>
        </mc:AlternateContent>
      </w:r>
      <w:r w:rsidRPr="006B2701">
        <w:rPr>
          <w:rFonts w:ascii="Arial" w:hAnsi="Arial" w:cs="Arial"/>
          <w:noProof/>
          <w:sz w:val="24"/>
          <w:szCs w:val="24"/>
        </w:rPr>
        <mc:AlternateContent>
          <mc:Choice Requires="wps">
            <w:drawing>
              <wp:anchor distT="0" distB="0" distL="114300" distR="114300" simplePos="0" relativeHeight="251640320" behindDoc="0" locked="1" layoutInCell="1" allowOverlap="1" wp14:anchorId="5B454CA9" wp14:editId="0C9AC916">
                <wp:simplePos x="0" y="0"/>
                <wp:positionH relativeFrom="column">
                  <wp:posOffset>5935980</wp:posOffset>
                </wp:positionH>
                <wp:positionV relativeFrom="paragraph">
                  <wp:posOffset>1828800</wp:posOffset>
                </wp:positionV>
                <wp:extent cx="1845945" cy="342900"/>
                <wp:effectExtent l="7620" t="7620" r="13335" b="11430"/>
                <wp:wrapNone/>
                <wp:docPr id="32" name="Flowchart: Proc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342900"/>
                        </a:xfrm>
                        <a:prstGeom prst="flowChartProcess">
                          <a:avLst/>
                        </a:prstGeom>
                        <a:solidFill>
                          <a:srgbClr val="FFFFFF"/>
                        </a:solidFill>
                        <a:ln w="9525">
                          <a:solidFill>
                            <a:srgbClr val="000000"/>
                          </a:solidFill>
                          <a:miter lim="800000"/>
                          <a:headEnd/>
                          <a:tailEnd/>
                        </a:ln>
                      </wps:spPr>
                      <wps:txbx>
                        <w:txbxContent>
                          <w:p w14:paraId="4E06F7E7" w14:textId="77777777" w:rsidR="003D10DF" w:rsidRPr="009727EE" w:rsidRDefault="003D10DF" w:rsidP="000B76FB">
                            <w:pPr>
                              <w:jc w:val="center"/>
                              <w:rPr>
                                <w:lang w:val="ro-RO"/>
                              </w:rPr>
                            </w:pPr>
                            <w:r>
                              <w:rPr>
                                <w:lang w:val="ro-RO"/>
                              </w:rPr>
                              <w:t xml:space="preserve">Baza </w:t>
                            </w:r>
                            <w:proofErr w:type="spellStart"/>
                            <w:r>
                              <w:rPr>
                                <w:lang w:val="ro-RO"/>
                              </w:rPr>
                              <w:t>accrual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54CA9" id="Flowchart: Process 34" o:spid="_x0000_s1049" type="#_x0000_t109" style="position:absolute;margin-left:467.4pt;margin-top:2in;width:145.35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">
                <v:textbox>
                  <w:txbxContent>
                    <w:p w14:paraId="4E06F7E7" w14:textId="77777777" w:rsidR="003D10DF" w:rsidRPr="009727EE" w:rsidRDefault="003D10DF" w:rsidP="000B76FB">
                      <w:pPr>
                        <w:jc w:val="center"/>
                        <w:rPr>
                          <w:lang w:val="ro-RO"/>
                        </w:rPr>
                      </w:pPr>
                      <w:r>
                        <w:rPr>
                          <w:lang w:val="ro-RO"/>
                        </w:rPr>
                        <w:t xml:space="preserve">Baza </w:t>
                      </w:r>
                      <w:proofErr w:type="spellStart"/>
                      <w:r>
                        <w:rPr>
                          <w:lang w:val="ro-RO"/>
                        </w:rPr>
                        <w:t>accrual</w:t>
                      </w:r>
                      <w:proofErr w:type="spellEnd"/>
                    </w:p>
                  </w:txbxContent>
                </v:textbox>
                <w10:anchorlock/>
              </v:shape>
            </w:pict>
          </mc:Fallback>
        </mc:AlternateContent>
      </w:r>
      <w:r w:rsidRPr="006B2701">
        <w:rPr>
          <w:rFonts w:ascii="Arial" w:hAnsi="Arial" w:cs="Arial"/>
          <w:noProof/>
          <w:sz w:val="24"/>
          <w:szCs w:val="24"/>
        </w:rPr>
        <mc:AlternateContent>
          <mc:Choice Requires="wps">
            <w:drawing>
              <wp:anchor distT="0" distB="0" distL="114300" distR="114300" simplePos="0" relativeHeight="251645440" behindDoc="0" locked="1" layoutInCell="1" allowOverlap="1" wp14:anchorId="292114BB" wp14:editId="75250533">
                <wp:simplePos x="0" y="0"/>
                <wp:positionH relativeFrom="column">
                  <wp:posOffset>6515100</wp:posOffset>
                </wp:positionH>
                <wp:positionV relativeFrom="paragraph">
                  <wp:posOffset>1600200</wp:posOffset>
                </wp:positionV>
                <wp:extent cx="0" cy="0"/>
                <wp:effectExtent l="5715" t="55245" r="22860" b="59055"/>
                <wp:wrapNone/>
                <wp:docPr id="31"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BFC46" id="Straight Connector 3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26pt" to="51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">
                <v:stroke endarrow="block"/>
                <w10:anchorlock/>
              </v:line>
            </w:pict>
          </mc:Fallback>
        </mc:AlternateContent>
      </w:r>
      <w:r w:rsidRPr="006B2701">
        <w:rPr>
          <w:rFonts w:ascii="Arial" w:hAnsi="Arial" w:cs="Arial"/>
          <w:noProof/>
          <w:sz w:val="24"/>
          <w:szCs w:val="24"/>
        </w:rPr>
        <mc:AlternateContent>
          <mc:Choice Requires="wps">
            <w:drawing>
              <wp:anchor distT="0" distB="0" distL="114300" distR="114300" simplePos="0" relativeHeight="251641344" behindDoc="0" locked="1" layoutInCell="1" allowOverlap="1" wp14:anchorId="2845695E" wp14:editId="09E80E19">
                <wp:simplePos x="0" y="0"/>
                <wp:positionH relativeFrom="column">
                  <wp:posOffset>5501640</wp:posOffset>
                </wp:positionH>
                <wp:positionV relativeFrom="paragraph">
                  <wp:posOffset>1028700</wp:posOffset>
                </wp:positionV>
                <wp:extent cx="1845945" cy="571500"/>
                <wp:effectExtent l="11430" t="7620" r="9525" b="11430"/>
                <wp:wrapNone/>
                <wp:docPr id="30" name="Flowchart: Proces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571500"/>
                        </a:xfrm>
                        <a:prstGeom prst="flowChartProcess">
                          <a:avLst/>
                        </a:prstGeom>
                        <a:solidFill>
                          <a:srgbClr val="FFFFFF"/>
                        </a:solidFill>
                        <a:ln w="9525">
                          <a:solidFill>
                            <a:srgbClr val="000000"/>
                          </a:solidFill>
                          <a:miter lim="800000"/>
                          <a:headEnd/>
                          <a:tailEnd/>
                        </a:ln>
                      </wps:spPr>
                      <wps:txbx>
                        <w:txbxContent>
                          <w:p w14:paraId="39ED56BE" w14:textId="77777777" w:rsidR="003D10DF" w:rsidRPr="004129FE" w:rsidRDefault="003D10DF" w:rsidP="000B76FB">
                            <w:pPr>
                              <w:jc w:val="center"/>
                              <w:rPr>
                                <w:lang w:val="ro-RO"/>
                              </w:rPr>
                            </w:pPr>
                            <w:r>
                              <w:rPr>
                                <w:lang w:val="ro-RO"/>
                              </w:rP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695E" id="Flowchart: Process 32" o:spid="_x0000_s1050" type="#_x0000_t109" style="position:absolute;margin-left:433.2pt;margin-top:81pt;width:145.35pt;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">
                <v:textbox>
                  <w:txbxContent>
                    <w:p w14:paraId="39ED56BE" w14:textId="77777777" w:rsidR="003D10DF" w:rsidRPr="004129FE" w:rsidRDefault="003D10DF" w:rsidP="000B76FB">
                      <w:pPr>
                        <w:jc w:val="center"/>
                        <w:rPr>
                          <w:lang w:val="ro-RO"/>
                        </w:rPr>
                      </w:pPr>
                      <w:r>
                        <w:rPr>
                          <w:lang w:val="ro-RO"/>
                        </w:rPr>
                        <w:t>Raportare SEC</w:t>
                      </w:r>
                    </w:p>
                  </w:txbxContent>
                </v:textbox>
                <w10:anchorlock/>
              </v:shape>
            </w:pict>
          </mc:Fallback>
        </mc:AlternateContent>
      </w:r>
      <w:r w:rsidR="0073616C">
        <w:rPr>
          <w:rFonts w:ascii="Arial" w:eastAsia="MS Mincho" w:hAnsi="Arial" w:cs="Arial"/>
          <w:sz w:val="24"/>
          <w:szCs w:val="24"/>
          <w:lang w:val="ro-RO" w:eastAsia="ja-JP"/>
        </w:rPr>
      </w:r>
      <w:r w:rsidR="0073616C">
        <w:rPr>
          <w:rFonts w:ascii="Arial" w:eastAsia="MS Mincho" w:hAnsi="Arial" w:cs="Arial"/>
          <w:sz w:val="24"/>
          <w:szCs w:val="24"/>
          <w:lang w:val="ro-RO" w:eastAsia="ja-JP"/>
        </w:rPr>
        <w:pict w14:anchorId="6D00C293">
          <v:group id="_x0000_s1089" editas="orgchart" style="width:415.05pt;height:198.35pt;mso-position-horizontal-relative:char;mso-position-vertical-relative:line" coordorigin="2501,934" coordsize="7884,2258">
            <o:lock v:ext="edit" aspectratio="t"/>
            <o:diagram v:ext="edit" dgmstyle="0" dgmscalex="69004" dgmscaley="115130" dgmfontsize="12" constrainbounds="0,0,0,0" autolayout="f">
              <o:relationtable v:ext="edit">
                <o:rel v:ext="edit" idsrc="#_s1093" iddest="#_s1093"/>
                <o:rel v:ext="edit" idsrc="#_s1094" iddest="#_s1093" idcntr="#_s1092"/>
                <o:rel v:ext="edit" idsrc="#_s1095" iddest="#_s1093" idcntr="#_s1091"/>
              </o:relationtable>
            </o:diagram>
            <v:shape id="_x0000_s1090" type="#_x0000_t75" style="position:absolute;left:2501;top:934;width:7884;height:2258" o:preferrelative="f">
              <v:fill o:detectmouseclick="t"/>
              <v:path o:extrusionok="t" o:connecttype="none"/>
              <o:lock v:ext="edit" text="t"/>
            </v:shape>
            <v:shape id="_s1091" o:spid="_x0000_s1091" type="#_x0000_t34" style="position:absolute;left:7566;top:1388;width:380;height:1165;rotation:270;flip:x" o:connectortype="elbow" adj="5803,56667,-213969" strokeweight="2.25pt"/>
            <v:shape id="_s1092" o:spid="_x0000_s1092" type="#_x0000_t34" style="position:absolute;left:6469;top:1457;width:380;height:1028;rotation:270" o:connectortype="elbow" adj="5803,-64261,-139530" strokeweight="2.25pt"/>
            <v:roundrect id="_s1093" o:spid="_x0000_s1093" style="position:absolute;left:6362;top:1241;width:1621;height:540;v-text-anchor:middle" arcsize="10923f" o:dgmlayout="0" o:dgmnodekind="1" filled="f" fillcolor="#bbe0e3">
              <v:textbox style="mso-next-textbox:#_s1093" inset="0,0,0,0">
                <w:txbxContent>
                  <w:p w14:paraId="76985DF5" w14:textId="21B98CE2" w:rsidR="003D10DF" w:rsidRPr="009B2F65" w:rsidRDefault="003D10DF" w:rsidP="000B76FB">
                    <w:pPr>
                      <w:jc w:val="center"/>
                      <w:rPr>
                        <w:b/>
                        <w:lang w:val="ro-RO"/>
                      </w:rPr>
                    </w:pPr>
                    <w:r w:rsidRPr="009B2F65">
                      <w:rPr>
                        <w:b/>
                        <w:lang w:val="ro-RO"/>
                      </w:rPr>
                      <w:t xml:space="preserve">Administrația asigurărilor sociale </w:t>
                    </w:r>
                    <w:r>
                      <w:rPr>
                        <w:b/>
                        <w:lang w:val="ro-RO"/>
                      </w:rPr>
                      <w:t>-</w:t>
                    </w:r>
                    <w:r w:rsidRPr="009B2F65">
                      <w:rPr>
                        <w:b/>
                        <w:lang w:val="ro-RO"/>
                      </w:rPr>
                      <w:t>S1314</w:t>
                    </w:r>
                    <w:r>
                      <w:rPr>
                        <w:b/>
                        <w:lang w:val="ro-RO"/>
                      </w:rPr>
                      <w:t>-</w:t>
                    </w:r>
                  </w:p>
                  <w:p w14:paraId="4E597CC2" w14:textId="77777777" w:rsidR="003D10DF" w:rsidRPr="008F47C6" w:rsidRDefault="003D10DF" w:rsidP="000B76FB">
                    <w:pPr>
                      <w:jc w:val="center"/>
                      <w:rPr>
                        <w:lang w:val="ro-RO"/>
                      </w:rPr>
                    </w:pPr>
                    <w:r>
                      <w:rPr>
                        <w:lang w:val="ro-RO"/>
                      </w:rPr>
                      <w:t>locală</w:t>
                    </w:r>
                  </w:p>
                </w:txbxContent>
              </v:textbox>
            </v:roundrect>
            <v:roundrect id="_s1094" o:spid="_x0000_s1094" style="position:absolute;left:5387;top:2161;width:1516;height:306;v-text-anchor:middle" arcsize="10923f" o:dgmlayout="0" o:dgmnodekind="0" filled="f" fillcolor="#bbe0e3">
              <v:textbox style="mso-next-textbox:#_s1094" inset="0,0,0,0">
                <w:txbxContent>
                  <w:p w14:paraId="4DA83063" w14:textId="77777777" w:rsidR="003D10DF" w:rsidRPr="008F47C6" w:rsidRDefault="003D10DF" w:rsidP="000B76FB">
                    <w:pPr>
                      <w:jc w:val="center"/>
                      <w:rPr>
                        <w:lang w:val="ro-RO"/>
                      </w:rPr>
                    </w:pPr>
                    <w:r>
                      <w:rPr>
                        <w:lang w:val="ro-RO"/>
                      </w:rPr>
                      <w:t>Lunar</w:t>
                    </w:r>
                  </w:p>
                  <w:p w14:paraId="48552533" w14:textId="77777777" w:rsidR="003D10DF" w:rsidRPr="008F47C6" w:rsidRDefault="003D10DF" w:rsidP="000B76FB">
                    <w:pPr>
                      <w:jc w:val="center"/>
                      <w:rPr>
                        <w:lang w:val="ro-RO"/>
                      </w:rPr>
                    </w:pPr>
                  </w:p>
                  <w:p w14:paraId="0580EA33" w14:textId="77777777" w:rsidR="003D10DF" w:rsidRPr="008F47C6" w:rsidRDefault="003D10DF" w:rsidP="000B76FB">
                    <w:pPr>
                      <w:jc w:val="center"/>
                      <w:rPr>
                        <w:lang w:val="ro-RO"/>
                      </w:rPr>
                    </w:pPr>
                  </w:p>
                  <w:p w14:paraId="3DA563BF" w14:textId="77777777" w:rsidR="003D10DF" w:rsidRPr="008F47C6" w:rsidRDefault="003D10DF" w:rsidP="000B76FB">
                    <w:pPr>
                      <w:jc w:val="center"/>
                      <w:rPr>
                        <w:lang w:val="ro-RO"/>
                      </w:rPr>
                    </w:pPr>
                  </w:p>
                  <w:p w14:paraId="0CF0593A" w14:textId="77777777" w:rsidR="003D10DF" w:rsidRPr="008F47C6" w:rsidRDefault="003D10DF" w:rsidP="000B76FB">
                    <w:pPr>
                      <w:jc w:val="center"/>
                      <w:rPr>
                        <w:lang w:val="ro-RO"/>
                      </w:rPr>
                    </w:pPr>
                  </w:p>
                  <w:p w14:paraId="7B9BBA71" w14:textId="77777777" w:rsidR="003D10DF" w:rsidRPr="008F47C6" w:rsidRDefault="003D10DF" w:rsidP="000B76FB">
                    <w:pPr>
                      <w:jc w:val="center"/>
                      <w:rPr>
                        <w:lang w:val="ro-RO"/>
                      </w:rPr>
                    </w:pPr>
                  </w:p>
                  <w:p w14:paraId="204C7FFB" w14:textId="77777777" w:rsidR="003D10DF" w:rsidRPr="008F47C6" w:rsidRDefault="003D10DF" w:rsidP="000B76FB">
                    <w:pPr>
                      <w:jc w:val="center"/>
                      <w:rPr>
                        <w:lang w:val="ro-RO"/>
                      </w:rPr>
                    </w:pPr>
                  </w:p>
                  <w:p w14:paraId="31D68EA2" w14:textId="77777777" w:rsidR="003D10DF" w:rsidRPr="008F47C6" w:rsidRDefault="003D10DF" w:rsidP="000B76FB">
                    <w:pPr>
                      <w:jc w:val="center"/>
                      <w:rPr>
                        <w:lang w:val="ro-RO"/>
                      </w:rPr>
                    </w:pPr>
                  </w:p>
                  <w:p w14:paraId="0F2ABD83" w14:textId="77777777" w:rsidR="003D10DF" w:rsidRPr="008F47C6" w:rsidRDefault="003D10DF" w:rsidP="000B76FB">
                    <w:pPr>
                      <w:jc w:val="center"/>
                      <w:rPr>
                        <w:lang w:val="ro-RO"/>
                      </w:rPr>
                    </w:pPr>
                  </w:p>
                  <w:p w14:paraId="75B50A33" w14:textId="77777777" w:rsidR="003D10DF" w:rsidRPr="008F47C6" w:rsidRDefault="003D10DF" w:rsidP="000B76FB">
                    <w:pPr>
                      <w:jc w:val="center"/>
                      <w:rPr>
                        <w:lang w:val="ro-RO"/>
                      </w:rPr>
                    </w:pPr>
                  </w:p>
                  <w:p w14:paraId="3D554EE6" w14:textId="77777777" w:rsidR="003D10DF" w:rsidRPr="008F47C6" w:rsidRDefault="003D10DF" w:rsidP="000B76FB">
                    <w:pPr>
                      <w:jc w:val="center"/>
                      <w:rPr>
                        <w:lang w:val="ro-RO"/>
                      </w:rPr>
                    </w:pPr>
                  </w:p>
                </w:txbxContent>
              </v:textbox>
            </v:roundrect>
            <v:roundrect id="_s1095" o:spid="_x0000_s1095" style="position:absolute;left:7661;top:2161;width:1353;height:306;v-text-anchor:middle" arcsize="10923f" o:dgmlayout="0" o:dgmnodekind="0" filled="f" fillcolor="#bbe0e3">
              <v:textbox style="mso-next-textbox:#_s1095" inset="0,0,0,0">
                <w:txbxContent>
                  <w:p w14:paraId="53813AC8" w14:textId="77777777" w:rsidR="003D10DF" w:rsidRPr="008F47C6" w:rsidRDefault="003D10DF" w:rsidP="000B76FB">
                    <w:pPr>
                      <w:jc w:val="center"/>
                      <w:rPr>
                        <w:lang w:val="ro-RO"/>
                      </w:rPr>
                    </w:pPr>
                    <w:r>
                      <w:rPr>
                        <w:lang w:val="ro-RO"/>
                      </w:rPr>
                      <w:t>Trimestrial</w:t>
                    </w:r>
                  </w:p>
                </w:txbxContent>
              </v:textbox>
            </v:roundrect>
            <v:line id="_x0000_s1096" style="position:absolute" from="6456,2156" to="6510,2156"/>
            <v:rect id="_x0000_s1097" style="position:absolute;left:3384;top:2569;width:3032;height:408">
              <v:textbox style="mso-next-textbox:#_x0000_s1097">
                <w:txbxContent>
                  <w:p w14:paraId="11C3FD97" w14:textId="77777777" w:rsidR="003D10DF" w:rsidRDefault="003D10DF" w:rsidP="000B76FB">
                    <w:pPr>
                      <w:jc w:val="center"/>
                      <w:rPr>
                        <w:lang w:val="ro-RO"/>
                      </w:rPr>
                    </w:pPr>
                    <w:r>
                      <w:rPr>
                        <w:lang w:val="ro-RO"/>
                      </w:rPr>
                      <w:t>Baza cash</w:t>
                    </w:r>
                  </w:p>
                  <w:p w14:paraId="26E440EE" w14:textId="1B48599F" w:rsidR="003D10DF" w:rsidRPr="0032759E" w:rsidRDefault="003D10DF" w:rsidP="000B76FB">
                    <w:pPr>
                      <w:rPr>
                        <w:lang w:val="ro-RO"/>
                      </w:rPr>
                    </w:pPr>
                    <w:r>
                      <w:rPr>
                        <w:lang w:val="ro-RO"/>
                      </w:rPr>
                      <w:t xml:space="preserve">Ministerul Finanțelor Publice </w:t>
                    </w:r>
                  </w:p>
                </w:txbxContent>
              </v:textbox>
            </v:rect>
            <v:rect id="_x0000_s1098" style="position:absolute;left:6741;top:2573;width:3302;height:414">
              <v:textbox style="mso-next-textbox:#_x0000_s1098">
                <w:txbxContent>
                  <w:p w14:paraId="78EF505C" w14:textId="77777777" w:rsidR="003D10DF" w:rsidRDefault="003D10DF" w:rsidP="000B76FB">
                    <w:pPr>
                      <w:jc w:val="center"/>
                      <w:rPr>
                        <w:lang w:val="ro-RO"/>
                      </w:rPr>
                    </w:pPr>
                    <w:r>
                      <w:rPr>
                        <w:lang w:val="ro-RO"/>
                      </w:rPr>
                      <w:t>Baza cash</w:t>
                    </w:r>
                  </w:p>
                  <w:p w14:paraId="0FEADFFF" w14:textId="450D1937" w:rsidR="003D10DF" w:rsidRPr="0032759E" w:rsidRDefault="003D10DF" w:rsidP="000B76FB">
                    <w:pPr>
                      <w:rPr>
                        <w:lang w:val="ro-RO"/>
                      </w:rPr>
                    </w:pPr>
                    <w:r>
                      <w:rPr>
                        <w:lang w:val="ro-RO"/>
                      </w:rPr>
                      <w:t>Ministerul Finanțelor Publice</w:t>
                    </w:r>
                  </w:p>
                </w:txbxContent>
              </v:textbox>
            </v:rect>
            <v:line id="_x0000_s1099" style="position:absolute" from="5766,2471" to="5767,2573">
              <v:stroke endarrow="block"/>
            </v:line>
            <v:line id="_x0000_s1100" style="position:absolute" from="8311,2471" to="8312,2573">
              <v:stroke endarrow="block"/>
            </v:line>
            <w10:wrap type="none"/>
            <w10:anchorlock/>
          </v:group>
        </w:pict>
      </w:r>
    </w:p>
    <w:p w14:paraId="17652433" w14:textId="77777777" w:rsidR="00BA5E33" w:rsidRPr="006B2701" w:rsidRDefault="00B54EB1" w:rsidP="000F5753">
      <w:pPr>
        <w:spacing w:line="276" w:lineRule="auto"/>
        <w:rPr>
          <w:rFonts w:ascii="Arial" w:eastAsia="MS Mincho" w:hAnsi="Arial" w:cs="Arial"/>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47488" behindDoc="0" locked="1" layoutInCell="1" allowOverlap="1" wp14:anchorId="513579E3" wp14:editId="0B91D64E">
                <wp:simplePos x="0" y="0"/>
                <wp:positionH relativeFrom="column">
                  <wp:posOffset>6840855</wp:posOffset>
                </wp:positionH>
                <wp:positionV relativeFrom="paragraph">
                  <wp:posOffset>-368300</wp:posOffset>
                </wp:positionV>
                <wp:extent cx="0" cy="228600"/>
                <wp:effectExtent l="55245" t="5715" r="59055" b="22860"/>
                <wp:wrapNone/>
                <wp:docPr id="2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4A19F" id="Line 14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65pt,-29pt" to="538.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nM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">
                <v:stroke endarrow="block"/>
                <w10:anchorlock/>
              </v:line>
            </w:pict>
          </mc:Fallback>
        </mc:AlternateContent>
      </w:r>
    </w:p>
    <w:p w14:paraId="1E2A7991" w14:textId="77777777" w:rsidR="00BA5E33" w:rsidRPr="006B2701" w:rsidRDefault="00B54EB1" w:rsidP="000F5753">
      <w:pPr>
        <w:spacing w:line="276" w:lineRule="auto"/>
        <w:rPr>
          <w:rFonts w:ascii="Arial" w:eastAsia="MS Mincho" w:hAnsi="Arial" w:cs="Arial"/>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42368" behindDoc="0" locked="1" layoutInCell="1" allowOverlap="1" wp14:anchorId="74D723D5" wp14:editId="7C8696BD">
                <wp:simplePos x="0" y="0"/>
                <wp:positionH relativeFrom="column">
                  <wp:posOffset>6189345</wp:posOffset>
                </wp:positionH>
                <wp:positionV relativeFrom="paragraph">
                  <wp:posOffset>-325120</wp:posOffset>
                </wp:positionV>
                <wp:extent cx="2135505" cy="2743200"/>
                <wp:effectExtent l="13335" t="5715" r="13335" b="13335"/>
                <wp:wrapNone/>
                <wp:docPr id="28"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2743200"/>
                        </a:xfrm>
                        <a:prstGeom prst="flowChartProcess">
                          <a:avLst/>
                        </a:prstGeom>
                        <a:solidFill>
                          <a:srgbClr val="FFFFFF"/>
                        </a:solidFill>
                        <a:ln w="9525">
                          <a:solidFill>
                            <a:srgbClr val="000000"/>
                          </a:solidFill>
                          <a:miter lim="800000"/>
                          <a:headEnd/>
                          <a:tailEnd/>
                        </a:ln>
                      </wps:spPr>
                      <wps:txbx>
                        <w:txbxContent>
                          <w:p w14:paraId="53A5B434" w14:textId="20C1A124" w:rsidR="003D10DF" w:rsidRDefault="003D10DF" w:rsidP="000B76FB">
                            <w:pPr>
                              <w:jc w:val="both"/>
                              <w:rPr>
                                <w:lang w:val="ro-RO"/>
                              </w:rPr>
                            </w:pPr>
                            <w:r>
                              <w:rPr>
                                <w:lang w:val="ro-RO"/>
                              </w:rPr>
                              <w:t>- Veniturile din contribuții sociale sunt ajustate conform metodei simple de ajustare temporala cu o perioada de o luna. Astfel, tranzacțiile sunt înregistrate atunci când a avut loc activitatea care generează obligația fiscală.</w:t>
                            </w:r>
                          </w:p>
                          <w:p w14:paraId="16FF1CF7" w14:textId="3FE279DE" w:rsidR="003D10DF" w:rsidRDefault="003D10DF" w:rsidP="000B76FB">
                            <w:pPr>
                              <w:jc w:val="both"/>
                              <w:rPr>
                                <w:lang w:val="ro-RO"/>
                              </w:rPr>
                            </w:pPr>
                            <w:r>
                              <w:rPr>
                                <w:lang w:val="ro-RO"/>
                              </w:rPr>
                              <w:t>-La cheltuielile bugetelor de asigurări  se adaugă sumele de plătit aferente datoriilor comerciale, salarii, contribuții alte drepturi, din bilanțul instituțiilor publice.</w:t>
                            </w:r>
                          </w:p>
                          <w:p w14:paraId="5406DCB0" w14:textId="77777777" w:rsidR="003D10DF" w:rsidRPr="009727EE" w:rsidRDefault="003D10DF"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723D5" id="AutoShape 142" o:spid="_x0000_s1051" type="#_x0000_t109" style="position:absolute;margin-left:487.35pt;margin-top:-25.6pt;width:168.15pt;height:3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">
                <v:textbox>
                  <w:txbxContent>
                    <w:p w14:paraId="53A5B434" w14:textId="20C1A124" w:rsidR="003D10DF" w:rsidRDefault="003D10DF" w:rsidP="000B76FB">
                      <w:pPr>
                        <w:jc w:val="both"/>
                        <w:rPr>
                          <w:lang w:val="ro-RO"/>
                        </w:rPr>
                      </w:pPr>
                      <w:r>
                        <w:rPr>
                          <w:lang w:val="ro-RO"/>
                        </w:rPr>
                        <w:t>- Veniturile din contribuții sociale sunt ajustate conform metodei simple de ajustare temporala cu o perioada de o luna. Astfel, tranzacțiile sunt înregistrate atunci când a avut loc activitatea care generează obligația fiscală.</w:t>
                      </w:r>
                    </w:p>
                    <w:p w14:paraId="16FF1CF7" w14:textId="3FE279DE" w:rsidR="003D10DF" w:rsidRDefault="003D10DF" w:rsidP="000B76FB">
                      <w:pPr>
                        <w:jc w:val="both"/>
                        <w:rPr>
                          <w:lang w:val="ro-RO"/>
                        </w:rPr>
                      </w:pPr>
                      <w:r>
                        <w:rPr>
                          <w:lang w:val="ro-RO"/>
                        </w:rPr>
                        <w:t>-La cheltuielile bugetelor de asigurări  se adaugă sumele de plătit aferente datoriilor comerciale, salarii, contribuții alte drepturi, din bilanțul instituțiilor publice.</w:t>
                      </w:r>
                    </w:p>
                    <w:p w14:paraId="5406DCB0" w14:textId="77777777" w:rsidR="003D10DF" w:rsidRPr="009727EE" w:rsidRDefault="003D10DF" w:rsidP="000B76FB">
                      <w:pPr>
                        <w:rPr>
                          <w:lang w:val="ro-RO"/>
                        </w:rPr>
                      </w:pPr>
                    </w:p>
                  </w:txbxContent>
                </v:textbox>
                <w10:anchorlock/>
              </v:shape>
            </w:pict>
          </mc:Fallback>
        </mc:AlternateContent>
      </w:r>
    </w:p>
    <w:p w14:paraId="5E867CA0" w14:textId="77777777" w:rsidR="00BA5E33" w:rsidRPr="006B2701" w:rsidRDefault="00B54EB1" w:rsidP="000F5753">
      <w:pPr>
        <w:tabs>
          <w:tab w:val="left" w:pos="6495"/>
        </w:tabs>
        <w:spacing w:line="276" w:lineRule="auto"/>
        <w:rPr>
          <w:rFonts w:ascii="Arial" w:eastAsia="MS Mincho" w:hAnsi="Arial" w:cs="Arial"/>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37248" behindDoc="0" locked="1" layoutInCell="1" allowOverlap="1" wp14:anchorId="5251D44F" wp14:editId="284ABA16">
                <wp:simplePos x="0" y="0"/>
                <wp:positionH relativeFrom="column">
                  <wp:posOffset>3221355</wp:posOffset>
                </wp:positionH>
                <wp:positionV relativeFrom="paragraph">
                  <wp:posOffset>-243840</wp:posOffset>
                </wp:positionV>
                <wp:extent cx="2533650" cy="1600200"/>
                <wp:effectExtent l="7620" t="5715" r="11430" b="13335"/>
                <wp:wrapNone/>
                <wp:docPr id="2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600200"/>
                        </a:xfrm>
                        <a:prstGeom prst="flowChartProcess">
                          <a:avLst/>
                        </a:prstGeom>
                        <a:solidFill>
                          <a:srgbClr val="FFFFFF"/>
                        </a:solidFill>
                        <a:ln w="9525">
                          <a:solidFill>
                            <a:srgbClr val="000000"/>
                          </a:solidFill>
                          <a:miter lim="800000"/>
                          <a:headEnd/>
                          <a:tailEnd/>
                        </a:ln>
                      </wps:spPr>
                      <wps:txbx>
                        <w:txbxContent>
                          <w:p w14:paraId="789815FF" w14:textId="77777777" w:rsidR="003D10DF" w:rsidRPr="00841EAA" w:rsidRDefault="003D10DF" w:rsidP="000B76FB">
                            <w:pPr>
                              <w:rPr>
                                <w:b/>
                                <w:lang w:val="fr-FR"/>
                              </w:rPr>
                            </w:pPr>
                            <w:r w:rsidRPr="00FE4FEA">
                              <w:rPr>
                                <w:b/>
                                <w:lang w:val="ro-RO"/>
                              </w:rPr>
                              <w:t>Sursa de date primare</w:t>
                            </w:r>
                            <w:r w:rsidRPr="00841EAA">
                              <w:rPr>
                                <w:b/>
                                <w:lang w:val="fr-FR"/>
                              </w:rPr>
                              <w:t>:</w:t>
                            </w:r>
                          </w:p>
                          <w:p w14:paraId="7D90D1FE" w14:textId="77777777" w:rsidR="003D10DF" w:rsidRPr="004129FE" w:rsidRDefault="003D10DF" w:rsidP="000B76FB">
                            <w:pPr>
                              <w:rPr>
                                <w:lang w:val="ro-RO"/>
                              </w:rPr>
                            </w:pPr>
                            <w:r w:rsidRPr="004129FE">
                              <w:rPr>
                                <w:lang w:val="ro-RO"/>
                              </w:rPr>
                              <w:t>-Bugetul asigurărilor sociale de stat</w:t>
                            </w:r>
                          </w:p>
                          <w:p w14:paraId="37D4EEF1" w14:textId="78210111" w:rsidR="003D10DF" w:rsidRPr="004129FE" w:rsidRDefault="003D10DF" w:rsidP="000B76FB">
                            <w:pPr>
                              <w:rPr>
                                <w:lang w:val="ro-RO"/>
                              </w:rPr>
                            </w:pPr>
                            <w:r w:rsidRPr="004129FE">
                              <w:rPr>
                                <w:lang w:val="ro-RO"/>
                              </w:rPr>
                              <w:t>-Bugetul asigurărilor pentru șomaj</w:t>
                            </w:r>
                          </w:p>
                          <w:p w14:paraId="7EDF5C27" w14:textId="2E5532CC" w:rsidR="003D10DF" w:rsidRPr="004129FE" w:rsidRDefault="003D10DF" w:rsidP="000B76FB">
                            <w:pPr>
                              <w:rPr>
                                <w:lang w:val="ro-RO"/>
                              </w:rPr>
                            </w:pPr>
                            <w:r w:rsidRPr="004129FE">
                              <w:rPr>
                                <w:lang w:val="ro-RO"/>
                              </w:rPr>
                              <w:t>-Fondul național de asigurări  sociale de sănătate</w:t>
                            </w:r>
                          </w:p>
                          <w:p w14:paraId="59DF44BE" w14:textId="2DC1DF8A" w:rsidR="003D10DF" w:rsidRDefault="003D10DF" w:rsidP="000B76FB">
                            <w:pPr>
                              <w:rPr>
                                <w:lang w:val="ro-RO"/>
                              </w:rPr>
                            </w:pPr>
                            <w:r>
                              <w:rPr>
                                <w:lang w:val="ro-RO"/>
                              </w:rPr>
                              <w:t>-Instituții finanțate parțial sau integral din venituri proprii -aferente bugetului asigurărilor pentru șomaj-</w:t>
                            </w:r>
                          </w:p>
                          <w:p w14:paraId="655D2189" w14:textId="77777777" w:rsidR="003D10DF" w:rsidRDefault="003D10DF" w:rsidP="000B76FB"/>
                          <w:p w14:paraId="40DC6FEB" w14:textId="77777777" w:rsidR="003D10DF" w:rsidRDefault="003D10DF" w:rsidP="000B76FB">
                            <w:pPr>
                              <w:rPr>
                                <w:lang w:val="ro-RO"/>
                              </w:rPr>
                            </w:pPr>
                          </w:p>
                          <w:p w14:paraId="63BE5A78" w14:textId="77777777" w:rsidR="003D10DF" w:rsidRPr="002B553C" w:rsidRDefault="003D10DF"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1D44F" id="AutoShape 134" o:spid="_x0000_s1052" type="#_x0000_t109" style="position:absolute;margin-left:253.65pt;margin-top:-19.2pt;width:199.5pt;height:12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">
                <v:textbox>
                  <w:txbxContent>
                    <w:p w14:paraId="789815FF" w14:textId="77777777" w:rsidR="003D10DF" w:rsidRPr="00841EAA" w:rsidRDefault="003D10DF" w:rsidP="000B76FB">
                      <w:pPr>
                        <w:rPr>
                          <w:b/>
                          <w:lang w:val="fr-FR"/>
                        </w:rPr>
                      </w:pPr>
                      <w:r w:rsidRPr="00FE4FEA">
                        <w:rPr>
                          <w:b/>
                          <w:lang w:val="ro-RO"/>
                        </w:rPr>
                        <w:t>Sursa de date primare</w:t>
                      </w:r>
                      <w:r w:rsidRPr="00841EAA">
                        <w:rPr>
                          <w:b/>
                          <w:lang w:val="fr-FR"/>
                        </w:rPr>
                        <w:t>:</w:t>
                      </w:r>
                    </w:p>
                    <w:p w14:paraId="7D90D1FE" w14:textId="77777777" w:rsidR="003D10DF" w:rsidRPr="004129FE" w:rsidRDefault="003D10DF" w:rsidP="000B76FB">
                      <w:pPr>
                        <w:rPr>
                          <w:lang w:val="ro-RO"/>
                        </w:rPr>
                      </w:pPr>
                      <w:r w:rsidRPr="004129FE">
                        <w:rPr>
                          <w:lang w:val="ro-RO"/>
                        </w:rPr>
                        <w:t>-Bugetul asigurărilor sociale de stat</w:t>
                      </w:r>
                    </w:p>
                    <w:p w14:paraId="37D4EEF1" w14:textId="78210111" w:rsidR="003D10DF" w:rsidRPr="004129FE" w:rsidRDefault="003D10DF" w:rsidP="000B76FB">
                      <w:pPr>
                        <w:rPr>
                          <w:lang w:val="ro-RO"/>
                        </w:rPr>
                      </w:pPr>
                      <w:r w:rsidRPr="004129FE">
                        <w:rPr>
                          <w:lang w:val="ro-RO"/>
                        </w:rPr>
                        <w:t>-Bugetul asigurărilor pentru șomaj</w:t>
                      </w:r>
                    </w:p>
                    <w:p w14:paraId="7EDF5C27" w14:textId="2E5532CC" w:rsidR="003D10DF" w:rsidRPr="004129FE" w:rsidRDefault="003D10DF" w:rsidP="000B76FB">
                      <w:pPr>
                        <w:rPr>
                          <w:lang w:val="ro-RO"/>
                        </w:rPr>
                      </w:pPr>
                      <w:r w:rsidRPr="004129FE">
                        <w:rPr>
                          <w:lang w:val="ro-RO"/>
                        </w:rPr>
                        <w:t>-Fondul național de asigurări  sociale de sănătate</w:t>
                      </w:r>
                    </w:p>
                    <w:p w14:paraId="59DF44BE" w14:textId="2DC1DF8A" w:rsidR="003D10DF" w:rsidRDefault="003D10DF" w:rsidP="000B76FB">
                      <w:pPr>
                        <w:rPr>
                          <w:lang w:val="ro-RO"/>
                        </w:rPr>
                      </w:pPr>
                      <w:r>
                        <w:rPr>
                          <w:lang w:val="ro-RO"/>
                        </w:rPr>
                        <w:t>-Instituții finanțate parțial sau integral din venituri proprii -aferente bugetului asigurărilor pentru șomaj-</w:t>
                      </w:r>
                    </w:p>
                    <w:p w14:paraId="655D2189" w14:textId="77777777" w:rsidR="003D10DF" w:rsidRDefault="003D10DF" w:rsidP="000B76FB"/>
                    <w:p w14:paraId="40DC6FEB" w14:textId="77777777" w:rsidR="003D10DF" w:rsidRDefault="003D10DF" w:rsidP="000B76FB">
                      <w:pPr>
                        <w:rPr>
                          <w:lang w:val="ro-RO"/>
                        </w:rPr>
                      </w:pPr>
                    </w:p>
                    <w:p w14:paraId="63BE5A78" w14:textId="77777777" w:rsidR="003D10DF" w:rsidRPr="002B553C" w:rsidRDefault="003D10DF" w:rsidP="000B76FB">
                      <w:pPr>
                        <w:rPr>
                          <w:lang w:val="ro-RO"/>
                        </w:rPr>
                      </w:pPr>
                    </w:p>
                  </w:txbxContent>
                </v:textbox>
                <w10:anchorlock/>
              </v:shape>
            </w:pict>
          </mc:Fallback>
        </mc:AlternateContent>
      </w:r>
      <w:r w:rsidRPr="006B2701">
        <w:rPr>
          <w:rFonts w:ascii="Arial" w:hAnsi="Arial" w:cs="Arial"/>
          <w:noProof/>
          <w:sz w:val="24"/>
          <w:szCs w:val="24"/>
        </w:rPr>
        <mc:AlternateContent>
          <mc:Choice Requires="wps">
            <w:drawing>
              <wp:anchor distT="0" distB="0" distL="114300" distR="114300" simplePos="0" relativeHeight="251636224" behindDoc="0" locked="1" layoutInCell="1" allowOverlap="1" wp14:anchorId="55D19A3C" wp14:editId="6516CB22">
                <wp:simplePos x="0" y="0"/>
                <wp:positionH relativeFrom="column">
                  <wp:posOffset>-72390</wp:posOffset>
                </wp:positionH>
                <wp:positionV relativeFrom="paragraph">
                  <wp:posOffset>-234315</wp:posOffset>
                </wp:positionV>
                <wp:extent cx="2967990" cy="1600200"/>
                <wp:effectExtent l="9525" t="5715" r="13335" b="13335"/>
                <wp:wrapNone/>
                <wp:docPr id="26"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990" cy="1600200"/>
                        </a:xfrm>
                        <a:prstGeom prst="flowChartProcess">
                          <a:avLst/>
                        </a:prstGeom>
                        <a:solidFill>
                          <a:srgbClr val="FFFFFF"/>
                        </a:solidFill>
                        <a:ln w="9525">
                          <a:solidFill>
                            <a:srgbClr val="000000"/>
                          </a:solidFill>
                          <a:miter lim="800000"/>
                          <a:headEnd/>
                          <a:tailEnd/>
                        </a:ln>
                      </wps:spPr>
                      <wps:txbx>
                        <w:txbxContent>
                          <w:p w14:paraId="08D5537D" w14:textId="77777777" w:rsidR="003D10DF" w:rsidRPr="00841EAA" w:rsidRDefault="003D10DF" w:rsidP="000B76FB">
                            <w:pPr>
                              <w:rPr>
                                <w:b/>
                                <w:lang w:val="fr-FR"/>
                              </w:rPr>
                            </w:pPr>
                            <w:r w:rsidRPr="00FE4FEA">
                              <w:rPr>
                                <w:b/>
                                <w:lang w:val="ro-RO"/>
                              </w:rPr>
                              <w:t>Sursa de date primare</w:t>
                            </w:r>
                            <w:r w:rsidRPr="00841EAA">
                              <w:rPr>
                                <w:b/>
                                <w:lang w:val="fr-FR"/>
                              </w:rPr>
                              <w:t>:</w:t>
                            </w:r>
                          </w:p>
                          <w:p w14:paraId="7AF0A64B" w14:textId="77777777" w:rsidR="003D10DF" w:rsidRPr="004129FE" w:rsidRDefault="003D10DF" w:rsidP="000B76FB">
                            <w:pPr>
                              <w:rPr>
                                <w:lang w:val="ro-RO"/>
                              </w:rPr>
                            </w:pPr>
                            <w:r w:rsidRPr="004129FE">
                              <w:rPr>
                                <w:lang w:val="ro-RO"/>
                              </w:rPr>
                              <w:t>-Bugetul asigurărilor sociale de stat</w:t>
                            </w:r>
                          </w:p>
                          <w:p w14:paraId="7D287AD0" w14:textId="2F2F4AC4" w:rsidR="003D10DF" w:rsidRPr="004129FE" w:rsidRDefault="003D10DF" w:rsidP="000B76FB">
                            <w:pPr>
                              <w:rPr>
                                <w:lang w:val="ro-RO"/>
                              </w:rPr>
                            </w:pPr>
                            <w:r w:rsidRPr="004129FE">
                              <w:rPr>
                                <w:lang w:val="ro-RO"/>
                              </w:rPr>
                              <w:t>-Bugetul asigurărilor pentru șomaj</w:t>
                            </w:r>
                          </w:p>
                          <w:p w14:paraId="14FC693D" w14:textId="687ED399" w:rsidR="003D10DF" w:rsidRDefault="003D10DF" w:rsidP="000B76FB">
                            <w:pPr>
                              <w:rPr>
                                <w:lang w:val="ro-RO"/>
                              </w:rPr>
                            </w:pPr>
                            <w:r w:rsidRPr="004129FE">
                              <w:rPr>
                                <w:lang w:val="ro-RO"/>
                              </w:rPr>
                              <w:t>-Fondul național de asigurări  sociale de sănătate</w:t>
                            </w:r>
                          </w:p>
                          <w:p w14:paraId="325DFD63" w14:textId="5E1B3181" w:rsidR="003D10DF" w:rsidRDefault="003D10DF" w:rsidP="000B76FB">
                            <w:pPr>
                              <w:rPr>
                                <w:lang w:val="ro-RO"/>
                              </w:rPr>
                            </w:pPr>
                            <w:r>
                              <w:rPr>
                                <w:lang w:val="ro-RO"/>
                              </w:rPr>
                              <w:t>-Instituții finanțate parțial sau integral din venituri proprii -aferente bugetului asigurărilor pentru șomaj-</w:t>
                            </w:r>
                          </w:p>
                          <w:p w14:paraId="5ACE8998" w14:textId="77777777" w:rsidR="003D10DF" w:rsidRPr="004129FE" w:rsidRDefault="003D10DF" w:rsidP="000B76FB">
                            <w:pPr>
                              <w:rPr>
                                <w:lang w:val="ro-RO"/>
                              </w:rPr>
                            </w:pPr>
                          </w:p>
                          <w:p w14:paraId="408162C3" w14:textId="77777777" w:rsidR="003D10DF" w:rsidRDefault="003D10DF" w:rsidP="000B76FB">
                            <w:pPr>
                              <w:rPr>
                                <w:lang w:val="ro-RO"/>
                              </w:rPr>
                            </w:pPr>
                          </w:p>
                          <w:p w14:paraId="3EB6A4D0" w14:textId="77777777" w:rsidR="003D10DF" w:rsidRDefault="003D10DF" w:rsidP="000B76FB">
                            <w:pPr>
                              <w:rPr>
                                <w:lang w:val="ro-RO"/>
                              </w:rPr>
                            </w:pPr>
                          </w:p>
                          <w:p w14:paraId="7FDD8E75" w14:textId="77777777" w:rsidR="003D10DF" w:rsidRPr="002B553C" w:rsidRDefault="003D10DF"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9A3C" id="AutoShape 133" o:spid="_x0000_s1053" type="#_x0000_t109" style="position:absolute;margin-left:-5.7pt;margin-top:-18.45pt;width:233.7pt;height:12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">
                <v:textbox>
                  <w:txbxContent>
                    <w:p w14:paraId="08D5537D" w14:textId="77777777" w:rsidR="003D10DF" w:rsidRPr="00841EAA" w:rsidRDefault="003D10DF" w:rsidP="000B76FB">
                      <w:pPr>
                        <w:rPr>
                          <w:b/>
                          <w:lang w:val="fr-FR"/>
                        </w:rPr>
                      </w:pPr>
                      <w:r w:rsidRPr="00FE4FEA">
                        <w:rPr>
                          <w:b/>
                          <w:lang w:val="ro-RO"/>
                        </w:rPr>
                        <w:t>Sursa de date primare</w:t>
                      </w:r>
                      <w:r w:rsidRPr="00841EAA">
                        <w:rPr>
                          <w:b/>
                          <w:lang w:val="fr-FR"/>
                        </w:rPr>
                        <w:t>:</w:t>
                      </w:r>
                    </w:p>
                    <w:p w14:paraId="7AF0A64B" w14:textId="77777777" w:rsidR="003D10DF" w:rsidRPr="004129FE" w:rsidRDefault="003D10DF" w:rsidP="000B76FB">
                      <w:pPr>
                        <w:rPr>
                          <w:lang w:val="ro-RO"/>
                        </w:rPr>
                      </w:pPr>
                      <w:r w:rsidRPr="004129FE">
                        <w:rPr>
                          <w:lang w:val="ro-RO"/>
                        </w:rPr>
                        <w:t>-Bugetul asigurărilor sociale de stat</w:t>
                      </w:r>
                    </w:p>
                    <w:p w14:paraId="7D287AD0" w14:textId="2F2F4AC4" w:rsidR="003D10DF" w:rsidRPr="004129FE" w:rsidRDefault="003D10DF" w:rsidP="000B76FB">
                      <w:pPr>
                        <w:rPr>
                          <w:lang w:val="ro-RO"/>
                        </w:rPr>
                      </w:pPr>
                      <w:r w:rsidRPr="004129FE">
                        <w:rPr>
                          <w:lang w:val="ro-RO"/>
                        </w:rPr>
                        <w:t>-Bugetul asigurărilor pentru șomaj</w:t>
                      </w:r>
                    </w:p>
                    <w:p w14:paraId="14FC693D" w14:textId="687ED399" w:rsidR="003D10DF" w:rsidRDefault="003D10DF" w:rsidP="000B76FB">
                      <w:pPr>
                        <w:rPr>
                          <w:lang w:val="ro-RO"/>
                        </w:rPr>
                      </w:pPr>
                      <w:r w:rsidRPr="004129FE">
                        <w:rPr>
                          <w:lang w:val="ro-RO"/>
                        </w:rPr>
                        <w:t>-Fondul național de asigurări  sociale de sănătate</w:t>
                      </w:r>
                    </w:p>
                    <w:p w14:paraId="325DFD63" w14:textId="5E1B3181" w:rsidR="003D10DF" w:rsidRDefault="003D10DF" w:rsidP="000B76FB">
                      <w:pPr>
                        <w:rPr>
                          <w:lang w:val="ro-RO"/>
                        </w:rPr>
                      </w:pPr>
                      <w:r>
                        <w:rPr>
                          <w:lang w:val="ro-RO"/>
                        </w:rPr>
                        <w:t>-Instituții finanțate parțial sau integral din venituri proprii -aferente bugetului asigurărilor pentru șomaj-</w:t>
                      </w:r>
                    </w:p>
                    <w:p w14:paraId="5ACE8998" w14:textId="77777777" w:rsidR="003D10DF" w:rsidRPr="004129FE" w:rsidRDefault="003D10DF" w:rsidP="000B76FB">
                      <w:pPr>
                        <w:rPr>
                          <w:lang w:val="ro-RO"/>
                        </w:rPr>
                      </w:pPr>
                    </w:p>
                    <w:p w14:paraId="408162C3" w14:textId="77777777" w:rsidR="003D10DF" w:rsidRDefault="003D10DF" w:rsidP="000B76FB">
                      <w:pPr>
                        <w:rPr>
                          <w:lang w:val="ro-RO"/>
                        </w:rPr>
                      </w:pPr>
                    </w:p>
                    <w:p w14:paraId="3EB6A4D0" w14:textId="77777777" w:rsidR="003D10DF" w:rsidRDefault="003D10DF" w:rsidP="000B76FB">
                      <w:pPr>
                        <w:rPr>
                          <w:lang w:val="ro-RO"/>
                        </w:rPr>
                      </w:pPr>
                    </w:p>
                    <w:p w14:paraId="7FDD8E75" w14:textId="77777777" w:rsidR="003D10DF" w:rsidRPr="002B553C" w:rsidRDefault="003D10DF" w:rsidP="000B76FB">
                      <w:pPr>
                        <w:rPr>
                          <w:lang w:val="ro-RO"/>
                        </w:rPr>
                      </w:pPr>
                    </w:p>
                  </w:txbxContent>
                </v:textbox>
                <w10:anchorlock/>
              </v:shape>
            </w:pict>
          </mc:Fallback>
        </mc:AlternateContent>
      </w:r>
      <w:r w:rsidR="00BA5E33" w:rsidRPr="006B2701">
        <w:rPr>
          <w:rFonts w:ascii="Arial" w:eastAsia="MS Mincho" w:hAnsi="Arial" w:cs="Arial"/>
          <w:sz w:val="24"/>
          <w:szCs w:val="24"/>
          <w:lang w:val="ro-RO" w:eastAsia="ja-JP"/>
        </w:rPr>
        <w:tab/>
      </w:r>
    </w:p>
    <w:p w14:paraId="6867F4DE" w14:textId="77777777" w:rsidR="00BA5E33" w:rsidRPr="006B2701" w:rsidRDefault="00BA5E33" w:rsidP="000F5753">
      <w:pPr>
        <w:tabs>
          <w:tab w:val="left" w:pos="5520"/>
        </w:tabs>
        <w:spacing w:line="276" w:lineRule="auto"/>
        <w:rPr>
          <w:rFonts w:ascii="Arial" w:eastAsia="MS Mincho" w:hAnsi="Arial" w:cs="Arial"/>
          <w:sz w:val="24"/>
          <w:szCs w:val="24"/>
          <w:lang w:val="ro-RO" w:eastAsia="ja-JP"/>
        </w:rPr>
      </w:pPr>
      <w:r w:rsidRPr="006B2701">
        <w:rPr>
          <w:rFonts w:ascii="Arial" w:eastAsia="MS Mincho" w:hAnsi="Arial" w:cs="Arial"/>
          <w:sz w:val="24"/>
          <w:szCs w:val="24"/>
          <w:lang w:val="ro-RO" w:eastAsia="ja-JP"/>
        </w:rPr>
        <w:tab/>
      </w:r>
    </w:p>
    <w:p w14:paraId="7729D451" w14:textId="77777777" w:rsidR="00BA5E33" w:rsidRPr="006B2701" w:rsidRDefault="00BA5E33" w:rsidP="000F5753">
      <w:pPr>
        <w:tabs>
          <w:tab w:val="left" w:pos="11475"/>
        </w:tabs>
        <w:spacing w:line="276" w:lineRule="auto"/>
        <w:rPr>
          <w:rFonts w:ascii="Arial" w:eastAsia="MS Mincho" w:hAnsi="Arial" w:cs="Arial"/>
          <w:sz w:val="24"/>
          <w:szCs w:val="24"/>
          <w:lang w:val="ro-RO" w:eastAsia="ja-JP"/>
        </w:rPr>
      </w:pPr>
      <w:r w:rsidRPr="006B2701">
        <w:rPr>
          <w:rFonts w:ascii="Arial" w:eastAsia="MS Mincho" w:hAnsi="Arial" w:cs="Arial"/>
          <w:sz w:val="24"/>
          <w:szCs w:val="24"/>
          <w:lang w:val="ro-RO" w:eastAsia="ja-JP"/>
        </w:rPr>
        <w:tab/>
      </w:r>
    </w:p>
    <w:p w14:paraId="1AC3284E" w14:textId="77777777" w:rsidR="00BA5E33" w:rsidRPr="006B2701" w:rsidRDefault="00BA5E33" w:rsidP="000F5753">
      <w:pPr>
        <w:spacing w:line="276" w:lineRule="auto"/>
        <w:rPr>
          <w:rFonts w:ascii="Arial" w:eastAsia="MS Mincho" w:hAnsi="Arial" w:cs="Arial"/>
          <w:sz w:val="24"/>
          <w:szCs w:val="24"/>
          <w:lang w:val="ro-RO" w:eastAsia="ja-JP"/>
        </w:rPr>
      </w:pPr>
    </w:p>
    <w:p w14:paraId="4BEDFBFF" w14:textId="77777777" w:rsidR="00BA5E33" w:rsidRPr="006B2701" w:rsidRDefault="00BA5E33" w:rsidP="000F5753">
      <w:pPr>
        <w:spacing w:line="276" w:lineRule="auto"/>
        <w:rPr>
          <w:rFonts w:ascii="Arial" w:eastAsia="MS Mincho" w:hAnsi="Arial" w:cs="Arial"/>
          <w:sz w:val="24"/>
          <w:szCs w:val="24"/>
          <w:lang w:val="ro-RO" w:eastAsia="ja-JP"/>
        </w:rPr>
      </w:pPr>
    </w:p>
    <w:p w14:paraId="03E9404E" w14:textId="77777777" w:rsidR="00BA5E33" w:rsidRPr="006B2701" w:rsidRDefault="00BA5E33" w:rsidP="000F5753">
      <w:pPr>
        <w:spacing w:line="276" w:lineRule="auto"/>
        <w:rPr>
          <w:rFonts w:ascii="Arial" w:eastAsia="MS Mincho" w:hAnsi="Arial" w:cs="Arial"/>
          <w:sz w:val="24"/>
          <w:szCs w:val="24"/>
          <w:lang w:val="ro-RO" w:eastAsia="ja-JP"/>
        </w:rPr>
      </w:pPr>
    </w:p>
    <w:p w14:paraId="26549B92" w14:textId="77777777" w:rsidR="00BA5E33" w:rsidRPr="006B2701" w:rsidRDefault="00BA5E33" w:rsidP="000F5753">
      <w:pPr>
        <w:tabs>
          <w:tab w:val="left" w:pos="2430"/>
        </w:tabs>
        <w:spacing w:line="276" w:lineRule="auto"/>
        <w:rPr>
          <w:rFonts w:ascii="Arial" w:eastAsia="MS Mincho" w:hAnsi="Arial" w:cs="Arial"/>
          <w:sz w:val="24"/>
          <w:szCs w:val="24"/>
          <w:lang w:val="ro-RO" w:eastAsia="ja-JP"/>
        </w:rPr>
      </w:pPr>
      <w:r w:rsidRPr="006B2701">
        <w:rPr>
          <w:rFonts w:ascii="Arial" w:eastAsia="MS Mincho" w:hAnsi="Arial" w:cs="Arial"/>
          <w:sz w:val="24"/>
          <w:szCs w:val="24"/>
          <w:lang w:val="ro-RO" w:eastAsia="ja-JP"/>
        </w:rPr>
        <w:tab/>
      </w:r>
    </w:p>
    <w:p w14:paraId="16E10277" w14:textId="77777777" w:rsidR="00BA5E33" w:rsidRPr="006B2701" w:rsidRDefault="00BA5E33" w:rsidP="000F5753">
      <w:pPr>
        <w:spacing w:line="276" w:lineRule="auto"/>
        <w:rPr>
          <w:rFonts w:ascii="Arial" w:eastAsia="MS Mincho" w:hAnsi="Arial" w:cs="Arial"/>
          <w:sz w:val="24"/>
          <w:szCs w:val="24"/>
          <w:lang w:val="ro-RO" w:eastAsia="ja-JP"/>
        </w:rPr>
      </w:pPr>
    </w:p>
    <w:p w14:paraId="51283B36" w14:textId="77777777" w:rsidR="00BA5E33" w:rsidRPr="006B2701" w:rsidRDefault="00B54EB1" w:rsidP="000F5753">
      <w:pPr>
        <w:spacing w:line="276" w:lineRule="auto"/>
        <w:rPr>
          <w:rFonts w:ascii="Arial" w:eastAsia="MS Mincho" w:hAnsi="Arial" w:cs="Arial"/>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52608" behindDoc="0" locked="1" layoutInCell="1" allowOverlap="1" wp14:anchorId="367BC14D" wp14:editId="44B37AAB">
                <wp:simplePos x="0" y="0"/>
                <wp:positionH relativeFrom="column">
                  <wp:posOffset>4316730</wp:posOffset>
                </wp:positionH>
                <wp:positionV relativeFrom="paragraph">
                  <wp:posOffset>-248920</wp:posOffset>
                </wp:positionV>
                <wp:extent cx="0" cy="457200"/>
                <wp:effectExtent l="55245" t="7620" r="59055" b="20955"/>
                <wp:wrapNone/>
                <wp:docPr id="25"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C738F" id="Line 15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9pt,-19.6pt" to="339.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">
                <v:stroke endarrow="block"/>
                <w10:anchorlock/>
              </v:line>
            </w:pict>
          </mc:Fallback>
        </mc:AlternateContent>
      </w:r>
      <w:r w:rsidRPr="006B2701">
        <w:rPr>
          <w:rFonts w:ascii="Arial" w:hAnsi="Arial" w:cs="Arial"/>
          <w:noProof/>
          <w:sz w:val="24"/>
          <w:szCs w:val="24"/>
        </w:rPr>
        <mc:AlternateContent>
          <mc:Choice Requires="wps">
            <w:drawing>
              <wp:anchor distT="0" distB="0" distL="114300" distR="114300" simplePos="0" relativeHeight="251651584" behindDoc="0" locked="1" layoutInCell="1" allowOverlap="1" wp14:anchorId="3475C7D7" wp14:editId="25805527">
                <wp:simplePos x="0" y="0"/>
                <wp:positionH relativeFrom="column">
                  <wp:posOffset>1158240</wp:posOffset>
                </wp:positionH>
                <wp:positionV relativeFrom="paragraph">
                  <wp:posOffset>-239395</wp:posOffset>
                </wp:positionV>
                <wp:extent cx="0" cy="457200"/>
                <wp:effectExtent l="59055" t="7620" r="55245" b="20955"/>
                <wp:wrapNone/>
                <wp:docPr id="2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C0BC2" id="Line 15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8.85pt" to="91.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W6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">
                <v:stroke endarrow="block"/>
                <w10:anchorlock/>
              </v:line>
            </w:pict>
          </mc:Fallback>
        </mc:AlternateContent>
      </w:r>
    </w:p>
    <w:p w14:paraId="0F74785D" w14:textId="77777777" w:rsidR="00BA5E33" w:rsidRPr="006B2701" w:rsidRDefault="00BA5E33" w:rsidP="000F5753">
      <w:pPr>
        <w:spacing w:line="276" w:lineRule="auto"/>
        <w:rPr>
          <w:rFonts w:ascii="Arial" w:eastAsia="MS Mincho" w:hAnsi="Arial" w:cs="Arial"/>
          <w:sz w:val="24"/>
          <w:szCs w:val="24"/>
          <w:lang w:val="ro-RO" w:eastAsia="ja-JP"/>
        </w:rPr>
      </w:pPr>
    </w:p>
    <w:p w14:paraId="023A30ED" w14:textId="77777777" w:rsidR="00BA5E33" w:rsidRPr="006B2701" w:rsidRDefault="00B54EB1" w:rsidP="000F5753">
      <w:pPr>
        <w:spacing w:line="276" w:lineRule="auto"/>
        <w:rPr>
          <w:rFonts w:ascii="Arial" w:eastAsia="MS Mincho" w:hAnsi="Arial" w:cs="Arial"/>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39296" behindDoc="0" locked="1" layoutInCell="1" allowOverlap="1" wp14:anchorId="474F8F09" wp14:editId="522F2C40">
                <wp:simplePos x="0" y="0"/>
                <wp:positionH relativeFrom="column">
                  <wp:posOffset>3227070</wp:posOffset>
                </wp:positionH>
                <wp:positionV relativeFrom="paragraph">
                  <wp:posOffset>-202565</wp:posOffset>
                </wp:positionV>
                <wp:extent cx="2569845" cy="457200"/>
                <wp:effectExtent l="13335" t="5715" r="7620" b="13335"/>
                <wp:wrapNone/>
                <wp:docPr id="23"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457200"/>
                        </a:xfrm>
                        <a:prstGeom prst="flowChartProcess">
                          <a:avLst/>
                        </a:prstGeom>
                        <a:solidFill>
                          <a:srgbClr val="FFFFFF"/>
                        </a:solidFill>
                        <a:ln w="9525">
                          <a:solidFill>
                            <a:srgbClr val="000000"/>
                          </a:solidFill>
                          <a:miter lim="800000"/>
                          <a:headEnd/>
                          <a:tailEnd/>
                        </a:ln>
                      </wps:spPr>
                      <wps:txbx>
                        <w:txbxContent>
                          <w:p w14:paraId="67C3A5B5" w14:textId="77777777" w:rsidR="003D10DF" w:rsidRDefault="003D10DF" w:rsidP="000B76FB">
                            <w:r>
                              <w:rPr>
                                <w:lang w:val="ro-RO"/>
                              </w:rPr>
                              <w:t>Standarde utilizate</w:t>
                            </w:r>
                            <w:r>
                              <w:t>:</w:t>
                            </w:r>
                          </w:p>
                          <w:p w14:paraId="57B8F515" w14:textId="5C62B0E0" w:rsidR="003D10DF" w:rsidRPr="004129FE" w:rsidRDefault="003D10DF" w:rsidP="000B76FB">
                            <w:pPr>
                              <w:rPr>
                                <w:lang w:val="ro-RO"/>
                              </w:rPr>
                            </w:pPr>
                            <w:r w:rsidRPr="004129FE">
                              <w:rPr>
                                <w:lang w:val="ro-RO"/>
                              </w:rPr>
                              <w:t>-metodologie naționala</w:t>
                            </w:r>
                          </w:p>
                          <w:p w14:paraId="6D9F08C8" w14:textId="77777777" w:rsidR="003D10DF" w:rsidRPr="000D6F49" w:rsidRDefault="003D10DF"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F8F09" id="AutoShape 136" o:spid="_x0000_s1054" type="#_x0000_t109" style="position:absolute;margin-left:254.1pt;margin-top:-15.95pt;width:202.35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">
                <v:textbox>
                  <w:txbxContent>
                    <w:p w14:paraId="67C3A5B5" w14:textId="77777777" w:rsidR="003D10DF" w:rsidRDefault="003D10DF" w:rsidP="000B76FB">
                      <w:r>
                        <w:rPr>
                          <w:lang w:val="ro-RO"/>
                        </w:rPr>
                        <w:t>Standarde utilizate</w:t>
                      </w:r>
                      <w:r>
                        <w:t>:</w:t>
                      </w:r>
                    </w:p>
                    <w:p w14:paraId="57B8F515" w14:textId="5C62B0E0" w:rsidR="003D10DF" w:rsidRPr="004129FE" w:rsidRDefault="003D10DF" w:rsidP="000B76FB">
                      <w:pPr>
                        <w:rPr>
                          <w:lang w:val="ro-RO"/>
                        </w:rPr>
                      </w:pPr>
                      <w:r w:rsidRPr="004129FE">
                        <w:rPr>
                          <w:lang w:val="ro-RO"/>
                        </w:rPr>
                        <w:t>-metodologie naționala</w:t>
                      </w:r>
                    </w:p>
                    <w:p w14:paraId="6D9F08C8" w14:textId="77777777" w:rsidR="003D10DF" w:rsidRPr="000D6F49" w:rsidRDefault="003D10DF" w:rsidP="000B76FB"/>
                  </w:txbxContent>
                </v:textbox>
                <w10:anchorlock/>
              </v:shape>
            </w:pict>
          </mc:Fallback>
        </mc:AlternateContent>
      </w:r>
      <w:r w:rsidRPr="006B2701">
        <w:rPr>
          <w:rFonts w:ascii="Arial" w:hAnsi="Arial" w:cs="Arial"/>
          <w:noProof/>
          <w:sz w:val="24"/>
          <w:szCs w:val="24"/>
        </w:rPr>
        <mc:AlternateContent>
          <mc:Choice Requires="wps">
            <w:drawing>
              <wp:anchor distT="0" distB="0" distL="114300" distR="114300" simplePos="0" relativeHeight="251638272" behindDoc="0" locked="1" layoutInCell="1" allowOverlap="1" wp14:anchorId="76C1873C" wp14:editId="796E0FE4">
                <wp:simplePos x="0" y="0"/>
                <wp:positionH relativeFrom="column">
                  <wp:posOffset>274320</wp:posOffset>
                </wp:positionH>
                <wp:positionV relativeFrom="paragraph">
                  <wp:posOffset>-193040</wp:posOffset>
                </wp:positionV>
                <wp:extent cx="1954530" cy="457200"/>
                <wp:effectExtent l="13335" t="5715" r="13335" b="13335"/>
                <wp:wrapNone/>
                <wp:docPr id="22"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457200"/>
                        </a:xfrm>
                        <a:prstGeom prst="flowChartProcess">
                          <a:avLst/>
                        </a:prstGeom>
                        <a:solidFill>
                          <a:srgbClr val="FFFFFF"/>
                        </a:solidFill>
                        <a:ln w="9525">
                          <a:solidFill>
                            <a:srgbClr val="000000"/>
                          </a:solidFill>
                          <a:miter lim="800000"/>
                          <a:headEnd/>
                          <a:tailEnd/>
                        </a:ln>
                      </wps:spPr>
                      <wps:txbx>
                        <w:txbxContent>
                          <w:p w14:paraId="4D146D08" w14:textId="77777777" w:rsidR="003D10DF" w:rsidRDefault="003D10DF" w:rsidP="000B76FB">
                            <w:r>
                              <w:rPr>
                                <w:lang w:val="ro-RO"/>
                              </w:rPr>
                              <w:t>Standarde utilizate</w:t>
                            </w:r>
                            <w:r>
                              <w:t>:</w:t>
                            </w:r>
                          </w:p>
                          <w:p w14:paraId="23A7A453" w14:textId="257D552B" w:rsidR="003D10DF" w:rsidRPr="004129FE" w:rsidRDefault="003D10DF" w:rsidP="000B76FB">
                            <w:pPr>
                              <w:rPr>
                                <w:lang w:val="ro-RO"/>
                              </w:rPr>
                            </w:pPr>
                            <w:r w:rsidRPr="004129FE">
                              <w:rPr>
                                <w:lang w:val="ro-RO"/>
                              </w:rPr>
                              <w:t xml:space="preserve">-metodologie </w:t>
                            </w:r>
                            <w:r>
                              <w:rPr>
                                <w:lang w:val="ro-RO"/>
                              </w:rPr>
                              <w:t>națională</w:t>
                            </w:r>
                          </w:p>
                          <w:p w14:paraId="7157C483" w14:textId="77777777" w:rsidR="003D10DF" w:rsidRPr="000D6F49" w:rsidRDefault="003D10DF"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873C" id="AutoShape 135" o:spid="_x0000_s1055" type="#_x0000_t109" style="position:absolute;margin-left:21.6pt;margin-top:-15.2pt;width:153.9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">
                <v:textbox>
                  <w:txbxContent>
                    <w:p w14:paraId="4D146D08" w14:textId="77777777" w:rsidR="003D10DF" w:rsidRDefault="003D10DF" w:rsidP="000B76FB">
                      <w:r>
                        <w:rPr>
                          <w:lang w:val="ro-RO"/>
                        </w:rPr>
                        <w:t>Standarde utilizate</w:t>
                      </w:r>
                      <w:r>
                        <w:t>:</w:t>
                      </w:r>
                    </w:p>
                    <w:p w14:paraId="23A7A453" w14:textId="257D552B" w:rsidR="003D10DF" w:rsidRPr="004129FE" w:rsidRDefault="003D10DF" w:rsidP="000B76FB">
                      <w:pPr>
                        <w:rPr>
                          <w:lang w:val="ro-RO"/>
                        </w:rPr>
                      </w:pPr>
                      <w:r w:rsidRPr="004129FE">
                        <w:rPr>
                          <w:lang w:val="ro-RO"/>
                        </w:rPr>
                        <w:t xml:space="preserve">-metodologie </w:t>
                      </w:r>
                      <w:r>
                        <w:rPr>
                          <w:lang w:val="ro-RO"/>
                        </w:rPr>
                        <w:t>națională</w:t>
                      </w:r>
                    </w:p>
                    <w:p w14:paraId="7157C483" w14:textId="77777777" w:rsidR="003D10DF" w:rsidRPr="000D6F49" w:rsidRDefault="003D10DF" w:rsidP="000B76FB"/>
                  </w:txbxContent>
                </v:textbox>
                <w10:anchorlock/>
              </v:shape>
            </w:pict>
          </mc:Fallback>
        </mc:AlternateContent>
      </w:r>
    </w:p>
    <w:p w14:paraId="0D739CDD" w14:textId="77777777" w:rsidR="00BA5E33" w:rsidRPr="006B2701" w:rsidRDefault="00BA5E33" w:rsidP="000F5753">
      <w:pPr>
        <w:tabs>
          <w:tab w:val="left" w:pos="11325"/>
        </w:tabs>
        <w:spacing w:line="276" w:lineRule="auto"/>
        <w:rPr>
          <w:rFonts w:ascii="Arial" w:eastAsia="MS Mincho" w:hAnsi="Arial" w:cs="Arial"/>
          <w:sz w:val="24"/>
          <w:szCs w:val="24"/>
          <w:lang w:val="ro-RO" w:eastAsia="ja-JP"/>
        </w:rPr>
      </w:pPr>
      <w:r w:rsidRPr="006B2701">
        <w:rPr>
          <w:rFonts w:ascii="Arial" w:eastAsia="MS Mincho" w:hAnsi="Arial" w:cs="Arial"/>
          <w:sz w:val="24"/>
          <w:szCs w:val="24"/>
          <w:lang w:val="ro-RO" w:eastAsia="ja-JP"/>
        </w:rPr>
        <w:tab/>
      </w:r>
    </w:p>
    <w:p w14:paraId="27557692" w14:textId="22600E02" w:rsidR="00BA5E33" w:rsidRPr="006B2701" w:rsidRDefault="00B54EB1" w:rsidP="000F5753">
      <w:pPr>
        <w:spacing w:line="276" w:lineRule="auto"/>
        <w:rPr>
          <w:rFonts w:ascii="Arial" w:eastAsia="MS Mincho" w:hAnsi="Arial" w:cs="Arial"/>
          <w:sz w:val="24"/>
          <w:szCs w:val="24"/>
          <w:lang w:val="ro-RO" w:eastAsia="ja-JP"/>
        </w:rPr>
      </w:pPr>
      <w:r w:rsidRPr="006B2701">
        <w:rPr>
          <w:rFonts w:ascii="Arial" w:hAnsi="Arial" w:cs="Arial"/>
          <w:noProof/>
          <w:sz w:val="24"/>
          <w:szCs w:val="24"/>
        </w:rPr>
        <mc:AlternateContent>
          <mc:Choice Requires="wps">
            <w:drawing>
              <wp:anchor distT="0" distB="0" distL="114300" distR="114300" simplePos="0" relativeHeight="251648512" behindDoc="0" locked="1" layoutInCell="1" allowOverlap="1" wp14:anchorId="0E648ADA" wp14:editId="422F8BC3">
                <wp:simplePos x="0" y="0"/>
                <wp:positionH relativeFrom="column">
                  <wp:posOffset>7233285</wp:posOffset>
                </wp:positionH>
                <wp:positionV relativeFrom="paragraph">
                  <wp:posOffset>-201930</wp:posOffset>
                </wp:positionV>
                <wp:extent cx="0" cy="228600"/>
                <wp:effectExtent l="57150" t="5715" r="57150" b="22860"/>
                <wp:wrapNone/>
                <wp:docPr id="1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C3B8" id="Line 14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5pt,-15.9pt" to="569.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du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">
                <v:stroke endarrow="block"/>
                <w10:anchorlock/>
              </v:line>
            </w:pict>
          </mc:Fallback>
        </mc:AlternateContent>
      </w:r>
      <w:r w:rsidRPr="006B2701">
        <w:rPr>
          <w:rFonts w:ascii="Arial" w:hAnsi="Arial" w:cs="Arial"/>
          <w:noProof/>
          <w:sz w:val="24"/>
          <w:szCs w:val="24"/>
        </w:rPr>
        <mc:AlternateContent>
          <mc:Choice Requires="wps">
            <w:drawing>
              <wp:anchor distT="0" distB="0" distL="114300" distR="114300" simplePos="0" relativeHeight="251643392" behindDoc="0" locked="1" layoutInCell="1" allowOverlap="1" wp14:anchorId="35118504" wp14:editId="7C28C7BC">
                <wp:simplePos x="0" y="0"/>
                <wp:positionH relativeFrom="column">
                  <wp:posOffset>6587490</wp:posOffset>
                </wp:positionH>
                <wp:positionV relativeFrom="paragraph">
                  <wp:posOffset>26670</wp:posOffset>
                </wp:positionV>
                <wp:extent cx="1447800" cy="457200"/>
                <wp:effectExtent l="11430" t="5715" r="7620" b="13335"/>
                <wp:wrapNone/>
                <wp:docPr id="18"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flowChartProcess">
                          <a:avLst/>
                        </a:prstGeom>
                        <a:solidFill>
                          <a:srgbClr val="FFFFFF"/>
                        </a:solidFill>
                        <a:ln w="9525">
                          <a:solidFill>
                            <a:srgbClr val="000000"/>
                          </a:solidFill>
                          <a:miter lim="800000"/>
                          <a:headEnd/>
                          <a:tailEnd/>
                        </a:ln>
                      </wps:spPr>
                      <wps:txbx>
                        <w:txbxContent>
                          <w:p w14:paraId="53B3BCA1" w14:textId="77777777" w:rsidR="003D10DF" w:rsidRDefault="003D10DF" w:rsidP="000B76FB">
                            <w:r>
                              <w:rPr>
                                <w:lang w:val="ro-RO"/>
                              </w:rPr>
                              <w:t>Standarde utilizate</w:t>
                            </w:r>
                            <w:r>
                              <w:t>:</w:t>
                            </w:r>
                          </w:p>
                          <w:p w14:paraId="31583C5D" w14:textId="77777777" w:rsidR="003D10DF" w:rsidRPr="004129FE" w:rsidRDefault="003D10DF" w:rsidP="000B76FB">
                            <w:pPr>
                              <w:rPr>
                                <w:lang w:val="ro-RO"/>
                              </w:rPr>
                            </w:pPr>
                            <w:r w:rsidRPr="004129FE">
                              <w:rPr>
                                <w:lang w:val="ro-RO"/>
                              </w:rPr>
                              <w:t>-</w:t>
                            </w:r>
                            <w:r>
                              <w:rPr>
                                <w:lang w:val="ro-RO"/>
                              </w:rPr>
                              <w:t xml:space="preserve">Standard SEC </w:t>
                            </w:r>
                          </w:p>
                          <w:p w14:paraId="21108764" w14:textId="77777777" w:rsidR="003D10DF" w:rsidRPr="000D6F49" w:rsidRDefault="003D10DF"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18504" id="AutoShape 143" o:spid="_x0000_s1056" type="#_x0000_t109" style="position:absolute;margin-left:518.7pt;margin-top:2.1pt;width:114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">
                <v:textbox>
                  <w:txbxContent>
                    <w:p w14:paraId="53B3BCA1" w14:textId="77777777" w:rsidR="003D10DF" w:rsidRDefault="003D10DF" w:rsidP="000B76FB">
                      <w:r>
                        <w:rPr>
                          <w:lang w:val="ro-RO"/>
                        </w:rPr>
                        <w:t>Standarde utilizate</w:t>
                      </w:r>
                      <w:r>
                        <w:t>:</w:t>
                      </w:r>
                    </w:p>
                    <w:p w14:paraId="31583C5D" w14:textId="77777777" w:rsidR="003D10DF" w:rsidRPr="004129FE" w:rsidRDefault="003D10DF" w:rsidP="000B76FB">
                      <w:pPr>
                        <w:rPr>
                          <w:lang w:val="ro-RO"/>
                        </w:rPr>
                      </w:pPr>
                      <w:r w:rsidRPr="004129FE">
                        <w:rPr>
                          <w:lang w:val="ro-RO"/>
                        </w:rPr>
                        <w:t>-</w:t>
                      </w:r>
                      <w:r>
                        <w:rPr>
                          <w:lang w:val="ro-RO"/>
                        </w:rPr>
                        <w:t xml:space="preserve">Standard SEC </w:t>
                      </w:r>
                    </w:p>
                    <w:p w14:paraId="21108764" w14:textId="77777777" w:rsidR="003D10DF" w:rsidRPr="000D6F49" w:rsidRDefault="003D10DF" w:rsidP="000B76FB"/>
                  </w:txbxContent>
                </v:textbox>
                <w10:anchorlock/>
              </v:shape>
            </w:pict>
          </mc:Fallback>
        </mc:AlternateContent>
      </w:r>
    </w:p>
    <w:p w14:paraId="32A4F161" w14:textId="3EF2F7C4" w:rsidR="00BA5E33" w:rsidRPr="006B2701" w:rsidRDefault="00BA5E33" w:rsidP="000F5753">
      <w:pPr>
        <w:spacing w:line="276" w:lineRule="auto"/>
        <w:rPr>
          <w:rFonts w:ascii="Arial" w:eastAsia="MS Mincho" w:hAnsi="Arial" w:cs="Arial"/>
          <w:b/>
          <w:sz w:val="24"/>
          <w:szCs w:val="24"/>
          <w:lang w:val="ro-RO" w:eastAsia="ja-JP"/>
        </w:rPr>
      </w:pPr>
    </w:p>
    <w:p w14:paraId="350D2CB1" w14:textId="77777777" w:rsidR="007062AC" w:rsidRPr="006B2701" w:rsidRDefault="007062AC" w:rsidP="007062AC">
      <w:pPr>
        <w:rPr>
          <w:rFonts w:ascii="Arial" w:eastAsia="MS Mincho" w:hAnsi="Arial" w:cs="Arial"/>
          <w:sz w:val="24"/>
          <w:szCs w:val="24"/>
          <w:lang w:val="ro-RO" w:eastAsia="ja-JP"/>
        </w:rPr>
      </w:pPr>
    </w:p>
    <w:p w14:paraId="06599868" w14:textId="77777777" w:rsidR="007062AC" w:rsidRPr="006B2701" w:rsidRDefault="007062AC" w:rsidP="007062AC">
      <w:pPr>
        <w:rPr>
          <w:rFonts w:ascii="Arial" w:eastAsia="MS Mincho" w:hAnsi="Arial" w:cs="Arial"/>
          <w:sz w:val="24"/>
          <w:szCs w:val="24"/>
          <w:lang w:val="ro-RO" w:eastAsia="ja-JP"/>
        </w:rPr>
      </w:pPr>
    </w:p>
    <w:p w14:paraId="3212947A" w14:textId="39CF722A" w:rsidR="00C56380" w:rsidRPr="006B2701" w:rsidRDefault="0073616C" w:rsidP="007062AC">
      <w:pPr>
        <w:rPr>
          <w:rFonts w:ascii="Arial" w:eastAsia="MS Mincho" w:hAnsi="Arial" w:cs="Arial"/>
          <w:sz w:val="24"/>
          <w:szCs w:val="24"/>
          <w:lang w:val="ro-RO" w:eastAsia="ja-JP"/>
        </w:rPr>
      </w:pPr>
      <w:r>
        <w:rPr>
          <w:noProof/>
          <w:lang w:val="ro-RO"/>
        </w:rPr>
        <w:lastRenderedPageBreak/>
        <w:pict w14:anchorId="7C789A96">
          <v:shape id="_x0000_i1051" type="#_x0000_t75" style="width:692.85pt;height:514.85pt">
            <v:imagedata r:id="rId33" o:title=""/>
          </v:shape>
        </w:pict>
      </w:r>
    </w:p>
    <w:p w14:paraId="7CCCDAB8" w14:textId="77777777" w:rsidR="00BA5E33" w:rsidRPr="006B2701" w:rsidRDefault="00BA5E33" w:rsidP="000F5753">
      <w:pPr>
        <w:spacing w:line="276" w:lineRule="auto"/>
        <w:rPr>
          <w:rFonts w:ascii="Arial" w:eastAsia="MS Mincho" w:hAnsi="Arial" w:cs="Arial"/>
          <w:b/>
          <w:sz w:val="24"/>
          <w:szCs w:val="24"/>
          <w:lang w:val="ro-RO" w:eastAsia="ja-JP"/>
        </w:rPr>
      </w:pPr>
      <w:r w:rsidRPr="006B2701">
        <w:rPr>
          <w:rFonts w:ascii="Arial" w:eastAsia="MS Mincho" w:hAnsi="Arial" w:cs="Arial"/>
          <w:b/>
          <w:sz w:val="24"/>
          <w:szCs w:val="24"/>
          <w:lang w:val="ro-RO" w:eastAsia="ja-JP"/>
        </w:rPr>
        <w:lastRenderedPageBreak/>
        <w:t>Garanții guvernamentale</w:t>
      </w:r>
    </w:p>
    <w:p w14:paraId="59EFC5CB" w14:textId="77777777" w:rsidR="00BA5E33" w:rsidRPr="006B2701" w:rsidRDefault="00BA5E33" w:rsidP="000F5753">
      <w:pPr>
        <w:spacing w:line="276" w:lineRule="auto"/>
        <w:rPr>
          <w:rFonts w:ascii="Arial" w:eastAsia="MS Mincho" w:hAnsi="Arial" w:cs="Arial"/>
          <w:sz w:val="24"/>
          <w:szCs w:val="24"/>
          <w:lang w:val="ro-RO" w:eastAsia="ja-JP"/>
        </w:rPr>
      </w:pPr>
    </w:p>
    <w:p w14:paraId="5E83EDD0" w14:textId="77777777" w:rsidR="00BA5E33" w:rsidRPr="006B2701" w:rsidRDefault="00BA5E33" w:rsidP="000F5753">
      <w:pPr>
        <w:spacing w:line="276" w:lineRule="auto"/>
        <w:jc w:val="both"/>
        <w:rPr>
          <w:rFonts w:ascii="Arial" w:eastAsia="MS Mincho" w:hAnsi="Arial" w:cs="Arial"/>
          <w:sz w:val="24"/>
          <w:szCs w:val="24"/>
          <w:lang w:val="ro-RO" w:eastAsia="ja-JP"/>
        </w:rPr>
      </w:pPr>
      <w:r w:rsidRPr="006B2701">
        <w:rPr>
          <w:rFonts w:ascii="Arial" w:eastAsia="MS Mincho" w:hAnsi="Arial" w:cs="Arial"/>
          <w:sz w:val="24"/>
          <w:szCs w:val="24"/>
          <w:lang w:val="ro-RO" w:eastAsia="ja-JP"/>
        </w:rPr>
        <w:tab/>
        <w:t xml:space="preserve">Datele privind garanțiile guvernamentale acoperă toate </w:t>
      </w:r>
      <w:proofErr w:type="spellStart"/>
      <w:r w:rsidRPr="006B2701">
        <w:rPr>
          <w:rFonts w:ascii="Arial" w:eastAsia="MS Mincho" w:hAnsi="Arial" w:cs="Arial"/>
          <w:sz w:val="24"/>
          <w:szCs w:val="24"/>
          <w:lang w:val="ro-RO" w:eastAsia="ja-JP"/>
        </w:rPr>
        <w:t>subsectoarele</w:t>
      </w:r>
      <w:proofErr w:type="spellEnd"/>
      <w:r w:rsidRPr="006B2701">
        <w:rPr>
          <w:rFonts w:ascii="Arial" w:eastAsia="MS Mincho" w:hAnsi="Arial" w:cs="Arial"/>
          <w:sz w:val="24"/>
          <w:szCs w:val="24"/>
          <w:lang w:val="ro-RO" w:eastAsia="ja-JP"/>
        </w:rPr>
        <w:t xml:space="preserve"> administrației publice, cu excepția sistemelor de asigurări sociale. Datele sunt clasificate în garanții emise pentru societăți publice, societăți financiare și garanții emise în timpul crizei financiare.</w:t>
      </w:r>
    </w:p>
    <w:p w14:paraId="06472214" w14:textId="77777777" w:rsidR="00BA5E33" w:rsidRPr="006B2701" w:rsidRDefault="00BA5E33" w:rsidP="000F5753">
      <w:pPr>
        <w:spacing w:line="276" w:lineRule="auto"/>
        <w:jc w:val="both"/>
        <w:rPr>
          <w:rFonts w:ascii="Arial" w:eastAsia="MS Mincho" w:hAnsi="Arial" w:cs="Arial"/>
          <w:sz w:val="24"/>
          <w:szCs w:val="24"/>
          <w:lang w:val="ro-RO" w:eastAsia="ja-JP"/>
        </w:rPr>
      </w:pPr>
    </w:p>
    <w:p w14:paraId="71F300C0" w14:textId="77777777" w:rsidR="00BA5E33" w:rsidRPr="006B2701" w:rsidRDefault="00BA5E33" w:rsidP="000F5753">
      <w:pPr>
        <w:spacing w:line="276" w:lineRule="auto"/>
        <w:jc w:val="both"/>
        <w:rPr>
          <w:rFonts w:ascii="Arial" w:eastAsia="MS Mincho" w:hAnsi="Arial" w:cs="Arial"/>
          <w:sz w:val="24"/>
          <w:szCs w:val="24"/>
          <w:lang w:val="ro-RO" w:eastAsia="ja-JP"/>
        </w:rPr>
      </w:pPr>
      <w:r w:rsidRPr="006B2701">
        <w:rPr>
          <w:rFonts w:ascii="Arial" w:eastAsia="MS Mincho" w:hAnsi="Arial" w:cs="Arial"/>
          <w:sz w:val="24"/>
          <w:szCs w:val="24"/>
          <w:lang w:val="ro-RO" w:eastAsia="ja-JP"/>
        </w:rPr>
        <w:t>Garanțiile standardizate versus garanțiile simple:</w:t>
      </w:r>
    </w:p>
    <w:p w14:paraId="1270BB64" w14:textId="77777777" w:rsidR="00BA5E33" w:rsidRPr="006B2701" w:rsidRDefault="00BA5E33" w:rsidP="000F5753">
      <w:pPr>
        <w:spacing w:line="276" w:lineRule="auto"/>
        <w:jc w:val="both"/>
        <w:rPr>
          <w:rFonts w:ascii="Arial" w:eastAsia="MS Mincho" w:hAnsi="Arial" w:cs="Arial"/>
          <w:sz w:val="24"/>
          <w:szCs w:val="24"/>
          <w:lang w:val="ro-RO" w:eastAsia="ja-JP"/>
        </w:rPr>
      </w:pPr>
    </w:p>
    <w:p w14:paraId="4ACE8A9C" w14:textId="4FD9B55F" w:rsidR="00BA5E33" w:rsidRPr="006B2701" w:rsidRDefault="00BA5E33" w:rsidP="00AB5518">
      <w:pPr>
        <w:spacing w:after="120" w:line="276" w:lineRule="auto"/>
        <w:jc w:val="both"/>
        <w:rPr>
          <w:rFonts w:ascii="Arial" w:eastAsia="MS Mincho" w:hAnsi="Arial" w:cs="Arial"/>
          <w:sz w:val="24"/>
          <w:szCs w:val="24"/>
          <w:lang w:val="ro-RO" w:eastAsia="ja-JP"/>
        </w:rPr>
      </w:pPr>
      <w:r w:rsidRPr="006B2701">
        <w:rPr>
          <w:rFonts w:ascii="Arial" w:eastAsia="MS Mincho" w:hAnsi="Arial" w:cs="Arial"/>
          <w:sz w:val="24"/>
          <w:szCs w:val="24"/>
          <w:lang w:val="ro-RO" w:eastAsia="ja-JP"/>
        </w:rPr>
        <w:tab/>
        <w:t>"Garanții standardizate sunt garanții care sunt emise în număr mare, de obicei pentru sume destul de mici, în condiții identice. Există trei părți implicate în aceste  aranjamente- debitorul, creditorul și garantul. Debitorului sau creditorul poate încheia contracte cu garantul pentru a rambursa valoarea împrumutului creditorului, în cazul în care debitorul nu își poate îndeplini obligațiile contractuale. Nu este posibil să se estimeze cu precizie riscul de credit pentru fiecare împrumut, dar este posibil să se estimeze pentru cât de multe dintr-un număr mare de astfel de împrumuturi, nu se vor îndeplini obligațiile contractuale. Exemple sunt garanțiile pentru împrumuturi ipotecare, garanții pentru împrumuturi studențești, etc. "(Grupul de lucru cu privire la implicațiile Directivei 2011/85, Raport final).</w:t>
      </w:r>
    </w:p>
    <w:p w14:paraId="70A8608E" w14:textId="77777777" w:rsidR="00BA5E33" w:rsidRPr="006B2701" w:rsidRDefault="00BA5E33" w:rsidP="000F5753">
      <w:pPr>
        <w:spacing w:line="276" w:lineRule="auto"/>
        <w:jc w:val="both"/>
        <w:rPr>
          <w:rFonts w:ascii="Arial" w:eastAsia="MS Mincho" w:hAnsi="Arial" w:cs="Arial"/>
          <w:sz w:val="24"/>
          <w:szCs w:val="24"/>
          <w:lang w:val="ro-RO" w:eastAsia="ja-JP"/>
        </w:rPr>
      </w:pPr>
      <w:r w:rsidRPr="006B2701">
        <w:rPr>
          <w:rFonts w:ascii="Arial" w:eastAsia="MS Mincho" w:hAnsi="Arial" w:cs="Arial"/>
          <w:sz w:val="24"/>
          <w:szCs w:val="24"/>
          <w:lang w:val="ro-RO" w:eastAsia="ja-JP"/>
        </w:rPr>
        <w:tab/>
        <w:t>"O garanție simplă este definită ca individuală, iar garantul nu este în măsură să facă o estimare sigură a riscului de neplată. Garanțiile simple sunt legate de instrumente de datorie (de exemplu: împrumuturi, obligațiuni). "(Grupul de lucru cu privire la implicațiile Directivei 2011/85, Raport final).</w:t>
      </w:r>
    </w:p>
    <w:p w14:paraId="068D1848" w14:textId="77777777" w:rsidR="00BA5E33" w:rsidRPr="006B2701" w:rsidRDefault="00BA5E33" w:rsidP="000F5753">
      <w:pPr>
        <w:spacing w:line="276" w:lineRule="auto"/>
        <w:jc w:val="both"/>
        <w:rPr>
          <w:rFonts w:ascii="Arial" w:eastAsia="MS Mincho" w:hAnsi="Arial" w:cs="Arial"/>
          <w:sz w:val="24"/>
          <w:szCs w:val="24"/>
          <w:lang w:val="ro-RO" w:eastAsia="ja-JP"/>
        </w:rPr>
      </w:pPr>
    </w:p>
    <w:p w14:paraId="6DE93CD3" w14:textId="77777777" w:rsidR="00BA5E33" w:rsidRPr="006B2701" w:rsidRDefault="00BA5E33" w:rsidP="000F5753">
      <w:pPr>
        <w:spacing w:line="276" w:lineRule="auto"/>
        <w:jc w:val="both"/>
        <w:rPr>
          <w:rFonts w:ascii="Arial" w:eastAsia="MS Mincho" w:hAnsi="Arial" w:cs="Arial"/>
          <w:sz w:val="24"/>
          <w:szCs w:val="24"/>
          <w:lang w:val="ro-RO" w:eastAsia="ja-JP"/>
        </w:rPr>
      </w:pPr>
      <w:r w:rsidRPr="006B2701">
        <w:rPr>
          <w:rFonts w:ascii="Arial" w:eastAsia="MS Mincho" w:hAnsi="Arial" w:cs="Arial"/>
          <w:sz w:val="24"/>
          <w:szCs w:val="24"/>
          <w:lang w:val="ro-RO" w:eastAsia="ja-JP"/>
        </w:rPr>
        <w:t>Datele nu includ:</w:t>
      </w:r>
    </w:p>
    <w:p w14:paraId="27CF4D1C" w14:textId="77777777" w:rsidR="00BA5E33" w:rsidRPr="006B2701" w:rsidRDefault="00BA5E33" w:rsidP="000F5753">
      <w:pPr>
        <w:spacing w:line="276" w:lineRule="auto"/>
        <w:jc w:val="both"/>
        <w:rPr>
          <w:rFonts w:ascii="Arial" w:eastAsia="MS Mincho" w:hAnsi="Arial" w:cs="Arial"/>
          <w:sz w:val="24"/>
          <w:szCs w:val="24"/>
          <w:lang w:val="ro-RO" w:eastAsia="ja-JP"/>
        </w:rPr>
      </w:pPr>
    </w:p>
    <w:p w14:paraId="56CDF8B9" w14:textId="77777777" w:rsidR="00BA5E33" w:rsidRPr="006B2701" w:rsidRDefault="00BA5E33" w:rsidP="007E711E">
      <w:pPr>
        <w:numPr>
          <w:ilvl w:val="0"/>
          <w:numId w:val="2"/>
        </w:numPr>
        <w:tabs>
          <w:tab w:val="clear" w:pos="0"/>
          <w:tab w:val="num" w:pos="720"/>
        </w:tabs>
        <w:spacing w:line="276" w:lineRule="auto"/>
        <w:jc w:val="both"/>
        <w:rPr>
          <w:rFonts w:ascii="Arial" w:eastAsia="MS Mincho" w:hAnsi="Arial" w:cs="Arial"/>
          <w:sz w:val="24"/>
          <w:szCs w:val="24"/>
          <w:lang w:val="ro-RO" w:eastAsia="ja-JP"/>
        </w:rPr>
      </w:pPr>
      <w:r w:rsidRPr="006B2701">
        <w:rPr>
          <w:rFonts w:ascii="Arial" w:eastAsia="MS Mincho" w:hAnsi="Arial" w:cs="Arial"/>
          <w:sz w:val="24"/>
          <w:szCs w:val="24"/>
          <w:lang w:val="ro-RO" w:eastAsia="ja-JP"/>
        </w:rPr>
        <w:t>garanțiile guvernamentale emise în cadrul mecanismului de garantare în conformitate cu Acordul-cadru al Facilității de stabilitate financiară europeană (FESF)</w:t>
      </w:r>
    </w:p>
    <w:p w14:paraId="36CBAAF9" w14:textId="77777777" w:rsidR="00BA5E33" w:rsidRPr="006B2701" w:rsidRDefault="00BA5E33" w:rsidP="007E711E">
      <w:pPr>
        <w:numPr>
          <w:ilvl w:val="0"/>
          <w:numId w:val="2"/>
        </w:numPr>
        <w:tabs>
          <w:tab w:val="clear" w:pos="0"/>
          <w:tab w:val="num" w:pos="720"/>
        </w:tabs>
        <w:spacing w:line="276" w:lineRule="auto"/>
        <w:jc w:val="both"/>
        <w:rPr>
          <w:rFonts w:ascii="Arial" w:eastAsia="MS Mincho" w:hAnsi="Arial" w:cs="Arial"/>
          <w:sz w:val="24"/>
          <w:szCs w:val="24"/>
          <w:lang w:val="ro-RO" w:eastAsia="ja-JP"/>
        </w:rPr>
      </w:pPr>
      <w:r w:rsidRPr="006B2701">
        <w:rPr>
          <w:rFonts w:ascii="Arial" w:eastAsia="MS Mincho" w:hAnsi="Arial" w:cs="Arial"/>
          <w:sz w:val="24"/>
          <w:szCs w:val="24"/>
          <w:lang w:val="ro-RO" w:eastAsia="ja-JP"/>
        </w:rPr>
        <w:t>garanții de tip derivate (garanții care corespund definiției unui instrument financiar derivat)</w:t>
      </w:r>
    </w:p>
    <w:p w14:paraId="3E6ADD29" w14:textId="77777777" w:rsidR="00BA5E33" w:rsidRPr="006B2701" w:rsidRDefault="00BA5E33" w:rsidP="007E711E">
      <w:pPr>
        <w:numPr>
          <w:ilvl w:val="0"/>
          <w:numId w:val="2"/>
        </w:numPr>
        <w:tabs>
          <w:tab w:val="clear" w:pos="0"/>
          <w:tab w:val="num" w:pos="720"/>
        </w:tabs>
        <w:spacing w:line="276" w:lineRule="auto"/>
        <w:jc w:val="both"/>
        <w:rPr>
          <w:rFonts w:ascii="Arial" w:eastAsia="MS Mincho" w:hAnsi="Arial" w:cs="Arial"/>
          <w:sz w:val="24"/>
          <w:szCs w:val="24"/>
          <w:lang w:val="ro-RO" w:eastAsia="ja-JP"/>
        </w:rPr>
      </w:pPr>
      <w:r w:rsidRPr="006B2701">
        <w:rPr>
          <w:rFonts w:ascii="Arial" w:eastAsia="MS Mincho" w:hAnsi="Arial" w:cs="Arial"/>
          <w:sz w:val="24"/>
          <w:szCs w:val="24"/>
          <w:lang w:val="ro-RO" w:eastAsia="ja-JP"/>
        </w:rPr>
        <w:t>garanțiile de asigurare a depozitelor și schemelor similare</w:t>
      </w:r>
    </w:p>
    <w:p w14:paraId="21F306BA" w14:textId="77777777" w:rsidR="00AB5518" w:rsidRPr="006B2701" w:rsidRDefault="00BA5E33" w:rsidP="007E711E">
      <w:pPr>
        <w:numPr>
          <w:ilvl w:val="0"/>
          <w:numId w:val="2"/>
        </w:numPr>
        <w:tabs>
          <w:tab w:val="clear" w:pos="0"/>
          <w:tab w:val="num" w:pos="207"/>
          <w:tab w:val="num" w:pos="720"/>
        </w:tabs>
        <w:spacing w:line="276" w:lineRule="auto"/>
        <w:ind w:left="709"/>
        <w:jc w:val="both"/>
        <w:rPr>
          <w:rFonts w:ascii="Arial" w:eastAsia="MS Mincho" w:hAnsi="Arial" w:cs="Arial"/>
          <w:sz w:val="24"/>
          <w:szCs w:val="24"/>
          <w:lang w:val="ro-RO" w:eastAsia="ja-JP"/>
        </w:rPr>
      </w:pPr>
      <w:r w:rsidRPr="006B2701">
        <w:rPr>
          <w:rFonts w:ascii="Arial" w:eastAsia="MS Mincho" w:hAnsi="Arial" w:cs="Arial"/>
          <w:sz w:val="24"/>
          <w:szCs w:val="24"/>
          <w:lang w:val="ro-RO" w:eastAsia="ja-JP"/>
        </w:rPr>
        <w:t>garanțiile guvernamentale emise pentru evenimente greu de acoperit prin asigurări comerciale (cutremure, inundații pe scară largă, accidente nucleare, unele expoziții de artă, etc.)</w:t>
      </w:r>
    </w:p>
    <w:p w14:paraId="6CCA2A6F" w14:textId="3167D5F3" w:rsidR="00AB5518" w:rsidRPr="006B2701" w:rsidRDefault="00BA5E33" w:rsidP="007E711E">
      <w:pPr>
        <w:numPr>
          <w:ilvl w:val="0"/>
          <w:numId w:val="2"/>
        </w:numPr>
        <w:tabs>
          <w:tab w:val="clear" w:pos="0"/>
          <w:tab w:val="num" w:pos="207"/>
          <w:tab w:val="num" w:pos="709"/>
        </w:tabs>
        <w:spacing w:line="276" w:lineRule="auto"/>
        <w:ind w:left="709"/>
        <w:jc w:val="both"/>
        <w:rPr>
          <w:rFonts w:ascii="Arial" w:eastAsia="MS Mincho" w:hAnsi="Arial" w:cs="Arial"/>
          <w:sz w:val="24"/>
          <w:szCs w:val="24"/>
          <w:lang w:val="ro-RO" w:eastAsia="ja-JP"/>
        </w:rPr>
      </w:pPr>
      <w:r w:rsidRPr="006B2701">
        <w:rPr>
          <w:rFonts w:ascii="Arial" w:eastAsia="MS Mincho" w:hAnsi="Arial" w:cs="Arial"/>
          <w:sz w:val="24"/>
          <w:szCs w:val="24"/>
          <w:lang w:val="ro-RO" w:eastAsia="ja-JP"/>
        </w:rPr>
        <w:t>garanții furnizate unităților clasificate în cadrul administrației publice (Grupul de lucru cu privire la implicațiile Directivei 2011/85, Raport final)</w:t>
      </w:r>
    </w:p>
    <w:p w14:paraId="72D7BC43" w14:textId="22CADCE3" w:rsidR="00BA5E33" w:rsidRPr="006B2701" w:rsidRDefault="00542E53" w:rsidP="00EC0578">
      <w:pPr>
        <w:tabs>
          <w:tab w:val="num" w:pos="720"/>
        </w:tabs>
        <w:spacing w:line="276" w:lineRule="auto"/>
        <w:ind w:left="360"/>
        <w:jc w:val="both"/>
        <w:rPr>
          <w:rFonts w:ascii="Arial" w:eastAsia="MS Mincho" w:hAnsi="Arial" w:cs="Arial"/>
          <w:sz w:val="24"/>
          <w:szCs w:val="24"/>
          <w:lang w:val="ro-RO" w:eastAsia="ja-JP"/>
        </w:rPr>
      </w:pPr>
      <w:r w:rsidRPr="006B2701">
        <w:rPr>
          <w:noProof/>
        </w:rPr>
        <w:lastRenderedPageBreak/>
        <w:drawing>
          <wp:anchor distT="0" distB="0" distL="114300" distR="114300" simplePos="0" relativeHeight="251706880" behindDoc="0" locked="0" layoutInCell="1" allowOverlap="1" wp14:anchorId="41966A3E" wp14:editId="78928D92">
            <wp:simplePos x="0" y="0"/>
            <wp:positionH relativeFrom="column">
              <wp:posOffset>224790</wp:posOffset>
            </wp:positionH>
            <wp:positionV relativeFrom="paragraph">
              <wp:posOffset>0</wp:posOffset>
            </wp:positionV>
            <wp:extent cx="8100060" cy="48996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100060" cy="4899660"/>
                    </a:xfrm>
                    <a:prstGeom prst="rect">
                      <a:avLst/>
                    </a:prstGeom>
                    <a:noFill/>
                  </pic:spPr>
                </pic:pic>
              </a:graphicData>
            </a:graphic>
          </wp:anchor>
        </w:drawing>
      </w:r>
    </w:p>
    <w:p w14:paraId="595E3C77" w14:textId="1FCF2AE3" w:rsidR="00BA5E33" w:rsidRPr="006B2701" w:rsidRDefault="00BA5E33" w:rsidP="000F5753">
      <w:pPr>
        <w:spacing w:line="276" w:lineRule="auto"/>
        <w:ind w:left="-426"/>
        <w:jc w:val="both"/>
        <w:rPr>
          <w:rFonts w:ascii="Arial" w:eastAsia="MS Mincho" w:hAnsi="Arial" w:cs="Arial"/>
          <w:sz w:val="24"/>
          <w:szCs w:val="24"/>
          <w:lang w:val="ro-RO" w:eastAsia="ja-JP"/>
        </w:rPr>
      </w:pPr>
    </w:p>
    <w:p w14:paraId="1186CDAA" w14:textId="33F1988C" w:rsidR="00FE6AC3" w:rsidRPr="006B2701" w:rsidRDefault="00FE6AC3">
      <w:pPr>
        <w:spacing w:line="276" w:lineRule="auto"/>
        <w:ind w:left="-426"/>
        <w:jc w:val="both"/>
        <w:rPr>
          <w:rFonts w:ascii="Arial" w:eastAsia="MS Mincho" w:hAnsi="Arial" w:cs="Arial"/>
          <w:sz w:val="24"/>
          <w:szCs w:val="24"/>
          <w:lang w:val="ro-RO" w:eastAsia="ja-JP"/>
        </w:rPr>
      </w:pPr>
    </w:p>
    <w:sectPr w:rsidR="00FE6AC3" w:rsidRPr="006B2701" w:rsidSect="00FE6AC3">
      <w:footerReference w:type="default" r:id="rId35"/>
      <w:pgSz w:w="16838" w:h="11906" w:orient="landscape"/>
      <w:pgMar w:top="1418" w:right="1134" w:bottom="849"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7CB26" w14:textId="77777777" w:rsidR="003D10DF" w:rsidRDefault="003D10DF" w:rsidP="00D66DE1">
      <w:r>
        <w:separator/>
      </w:r>
    </w:p>
  </w:endnote>
  <w:endnote w:type="continuationSeparator" w:id="0">
    <w:p w14:paraId="20F800C1" w14:textId="77777777" w:rsidR="003D10DF" w:rsidRDefault="003D10DF" w:rsidP="00D6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Iskoola Po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1)">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68451" w14:textId="77777777" w:rsidR="003D10DF" w:rsidRDefault="003D10DF" w:rsidP="00C94F9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4F0498" w14:textId="77777777" w:rsidR="003D10DF" w:rsidRDefault="003D10DF" w:rsidP="00C94F9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95491"/>
      <w:docPartObj>
        <w:docPartGallery w:val="Page Numbers (Bottom of Page)"/>
        <w:docPartUnique/>
      </w:docPartObj>
    </w:sdtPr>
    <w:sdtEndPr>
      <w:rPr>
        <w:noProof/>
      </w:rPr>
    </w:sdtEndPr>
    <w:sdtContent>
      <w:p w14:paraId="1F552E20" w14:textId="77777777" w:rsidR="003D10DF" w:rsidRDefault="003D10DF">
        <w:pPr>
          <w:pStyle w:val="Footer"/>
          <w:jc w:val="right"/>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8360"/>
          <w:gridCol w:w="1286"/>
        </w:tblGrid>
        <w:tr w:rsidR="003D10DF" w14:paraId="73CAC77F" w14:textId="77777777" w:rsidTr="00D00D44">
          <w:trPr>
            <w:trHeight w:hRule="exact" w:val="115"/>
            <w:jc w:val="center"/>
          </w:trPr>
          <w:tc>
            <w:tcPr>
              <w:tcW w:w="8505" w:type="dxa"/>
              <w:shd w:val="clear" w:color="auto" w:fill="E2EFD9" w:themeFill="accent6" w:themeFillTint="33"/>
              <w:tcMar>
                <w:top w:w="0" w:type="dxa"/>
                <w:bottom w:w="0" w:type="dxa"/>
              </w:tcMar>
            </w:tcPr>
            <w:p w14:paraId="21D74776" w14:textId="77777777" w:rsidR="003D10DF" w:rsidRDefault="003D10DF" w:rsidP="003C34C7">
              <w:pPr>
                <w:pStyle w:val="Header"/>
                <w:rPr>
                  <w:caps/>
                  <w:sz w:val="18"/>
                </w:rPr>
              </w:pPr>
            </w:p>
          </w:tc>
          <w:tc>
            <w:tcPr>
              <w:tcW w:w="1305" w:type="dxa"/>
              <w:shd w:val="clear" w:color="auto" w:fill="E2EFD9" w:themeFill="accent6" w:themeFillTint="33"/>
              <w:tcMar>
                <w:top w:w="0" w:type="dxa"/>
                <w:bottom w:w="0" w:type="dxa"/>
              </w:tcMar>
            </w:tcPr>
            <w:p w14:paraId="5ADD386E" w14:textId="77777777" w:rsidR="003D10DF" w:rsidRDefault="003D10DF" w:rsidP="003C34C7">
              <w:pPr>
                <w:pStyle w:val="Header"/>
                <w:jc w:val="right"/>
                <w:rPr>
                  <w:caps/>
                  <w:sz w:val="18"/>
                </w:rPr>
              </w:pPr>
            </w:p>
          </w:tc>
        </w:tr>
        <w:tr w:rsidR="003D10DF" w14:paraId="38241E06" w14:textId="77777777" w:rsidTr="00D00D44">
          <w:trPr>
            <w:trHeight w:hRule="exact" w:val="115"/>
            <w:jc w:val="center"/>
          </w:trPr>
          <w:tc>
            <w:tcPr>
              <w:tcW w:w="8505" w:type="dxa"/>
              <w:shd w:val="clear" w:color="auto" w:fill="E2EFD9" w:themeFill="accent6" w:themeFillTint="33"/>
              <w:tcMar>
                <w:top w:w="0" w:type="dxa"/>
                <w:bottom w:w="0" w:type="dxa"/>
              </w:tcMar>
            </w:tcPr>
            <w:p w14:paraId="455456C9" w14:textId="36EA632C" w:rsidR="003D10DF" w:rsidRDefault="003D10DF" w:rsidP="003C34C7">
              <w:pPr>
                <w:pStyle w:val="Header"/>
                <w:rPr>
                  <w:caps/>
                  <w:sz w:val="18"/>
                </w:rPr>
              </w:pPr>
            </w:p>
          </w:tc>
          <w:tc>
            <w:tcPr>
              <w:tcW w:w="1305" w:type="dxa"/>
              <w:shd w:val="clear" w:color="auto" w:fill="E2EFD9" w:themeFill="accent6" w:themeFillTint="33"/>
              <w:tcMar>
                <w:top w:w="0" w:type="dxa"/>
                <w:bottom w:w="0" w:type="dxa"/>
              </w:tcMar>
            </w:tcPr>
            <w:p w14:paraId="4F923C67" w14:textId="77777777" w:rsidR="003D10DF" w:rsidRDefault="003D10DF" w:rsidP="003C34C7">
              <w:pPr>
                <w:pStyle w:val="Header"/>
                <w:jc w:val="right"/>
                <w:rPr>
                  <w:caps/>
                  <w:sz w:val="18"/>
                </w:rPr>
              </w:pPr>
            </w:p>
          </w:tc>
        </w:tr>
        <w:tr w:rsidR="003D10DF" w14:paraId="3EC3DD9D" w14:textId="77777777" w:rsidTr="003C34C7">
          <w:trPr>
            <w:jc w:val="center"/>
          </w:trPr>
          <w:sdt>
            <w:sdtPr>
              <w:rPr>
                <w:rFonts w:ascii="Tahoma" w:hAnsi="Tahoma" w:cs="Tahoma"/>
                <w:b/>
                <w:caps/>
                <w:color w:val="808080" w:themeColor="background1" w:themeShade="80"/>
                <w:sz w:val="18"/>
                <w:szCs w:val="18"/>
              </w:rPr>
              <w:alias w:val="Title"/>
              <w:tag w:val=""/>
              <w:id w:val="-131790021"/>
              <w:placeholder>
                <w:docPart w:val="B69062AD621F4D77BA71C83736B19738"/>
              </w:placeholder>
              <w:dataBinding w:prefixMappings="xmlns:ns0='http://purl.org/dc/elements/1.1/' xmlns:ns1='http://schemas.openxmlformats.org/package/2006/metadata/core-properties' " w:xpath="/ns1:coreProperties[1]/ns0:title[1]" w:storeItemID="{6C3C8BC8-F283-45AE-878A-BAB7291924A1}"/>
              <w:text/>
            </w:sdtPr>
            <w:sdtEndPr/>
            <w:sdtContent>
              <w:tc>
                <w:tcPr>
                  <w:tcW w:w="8505" w:type="dxa"/>
                  <w:shd w:val="clear" w:color="auto" w:fill="auto"/>
                  <w:vAlign w:val="center"/>
                </w:tcPr>
                <w:p w14:paraId="5CA0A784" w14:textId="18A5D224" w:rsidR="003D10DF" w:rsidRPr="00CA4A92" w:rsidRDefault="003D10DF" w:rsidP="002C447A">
                  <w:pPr>
                    <w:pStyle w:val="Footer"/>
                    <w:rPr>
                      <w:rFonts w:ascii="Tahoma" w:hAnsi="Tahoma" w:cs="Tahoma"/>
                      <w:caps/>
                      <w:color w:val="808080" w:themeColor="background1" w:themeShade="80"/>
                      <w:sz w:val="18"/>
                      <w:szCs w:val="18"/>
                    </w:rPr>
                  </w:pPr>
                  <w:r>
                    <w:rPr>
                      <w:rFonts w:ascii="Tahoma" w:hAnsi="Tahoma" w:cs="Tahoma"/>
                      <w:b/>
                      <w:caps/>
                      <w:color w:val="808080" w:themeColor="background1" w:themeShade="80"/>
                      <w:sz w:val="18"/>
                      <w:szCs w:val="18"/>
                      <w:lang w:val="ro-RO"/>
                    </w:rPr>
                    <w:t>RAPORT PRIVIND EXECUȚIA BUGETARĂ FINALĂ PE ANUL 2022</w:t>
                  </w:r>
                </w:p>
              </w:tc>
            </w:sdtContent>
          </w:sdt>
          <w:tc>
            <w:tcPr>
              <w:tcW w:w="1305" w:type="dxa"/>
              <w:shd w:val="clear" w:color="auto" w:fill="auto"/>
              <w:vAlign w:val="center"/>
            </w:tcPr>
            <w:p w14:paraId="1A475CE8" w14:textId="51AD6DA5" w:rsidR="003D10DF" w:rsidRPr="00CA4A92" w:rsidRDefault="003D10DF" w:rsidP="003C34C7">
              <w:pPr>
                <w:pStyle w:val="Footer"/>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73616C">
                <w:rPr>
                  <w:rFonts w:ascii="Tahoma" w:hAnsi="Tahoma" w:cs="Tahoma"/>
                  <w:caps/>
                  <w:noProof/>
                  <w:color w:val="808080" w:themeColor="background1" w:themeShade="80"/>
                  <w:sz w:val="18"/>
                  <w:szCs w:val="18"/>
                </w:rPr>
                <w:t>8</w:t>
              </w:r>
              <w:r w:rsidRPr="00CA4A92">
                <w:rPr>
                  <w:rFonts w:ascii="Tahoma" w:hAnsi="Tahoma" w:cs="Tahoma"/>
                  <w:caps/>
                  <w:noProof/>
                  <w:color w:val="808080" w:themeColor="background1" w:themeShade="80"/>
                  <w:sz w:val="18"/>
                  <w:szCs w:val="18"/>
                </w:rPr>
                <w:fldChar w:fldCharType="end"/>
              </w:r>
            </w:p>
          </w:tc>
        </w:tr>
      </w:tbl>
      <w:p w14:paraId="0CA33D47" w14:textId="27264514" w:rsidR="003D10DF" w:rsidRDefault="0073616C" w:rsidP="003C34C7">
        <w:pPr>
          <w:pStyle w:val="Footer"/>
          <w:jc w:val="right"/>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3D663" w14:textId="77777777" w:rsidR="003D10DF" w:rsidRDefault="003D10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6F261" w14:textId="77777777" w:rsidR="003D10DF" w:rsidRDefault="003D10DF" w:rsidP="00D66DE1">
      <w:r>
        <w:separator/>
      </w:r>
    </w:p>
  </w:footnote>
  <w:footnote w:type="continuationSeparator" w:id="0">
    <w:p w14:paraId="6295D551" w14:textId="77777777" w:rsidR="003D10DF" w:rsidRDefault="003D10DF" w:rsidP="00D66DE1">
      <w:r>
        <w:continuationSeparator/>
      </w:r>
    </w:p>
  </w:footnote>
  <w:footnote w:id="1">
    <w:p w14:paraId="7C131898" w14:textId="72E7A392" w:rsidR="003D10DF" w:rsidRPr="00841EAA" w:rsidRDefault="003D10DF" w:rsidP="005A5FEC">
      <w:pPr>
        <w:pStyle w:val="FootnoteText"/>
        <w:rPr>
          <w:lang w:val="fr-FR"/>
        </w:rPr>
      </w:pPr>
      <w:r>
        <w:rPr>
          <w:rStyle w:val="FootnoteReference"/>
          <w:rFonts w:cs="Calibri"/>
        </w:rPr>
        <w:footnoteRef/>
      </w:r>
      <w:r>
        <w:rPr>
          <w:lang w:val="ro-RO" w:eastAsia="x-none"/>
        </w:rPr>
        <w:t>Comunicat EUROSTAT nr.47 din 21 aprilie 2023</w:t>
      </w:r>
    </w:p>
  </w:footnote>
  <w:footnote w:id="2">
    <w:p w14:paraId="0A0552A2" w14:textId="77777777" w:rsidR="003D10DF" w:rsidRPr="00A85E7C" w:rsidRDefault="003D10DF" w:rsidP="00A85E7C">
      <w:pPr>
        <w:pStyle w:val="FootnoteText"/>
      </w:pPr>
      <w:r>
        <w:rPr>
          <w:rStyle w:val="FootnoteReference"/>
        </w:rPr>
        <w:footnoteRef/>
      </w:r>
      <w:r>
        <w:t xml:space="preserve"> </w:t>
      </w:r>
    </w:p>
    <w:p w14:paraId="57E12BCE" w14:textId="3FD07618" w:rsidR="003D10DF" w:rsidRPr="00374FC1" w:rsidRDefault="003D10DF" w:rsidP="00AC190C">
      <w:pPr>
        <w:pStyle w:val="FootnoteText"/>
        <w:rPr>
          <w:lang w:val="ro-RO"/>
        </w:rPr>
      </w:pPr>
      <w:r w:rsidRPr="00374FC1">
        <w:rPr>
          <w:lang w:val="ro-RO"/>
        </w:rPr>
        <w:t>pentru aprobarea plafoanelor unor indicatori specificați în cadrul fiscal-bugetar pe anul 2022</w:t>
      </w:r>
    </w:p>
    <w:p w14:paraId="13CEC75D" w14:textId="12BF8E00" w:rsidR="003D10DF" w:rsidRPr="00AF28B7" w:rsidRDefault="003D10DF" w:rsidP="00AF28B7">
      <w:pPr>
        <w:pStyle w:val="FootnoteText"/>
      </w:pPr>
    </w:p>
    <w:p w14:paraId="424B87D7" w14:textId="35BA8E51" w:rsidR="003D10DF" w:rsidRPr="00AF28B7" w:rsidRDefault="003D10DF">
      <w:pPr>
        <w:pStyle w:val="FootnoteText"/>
        <w:rPr>
          <w:lang w:val="ro-RO"/>
        </w:rPr>
      </w:pPr>
    </w:p>
  </w:footnote>
  <w:footnote w:id="3">
    <w:p w14:paraId="0FFE15D6" w14:textId="77777777" w:rsidR="003D10DF" w:rsidRPr="00E9242F" w:rsidRDefault="003D10DF" w:rsidP="005C003E">
      <w:pPr>
        <w:pStyle w:val="FootnoteText"/>
        <w:rPr>
          <w:rFonts w:asciiTheme="minorHAnsi" w:hAnsiTheme="minorHAnsi" w:cstheme="minorHAnsi"/>
          <w:lang w:val="ro-RO"/>
        </w:rPr>
      </w:pPr>
      <w:r w:rsidRPr="00E9242F">
        <w:rPr>
          <w:rStyle w:val="FootnoteReference"/>
          <w:rFonts w:asciiTheme="minorHAnsi" w:hAnsiTheme="minorHAnsi" w:cstheme="minorHAnsi"/>
        </w:rPr>
        <w:footnoteRef/>
      </w:r>
      <w:r w:rsidRPr="00E9242F">
        <w:rPr>
          <w:rFonts w:asciiTheme="minorHAnsi" w:hAnsiTheme="minorHAnsi" w:cstheme="minorHAnsi"/>
        </w:rPr>
        <w:t xml:space="preserve"> </w:t>
      </w:r>
      <w:r w:rsidRPr="00E9242F">
        <w:rPr>
          <w:rFonts w:asciiTheme="minorHAnsi" w:hAnsiTheme="minorHAnsi" w:cstheme="minorHAnsi"/>
          <w:lang w:val="ro-RO"/>
        </w:rPr>
        <w:t>dețin o pondere de aproximativ 68,8% în această categorie</w:t>
      </w:r>
    </w:p>
  </w:footnote>
  <w:footnote w:id="4">
    <w:p w14:paraId="21985C54" w14:textId="77777777" w:rsidR="003D10DF" w:rsidRPr="00E9242F" w:rsidRDefault="003D10DF" w:rsidP="005C003E">
      <w:pPr>
        <w:pStyle w:val="FootnoteText"/>
        <w:rPr>
          <w:rFonts w:asciiTheme="minorHAnsi" w:hAnsiTheme="minorHAnsi" w:cstheme="minorHAnsi"/>
          <w:lang w:val="ro-RO"/>
        </w:rPr>
      </w:pPr>
      <w:r w:rsidRPr="00E9242F">
        <w:rPr>
          <w:rStyle w:val="FootnoteReference"/>
          <w:rFonts w:asciiTheme="minorHAnsi" w:hAnsiTheme="minorHAnsi" w:cstheme="minorHAnsi"/>
        </w:rPr>
        <w:footnoteRef/>
      </w:r>
      <w:r w:rsidRPr="00E9242F">
        <w:rPr>
          <w:rFonts w:asciiTheme="minorHAnsi" w:hAnsiTheme="minorHAnsi" w:cstheme="minorHAnsi"/>
        </w:rPr>
        <w:t xml:space="preserve"> </w:t>
      </w:r>
      <w:r w:rsidRPr="00E9242F">
        <w:rPr>
          <w:rFonts w:asciiTheme="minorHAnsi" w:hAnsiTheme="minorHAnsi" w:cstheme="minorHAnsi"/>
          <w:lang w:val="ro-RO"/>
        </w:rPr>
        <w:t xml:space="preserve">decembrie 2021- </w:t>
      </w:r>
      <w:r>
        <w:rPr>
          <w:rFonts w:asciiTheme="minorHAnsi" w:hAnsiTheme="minorHAnsi" w:cstheme="minorHAnsi"/>
          <w:lang w:val="ro-RO"/>
        </w:rPr>
        <w:t>noiembrie</w:t>
      </w:r>
      <w:r w:rsidRPr="00E9242F">
        <w:rPr>
          <w:rFonts w:asciiTheme="minorHAnsi" w:hAnsiTheme="minorHAnsi" w:cstheme="minorHAnsi"/>
          <w:lang w:val="ro-RO"/>
        </w:rPr>
        <w:t xml:space="preserve"> 2022/decembrie 2020-</w:t>
      </w:r>
      <w:r>
        <w:rPr>
          <w:rFonts w:asciiTheme="minorHAnsi" w:hAnsiTheme="minorHAnsi" w:cstheme="minorHAnsi"/>
          <w:lang w:val="ro-RO"/>
        </w:rPr>
        <w:t>noiembrie</w:t>
      </w:r>
      <w:r w:rsidRPr="00E9242F">
        <w:rPr>
          <w:rFonts w:asciiTheme="minorHAnsi" w:hAnsiTheme="minorHAnsi" w:cstheme="minorHAnsi"/>
          <w:lang w:val="ro-RO"/>
        </w:rPr>
        <w:t xml:space="preserve"> 2021</w:t>
      </w:r>
    </w:p>
  </w:footnote>
  <w:footnote w:id="5">
    <w:p w14:paraId="6D1AD516" w14:textId="77777777" w:rsidR="003D10DF" w:rsidRPr="00E9242F" w:rsidRDefault="003D10DF" w:rsidP="005C003E">
      <w:pPr>
        <w:autoSpaceDE w:val="0"/>
        <w:autoSpaceDN w:val="0"/>
        <w:adjustRightInd w:val="0"/>
        <w:rPr>
          <w:rFonts w:asciiTheme="minorHAnsi" w:hAnsiTheme="minorHAnsi" w:cstheme="minorHAnsi"/>
          <w:sz w:val="20"/>
          <w:szCs w:val="20"/>
          <w:lang w:val="ro-RO"/>
        </w:rPr>
      </w:pPr>
      <w:r w:rsidRPr="00E9242F">
        <w:rPr>
          <w:rStyle w:val="FootnoteReference"/>
          <w:rFonts w:asciiTheme="minorHAnsi" w:hAnsiTheme="minorHAnsi" w:cstheme="minorHAnsi"/>
          <w:sz w:val="20"/>
          <w:szCs w:val="20"/>
        </w:rPr>
        <w:footnoteRef/>
      </w:r>
      <w:r w:rsidRPr="00E9242F">
        <w:rPr>
          <w:rFonts w:asciiTheme="minorHAnsi" w:hAnsiTheme="minorHAnsi" w:cstheme="minorHAnsi"/>
          <w:sz w:val="20"/>
          <w:szCs w:val="20"/>
        </w:rPr>
        <w:t xml:space="preserve"> </w:t>
      </w:r>
      <w:r w:rsidRPr="00E9242F">
        <w:rPr>
          <w:rFonts w:asciiTheme="minorHAnsi" w:hAnsiTheme="minorHAnsi" w:cstheme="minorHAnsi"/>
          <w:sz w:val="20"/>
          <w:szCs w:val="20"/>
          <w:lang w:val="ro-RO"/>
        </w:rPr>
        <w:t xml:space="preserve">Legea nr. 135/2022 pentru modificarea </w:t>
      </w:r>
      <w:proofErr w:type="spellStart"/>
      <w:r w:rsidRPr="00E9242F">
        <w:rPr>
          <w:rFonts w:asciiTheme="minorHAnsi" w:hAnsiTheme="minorHAnsi" w:cstheme="minorHAnsi"/>
          <w:sz w:val="20"/>
          <w:szCs w:val="20"/>
          <w:lang w:val="ro-RO"/>
        </w:rPr>
        <w:t>şi</w:t>
      </w:r>
      <w:proofErr w:type="spellEnd"/>
      <w:r w:rsidRPr="00E9242F">
        <w:rPr>
          <w:rFonts w:asciiTheme="minorHAnsi" w:hAnsiTheme="minorHAnsi" w:cstheme="minorHAnsi"/>
          <w:sz w:val="20"/>
          <w:szCs w:val="20"/>
          <w:lang w:val="ro-RO"/>
        </w:rPr>
        <w:t xml:space="preserve"> completarea unor acte normative</w:t>
      </w:r>
    </w:p>
  </w:footnote>
  <w:footnote w:id="6">
    <w:p w14:paraId="3AD1A001" w14:textId="0F2670B7" w:rsidR="003D10DF" w:rsidRPr="00B01C00" w:rsidRDefault="003D10DF" w:rsidP="005C003E">
      <w:pPr>
        <w:pStyle w:val="FootnoteText"/>
        <w:rPr>
          <w:rFonts w:asciiTheme="minorHAnsi" w:hAnsiTheme="minorHAnsi" w:cstheme="minorHAnsi"/>
          <w:lang w:val="ro-RO"/>
        </w:rPr>
      </w:pPr>
      <w:r>
        <w:rPr>
          <w:rStyle w:val="FootnoteReference"/>
        </w:rPr>
        <w:footnoteRef/>
      </w:r>
      <w:r>
        <w:t xml:space="preserve"> </w:t>
      </w:r>
      <w:r>
        <w:rPr>
          <w:rFonts w:asciiTheme="minorHAnsi" w:hAnsiTheme="minorHAnsi" w:cstheme="minorHAnsi"/>
          <w:lang w:val="ro-RO"/>
        </w:rPr>
        <w:t>începând cu</w:t>
      </w:r>
      <w:r w:rsidRPr="00B01C00">
        <w:rPr>
          <w:rFonts w:asciiTheme="minorHAnsi" w:hAnsiTheme="minorHAnsi" w:cstheme="minorHAnsi"/>
          <w:lang w:val="ro-RO"/>
        </w:rPr>
        <w:t xml:space="preserve"> 1 ianuarie 2023 cota de impozitare</w:t>
      </w:r>
      <w:r>
        <w:rPr>
          <w:rFonts w:asciiTheme="minorHAnsi" w:hAnsiTheme="minorHAnsi" w:cstheme="minorHAnsi"/>
          <w:lang w:val="ro-RO"/>
        </w:rPr>
        <w:t xml:space="preserve"> a dividendelor se majorează</w:t>
      </w:r>
      <w:r w:rsidRPr="00B01C00">
        <w:rPr>
          <w:rFonts w:asciiTheme="minorHAnsi" w:hAnsiTheme="minorHAnsi" w:cstheme="minorHAnsi"/>
          <w:lang w:val="ro-RO"/>
        </w:rPr>
        <w:t xml:space="preserve"> de la 5% la 8%</w:t>
      </w:r>
      <w:r w:rsidRPr="00276DD3">
        <w:rPr>
          <w:rFonts w:asciiTheme="minorHAnsi" w:hAnsiTheme="minorHAnsi" w:cstheme="minorHAnsi"/>
          <w:lang w:val="ro-RO"/>
        </w:rPr>
        <w:t xml:space="preserve"> </w:t>
      </w:r>
      <w:r>
        <w:rPr>
          <w:rFonts w:asciiTheme="minorHAnsi" w:hAnsiTheme="minorHAnsi" w:cstheme="minorHAnsi"/>
          <w:lang w:val="ro-RO"/>
        </w:rPr>
        <w:t>(</w:t>
      </w:r>
      <w:r w:rsidRPr="001A5749">
        <w:rPr>
          <w:rFonts w:asciiTheme="minorHAnsi" w:hAnsiTheme="minorHAnsi" w:cstheme="minorHAnsi"/>
          <w:lang w:val="ro-RO"/>
        </w:rPr>
        <w:t>Ordonanța Guvernului nr. 16/2022 aprobată prin Legea nr. 370/2022</w:t>
      </w:r>
      <w:r>
        <w:rPr>
          <w:rFonts w:asciiTheme="minorHAnsi" w:hAnsiTheme="minorHAnsi" w:cstheme="minorHAnsi"/>
          <w:lang w:val="ro-RO"/>
        </w:rPr>
        <w:t>)</w:t>
      </w:r>
    </w:p>
  </w:footnote>
  <w:footnote w:id="7">
    <w:p w14:paraId="16F41D95" w14:textId="77777777" w:rsidR="003D10DF" w:rsidRPr="00E9242F" w:rsidRDefault="003D10DF" w:rsidP="005C003E">
      <w:pPr>
        <w:pStyle w:val="FootnoteText"/>
        <w:rPr>
          <w:rFonts w:asciiTheme="minorHAnsi" w:hAnsiTheme="minorHAnsi" w:cstheme="minorHAnsi"/>
          <w:lang w:val="ro-RO"/>
        </w:rPr>
      </w:pPr>
      <w:r w:rsidRPr="00E9242F">
        <w:rPr>
          <w:rStyle w:val="FootnoteReference"/>
          <w:rFonts w:asciiTheme="minorHAnsi" w:hAnsiTheme="minorHAnsi" w:cstheme="minorHAnsi"/>
        </w:rPr>
        <w:footnoteRef/>
      </w:r>
      <w:r w:rsidRPr="00E9242F">
        <w:rPr>
          <w:rFonts w:asciiTheme="minorHAnsi" w:hAnsiTheme="minorHAnsi" w:cstheme="minorHAnsi"/>
        </w:rPr>
        <w:t xml:space="preserve"> </w:t>
      </w:r>
      <w:r w:rsidRPr="00E9242F">
        <w:rPr>
          <w:rFonts w:asciiTheme="minorHAnsi" w:hAnsiTheme="minorHAnsi" w:cstheme="minorHAnsi"/>
          <w:lang w:val="ro-RO"/>
        </w:rPr>
        <w:t>Declarația unică cu termen de depunere și plată de până la 25 mai 2022</w:t>
      </w:r>
    </w:p>
  </w:footnote>
  <w:footnote w:id="8">
    <w:p w14:paraId="2E1FA117" w14:textId="77777777" w:rsidR="003D10DF" w:rsidRPr="00E9242F" w:rsidRDefault="003D10DF" w:rsidP="005C003E">
      <w:pPr>
        <w:pStyle w:val="FootnoteText"/>
        <w:jc w:val="both"/>
        <w:rPr>
          <w:rFonts w:asciiTheme="minorHAnsi" w:hAnsiTheme="minorHAnsi" w:cstheme="minorHAnsi"/>
          <w:lang w:val="ro-RO"/>
        </w:rPr>
      </w:pPr>
      <w:r w:rsidRPr="00E9242F">
        <w:rPr>
          <w:rStyle w:val="FootnoteReference"/>
          <w:rFonts w:asciiTheme="minorHAnsi" w:hAnsiTheme="minorHAnsi" w:cstheme="minorHAnsi"/>
        </w:rPr>
        <w:footnoteRef/>
      </w:r>
      <w:r w:rsidRPr="00E9242F">
        <w:rPr>
          <w:rFonts w:asciiTheme="minorHAnsi" w:hAnsiTheme="minorHAnsi" w:cstheme="minorHAnsi"/>
        </w:rPr>
        <w:t xml:space="preserve"> </w:t>
      </w:r>
      <w:r w:rsidRPr="00E9242F">
        <w:rPr>
          <w:rFonts w:asciiTheme="minorHAnsi" w:hAnsiTheme="minorHAnsi" w:cstheme="minorHAnsi"/>
          <w:lang w:val="ro-RO"/>
        </w:rPr>
        <w:t>majorarea valorii punctului de pensie de la 1.442 lei la 1.586 lei, începând cu data de 1 ianuarie 2022, conform Ordonanței de urgență a Guvernului nr. 125/2021 pentru modificarea și completarea </w:t>
      </w:r>
      <w:hyperlink r:id="rId1" w:history="1">
        <w:r w:rsidRPr="00E9242F">
          <w:rPr>
            <w:rFonts w:asciiTheme="minorHAnsi" w:hAnsiTheme="minorHAnsi" w:cstheme="minorHAnsi"/>
            <w:lang w:val="ro-RO"/>
          </w:rPr>
          <w:t>Legii nr. 127/2019</w:t>
        </w:r>
      </w:hyperlink>
      <w:r w:rsidRPr="00E9242F">
        <w:rPr>
          <w:rFonts w:asciiTheme="minorHAnsi" w:hAnsiTheme="minorHAnsi" w:cstheme="minorHAnsi"/>
          <w:lang w:val="ro-RO"/>
        </w:rPr>
        <w:t> privind sistemul public de pensii, precum și pentru modificarea și completarea Ordonanței de urgență a Guvernului nr. 6/2009 privind instituirea pensiei sociale minime garantate</w:t>
      </w:r>
    </w:p>
  </w:footnote>
  <w:footnote w:id="9">
    <w:p w14:paraId="221432A6" w14:textId="77777777" w:rsidR="003D10DF" w:rsidRPr="00F22E08" w:rsidRDefault="003D10DF" w:rsidP="005C003E">
      <w:pPr>
        <w:pStyle w:val="FootnoteText"/>
        <w:jc w:val="both"/>
        <w:rPr>
          <w:rFonts w:asciiTheme="minorHAnsi" w:hAnsiTheme="minorHAnsi" w:cstheme="minorHAnsi"/>
          <w:lang w:val="ro-RO"/>
        </w:rPr>
      </w:pPr>
      <w:r w:rsidRPr="003F624C">
        <w:rPr>
          <w:rStyle w:val="FootnoteReference"/>
        </w:rPr>
        <w:footnoteRef/>
      </w:r>
      <w:r w:rsidRPr="003F624C">
        <w:rPr>
          <w:rStyle w:val="FootnoteReference"/>
        </w:rPr>
        <w:t xml:space="preserve"> </w:t>
      </w:r>
      <w:r w:rsidRPr="00F22E08">
        <w:rPr>
          <w:rFonts w:asciiTheme="minorHAnsi" w:hAnsiTheme="minorHAnsi" w:cstheme="minorHAnsi"/>
          <w:lang w:val="ro-RO"/>
        </w:rPr>
        <w:t>exclusiv restituiri și majorări de întârziere</w:t>
      </w:r>
    </w:p>
  </w:footnote>
  <w:footnote w:id="10">
    <w:p w14:paraId="7BE7D275" w14:textId="77777777" w:rsidR="003D10DF" w:rsidRPr="00D32F38" w:rsidRDefault="003D10DF" w:rsidP="005C003E">
      <w:pPr>
        <w:pStyle w:val="FootnoteText"/>
        <w:jc w:val="both"/>
        <w:rPr>
          <w:rFonts w:asciiTheme="minorHAnsi" w:hAnsiTheme="minorHAnsi" w:cstheme="minorHAnsi"/>
          <w:lang w:val="ro-RO"/>
        </w:rPr>
      </w:pPr>
      <w:r w:rsidRPr="003F624C">
        <w:rPr>
          <w:rStyle w:val="FootnoteReference"/>
        </w:rPr>
        <w:footnoteRef/>
      </w:r>
      <w:r w:rsidRPr="003F624C">
        <w:t xml:space="preserve"> </w:t>
      </w:r>
      <w:r w:rsidRPr="00D32F38">
        <w:rPr>
          <w:rFonts w:asciiTheme="minorHAnsi" w:hAnsiTheme="minorHAnsi" w:cstheme="minorHAnsi"/>
          <w:lang w:val="ro-RO"/>
        </w:rPr>
        <w:t>TVA din operațiuni interne au crescut cu 17,4%, iar TVA din importurile de bunuri au crescut cu 19,7%</w:t>
      </w:r>
    </w:p>
  </w:footnote>
  <w:footnote w:id="11">
    <w:p w14:paraId="2D336471" w14:textId="31D4DF8F" w:rsidR="003D10DF" w:rsidRPr="00D32F38" w:rsidRDefault="003D10DF" w:rsidP="00725A3F">
      <w:pPr>
        <w:pStyle w:val="FootnoteText"/>
        <w:rPr>
          <w:rFonts w:asciiTheme="minorHAnsi" w:hAnsiTheme="minorHAnsi" w:cstheme="minorHAnsi"/>
          <w:lang w:val="ro-RO"/>
        </w:rPr>
      </w:pPr>
      <w:r w:rsidRPr="002566EA">
        <w:rPr>
          <w:rStyle w:val="FootnoteReference"/>
        </w:rPr>
        <w:footnoteRef/>
      </w:r>
      <w:r w:rsidRPr="00D32F38">
        <w:rPr>
          <w:rFonts w:asciiTheme="minorHAnsi" w:hAnsiTheme="minorHAnsi" w:cstheme="minorHAnsi"/>
          <w:lang w:val="ro-RO"/>
        </w:rPr>
        <w:t xml:space="preserve"> Comunicat de presă  INSSE nr. </w:t>
      </w:r>
      <w:r>
        <w:rPr>
          <w:rFonts w:asciiTheme="minorHAnsi" w:hAnsiTheme="minorHAnsi" w:cstheme="minorHAnsi"/>
          <w:lang w:val="ro-RO"/>
        </w:rPr>
        <w:t>30</w:t>
      </w:r>
      <w:r w:rsidRPr="00D32F38">
        <w:rPr>
          <w:rFonts w:asciiTheme="minorHAnsi" w:hAnsiTheme="minorHAnsi" w:cstheme="minorHAnsi"/>
          <w:lang w:val="ro-RO"/>
        </w:rPr>
        <w:t xml:space="preserve">/9 </w:t>
      </w:r>
      <w:r>
        <w:rPr>
          <w:rFonts w:asciiTheme="minorHAnsi" w:hAnsiTheme="minorHAnsi" w:cstheme="minorHAnsi"/>
          <w:lang w:val="ro-RO"/>
        </w:rPr>
        <w:t>februarie</w:t>
      </w:r>
      <w:r w:rsidRPr="00D32F38">
        <w:rPr>
          <w:rFonts w:asciiTheme="minorHAnsi" w:hAnsiTheme="minorHAnsi" w:cstheme="minorHAnsi"/>
          <w:lang w:val="ro-RO"/>
        </w:rPr>
        <w:t xml:space="preserve"> 2023 -Comerț internațional –calcule interne</w:t>
      </w:r>
    </w:p>
  </w:footnote>
  <w:footnote w:id="12">
    <w:p w14:paraId="27A10E0E" w14:textId="4FC62D1A" w:rsidR="003D10DF" w:rsidRPr="002566EA" w:rsidRDefault="003D10DF" w:rsidP="00725A3F">
      <w:pPr>
        <w:pStyle w:val="FootnoteText"/>
        <w:rPr>
          <w:rFonts w:asciiTheme="minorHAnsi" w:hAnsiTheme="minorHAnsi" w:cstheme="minorHAnsi"/>
          <w:lang w:val="ro-RO"/>
        </w:rPr>
      </w:pPr>
      <w:r w:rsidRPr="002566EA">
        <w:rPr>
          <w:rStyle w:val="FootnoteReference"/>
        </w:rPr>
        <w:footnoteRef/>
      </w:r>
      <w:r w:rsidRPr="00D32F38">
        <w:rPr>
          <w:rFonts w:asciiTheme="minorHAnsi" w:hAnsiTheme="minorHAnsi" w:cstheme="minorHAnsi"/>
          <w:lang w:val="ro-RO"/>
        </w:rPr>
        <w:t xml:space="preserve"> Comunicat de presă  INSSE nr. </w:t>
      </w:r>
      <w:r>
        <w:rPr>
          <w:rFonts w:asciiTheme="minorHAnsi" w:hAnsiTheme="minorHAnsi" w:cstheme="minorHAnsi"/>
          <w:lang w:val="ro-RO"/>
        </w:rPr>
        <w:t>29</w:t>
      </w:r>
      <w:r w:rsidRPr="00D32F38">
        <w:rPr>
          <w:rFonts w:asciiTheme="minorHAnsi" w:hAnsiTheme="minorHAnsi" w:cstheme="minorHAnsi"/>
          <w:lang w:val="ro-RO"/>
        </w:rPr>
        <w:t xml:space="preserve">/06 </w:t>
      </w:r>
      <w:r>
        <w:rPr>
          <w:rFonts w:asciiTheme="minorHAnsi" w:hAnsiTheme="minorHAnsi" w:cstheme="minorHAnsi"/>
          <w:lang w:val="ro-RO"/>
        </w:rPr>
        <w:t>februarie</w:t>
      </w:r>
      <w:r w:rsidRPr="00D32F38">
        <w:rPr>
          <w:rFonts w:asciiTheme="minorHAnsi" w:hAnsiTheme="minorHAnsi" w:cstheme="minorHAnsi"/>
          <w:lang w:val="ro-RO"/>
        </w:rPr>
        <w:t xml:space="preserve"> 2023 -Comerț </w:t>
      </w:r>
      <w:proofErr w:type="spellStart"/>
      <w:r w:rsidRPr="00D32F38">
        <w:rPr>
          <w:rFonts w:asciiTheme="minorHAnsi" w:hAnsiTheme="minorHAnsi" w:cstheme="minorHAnsi"/>
          <w:lang w:val="ro-RO"/>
        </w:rPr>
        <w:t>şi</w:t>
      </w:r>
      <w:proofErr w:type="spellEnd"/>
      <w:r w:rsidRPr="00D32F38">
        <w:rPr>
          <w:rFonts w:asciiTheme="minorHAnsi" w:hAnsiTheme="minorHAnsi" w:cstheme="minorHAnsi"/>
          <w:lang w:val="ro-RO"/>
        </w:rPr>
        <w:t xml:space="preserve"> servicii</w:t>
      </w:r>
    </w:p>
  </w:footnote>
  <w:footnote w:id="13">
    <w:p w14:paraId="503CC19B" w14:textId="77777777" w:rsidR="003D10DF" w:rsidRPr="005907C9" w:rsidRDefault="003D10DF" w:rsidP="00FD66BB">
      <w:pPr>
        <w:pStyle w:val="FootnoteText"/>
        <w:jc w:val="both"/>
        <w:rPr>
          <w:rFonts w:asciiTheme="minorHAnsi" w:hAnsiTheme="minorHAnsi" w:cstheme="minorHAnsi"/>
          <w:lang w:val="ro-RO"/>
        </w:rPr>
      </w:pPr>
      <w:r>
        <w:rPr>
          <w:rStyle w:val="FootnoteReference"/>
        </w:rPr>
        <w:footnoteRef/>
      </w:r>
      <w:r>
        <w:t xml:space="preserve"> </w:t>
      </w:r>
      <w:r w:rsidRPr="001A5749">
        <w:rPr>
          <w:rFonts w:asciiTheme="minorHAnsi" w:hAnsiTheme="minorHAnsi" w:cstheme="minorHAnsi"/>
          <w:lang w:val="ro-RO"/>
        </w:rPr>
        <w:t>Ordonanța Guvernului nr. 16/2022 aprobată prin Legea nr. 370/2022</w:t>
      </w:r>
    </w:p>
  </w:footnote>
  <w:footnote w:id="14">
    <w:p w14:paraId="5126B87A" w14:textId="77777777" w:rsidR="003D10DF" w:rsidRPr="006B7DC2" w:rsidRDefault="003D10DF" w:rsidP="009312A9">
      <w:pPr>
        <w:autoSpaceDE w:val="0"/>
        <w:autoSpaceDN w:val="0"/>
        <w:adjustRightInd w:val="0"/>
        <w:jc w:val="both"/>
        <w:rPr>
          <w:rFonts w:asciiTheme="minorHAnsi" w:hAnsiTheme="minorHAnsi" w:cstheme="minorHAnsi"/>
          <w:sz w:val="20"/>
          <w:szCs w:val="20"/>
          <w:lang w:val="ro-RO"/>
        </w:rPr>
      </w:pPr>
      <w:r w:rsidRPr="00F6774C">
        <w:rPr>
          <w:rStyle w:val="FootnoteReference"/>
          <w:rFonts w:asciiTheme="minorHAnsi" w:hAnsiTheme="minorHAnsi" w:cstheme="minorHAnsi"/>
          <w:i/>
          <w:sz w:val="16"/>
          <w:szCs w:val="16"/>
        </w:rPr>
        <w:footnoteRef/>
      </w:r>
      <w:r w:rsidRPr="00F6774C">
        <w:rPr>
          <w:rFonts w:asciiTheme="minorHAnsi" w:hAnsiTheme="minorHAnsi" w:cstheme="minorHAnsi"/>
          <w:i/>
          <w:sz w:val="16"/>
          <w:szCs w:val="16"/>
        </w:rPr>
        <w:t xml:space="preserve"> </w:t>
      </w:r>
      <w:r w:rsidRPr="006B7DC2">
        <w:rPr>
          <w:rFonts w:asciiTheme="minorHAnsi" w:hAnsiTheme="minorHAnsi" w:cstheme="minorHAnsi"/>
          <w:sz w:val="20"/>
          <w:szCs w:val="20"/>
          <w:lang w:val="ro-RO"/>
        </w:rPr>
        <w:t xml:space="preserve">OG nr.15/2022 pentru modificarea </w:t>
      </w:r>
      <w:proofErr w:type="spellStart"/>
      <w:r w:rsidRPr="006B7DC2">
        <w:rPr>
          <w:rFonts w:asciiTheme="minorHAnsi" w:hAnsiTheme="minorHAnsi" w:cstheme="minorHAnsi"/>
          <w:sz w:val="20"/>
          <w:szCs w:val="20"/>
          <w:lang w:val="ro-RO"/>
        </w:rPr>
        <w:t>şi</w:t>
      </w:r>
      <w:proofErr w:type="spellEnd"/>
      <w:r w:rsidRPr="006B7DC2">
        <w:rPr>
          <w:rFonts w:asciiTheme="minorHAnsi" w:hAnsiTheme="minorHAnsi" w:cstheme="minorHAnsi"/>
          <w:sz w:val="20"/>
          <w:szCs w:val="20"/>
          <w:lang w:val="ro-RO"/>
        </w:rPr>
        <w:t xml:space="preserve"> completarea OUG nr.77/2009 privind Organizarea </w:t>
      </w:r>
      <w:proofErr w:type="spellStart"/>
      <w:r w:rsidRPr="006B7DC2">
        <w:rPr>
          <w:rFonts w:asciiTheme="minorHAnsi" w:hAnsiTheme="minorHAnsi" w:cstheme="minorHAnsi"/>
          <w:sz w:val="20"/>
          <w:szCs w:val="20"/>
          <w:lang w:val="ro-RO"/>
        </w:rPr>
        <w:t>şi</w:t>
      </w:r>
      <w:proofErr w:type="spellEnd"/>
      <w:r w:rsidRPr="006B7DC2">
        <w:rPr>
          <w:rFonts w:asciiTheme="minorHAnsi" w:hAnsiTheme="minorHAnsi" w:cstheme="minorHAnsi"/>
          <w:sz w:val="20"/>
          <w:szCs w:val="20"/>
          <w:lang w:val="ro-RO"/>
        </w:rPr>
        <w:t xml:space="preserve"> exploatarea jocurilor de noroc</w:t>
      </w:r>
    </w:p>
  </w:footnote>
  <w:footnote w:id="15">
    <w:p w14:paraId="0F3D80F2" w14:textId="7D7D20B3" w:rsidR="003D10DF" w:rsidRPr="00D36677" w:rsidRDefault="003D10DF">
      <w:pPr>
        <w:pStyle w:val="FootnoteText"/>
        <w:rPr>
          <w:lang w:val="ro-RO"/>
        </w:rPr>
      </w:pPr>
      <w:r>
        <w:rPr>
          <w:rStyle w:val="FootnoteReference"/>
        </w:rPr>
        <w:footnoteRef/>
      </w:r>
      <w:r>
        <w:t xml:space="preserve"> </w:t>
      </w:r>
      <w:r>
        <w:rPr>
          <w:lang w:val="ro-RO"/>
        </w:rPr>
        <w:t>Comunicat de presă INS nr.30/9 februarie 2023</w:t>
      </w:r>
    </w:p>
  </w:footnote>
  <w:footnote w:id="16">
    <w:p w14:paraId="5433E25C" w14:textId="77777777" w:rsidR="003D10DF" w:rsidRPr="00E9242F" w:rsidRDefault="003D10DF" w:rsidP="00D36677">
      <w:pPr>
        <w:pStyle w:val="FootnoteText"/>
        <w:rPr>
          <w:rFonts w:asciiTheme="minorHAnsi" w:hAnsiTheme="minorHAnsi" w:cstheme="minorHAnsi"/>
          <w:lang w:val="ro-RO"/>
        </w:rPr>
      </w:pPr>
      <w:r w:rsidRPr="00E9242F">
        <w:rPr>
          <w:rStyle w:val="FootnoteReference"/>
          <w:rFonts w:asciiTheme="minorHAnsi" w:hAnsiTheme="minorHAnsi" w:cstheme="minorHAnsi"/>
        </w:rPr>
        <w:footnoteRef/>
      </w:r>
      <w:r w:rsidRPr="00E9242F">
        <w:rPr>
          <w:rFonts w:asciiTheme="minorHAnsi" w:hAnsiTheme="minorHAnsi" w:cstheme="minorHAnsi"/>
        </w:rPr>
        <w:t xml:space="preserve"> </w:t>
      </w:r>
      <w:r w:rsidRPr="00E9242F">
        <w:rPr>
          <w:rFonts w:asciiTheme="minorHAnsi" w:hAnsiTheme="minorHAnsi" w:cstheme="minorHAnsi"/>
          <w:lang w:val="ro-RO"/>
        </w:rPr>
        <w:t xml:space="preserve">decembrie 2021- </w:t>
      </w:r>
      <w:r>
        <w:rPr>
          <w:rFonts w:asciiTheme="minorHAnsi" w:hAnsiTheme="minorHAnsi" w:cstheme="minorHAnsi"/>
          <w:lang w:val="ro-RO"/>
        </w:rPr>
        <w:t>noiembrie</w:t>
      </w:r>
      <w:r w:rsidRPr="00E9242F">
        <w:rPr>
          <w:rFonts w:asciiTheme="minorHAnsi" w:hAnsiTheme="minorHAnsi" w:cstheme="minorHAnsi"/>
          <w:lang w:val="ro-RO"/>
        </w:rPr>
        <w:t xml:space="preserve"> 2022/decembrie 2020- </w:t>
      </w:r>
      <w:r>
        <w:rPr>
          <w:rFonts w:asciiTheme="minorHAnsi" w:hAnsiTheme="minorHAnsi" w:cstheme="minorHAnsi"/>
          <w:lang w:val="ro-RO"/>
        </w:rPr>
        <w:t>noiembrie</w:t>
      </w:r>
      <w:r w:rsidRPr="00E9242F">
        <w:rPr>
          <w:rFonts w:asciiTheme="minorHAnsi" w:hAnsiTheme="minorHAnsi" w:cstheme="minorHAnsi"/>
          <w:lang w:val="ro-RO"/>
        </w:rPr>
        <w:t xml:space="preserve"> 2021</w:t>
      </w:r>
    </w:p>
  </w:footnote>
  <w:footnote w:id="17">
    <w:p w14:paraId="657FC880" w14:textId="77777777" w:rsidR="003D10DF" w:rsidRPr="00E9242F" w:rsidRDefault="003D10DF" w:rsidP="00D36677">
      <w:pPr>
        <w:autoSpaceDE w:val="0"/>
        <w:autoSpaceDN w:val="0"/>
        <w:adjustRightInd w:val="0"/>
        <w:jc w:val="both"/>
        <w:rPr>
          <w:rFonts w:asciiTheme="minorHAnsi" w:hAnsiTheme="minorHAnsi" w:cstheme="minorHAnsi"/>
          <w:sz w:val="20"/>
          <w:szCs w:val="20"/>
          <w:lang w:val="ro-RO"/>
        </w:rPr>
      </w:pPr>
      <w:r w:rsidRPr="00E9242F">
        <w:rPr>
          <w:rStyle w:val="FootnoteReference"/>
          <w:rFonts w:asciiTheme="minorHAnsi" w:hAnsiTheme="minorHAnsi" w:cstheme="minorHAnsi"/>
          <w:sz w:val="20"/>
          <w:szCs w:val="20"/>
        </w:rPr>
        <w:footnoteRef/>
      </w:r>
      <w:r w:rsidRPr="00E9242F">
        <w:rPr>
          <w:rFonts w:asciiTheme="minorHAnsi" w:hAnsiTheme="minorHAnsi" w:cstheme="minorHAnsi"/>
          <w:sz w:val="20"/>
          <w:szCs w:val="20"/>
        </w:rPr>
        <w:t xml:space="preserve"> </w:t>
      </w:r>
      <w:r w:rsidRPr="00E9242F">
        <w:rPr>
          <w:rFonts w:asciiTheme="minorHAnsi" w:hAnsiTheme="minorHAnsi" w:cstheme="minorHAnsi"/>
          <w:sz w:val="20"/>
          <w:szCs w:val="20"/>
          <w:lang w:val="ro-RO"/>
        </w:rPr>
        <w:t xml:space="preserve">efect asupra încasărilor începând cu luna iulie 2022 (Legea nr. 135/2022 pentru modificarea </w:t>
      </w:r>
      <w:proofErr w:type="spellStart"/>
      <w:r w:rsidRPr="00E9242F">
        <w:rPr>
          <w:rFonts w:asciiTheme="minorHAnsi" w:hAnsiTheme="minorHAnsi" w:cstheme="minorHAnsi"/>
          <w:sz w:val="20"/>
          <w:szCs w:val="20"/>
          <w:lang w:val="ro-RO"/>
        </w:rPr>
        <w:t>şi</w:t>
      </w:r>
      <w:proofErr w:type="spellEnd"/>
      <w:r w:rsidRPr="00E9242F">
        <w:rPr>
          <w:rFonts w:asciiTheme="minorHAnsi" w:hAnsiTheme="minorHAnsi" w:cstheme="minorHAnsi"/>
          <w:sz w:val="20"/>
          <w:szCs w:val="20"/>
          <w:lang w:val="ro-RO"/>
        </w:rPr>
        <w:t xml:space="preserve"> completarea unor acte normative)</w:t>
      </w:r>
    </w:p>
  </w:footnote>
  <w:footnote w:id="18">
    <w:p w14:paraId="723BB19C" w14:textId="77777777" w:rsidR="003D10DF" w:rsidRPr="00E9242F" w:rsidRDefault="003D10DF" w:rsidP="00D36677">
      <w:pPr>
        <w:pStyle w:val="FootnoteText"/>
        <w:jc w:val="both"/>
        <w:rPr>
          <w:rFonts w:asciiTheme="minorHAnsi" w:hAnsiTheme="minorHAnsi" w:cstheme="minorHAnsi"/>
          <w:lang w:val="ro-RO"/>
        </w:rPr>
      </w:pPr>
      <w:r w:rsidRPr="00E9242F">
        <w:rPr>
          <w:rStyle w:val="FootnoteReference"/>
          <w:rFonts w:asciiTheme="minorHAnsi" w:hAnsiTheme="minorHAnsi" w:cstheme="minorHAnsi"/>
        </w:rPr>
        <w:footnoteRef/>
      </w:r>
      <w:r w:rsidRPr="00E9242F">
        <w:rPr>
          <w:rFonts w:asciiTheme="minorHAnsi" w:hAnsiTheme="minorHAnsi" w:cstheme="minorHAnsi"/>
        </w:rPr>
        <w:t xml:space="preserve"> </w:t>
      </w:r>
      <w:r w:rsidRPr="00E9242F">
        <w:rPr>
          <w:rFonts w:asciiTheme="minorHAnsi" w:hAnsiTheme="minorHAnsi" w:cstheme="minorHAnsi"/>
          <w:lang w:val="ro-RO"/>
        </w:rPr>
        <w:t>efect asupra încasărilor începând cu luna septembrie 2022 (Ordonanța Guvernului nr.16/2022 pentru completarea Legii nr.227/2015 privind Codul fiscal, abrogarea unor acte normative și alte măsuri fiscale)</w:t>
      </w:r>
    </w:p>
  </w:footnote>
  <w:footnote w:id="19">
    <w:p w14:paraId="7719A913" w14:textId="0467627D" w:rsidR="003D10DF" w:rsidRPr="00E9242F" w:rsidRDefault="003D10DF" w:rsidP="00D36677">
      <w:pPr>
        <w:pStyle w:val="FootnoteText"/>
        <w:jc w:val="both"/>
        <w:rPr>
          <w:rFonts w:asciiTheme="minorHAnsi" w:hAnsiTheme="minorHAnsi" w:cstheme="minorHAnsi"/>
          <w:lang w:val="ro-RO"/>
        </w:rPr>
      </w:pPr>
      <w:r w:rsidRPr="00E9242F">
        <w:rPr>
          <w:rStyle w:val="FootnoteReference"/>
          <w:rFonts w:asciiTheme="minorHAnsi" w:hAnsiTheme="minorHAnsi" w:cstheme="minorHAnsi"/>
        </w:rPr>
        <w:footnoteRef/>
      </w:r>
      <w:r w:rsidRPr="00E9242F">
        <w:rPr>
          <w:rFonts w:asciiTheme="minorHAnsi" w:hAnsiTheme="minorHAnsi" w:cstheme="minorHAnsi"/>
        </w:rPr>
        <w:t xml:space="preserve"> </w:t>
      </w:r>
      <w:r w:rsidRPr="00E9242F">
        <w:rPr>
          <w:rFonts w:asciiTheme="minorHAnsi" w:hAnsiTheme="minorHAnsi" w:cstheme="minorHAnsi"/>
          <w:lang w:val="ro-RO"/>
        </w:rPr>
        <w:t>efect asupra încasărilor începând cu luna septembrie 2022 (Ordonanța Guvernului nr.16/2022 pentru completarea Legii nr.227/2015 privind Codul fiscal,</w:t>
      </w:r>
      <w:r>
        <w:rPr>
          <w:rFonts w:asciiTheme="minorHAnsi" w:hAnsiTheme="minorHAnsi" w:cstheme="minorHAnsi"/>
          <w:lang w:val="ro-RO"/>
        </w:rPr>
        <w:t xml:space="preserve"> </w:t>
      </w:r>
      <w:r w:rsidRPr="00E9242F">
        <w:rPr>
          <w:rFonts w:asciiTheme="minorHAnsi" w:hAnsiTheme="minorHAnsi" w:cstheme="minorHAnsi"/>
          <w:lang w:val="ro-RO"/>
        </w:rPr>
        <w:t>abrogarea unor acte normative și alte măsuri fiscale)</w:t>
      </w:r>
    </w:p>
  </w:footnote>
  <w:footnote w:id="20">
    <w:p w14:paraId="2E784466" w14:textId="77777777" w:rsidR="003D10DF" w:rsidRPr="00E9242F" w:rsidRDefault="003D10DF" w:rsidP="00D36677">
      <w:pPr>
        <w:autoSpaceDE w:val="0"/>
        <w:autoSpaceDN w:val="0"/>
        <w:adjustRightInd w:val="0"/>
        <w:jc w:val="both"/>
        <w:rPr>
          <w:rFonts w:asciiTheme="minorHAnsi" w:hAnsiTheme="minorHAnsi" w:cstheme="minorHAnsi"/>
          <w:sz w:val="20"/>
          <w:szCs w:val="20"/>
          <w:lang w:val="ro-RO"/>
        </w:rPr>
      </w:pPr>
      <w:r w:rsidRPr="00E9242F">
        <w:rPr>
          <w:rStyle w:val="FootnoteReference"/>
          <w:rFonts w:asciiTheme="minorHAnsi" w:hAnsiTheme="minorHAnsi" w:cstheme="minorHAnsi"/>
          <w:sz w:val="20"/>
          <w:szCs w:val="20"/>
        </w:rPr>
        <w:footnoteRef/>
      </w:r>
      <w:r w:rsidRPr="00E9242F">
        <w:rPr>
          <w:rFonts w:asciiTheme="minorHAnsi" w:hAnsiTheme="minorHAnsi" w:cstheme="minorHAnsi"/>
          <w:sz w:val="20"/>
          <w:szCs w:val="20"/>
        </w:rPr>
        <w:t xml:space="preserve"> </w:t>
      </w:r>
      <w:r w:rsidRPr="00E9242F">
        <w:rPr>
          <w:rFonts w:asciiTheme="minorHAnsi" w:hAnsiTheme="minorHAnsi" w:cstheme="minorHAnsi"/>
          <w:sz w:val="20"/>
          <w:szCs w:val="20"/>
          <w:lang w:val="ro-RO"/>
        </w:rPr>
        <w:t xml:space="preserve">OUG nr. 130/2021 privind unele măsuri fiscal-bugetare, prorogarea unor termene, precum </w:t>
      </w:r>
      <w:proofErr w:type="spellStart"/>
      <w:r w:rsidRPr="00E9242F">
        <w:rPr>
          <w:rFonts w:asciiTheme="minorHAnsi" w:hAnsiTheme="minorHAnsi" w:cstheme="minorHAnsi"/>
          <w:sz w:val="20"/>
          <w:szCs w:val="20"/>
          <w:lang w:val="ro-RO"/>
        </w:rPr>
        <w:t>şi</w:t>
      </w:r>
      <w:proofErr w:type="spellEnd"/>
      <w:r w:rsidRPr="00E9242F">
        <w:rPr>
          <w:rFonts w:asciiTheme="minorHAnsi" w:hAnsiTheme="minorHAnsi" w:cstheme="minorHAnsi"/>
          <w:sz w:val="20"/>
          <w:szCs w:val="20"/>
          <w:lang w:val="ro-RO"/>
        </w:rPr>
        <w:t xml:space="preserve"> pentru modificarea </w:t>
      </w:r>
      <w:proofErr w:type="spellStart"/>
      <w:r w:rsidRPr="00E9242F">
        <w:rPr>
          <w:rFonts w:asciiTheme="minorHAnsi" w:hAnsiTheme="minorHAnsi" w:cstheme="minorHAnsi"/>
          <w:sz w:val="20"/>
          <w:szCs w:val="20"/>
          <w:lang w:val="ro-RO"/>
        </w:rPr>
        <w:t>şi</w:t>
      </w:r>
      <w:proofErr w:type="spellEnd"/>
      <w:r w:rsidRPr="00E9242F">
        <w:rPr>
          <w:rFonts w:asciiTheme="minorHAnsi" w:hAnsiTheme="minorHAnsi" w:cstheme="minorHAnsi"/>
          <w:sz w:val="20"/>
          <w:szCs w:val="20"/>
          <w:lang w:val="ro-RO"/>
        </w:rPr>
        <w:t xml:space="preserve"> completarea unor acte normative</w:t>
      </w:r>
    </w:p>
    <w:p w14:paraId="56E4D8B1" w14:textId="77777777" w:rsidR="003D10DF" w:rsidRPr="00E9242F" w:rsidRDefault="003D10DF" w:rsidP="00D36677">
      <w:pPr>
        <w:pStyle w:val="FootnoteText"/>
        <w:rPr>
          <w:rFonts w:asciiTheme="minorHAnsi" w:hAnsiTheme="minorHAnsi" w:cstheme="minorHAnsi"/>
          <w:lang w:val="ro-RO"/>
        </w:rPr>
      </w:pPr>
    </w:p>
  </w:footnote>
  <w:footnote w:id="21">
    <w:p w14:paraId="2DAEE4B6" w14:textId="77777777" w:rsidR="003D10DF" w:rsidRPr="00712F33" w:rsidRDefault="003D10DF" w:rsidP="00345EC8">
      <w:pPr>
        <w:pStyle w:val="FootnoteText"/>
        <w:rPr>
          <w:lang w:val="ro-RO"/>
        </w:rPr>
      </w:pPr>
      <w:r>
        <w:rPr>
          <w:rStyle w:val="FootnoteReference"/>
        </w:rPr>
        <w:footnoteRef/>
      </w:r>
      <w:r>
        <w:t xml:space="preserve"> </w:t>
      </w:r>
      <w:r w:rsidRPr="00712F33">
        <w:rPr>
          <w:lang w:val="ro-RO"/>
        </w:rPr>
        <w:t xml:space="preserve">pentru completarea art. I din Ordonanța de urgență a Guvernului nr. 130/2021 privind unele măsuri fiscal-bugetare, prorogarea unor termene, precum </w:t>
      </w:r>
      <w:proofErr w:type="spellStart"/>
      <w:r w:rsidRPr="00712F33">
        <w:rPr>
          <w:lang w:val="ro-RO"/>
        </w:rPr>
        <w:t>şi</w:t>
      </w:r>
      <w:proofErr w:type="spellEnd"/>
      <w:r w:rsidRPr="00712F33">
        <w:rPr>
          <w:lang w:val="ro-RO"/>
        </w:rPr>
        <w:t xml:space="preserve"> pentru modificarea </w:t>
      </w:r>
      <w:proofErr w:type="spellStart"/>
      <w:r w:rsidRPr="00712F33">
        <w:rPr>
          <w:lang w:val="ro-RO"/>
        </w:rPr>
        <w:t>şi</w:t>
      </w:r>
      <w:proofErr w:type="spellEnd"/>
      <w:r w:rsidRPr="00712F33">
        <w:rPr>
          <w:lang w:val="ro-RO"/>
        </w:rPr>
        <w:t xml:space="preserve"> completarea unor acte normative</w:t>
      </w:r>
    </w:p>
    <w:p w14:paraId="2988E20D" w14:textId="77777777" w:rsidR="003D10DF" w:rsidRDefault="003D10DF" w:rsidP="00345EC8">
      <w:pPr>
        <w:pStyle w:val="FootnoteText"/>
      </w:pPr>
    </w:p>
  </w:footnote>
  <w:footnote w:id="22">
    <w:p w14:paraId="0F5BDE79" w14:textId="77777777" w:rsidR="003D10DF" w:rsidRPr="00F874EE" w:rsidRDefault="003D10DF" w:rsidP="00B23BC7">
      <w:pPr>
        <w:pStyle w:val="FootnoteText"/>
        <w:rPr>
          <w:lang w:val="ro-RO"/>
        </w:rPr>
      </w:pPr>
      <w:r>
        <w:rPr>
          <w:rStyle w:val="FootnoteReference"/>
        </w:rPr>
        <w:footnoteRef/>
      </w:r>
      <w:r>
        <w:t xml:space="preserve"> </w:t>
      </w:r>
      <w:r w:rsidRPr="00F874EE">
        <w:rPr>
          <w:rFonts w:ascii="Trebuchet MS" w:hAnsi="Trebuchet MS"/>
          <w:sz w:val="16"/>
          <w:szCs w:val="16"/>
          <w:lang w:val="ro-RO"/>
        </w:rPr>
        <w:t xml:space="preserve">Conform Comunicatului </w:t>
      </w:r>
      <w:proofErr w:type="spellStart"/>
      <w:r w:rsidRPr="00F874EE">
        <w:rPr>
          <w:rFonts w:ascii="Trebuchet MS" w:hAnsi="Trebuchet MS"/>
          <w:sz w:val="16"/>
          <w:szCs w:val="16"/>
          <w:lang w:val="ro-RO"/>
        </w:rPr>
        <w:t>Eurostat</w:t>
      </w:r>
      <w:proofErr w:type="spellEnd"/>
      <w:r w:rsidRPr="00F874EE">
        <w:rPr>
          <w:rFonts w:ascii="Trebuchet MS" w:hAnsi="Trebuchet MS"/>
          <w:sz w:val="16"/>
          <w:szCs w:val="16"/>
          <w:lang w:val="ro-RO"/>
        </w:rPr>
        <w:t xml:space="preserve"> nr.47/21 aprilie 2023</w:t>
      </w:r>
    </w:p>
  </w:footnote>
  <w:footnote w:id="23">
    <w:p w14:paraId="1F8FB1D1" w14:textId="183B65A2" w:rsidR="003D10DF" w:rsidRPr="00F874EE" w:rsidRDefault="003D10DF" w:rsidP="00B23BC7">
      <w:pPr>
        <w:pStyle w:val="FootnoteText"/>
        <w:rPr>
          <w:rFonts w:ascii="Trebuchet MS" w:hAnsi="Trebuchet MS"/>
          <w:sz w:val="16"/>
          <w:szCs w:val="16"/>
          <w:lang w:val="ro-RO"/>
        </w:rPr>
      </w:pPr>
      <w:r w:rsidRPr="00F874EE">
        <w:rPr>
          <w:rStyle w:val="FootnoteReference"/>
          <w:rFonts w:ascii="Trebuchet MS" w:hAnsi="Trebuchet MS"/>
          <w:sz w:val="16"/>
          <w:szCs w:val="16"/>
          <w:lang w:val="ro-RO"/>
        </w:rPr>
        <w:footnoteRef/>
      </w:r>
      <w:r w:rsidRPr="00F874EE">
        <w:rPr>
          <w:rFonts w:ascii="Trebuchet MS" w:hAnsi="Trebuchet MS"/>
          <w:sz w:val="16"/>
          <w:szCs w:val="16"/>
          <w:lang w:val="ro-RO"/>
        </w:rPr>
        <w:t xml:space="preserve"> Conform execuției bugetului general consolidat la 31 decembrie 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2FEB"/>
      </v:shape>
    </w:pict>
  </w:numPicBullet>
  <w:numPicBullet w:numPicBulletId="1">
    <w:pict>
      <v:shape id="_x0000_i1027" type="#_x0000_t75" style="width:11.55pt;height:11.55pt" o:bullet="t">
        <v:imagedata r:id="rId2" o:title="mso2B"/>
      </v:shape>
    </w:pict>
  </w:numPicBullet>
  <w:abstractNum w:abstractNumId="0" w15:restartNumberingAfterBreak="0">
    <w:nsid w:val="00000001"/>
    <w:multiLevelType w:val="singleLevel"/>
    <w:tmpl w:val="5DE6962A"/>
    <w:lvl w:ilvl="0">
      <w:start w:val="1"/>
      <w:numFmt w:val="bullet"/>
      <w:lvlText w:val=""/>
      <w:lvlJc w:val="left"/>
      <w:pPr>
        <w:tabs>
          <w:tab w:val="num" w:pos="0"/>
        </w:tabs>
        <w:ind w:left="720" w:hanging="360"/>
      </w:pPr>
      <w:rPr>
        <w:rFonts w:ascii="Symbol" w:hAnsi="Symbol"/>
        <w:color w:val="auto"/>
        <w:sz w:val="24"/>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1440" w:hanging="360"/>
      </w:pPr>
      <w:rPr>
        <w:rFonts w:ascii="Symbol" w:hAnsi="Symbol"/>
        <w:color w:val="000000"/>
        <w:sz w:val="28"/>
      </w:rPr>
    </w:lvl>
  </w:abstractNum>
  <w:abstractNum w:abstractNumId="2" w15:restartNumberingAfterBreak="0">
    <w:nsid w:val="00000005"/>
    <w:multiLevelType w:val="singleLevel"/>
    <w:tmpl w:val="00000005"/>
    <w:name w:val="WW8Num10"/>
    <w:lvl w:ilvl="0">
      <w:start w:val="1"/>
      <w:numFmt w:val="bullet"/>
      <w:lvlText w:val=""/>
      <w:lvlJc w:val="left"/>
      <w:pPr>
        <w:tabs>
          <w:tab w:val="num" w:pos="0"/>
        </w:tabs>
        <w:ind w:left="720" w:hanging="360"/>
      </w:pPr>
      <w:rPr>
        <w:rFonts w:ascii="Wingdings" w:hAnsi="Wingdings" w:cs="Wingdings" w:hint="default"/>
        <w:sz w:val="28"/>
        <w:szCs w:val="28"/>
        <w:lang w:val="ro-RO" w:eastAsia="en-US"/>
      </w:rPr>
    </w:lvl>
  </w:abstractNum>
  <w:abstractNum w:abstractNumId="3"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OpenSymbol"/>
        <w:sz w:val="24"/>
        <w:szCs w:val="24"/>
        <w:shd w:val="clear" w:color="auto" w:fill="auto"/>
        <w:lang w:val="ro-RO" w:eastAsia="zh-CN" w:bidi="ar-SA"/>
      </w:rPr>
    </w:lvl>
    <w:lvl w:ilvl="1">
      <w:start w:val="1"/>
      <w:numFmt w:val="bullet"/>
      <w:lvlText w:val=""/>
      <w:lvlJc w:val="left"/>
      <w:pPr>
        <w:tabs>
          <w:tab w:val="num" w:pos="1080"/>
        </w:tabs>
        <w:ind w:left="1080" w:hanging="360"/>
      </w:pPr>
      <w:rPr>
        <w:rFonts w:ascii="Wingdings" w:hAnsi="Wingdings" w:cs="OpenSymbol"/>
        <w:sz w:val="24"/>
        <w:szCs w:val="24"/>
        <w:shd w:val="clear" w:color="auto" w:fill="auto"/>
        <w:lang w:val="ro-RO" w:eastAsia="zh-CN" w:bidi="ar-SA"/>
      </w:rPr>
    </w:lvl>
    <w:lvl w:ilvl="2">
      <w:start w:val="1"/>
      <w:numFmt w:val="bullet"/>
      <w:lvlText w:val=""/>
      <w:lvlJc w:val="left"/>
      <w:pPr>
        <w:tabs>
          <w:tab w:val="num" w:pos="1440"/>
        </w:tabs>
        <w:ind w:left="1440" w:hanging="360"/>
      </w:pPr>
      <w:rPr>
        <w:rFonts w:ascii="Wingdings" w:hAnsi="Wingdings" w:cs="OpenSymbol"/>
        <w:sz w:val="24"/>
        <w:szCs w:val="24"/>
        <w:shd w:val="clear" w:color="auto" w:fill="auto"/>
        <w:lang w:val="ro-RO" w:eastAsia="zh-CN" w:bidi="ar-SA"/>
      </w:rPr>
    </w:lvl>
    <w:lvl w:ilvl="3">
      <w:start w:val="1"/>
      <w:numFmt w:val="bullet"/>
      <w:lvlText w:val=""/>
      <w:lvlJc w:val="left"/>
      <w:pPr>
        <w:tabs>
          <w:tab w:val="num" w:pos="1800"/>
        </w:tabs>
        <w:ind w:left="1800" w:hanging="360"/>
      </w:pPr>
      <w:rPr>
        <w:rFonts w:ascii="Wingdings" w:hAnsi="Wingdings" w:cs="OpenSymbol"/>
        <w:sz w:val="24"/>
        <w:szCs w:val="24"/>
        <w:shd w:val="clear" w:color="auto" w:fill="auto"/>
        <w:lang w:val="ro-RO" w:eastAsia="zh-CN" w:bidi="ar-SA"/>
      </w:rPr>
    </w:lvl>
    <w:lvl w:ilvl="4">
      <w:start w:val="1"/>
      <w:numFmt w:val="bullet"/>
      <w:lvlText w:val=""/>
      <w:lvlJc w:val="left"/>
      <w:pPr>
        <w:tabs>
          <w:tab w:val="num" w:pos="2160"/>
        </w:tabs>
        <w:ind w:left="2160" w:hanging="360"/>
      </w:pPr>
      <w:rPr>
        <w:rFonts w:ascii="Wingdings" w:hAnsi="Wingdings" w:cs="OpenSymbol"/>
        <w:sz w:val="24"/>
        <w:szCs w:val="24"/>
        <w:shd w:val="clear" w:color="auto" w:fill="auto"/>
        <w:lang w:val="ro-RO" w:eastAsia="zh-CN" w:bidi="ar-SA"/>
      </w:rPr>
    </w:lvl>
    <w:lvl w:ilvl="5">
      <w:start w:val="1"/>
      <w:numFmt w:val="bullet"/>
      <w:lvlText w:val=""/>
      <w:lvlJc w:val="left"/>
      <w:pPr>
        <w:tabs>
          <w:tab w:val="num" w:pos="2520"/>
        </w:tabs>
        <w:ind w:left="2520" w:hanging="360"/>
      </w:pPr>
      <w:rPr>
        <w:rFonts w:ascii="Wingdings" w:hAnsi="Wingdings" w:cs="OpenSymbol"/>
        <w:sz w:val="24"/>
        <w:szCs w:val="24"/>
        <w:shd w:val="clear" w:color="auto" w:fill="auto"/>
        <w:lang w:val="ro-RO" w:eastAsia="zh-CN" w:bidi="ar-SA"/>
      </w:rPr>
    </w:lvl>
    <w:lvl w:ilvl="6">
      <w:start w:val="1"/>
      <w:numFmt w:val="bullet"/>
      <w:lvlText w:val=""/>
      <w:lvlJc w:val="left"/>
      <w:pPr>
        <w:tabs>
          <w:tab w:val="num" w:pos="2880"/>
        </w:tabs>
        <w:ind w:left="2880" w:hanging="360"/>
      </w:pPr>
      <w:rPr>
        <w:rFonts w:ascii="Wingdings" w:hAnsi="Wingdings" w:cs="OpenSymbol"/>
        <w:sz w:val="24"/>
        <w:szCs w:val="24"/>
        <w:shd w:val="clear" w:color="auto" w:fill="auto"/>
        <w:lang w:val="ro-RO" w:eastAsia="zh-CN" w:bidi="ar-SA"/>
      </w:rPr>
    </w:lvl>
    <w:lvl w:ilvl="7">
      <w:start w:val="1"/>
      <w:numFmt w:val="bullet"/>
      <w:lvlText w:val=""/>
      <w:lvlJc w:val="left"/>
      <w:pPr>
        <w:tabs>
          <w:tab w:val="num" w:pos="3240"/>
        </w:tabs>
        <w:ind w:left="3240" w:hanging="360"/>
      </w:pPr>
      <w:rPr>
        <w:rFonts w:ascii="Wingdings" w:hAnsi="Wingdings" w:cs="OpenSymbol"/>
        <w:sz w:val="24"/>
        <w:szCs w:val="24"/>
        <w:shd w:val="clear" w:color="auto" w:fill="auto"/>
        <w:lang w:val="ro-RO" w:eastAsia="zh-CN" w:bidi="ar-SA"/>
      </w:rPr>
    </w:lvl>
    <w:lvl w:ilvl="8">
      <w:start w:val="1"/>
      <w:numFmt w:val="bullet"/>
      <w:lvlText w:val=""/>
      <w:lvlJc w:val="left"/>
      <w:pPr>
        <w:tabs>
          <w:tab w:val="num" w:pos="3600"/>
        </w:tabs>
        <w:ind w:left="3600" w:hanging="360"/>
      </w:pPr>
      <w:rPr>
        <w:rFonts w:ascii="Wingdings" w:hAnsi="Wingdings" w:cs="OpenSymbol"/>
        <w:sz w:val="24"/>
        <w:szCs w:val="24"/>
        <w:shd w:val="clear" w:color="auto" w:fill="auto"/>
        <w:lang w:val="ro-RO" w:eastAsia="zh-CN" w:bidi="ar-SA"/>
      </w:rPr>
    </w:lvl>
  </w:abstractNum>
  <w:abstractNum w:abstractNumId="4"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Wingdings" w:hAnsi="Wingdings" w:cs="OpenSymbol"/>
        <w:szCs w:val="24"/>
      </w:rPr>
    </w:lvl>
    <w:lvl w:ilvl="1">
      <w:start w:val="1"/>
      <w:numFmt w:val="bullet"/>
      <w:lvlText w:val=""/>
      <w:lvlJc w:val="left"/>
      <w:pPr>
        <w:tabs>
          <w:tab w:val="num" w:pos="1080"/>
        </w:tabs>
        <w:ind w:left="1080" w:hanging="360"/>
      </w:pPr>
      <w:rPr>
        <w:rFonts w:ascii="Wingdings" w:hAnsi="Wingdings" w:cs="OpenSymbol"/>
        <w:szCs w:val="24"/>
      </w:rPr>
    </w:lvl>
    <w:lvl w:ilvl="2">
      <w:start w:val="1"/>
      <w:numFmt w:val="bullet"/>
      <w:lvlText w:val=""/>
      <w:lvlJc w:val="left"/>
      <w:pPr>
        <w:tabs>
          <w:tab w:val="num" w:pos="1440"/>
        </w:tabs>
        <w:ind w:left="1440" w:hanging="360"/>
      </w:pPr>
      <w:rPr>
        <w:rFonts w:ascii="Wingdings" w:hAnsi="Wingdings" w:cs="OpenSymbol"/>
        <w:szCs w:val="24"/>
      </w:rPr>
    </w:lvl>
    <w:lvl w:ilvl="3">
      <w:start w:val="1"/>
      <w:numFmt w:val="bullet"/>
      <w:lvlText w:val=""/>
      <w:lvlJc w:val="left"/>
      <w:pPr>
        <w:tabs>
          <w:tab w:val="num" w:pos="1800"/>
        </w:tabs>
        <w:ind w:left="1800" w:hanging="360"/>
      </w:pPr>
      <w:rPr>
        <w:rFonts w:ascii="Wingdings" w:hAnsi="Wingdings" w:cs="OpenSymbol"/>
        <w:szCs w:val="24"/>
      </w:rPr>
    </w:lvl>
    <w:lvl w:ilvl="4">
      <w:start w:val="1"/>
      <w:numFmt w:val="bullet"/>
      <w:lvlText w:val=""/>
      <w:lvlJc w:val="left"/>
      <w:pPr>
        <w:tabs>
          <w:tab w:val="num" w:pos="2160"/>
        </w:tabs>
        <w:ind w:left="2160" w:hanging="360"/>
      </w:pPr>
      <w:rPr>
        <w:rFonts w:ascii="Wingdings" w:hAnsi="Wingdings" w:cs="OpenSymbol"/>
        <w:szCs w:val="24"/>
      </w:rPr>
    </w:lvl>
    <w:lvl w:ilvl="5">
      <w:start w:val="1"/>
      <w:numFmt w:val="bullet"/>
      <w:lvlText w:val=""/>
      <w:lvlJc w:val="left"/>
      <w:pPr>
        <w:tabs>
          <w:tab w:val="num" w:pos="2520"/>
        </w:tabs>
        <w:ind w:left="2520" w:hanging="360"/>
      </w:pPr>
      <w:rPr>
        <w:rFonts w:ascii="Wingdings" w:hAnsi="Wingdings" w:cs="OpenSymbol"/>
        <w:szCs w:val="24"/>
      </w:rPr>
    </w:lvl>
    <w:lvl w:ilvl="6">
      <w:start w:val="1"/>
      <w:numFmt w:val="bullet"/>
      <w:lvlText w:val=""/>
      <w:lvlJc w:val="left"/>
      <w:pPr>
        <w:tabs>
          <w:tab w:val="num" w:pos="2880"/>
        </w:tabs>
        <w:ind w:left="2880" w:hanging="360"/>
      </w:pPr>
      <w:rPr>
        <w:rFonts w:ascii="Wingdings" w:hAnsi="Wingdings" w:cs="OpenSymbol"/>
        <w:szCs w:val="24"/>
      </w:rPr>
    </w:lvl>
    <w:lvl w:ilvl="7">
      <w:start w:val="1"/>
      <w:numFmt w:val="bullet"/>
      <w:lvlText w:val=""/>
      <w:lvlJc w:val="left"/>
      <w:pPr>
        <w:tabs>
          <w:tab w:val="num" w:pos="3240"/>
        </w:tabs>
        <w:ind w:left="3240" w:hanging="360"/>
      </w:pPr>
      <w:rPr>
        <w:rFonts w:ascii="Wingdings" w:hAnsi="Wingdings" w:cs="OpenSymbol"/>
        <w:szCs w:val="24"/>
      </w:rPr>
    </w:lvl>
    <w:lvl w:ilvl="8">
      <w:start w:val="1"/>
      <w:numFmt w:val="bullet"/>
      <w:lvlText w:val=""/>
      <w:lvlJc w:val="left"/>
      <w:pPr>
        <w:tabs>
          <w:tab w:val="num" w:pos="3600"/>
        </w:tabs>
        <w:ind w:left="3600" w:hanging="360"/>
      </w:pPr>
      <w:rPr>
        <w:rFonts w:ascii="Wingdings" w:hAnsi="Wingdings" w:cs="OpenSymbol"/>
        <w:szCs w:val="24"/>
      </w:rPr>
    </w:lvl>
  </w:abstractNum>
  <w:abstractNum w:abstractNumId="5" w15:restartNumberingAfterBreak="0">
    <w:nsid w:val="01373A71"/>
    <w:multiLevelType w:val="hybridMultilevel"/>
    <w:tmpl w:val="699A93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654082"/>
    <w:multiLevelType w:val="hybridMultilevel"/>
    <w:tmpl w:val="D4E05666"/>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7" w15:restartNumberingAfterBreak="0">
    <w:nsid w:val="09B87E8A"/>
    <w:multiLevelType w:val="hybridMultilevel"/>
    <w:tmpl w:val="F8D840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47E25"/>
    <w:multiLevelType w:val="hybridMultilevel"/>
    <w:tmpl w:val="023E81D8"/>
    <w:lvl w:ilvl="0" w:tplc="E912F06C">
      <w:start w:val="5"/>
      <w:numFmt w:val="upperRoman"/>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0CD44BB3"/>
    <w:multiLevelType w:val="hybridMultilevel"/>
    <w:tmpl w:val="C19045A6"/>
    <w:lvl w:ilvl="0" w:tplc="0409000D">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10" w15:restartNumberingAfterBreak="0">
    <w:nsid w:val="152301DB"/>
    <w:multiLevelType w:val="hybridMultilevel"/>
    <w:tmpl w:val="B2B2E10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81F1C6B"/>
    <w:multiLevelType w:val="hybridMultilevel"/>
    <w:tmpl w:val="E594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62539"/>
    <w:multiLevelType w:val="hybridMultilevel"/>
    <w:tmpl w:val="3DC88CF6"/>
    <w:lvl w:ilvl="0" w:tplc="201C5442">
      <w:start w:val="1"/>
      <w:numFmt w:val="decimal"/>
      <w:lvlText w:val="%1."/>
      <w:lvlJc w:val="left"/>
      <w:pPr>
        <w:tabs>
          <w:tab w:val="num" w:pos="870"/>
        </w:tabs>
        <w:ind w:left="870" w:hanging="360"/>
      </w:pPr>
      <w:rPr>
        <w:rFonts w:cs="Times New Roman"/>
      </w:rPr>
    </w:lvl>
    <w:lvl w:ilvl="1" w:tplc="E962E206">
      <w:numFmt w:val="none"/>
      <w:lvlText w:val=""/>
      <w:lvlJc w:val="left"/>
      <w:pPr>
        <w:tabs>
          <w:tab w:val="num" w:pos="360"/>
        </w:tabs>
      </w:pPr>
      <w:rPr>
        <w:rFonts w:cs="Times New Roman"/>
      </w:rPr>
    </w:lvl>
    <w:lvl w:ilvl="2" w:tplc="B5367312">
      <w:numFmt w:val="none"/>
      <w:lvlText w:val=""/>
      <w:lvlJc w:val="left"/>
      <w:pPr>
        <w:tabs>
          <w:tab w:val="num" w:pos="360"/>
        </w:tabs>
      </w:pPr>
      <w:rPr>
        <w:rFonts w:cs="Times New Roman"/>
      </w:rPr>
    </w:lvl>
    <w:lvl w:ilvl="3" w:tplc="DE6A16E4">
      <w:numFmt w:val="none"/>
      <w:lvlText w:val=""/>
      <w:lvlJc w:val="left"/>
      <w:pPr>
        <w:tabs>
          <w:tab w:val="num" w:pos="360"/>
        </w:tabs>
      </w:pPr>
      <w:rPr>
        <w:rFonts w:cs="Times New Roman"/>
      </w:rPr>
    </w:lvl>
    <w:lvl w:ilvl="4" w:tplc="96001DC0">
      <w:numFmt w:val="none"/>
      <w:lvlText w:val=""/>
      <w:lvlJc w:val="left"/>
      <w:pPr>
        <w:tabs>
          <w:tab w:val="num" w:pos="360"/>
        </w:tabs>
      </w:pPr>
      <w:rPr>
        <w:rFonts w:cs="Times New Roman"/>
      </w:rPr>
    </w:lvl>
    <w:lvl w:ilvl="5" w:tplc="CD5CD644">
      <w:numFmt w:val="none"/>
      <w:lvlText w:val=""/>
      <w:lvlJc w:val="left"/>
      <w:pPr>
        <w:tabs>
          <w:tab w:val="num" w:pos="360"/>
        </w:tabs>
      </w:pPr>
      <w:rPr>
        <w:rFonts w:cs="Times New Roman"/>
      </w:rPr>
    </w:lvl>
    <w:lvl w:ilvl="6" w:tplc="9B0E0684">
      <w:numFmt w:val="none"/>
      <w:lvlText w:val=""/>
      <w:lvlJc w:val="left"/>
      <w:pPr>
        <w:tabs>
          <w:tab w:val="num" w:pos="360"/>
        </w:tabs>
      </w:pPr>
      <w:rPr>
        <w:rFonts w:cs="Times New Roman"/>
      </w:rPr>
    </w:lvl>
    <w:lvl w:ilvl="7" w:tplc="46FECC90">
      <w:numFmt w:val="none"/>
      <w:lvlText w:val=""/>
      <w:lvlJc w:val="left"/>
      <w:pPr>
        <w:tabs>
          <w:tab w:val="num" w:pos="360"/>
        </w:tabs>
      </w:pPr>
      <w:rPr>
        <w:rFonts w:cs="Times New Roman"/>
      </w:rPr>
    </w:lvl>
    <w:lvl w:ilvl="8" w:tplc="69BCD940">
      <w:numFmt w:val="none"/>
      <w:lvlText w:val=""/>
      <w:lvlJc w:val="left"/>
      <w:pPr>
        <w:tabs>
          <w:tab w:val="num" w:pos="360"/>
        </w:tabs>
      </w:pPr>
      <w:rPr>
        <w:rFonts w:cs="Times New Roman"/>
      </w:rPr>
    </w:lvl>
  </w:abstractNum>
  <w:abstractNum w:abstractNumId="13" w15:restartNumberingAfterBreak="0">
    <w:nsid w:val="18C86AEF"/>
    <w:multiLevelType w:val="hybridMultilevel"/>
    <w:tmpl w:val="9F0897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D24D41"/>
    <w:multiLevelType w:val="hybridMultilevel"/>
    <w:tmpl w:val="F9FAA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4206D"/>
    <w:multiLevelType w:val="hybridMultilevel"/>
    <w:tmpl w:val="65CEEE1C"/>
    <w:lvl w:ilvl="0" w:tplc="04090001">
      <w:start w:val="1"/>
      <w:numFmt w:val="bullet"/>
      <w:lvlText w:val=""/>
      <w:lvlJc w:val="left"/>
      <w:pPr>
        <w:ind w:left="711" w:hanging="360"/>
      </w:pPr>
      <w:rPr>
        <w:rFonts w:ascii="Symbol" w:hAnsi="Symbol" w:hint="default"/>
        <w:strike w:val="0"/>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763F17"/>
    <w:multiLevelType w:val="hybridMultilevel"/>
    <w:tmpl w:val="FFEEF996"/>
    <w:lvl w:ilvl="0" w:tplc="0418000F">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1CB45AED"/>
    <w:multiLevelType w:val="hybridMultilevel"/>
    <w:tmpl w:val="DFDA5878"/>
    <w:lvl w:ilvl="0" w:tplc="40FC989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07E3F7A"/>
    <w:multiLevelType w:val="hybridMultilevel"/>
    <w:tmpl w:val="833041C6"/>
    <w:lvl w:ilvl="0" w:tplc="CC766B86">
      <w:start w:val="1"/>
      <w:numFmt w:val="upperRoman"/>
      <w:lvlText w:val="%1."/>
      <w:lvlJc w:val="left"/>
      <w:pPr>
        <w:ind w:left="924" w:hanging="720"/>
      </w:pPr>
      <w:rPr>
        <w:rFonts w:cs="Times New Roman" w:hint="default"/>
      </w:rPr>
    </w:lvl>
    <w:lvl w:ilvl="1" w:tplc="04180019">
      <w:start w:val="1"/>
      <w:numFmt w:val="lowerLetter"/>
      <w:lvlText w:val="%2."/>
      <w:lvlJc w:val="left"/>
      <w:pPr>
        <w:ind w:left="1284" w:hanging="360"/>
      </w:pPr>
      <w:rPr>
        <w:rFonts w:cs="Times New Roman"/>
      </w:rPr>
    </w:lvl>
    <w:lvl w:ilvl="2" w:tplc="0418001B">
      <w:start w:val="1"/>
      <w:numFmt w:val="lowerRoman"/>
      <w:lvlText w:val="%3."/>
      <w:lvlJc w:val="right"/>
      <w:pPr>
        <w:ind w:left="2004" w:hanging="180"/>
      </w:pPr>
      <w:rPr>
        <w:rFonts w:cs="Times New Roman"/>
      </w:rPr>
    </w:lvl>
    <w:lvl w:ilvl="3" w:tplc="0418000F">
      <w:start w:val="1"/>
      <w:numFmt w:val="decimal"/>
      <w:lvlText w:val="%4."/>
      <w:lvlJc w:val="left"/>
      <w:pPr>
        <w:ind w:left="2724" w:hanging="360"/>
      </w:pPr>
      <w:rPr>
        <w:rFonts w:cs="Times New Roman"/>
      </w:rPr>
    </w:lvl>
    <w:lvl w:ilvl="4" w:tplc="04180019">
      <w:start w:val="1"/>
      <w:numFmt w:val="lowerLetter"/>
      <w:lvlText w:val="%5."/>
      <w:lvlJc w:val="left"/>
      <w:pPr>
        <w:ind w:left="3444" w:hanging="360"/>
      </w:pPr>
      <w:rPr>
        <w:rFonts w:cs="Times New Roman"/>
      </w:rPr>
    </w:lvl>
    <w:lvl w:ilvl="5" w:tplc="0418001B">
      <w:start w:val="1"/>
      <w:numFmt w:val="lowerRoman"/>
      <w:lvlText w:val="%6."/>
      <w:lvlJc w:val="right"/>
      <w:pPr>
        <w:ind w:left="4164" w:hanging="180"/>
      </w:pPr>
      <w:rPr>
        <w:rFonts w:cs="Times New Roman"/>
      </w:rPr>
    </w:lvl>
    <w:lvl w:ilvl="6" w:tplc="0418000F">
      <w:start w:val="1"/>
      <w:numFmt w:val="decimal"/>
      <w:lvlText w:val="%7."/>
      <w:lvlJc w:val="left"/>
      <w:pPr>
        <w:ind w:left="4884" w:hanging="360"/>
      </w:pPr>
      <w:rPr>
        <w:rFonts w:cs="Times New Roman"/>
      </w:rPr>
    </w:lvl>
    <w:lvl w:ilvl="7" w:tplc="04180019">
      <w:start w:val="1"/>
      <w:numFmt w:val="lowerLetter"/>
      <w:lvlText w:val="%8."/>
      <w:lvlJc w:val="left"/>
      <w:pPr>
        <w:ind w:left="5604" w:hanging="360"/>
      </w:pPr>
      <w:rPr>
        <w:rFonts w:cs="Times New Roman"/>
      </w:rPr>
    </w:lvl>
    <w:lvl w:ilvl="8" w:tplc="0418001B">
      <w:start w:val="1"/>
      <w:numFmt w:val="lowerRoman"/>
      <w:lvlText w:val="%9."/>
      <w:lvlJc w:val="right"/>
      <w:pPr>
        <w:ind w:left="6324" w:hanging="180"/>
      </w:pPr>
      <w:rPr>
        <w:rFonts w:cs="Times New Roman"/>
      </w:rPr>
    </w:lvl>
  </w:abstractNum>
  <w:abstractNum w:abstractNumId="19" w15:restartNumberingAfterBreak="0">
    <w:nsid w:val="23C909E9"/>
    <w:multiLevelType w:val="hybridMultilevel"/>
    <w:tmpl w:val="B072808E"/>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57650C0"/>
    <w:multiLevelType w:val="hybridMultilevel"/>
    <w:tmpl w:val="4EC42A28"/>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1" w15:restartNumberingAfterBreak="0">
    <w:nsid w:val="25C950DB"/>
    <w:multiLevelType w:val="hybridMultilevel"/>
    <w:tmpl w:val="2642380A"/>
    <w:lvl w:ilvl="0" w:tplc="2926EAF0">
      <w:start w:val="418"/>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15:restartNumberingAfterBreak="0">
    <w:nsid w:val="27BB5A73"/>
    <w:multiLevelType w:val="hybridMultilevel"/>
    <w:tmpl w:val="925C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1246D"/>
    <w:multiLevelType w:val="hybridMultilevel"/>
    <w:tmpl w:val="39E460F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4" w15:restartNumberingAfterBreak="0">
    <w:nsid w:val="31681D9C"/>
    <w:multiLevelType w:val="hybridMultilevel"/>
    <w:tmpl w:val="39909C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6E5267E"/>
    <w:multiLevelType w:val="multilevel"/>
    <w:tmpl w:val="B672DAD0"/>
    <w:lvl w:ilvl="0">
      <w:start w:val="1"/>
      <w:numFmt w:val="bullet"/>
      <w:lvlText w:val=""/>
      <w:lvlJc w:val="left"/>
      <w:pPr>
        <w:ind w:left="2880" w:hanging="360"/>
      </w:pPr>
      <w:rPr>
        <w:rFonts w:ascii="Wingdings" w:hAnsi="Wingdings" w:cs="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26" w15:restartNumberingAfterBreak="0">
    <w:nsid w:val="370445FE"/>
    <w:multiLevelType w:val="hybridMultilevel"/>
    <w:tmpl w:val="A906C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693EB6"/>
    <w:multiLevelType w:val="hybridMultilevel"/>
    <w:tmpl w:val="DAACA080"/>
    <w:lvl w:ilvl="0" w:tplc="AC4A3DF2">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8" w15:restartNumberingAfterBreak="0">
    <w:nsid w:val="3EE17DAD"/>
    <w:multiLevelType w:val="hybridMultilevel"/>
    <w:tmpl w:val="46C091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8009EA"/>
    <w:multiLevelType w:val="hybridMultilevel"/>
    <w:tmpl w:val="167AA2BA"/>
    <w:lvl w:ilvl="0" w:tplc="0409000B">
      <w:start w:val="1"/>
      <w:numFmt w:val="bullet"/>
      <w:lvlText w:val=""/>
      <w:lvlJc w:val="left"/>
      <w:pPr>
        <w:ind w:left="1791" w:hanging="360"/>
      </w:pPr>
      <w:rPr>
        <w:rFonts w:ascii="Wingdings" w:hAnsi="Wingdings"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30" w15:restartNumberingAfterBreak="0">
    <w:nsid w:val="43BE01DD"/>
    <w:multiLevelType w:val="hybridMultilevel"/>
    <w:tmpl w:val="50CE5C0A"/>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04791B"/>
    <w:multiLevelType w:val="hybridMultilevel"/>
    <w:tmpl w:val="DF72AFB0"/>
    <w:lvl w:ilvl="0" w:tplc="0409000B">
      <w:start w:val="1"/>
      <w:numFmt w:val="bullet"/>
      <w:lvlText w:val=""/>
      <w:lvlJc w:val="left"/>
      <w:pPr>
        <w:ind w:left="1431" w:hanging="360"/>
      </w:pPr>
      <w:rPr>
        <w:rFonts w:ascii="Wingdings" w:hAnsi="Wingdings"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32" w15:restartNumberingAfterBreak="0">
    <w:nsid w:val="4D6D0A4A"/>
    <w:multiLevelType w:val="hybridMultilevel"/>
    <w:tmpl w:val="F32ED504"/>
    <w:lvl w:ilvl="0" w:tplc="8136791A">
      <w:start w:val="1"/>
      <w:numFmt w:val="bullet"/>
      <w:lvlText w:val=""/>
      <w:lvlJc w:val="left"/>
      <w:pPr>
        <w:tabs>
          <w:tab w:val="num" w:pos="720"/>
        </w:tabs>
        <w:ind w:left="720" w:hanging="360"/>
      </w:pPr>
      <w:rPr>
        <w:rFonts w:ascii="Wingdings" w:hAnsi="Wingdings" w:hint="default"/>
      </w:rPr>
    </w:lvl>
    <w:lvl w:ilvl="1" w:tplc="576C4BB4">
      <w:start w:val="1"/>
      <w:numFmt w:val="bullet"/>
      <w:lvlText w:val=""/>
      <w:lvlJc w:val="left"/>
      <w:pPr>
        <w:tabs>
          <w:tab w:val="num" w:pos="1440"/>
        </w:tabs>
        <w:ind w:left="1440" w:hanging="360"/>
      </w:pPr>
      <w:rPr>
        <w:rFonts w:ascii="Wingdings" w:hAnsi="Wingdings" w:hint="default"/>
      </w:rPr>
    </w:lvl>
    <w:lvl w:ilvl="2" w:tplc="A342BA7A" w:tentative="1">
      <w:start w:val="1"/>
      <w:numFmt w:val="bullet"/>
      <w:lvlText w:val=""/>
      <w:lvlJc w:val="left"/>
      <w:pPr>
        <w:tabs>
          <w:tab w:val="num" w:pos="2160"/>
        </w:tabs>
        <w:ind w:left="2160" w:hanging="360"/>
      </w:pPr>
      <w:rPr>
        <w:rFonts w:ascii="Wingdings" w:hAnsi="Wingdings" w:hint="default"/>
      </w:rPr>
    </w:lvl>
    <w:lvl w:ilvl="3" w:tplc="8CA87BC2" w:tentative="1">
      <w:start w:val="1"/>
      <w:numFmt w:val="bullet"/>
      <w:lvlText w:val=""/>
      <w:lvlJc w:val="left"/>
      <w:pPr>
        <w:tabs>
          <w:tab w:val="num" w:pos="2880"/>
        </w:tabs>
        <w:ind w:left="2880" w:hanging="360"/>
      </w:pPr>
      <w:rPr>
        <w:rFonts w:ascii="Wingdings" w:hAnsi="Wingdings" w:hint="default"/>
      </w:rPr>
    </w:lvl>
    <w:lvl w:ilvl="4" w:tplc="421C7C2A" w:tentative="1">
      <w:start w:val="1"/>
      <w:numFmt w:val="bullet"/>
      <w:lvlText w:val=""/>
      <w:lvlJc w:val="left"/>
      <w:pPr>
        <w:tabs>
          <w:tab w:val="num" w:pos="3600"/>
        </w:tabs>
        <w:ind w:left="3600" w:hanging="360"/>
      </w:pPr>
      <w:rPr>
        <w:rFonts w:ascii="Wingdings" w:hAnsi="Wingdings" w:hint="default"/>
      </w:rPr>
    </w:lvl>
    <w:lvl w:ilvl="5" w:tplc="EFF065B0" w:tentative="1">
      <w:start w:val="1"/>
      <w:numFmt w:val="bullet"/>
      <w:lvlText w:val=""/>
      <w:lvlJc w:val="left"/>
      <w:pPr>
        <w:tabs>
          <w:tab w:val="num" w:pos="4320"/>
        </w:tabs>
        <w:ind w:left="4320" w:hanging="360"/>
      </w:pPr>
      <w:rPr>
        <w:rFonts w:ascii="Wingdings" w:hAnsi="Wingdings" w:hint="default"/>
      </w:rPr>
    </w:lvl>
    <w:lvl w:ilvl="6" w:tplc="7E7E416E" w:tentative="1">
      <w:start w:val="1"/>
      <w:numFmt w:val="bullet"/>
      <w:lvlText w:val=""/>
      <w:lvlJc w:val="left"/>
      <w:pPr>
        <w:tabs>
          <w:tab w:val="num" w:pos="5040"/>
        </w:tabs>
        <w:ind w:left="5040" w:hanging="360"/>
      </w:pPr>
      <w:rPr>
        <w:rFonts w:ascii="Wingdings" w:hAnsi="Wingdings" w:hint="default"/>
      </w:rPr>
    </w:lvl>
    <w:lvl w:ilvl="7" w:tplc="8940E478" w:tentative="1">
      <w:start w:val="1"/>
      <w:numFmt w:val="bullet"/>
      <w:lvlText w:val=""/>
      <w:lvlJc w:val="left"/>
      <w:pPr>
        <w:tabs>
          <w:tab w:val="num" w:pos="5760"/>
        </w:tabs>
        <w:ind w:left="5760" w:hanging="360"/>
      </w:pPr>
      <w:rPr>
        <w:rFonts w:ascii="Wingdings" w:hAnsi="Wingdings" w:hint="default"/>
      </w:rPr>
    </w:lvl>
    <w:lvl w:ilvl="8" w:tplc="8FF674F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EF06D9"/>
    <w:multiLevelType w:val="hybridMultilevel"/>
    <w:tmpl w:val="A5043758"/>
    <w:lvl w:ilvl="0" w:tplc="8136791A">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A342BA7A" w:tentative="1">
      <w:start w:val="1"/>
      <w:numFmt w:val="bullet"/>
      <w:lvlText w:val=""/>
      <w:lvlJc w:val="left"/>
      <w:pPr>
        <w:tabs>
          <w:tab w:val="num" w:pos="2160"/>
        </w:tabs>
        <w:ind w:left="2160" w:hanging="360"/>
      </w:pPr>
      <w:rPr>
        <w:rFonts w:ascii="Wingdings" w:hAnsi="Wingdings" w:hint="default"/>
      </w:rPr>
    </w:lvl>
    <w:lvl w:ilvl="3" w:tplc="8CA87BC2" w:tentative="1">
      <w:start w:val="1"/>
      <w:numFmt w:val="bullet"/>
      <w:lvlText w:val=""/>
      <w:lvlJc w:val="left"/>
      <w:pPr>
        <w:tabs>
          <w:tab w:val="num" w:pos="2880"/>
        </w:tabs>
        <w:ind w:left="2880" w:hanging="360"/>
      </w:pPr>
      <w:rPr>
        <w:rFonts w:ascii="Wingdings" w:hAnsi="Wingdings" w:hint="default"/>
      </w:rPr>
    </w:lvl>
    <w:lvl w:ilvl="4" w:tplc="421C7C2A" w:tentative="1">
      <w:start w:val="1"/>
      <w:numFmt w:val="bullet"/>
      <w:lvlText w:val=""/>
      <w:lvlJc w:val="left"/>
      <w:pPr>
        <w:tabs>
          <w:tab w:val="num" w:pos="3600"/>
        </w:tabs>
        <w:ind w:left="3600" w:hanging="360"/>
      </w:pPr>
      <w:rPr>
        <w:rFonts w:ascii="Wingdings" w:hAnsi="Wingdings" w:hint="default"/>
      </w:rPr>
    </w:lvl>
    <w:lvl w:ilvl="5" w:tplc="EFF065B0" w:tentative="1">
      <w:start w:val="1"/>
      <w:numFmt w:val="bullet"/>
      <w:lvlText w:val=""/>
      <w:lvlJc w:val="left"/>
      <w:pPr>
        <w:tabs>
          <w:tab w:val="num" w:pos="4320"/>
        </w:tabs>
        <w:ind w:left="4320" w:hanging="360"/>
      </w:pPr>
      <w:rPr>
        <w:rFonts w:ascii="Wingdings" w:hAnsi="Wingdings" w:hint="default"/>
      </w:rPr>
    </w:lvl>
    <w:lvl w:ilvl="6" w:tplc="7E7E416E" w:tentative="1">
      <w:start w:val="1"/>
      <w:numFmt w:val="bullet"/>
      <w:lvlText w:val=""/>
      <w:lvlJc w:val="left"/>
      <w:pPr>
        <w:tabs>
          <w:tab w:val="num" w:pos="5040"/>
        </w:tabs>
        <w:ind w:left="5040" w:hanging="360"/>
      </w:pPr>
      <w:rPr>
        <w:rFonts w:ascii="Wingdings" w:hAnsi="Wingdings" w:hint="default"/>
      </w:rPr>
    </w:lvl>
    <w:lvl w:ilvl="7" w:tplc="8940E478" w:tentative="1">
      <w:start w:val="1"/>
      <w:numFmt w:val="bullet"/>
      <w:lvlText w:val=""/>
      <w:lvlJc w:val="left"/>
      <w:pPr>
        <w:tabs>
          <w:tab w:val="num" w:pos="5760"/>
        </w:tabs>
        <w:ind w:left="5760" w:hanging="360"/>
      </w:pPr>
      <w:rPr>
        <w:rFonts w:ascii="Wingdings" w:hAnsi="Wingdings" w:hint="default"/>
      </w:rPr>
    </w:lvl>
    <w:lvl w:ilvl="8" w:tplc="8FF674F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88273E"/>
    <w:multiLevelType w:val="hybridMultilevel"/>
    <w:tmpl w:val="9A6CAE3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2A7960"/>
    <w:multiLevelType w:val="hybridMultilevel"/>
    <w:tmpl w:val="6572425E"/>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hint="default"/>
      </w:rPr>
    </w:lvl>
    <w:lvl w:ilvl="8" w:tplc="04180005">
      <w:start w:val="1"/>
      <w:numFmt w:val="bullet"/>
      <w:lvlText w:val=""/>
      <w:lvlJc w:val="left"/>
      <w:pPr>
        <w:ind w:left="7200" w:hanging="360"/>
      </w:pPr>
      <w:rPr>
        <w:rFonts w:ascii="Wingdings" w:hAnsi="Wingdings" w:hint="default"/>
      </w:rPr>
    </w:lvl>
  </w:abstractNum>
  <w:abstractNum w:abstractNumId="36" w15:restartNumberingAfterBreak="0">
    <w:nsid w:val="58D822FC"/>
    <w:multiLevelType w:val="hybridMultilevel"/>
    <w:tmpl w:val="9AE604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F75565"/>
    <w:multiLevelType w:val="hybridMultilevel"/>
    <w:tmpl w:val="B4720C2C"/>
    <w:lvl w:ilvl="0" w:tplc="04090001">
      <w:start w:val="1"/>
      <w:numFmt w:val="bullet"/>
      <w:lvlText w:val=""/>
      <w:lvlJc w:val="left"/>
      <w:pPr>
        <w:ind w:left="711" w:hanging="360"/>
      </w:pPr>
      <w:rPr>
        <w:rFonts w:ascii="Symbol" w:hAnsi="Symbol" w:hint="default"/>
        <w:strike w:val="0"/>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944BCD"/>
    <w:multiLevelType w:val="hybridMultilevel"/>
    <w:tmpl w:val="8034B28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500731"/>
    <w:multiLevelType w:val="hybridMultilevel"/>
    <w:tmpl w:val="CC766A5C"/>
    <w:lvl w:ilvl="0" w:tplc="2F90F4BE">
      <w:start w:val="3"/>
      <w:numFmt w:val="upperRoman"/>
      <w:lvlText w:val="%1."/>
      <w:lvlJc w:val="left"/>
      <w:pPr>
        <w:ind w:left="924" w:hanging="720"/>
      </w:pPr>
      <w:rPr>
        <w:rFonts w:cs="Times New Roman" w:hint="default"/>
      </w:rPr>
    </w:lvl>
    <w:lvl w:ilvl="1" w:tplc="04180019">
      <w:start w:val="1"/>
      <w:numFmt w:val="lowerLetter"/>
      <w:lvlText w:val="%2."/>
      <w:lvlJc w:val="left"/>
      <w:pPr>
        <w:ind w:left="1284" w:hanging="360"/>
      </w:pPr>
      <w:rPr>
        <w:rFonts w:cs="Times New Roman"/>
      </w:rPr>
    </w:lvl>
    <w:lvl w:ilvl="2" w:tplc="0418001B">
      <w:start w:val="1"/>
      <w:numFmt w:val="lowerRoman"/>
      <w:lvlText w:val="%3."/>
      <w:lvlJc w:val="right"/>
      <w:pPr>
        <w:ind w:left="2004" w:hanging="180"/>
      </w:pPr>
      <w:rPr>
        <w:rFonts w:cs="Times New Roman"/>
      </w:rPr>
    </w:lvl>
    <w:lvl w:ilvl="3" w:tplc="0418000F">
      <w:start w:val="1"/>
      <w:numFmt w:val="decimal"/>
      <w:lvlText w:val="%4."/>
      <w:lvlJc w:val="left"/>
      <w:pPr>
        <w:ind w:left="2724" w:hanging="360"/>
      </w:pPr>
      <w:rPr>
        <w:rFonts w:cs="Times New Roman"/>
      </w:rPr>
    </w:lvl>
    <w:lvl w:ilvl="4" w:tplc="04180019">
      <w:start w:val="1"/>
      <w:numFmt w:val="lowerLetter"/>
      <w:lvlText w:val="%5."/>
      <w:lvlJc w:val="left"/>
      <w:pPr>
        <w:ind w:left="3444" w:hanging="360"/>
      </w:pPr>
      <w:rPr>
        <w:rFonts w:cs="Times New Roman"/>
      </w:rPr>
    </w:lvl>
    <w:lvl w:ilvl="5" w:tplc="0418001B">
      <w:start w:val="1"/>
      <w:numFmt w:val="lowerRoman"/>
      <w:lvlText w:val="%6."/>
      <w:lvlJc w:val="right"/>
      <w:pPr>
        <w:ind w:left="4164" w:hanging="180"/>
      </w:pPr>
      <w:rPr>
        <w:rFonts w:cs="Times New Roman"/>
      </w:rPr>
    </w:lvl>
    <w:lvl w:ilvl="6" w:tplc="0418000F">
      <w:start w:val="1"/>
      <w:numFmt w:val="decimal"/>
      <w:lvlText w:val="%7."/>
      <w:lvlJc w:val="left"/>
      <w:pPr>
        <w:ind w:left="4884" w:hanging="360"/>
      </w:pPr>
      <w:rPr>
        <w:rFonts w:cs="Times New Roman"/>
      </w:rPr>
    </w:lvl>
    <w:lvl w:ilvl="7" w:tplc="04180019">
      <w:start w:val="1"/>
      <w:numFmt w:val="lowerLetter"/>
      <w:lvlText w:val="%8."/>
      <w:lvlJc w:val="left"/>
      <w:pPr>
        <w:ind w:left="5604" w:hanging="360"/>
      </w:pPr>
      <w:rPr>
        <w:rFonts w:cs="Times New Roman"/>
      </w:rPr>
    </w:lvl>
    <w:lvl w:ilvl="8" w:tplc="0418001B">
      <w:start w:val="1"/>
      <w:numFmt w:val="lowerRoman"/>
      <w:lvlText w:val="%9."/>
      <w:lvlJc w:val="right"/>
      <w:pPr>
        <w:ind w:left="6324" w:hanging="180"/>
      </w:pPr>
      <w:rPr>
        <w:rFonts w:cs="Times New Roman"/>
      </w:rPr>
    </w:lvl>
  </w:abstractNum>
  <w:abstractNum w:abstractNumId="40" w15:restartNumberingAfterBreak="0">
    <w:nsid w:val="5DCE02BE"/>
    <w:multiLevelType w:val="hybridMultilevel"/>
    <w:tmpl w:val="0C5C6A42"/>
    <w:lvl w:ilvl="0" w:tplc="8DB02C1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E2156EF"/>
    <w:multiLevelType w:val="hybridMultilevel"/>
    <w:tmpl w:val="99AABA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D04CB3"/>
    <w:multiLevelType w:val="hybridMultilevel"/>
    <w:tmpl w:val="74BCDF58"/>
    <w:lvl w:ilvl="0" w:tplc="DC985734">
      <w:start w:val="1"/>
      <w:numFmt w:val="bullet"/>
      <w:lvlText w:val=""/>
      <w:lvlJc w:val="left"/>
      <w:pPr>
        <w:ind w:left="711" w:hanging="360"/>
      </w:pPr>
      <w:rPr>
        <w:rFonts w:ascii="Wingdings" w:hAnsi="Wingdings" w:hint="default"/>
        <w:strike w:val="0"/>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554855"/>
    <w:multiLevelType w:val="hybridMultilevel"/>
    <w:tmpl w:val="755CEFE4"/>
    <w:lvl w:ilvl="0" w:tplc="0409000B">
      <w:start w:val="1"/>
      <w:numFmt w:val="bullet"/>
      <w:lvlText w:val=""/>
      <w:lvlJc w:val="left"/>
      <w:pPr>
        <w:ind w:left="1080" w:hanging="360"/>
      </w:pPr>
      <w:rPr>
        <w:rFonts w:ascii="Wingdings" w:hAnsi="Wingdings" w:hint="default"/>
        <w:strike w:val="0"/>
        <w:color w:val="auto"/>
      </w:rPr>
    </w:lvl>
    <w:lvl w:ilvl="1" w:tplc="0418000D">
      <w:start w:val="1"/>
      <w:numFmt w:val="bullet"/>
      <w:lvlText w:val=""/>
      <w:lvlJc w:val="left"/>
      <w:pPr>
        <w:ind w:left="7176" w:hanging="360"/>
      </w:pPr>
      <w:rPr>
        <w:rFonts w:ascii="Wingdings" w:hAnsi="Wingdings"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4" w15:restartNumberingAfterBreak="0">
    <w:nsid w:val="63A752B5"/>
    <w:multiLevelType w:val="hybridMultilevel"/>
    <w:tmpl w:val="AFB6548E"/>
    <w:lvl w:ilvl="0" w:tplc="04090007">
      <w:start w:val="1"/>
      <w:numFmt w:val="bullet"/>
      <w:lvlText w:val=""/>
      <w:lvlPicBulletId w:val="0"/>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45" w15:restartNumberingAfterBreak="0">
    <w:nsid w:val="65006E8F"/>
    <w:multiLevelType w:val="hybridMultilevel"/>
    <w:tmpl w:val="53F68FBC"/>
    <w:lvl w:ilvl="0" w:tplc="0409000D">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6" w15:restartNumberingAfterBreak="0">
    <w:nsid w:val="6A586CFB"/>
    <w:multiLevelType w:val="hybridMultilevel"/>
    <w:tmpl w:val="2F2024FA"/>
    <w:lvl w:ilvl="0" w:tplc="0409000B">
      <w:start w:val="1"/>
      <w:numFmt w:val="bullet"/>
      <w:lvlText w:val=""/>
      <w:lvlJc w:val="left"/>
      <w:pPr>
        <w:ind w:left="984" w:hanging="360"/>
      </w:pPr>
      <w:rPr>
        <w:rFonts w:ascii="Wingdings" w:hAnsi="Wingdings" w:hint="default"/>
      </w:rPr>
    </w:lvl>
    <w:lvl w:ilvl="1" w:tplc="04180003" w:tentative="1">
      <w:start w:val="1"/>
      <w:numFmt w:val="bullet"/>
      <w:lvlText w:val="o"/>
      <w:lvlJc w:val="left"/>
      <w:pPr>
        <w:ind w:left="1704" w:hanging="360"/>
      </w:pPr>
      <w:rPr>
        <w:rFonts w:ascii="Courier New" w:hAnsi="Courier New" w:cs="Courier New" w:hint="default"/>
      </w:rPr>
    </w:lvl>
    <w:lvl w:ilvl="2" w:tplc="04180005" w:tentative="1">
      <w:start w:val="1"/>
      <w:numFmt w:val="bullet"/>
      <w:lvlText w:val=""/>
      <w:lvlJc w:val="left"/>
      <w:pPr>
        <w:ind w:left="2424" w:hanging="360"/>
      </w:pPr>
      <w:rPr>
        <w:rFonts w:ascii="Wingdings" w:hAnsi="Wingdings" w:hint="default"/>
      </w:rPr>
    </w:lvl>
    <w:lvl w:ilvl="3" w:tplc="04180001" w:tentative="1">
      <w:start w:val="1"/>
      <w:numFmt w:val="bullet"/>
      <w:lvlText w:val=""/>
      <w:lvlJc w:val="left"/>
      <w:pPr>
        <w:ind w:left="3144" w:hanging="360"/>
      </w:pPr>
      <w:rPr>
        <w:rFonts w:ascii="Symbol" w:hAnsi="Symbol" w:hint="default"/>
      </w:rPr>
    </w:lvl>
    <w:lvl w:ilvl="4" w:tplc="04180003" w:tentative="1">
      <w:start w:val="1"/>
      <w:numFmt w:val="bullet"/>
      <w:lvlText w:val="o"/>
      <w:lvlJc w:val="left"/>
      <w:pPr>
        <w:ind w:left="3864" w:hanging="360"/>
      </w:pPr>
      <w:rPr>
        <w:rFonts w:ascii="Courier New" w:hAnsi="Courier New" w:cs="Courier New" w:hint="default"/>
      </w:rPr>
    </w:lvl>
    <w:lvl w:ilvl="5" w:tplc="04180005" w:tentative="1">
      <w:start w:val="1"/>
      <w:numFmt w:val="bullet"/>
      <w:lvlText w:val=""/>
      <w:lvlJc w:val="left"/>
      <w:pPr>
        <w:ind w:left="4584" w:hanging="360"/>
      </w:pPr>
      <w:rPr>
        <w:rFonts w:ascii="Wingdings" w:hAnsi="Wingdings" w:hint="default"/>
      </w:rPr>
    </w:lvl>
    <w:lvl w:ilvl="6" w:tplc="04180001" w:tentative="1">
      <w:start w:val="1"/>
      <w:numFmt w:val="bullet"/>
      <w:lvlText w:val=""/>
      <w:lvlJc w:val="left"/>
      <w:pPr>
        <w:ind w:left="5304" w:hanging="360"/>
      </w:pPr>
      <w:rPr>
        <w:rFonts w:ascii="Symbol" w:hAnsi="Symbol" w:hint="default"/>
      </w:rPr>
    </w:lvl>
    <w:lvl w:ilvl="7" w:tplc="04180003" w:tentative="1">
      <w:start w:val="1"/>
      <w:numFmt w:val="bullet"/>
      <w:lvlText w:val="o"/>
      <w:lvlJc w:val="left"/>
      <w:pPr>
        <w:ind w:left="6024" w:hanging="360"/>
      </w:pPr>
      <w:rPr>
        <w:rFonts w:ascii="Courier New" w:hAnsi="Courier New" w:cs="Courier New" w:hint="default"/>
      </w:rPr>
    </w:lvl>
    <w:lvl w:ilvl="8" w:tplc="04180005" w:tentative="1">
      <w:start w:val="1"/>
      <w:numFmt w:val="bullet"/>
      <w:lvlText w:val=""/>
      <w:lvlJc w:val="left"/>
      <w:pPr>
        <w:ind w:left="6744" w:hanging="360"/>
      </w:pPr>
      <w:rPr>
        <w:rFonts w:ascii="Wingdings" w:hAnsi="Wingdings" w:hint="default"/>
      </w:rPr>
    </w:lvl>
  </w:abstractNum>
  <w:abstractNum w:abstractNumId="47" w15:restartNumberingAfterBreak="0">
    <w:nsid w:val="6A871CA4"/>
    <w:multiLevelType w:val="hybridMultilevel"/>
    <w:tmpl w:val="C8F037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C41F2B"/>
    <w:multiLevelType w:val="hybridMultilevel"/>
    <w:tmpl w:val="E366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A908CF"/>
    <w:multiLevelType w:val="hybridMultilevel"/>
    <w:tmpl w:val="21DC5D9A"/>
    <w:lvl w:ilvl="0" w:tplc="0409000D">
      <w:start w:val="1"/>
      <w:numFmt w:val="bullet"/>
      <w:lvlText w:val=""/>
      <w:lvlJc w:val="left"/>
      <w:pPr>
        <w:ind w:left="1431" w:hanging="360"/>
      </w:pPr>
      <w:rPr>
        <w:rFonts w:ascii="Wingdings" w:hAnsi="Wingdings"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num w:numId="1">
    <w:abstractNumId w:val="12"/>
  </w:num>
  <w:num w:numId="2">
    <w:abstractNumId w:val="0"/>
  </w:num>
  <w:num w:numId="3">
    <w:abstractNumId w:val="18"/>
  </w:num>
  <w:num w:numId="4">
    <w:abstractNumId w:val="35"/>
  </w:num>
  <w:num w:numId="5">
    <w:abstractNumId w:val="39"/>
  </w:num>
  <w:num w:numId="6">
    <w:abstractNumId w:val="21"/>
  </w:num>
  <w:num w:numId="7">
    <w:abstractNumId w:val="8"/>
  </w:num>
  <w:num w:numId="8">
    <w:abstractNumId w:val="46"/>
  </w:num>
  <w:num w:numId="9">
    <w:abstractNumId w:val="26"/>
  </w:num>
  <w:num w:numId="10">
    <w:abstractNumId w:val="43"/>
  </w:num>
  <w:num w:numId="11">
    <w:abstractNumId w:val="44"/>
  </w:num>
  <w:num w:numId="12">
    <w:abstractNumId w:val="13"/>
  </w:num>
  <w:num w:numId="13">
    <w:abstractNumId w:val="32"/>
  </w:num>
  <w:num w:numId="14">
    <w:abstractNumId w:val="16"/>
  </w:num>
  <w:num w:numId="15">
    <w:abstractNumId w:val="20"/>
  </w:num>
  <w:num w:numId="16">
    <w:abstractNumId w:val="30"/>
  </w:num>
  <w:num w:numId="17">
    <w:abstractNumId w:val="34"/>
  </w:num>
  <w:num w:numId="18">
    <w:abstractNumId w:val="38"/>
  </w:num>
  <w:num w:numId="19">
    <w:abstractNumId w:val="29"/>
  </w:num>
  <w:num w:numId="20">
    <w:abstractNumId w:val="2"/>
  </w:num>
  <w:num w:numId="21">
    <w:abstractNumId w:val="1"/>
  </w:num>
  <w:num w:numId="22">
    <w:abstractNumId w:val="11"/>
  </w:num>
  <w:num w:numId="23">
    <w:abstractNumId w:val="31"/>
  </w:num>
  <w:num w:numId="24">
    <w:abstractNumId w:val="24"/>
  </w:num>
  <w:num w:numId="25">
    <w:abstractNumId w:val="14"/>
  </w:num>
  <w:num w:numId="26">
    <w:abstractNumId w:val="41"/>
  </w:num>
  <w:num w:numId="27">
    <w:abstractNumId w:val="25"/>
  </w:num>
  <w:num w:numId="28">
    <w:abstractNumId w:val="6"/>
  </w:num>
  <w:num w:numId="29">
    <w:abstractNumId w:val="36"/>
  </w:num>
  <w:num w:numId="30">
    <w:abstractNumId w:val="5"/>
  </w:num>
  <w:num w:numId="31">
    <w:abstractNumId w:val="9"/>
  </w:num>
  <w:num w:numId="32">
    <w:abstractNumId w:val="42"/>
  </w:num>
  <w:num w:numId="33">
    <w:abstractNumId w:val="49"/>
  </w:num>
  <w:num w:numId="34">
    <w:abstractNumId w:val="15"/>
  </w:num>
  <w:num w:numId="35">
    <w:abstractNumId w:val="45"/>
  </w:num>
  <w:num w:numId="36">
    <w:abstractNumId w:val="37"/>
  </w:num>
  <w:num w:numId="37">
    <w:abstractNumId w:val="28"/>
  </w:num>
  <w:num w:numId="38">
    <w:abstractNumId w:val="33"/>
  </w:num>
  <w:num w:numId="39">
    <w:abstractNumId w:val="7"/>
  </w:num>
  <w:num w:numId="40">
    <w:abstractNumId w:val="27"/>
  </w:num>
  <w:num w:numId="41">
    <w:abstractNumId w:val="22"/>
  </w:num>
  <w:num w:numId="42">
    <w:abstractNumId w:val="48"/>
  </w:num>
  <w:num w:numId="43">
    <w:abstractNumId w:val="23"/>
  </w:num>
  <w:num w:numId="44">
    <w:abstractNumId w:val="17"/>
  </w:num>
  <w:num w:numId="45">
    <w:abstractNumId w:val="40"/>
  </w:num>
  <w:num w:numId="46">
    <w:abstractNumId w:val="47"/>
  </w:num>
  <w:num w:numId="47">
    <w:abstractNumId w:val="10"/>
  </w:num>
  <w:num w:numId="4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E1"/>
    <w:rsid w:val="0000680C"/>
    <w:rsid w:val="00006966"/>
    <w:rsid w:val="00007B89"/>
    <w:rsid w:val="00010602"/>
    <w:rsid w:val="00010CF0"/>
    <w:rsid w:val="00012E8A"/>
    <w:rsid w:val="00013829"/>
    <w:rsid w:val="0001384B"/>
    <w:rsid w:val="00015C15"/>
    <w:rsid w:val="00016D6C"/>
    <w:rsid w:val="00017B78"/>
    <w:rsid w:val="00022972"/>
    <w:rsid w:val="00023FCC"/>
    <w:rsid w:val="00026020"/>
    <w:rsid w:val="00027E16"/>
    <w:rsid w:val="00034ED1"/>
    <w:rsid w:val="00035480"/>
    <w:rsid w:val="00041DE1"/>
    <w:rsid w:val="00044742"/>
    <w:rsid w:val="00044CB3"/>
    <w:rsid w:val="00047DF3"/>
    <w:rsid w:val="0005046B"/>
    <w:rsid w:val="000505B1"/>
    <w:rsid w:val="00050D8B"/>
    <w:rsid w:val="00051679"/>
    <w:rsid w:val="0005167E"/>
    <w:rsid w:val="00051A64"/>
    <w:rsid w:val="000522BE"/>
    <w:rsid w:val="00052F45"/>
    <w:rsid w:val="000535E4"/>
    <w:rsid w:val="00054BD9"/>
    <w:rsid w:val="00054F59"/>
    <w:rsid w:val="00055100"/>
    <w:rsid w:val="000553FC"/>
    <w:rsid w:val="0005597F"/>
    <w:rsid w:val="0005630E"/>
    <w:rsid w:val="0005651C"/>
    <w:rsid w:val="00060703"/>
    <w:rsid w:val="0006098E"/>
    <w:rsid w:val="00061865"/>
    <w:rsid w:val="00062631"/>
    <w:rsid w:val="0006342A"/>
    <w:rsid w:val="00063C7D"/>
    <w:rsid w:val="00070CD5"/>
    <w:rsid w:val="0007170A"/>
    <w:rsid w:val="00072230"/>
    <w:rsid w:val="00073FA4"/>
    <w:rsid w:val="00074141"/>
    <w:rsid w:val="0007527D"/>
    <w:rsid w:val="00075F4B"/>
    <w:rsid w:val="0007737D"/>
    <w:rsid w:val="00077A90"/>
    <w:rsid w:val="00081EF6"/>
    <w:rsid w:val="0008211D"/>
    <w:rsid w:val="00082517"/>
    <w:rsid w:val="00082C69"/>
    <w:rsid w:val="00083A18"/>
    <w:rsid w:val="00083C12"/>
    <w:rsid w:val="00084581"/>
    <w:rsid w:val="00087B85"/>
    <w:rsid w:val="0009258B"/>
    <w:rsid w:val="00092C1B"/>
    <w:rsid w:val="00093AC4"/>
    <w:rsid w:val="000958D7"/>
    <w:rsid w:val="00097951"/>
    <w:rsid w:val="000A303E"/>
    <w:rsid w:val="000A69FE"/>
    <w:rsid w:val="000B024D"/>
    <w:rsid w:val="000B179F"/>
    <w:rsid w:val="000B2472"/>
    <w:rsid w:val="000B4A20"/>
    <w:rsid w:val="000B6D7F"/>
    <w:rsid w:val="000B71F5"/>
    <w:rsid w:val="000B76FB"/>
    <w:rsid w:val="000C0FCC"/>
    <w:rsid w:val="000C1003"/>
    <w:rsid w:val="000C22FC"/>
    <w:rsid w:val="000C2DC4"/>
    <w:rsid w:val="000C5923"/>
    <w:rsid w:val="000C70B3"/>
    <w:rsid w:val="000D0710"/>
    <w:rsid w:val="000D12F5"/>
    <w:rsid w:val="000D1860"/>
    <w:rsid w:val="000D48CD"/>
    <w:rsid w:val="000D6F49"/>
    <w:rsid w:val="000E3AB2"/>
    <w:rsid w:val="000E72C5"/>
    <w:rsid w:val="000E7BF5"/>
    <w:rsid w:val="000F1868"/>
    <w:rsid w:val="000F1B59"/>
    <w:rsid w:val="000F2094"/>
    <w:rsid w:val="000F3045"/>
    <w:rsid w:val="000F44AA"/>
    <w:rsid w:val="000F4739"/>
    <w:rsid w:val="000F5731"/>
    <w:rsid w:val="000F5753"/>
    <w:rsid w:val="000F7340"/>
    <w:rsid w:val="000F7C28"/>
    <w:rsid w:val="00104228"/>
    <w:rsid w:val="00105AD4"/>
    <w:rsid w:val="001069D2"/>
    <w:rsid w:val="00110C67"/>
    <w:rsid w:val="00113357"/>
    <w:rsid w:val="0011528C"/>
    <w:rsid w:val="0011634F"/>
    <w:rsid w:val="001170D5"/>
    <w:rsid w:val="00123F4F"/>
    <w:rsid w:val="001254B1"/>
    <w:rsid w:val="00127036"/>
    <w:rsid w:val="00132D96"/>
    <w:rsid w:val="00132E23"/>
    <w:rsid w:val="001365DA"/>
    <w:rsid w:val="001407D4"/>
    <w:rsid w:val="0014116B"/>
    <w:rsid w:val="00141977"/>
    <w:rsid w:val="00144124"/>
    <w:rsid w:val="00144D90"/>
    <w:rsid w:val="00146070"/>
    <w:rsid w:val="0014770A"/>
    <w:rsid w:val="0015006D"/>
    <w:rsid w:val="00151659"/>
    <w:rsid w:val="00153A5E"/>
    <w:rsid w:val="00153E9A"/>
    <w:rsid w:val="00154903"/>
    <w:rsid w:val="00160931"/>
    <w:rsid w:val="00163092"/>
    <w:rsid w:val="001630D2"/>
    <w:rsid w:val="00163134"/>
    <w:rsid w:val="00163462"/>
    <w:rsid w:val="00163E48"/>
    <w:rsid w:val="001649CF"/>
    <w:rsid w:val="00164FC1"/>
    <w:rsid w:val="0016638D"/>
    <w:rsid w:val="00171C8C"/>
    <w:rsid w:val="00171E7F"/>
    <w:rsid w:val="00172DE9"/>
    <w:rsid w:val="001751C1"/>
    <w:rsid w:val="00182381"/>
    <w:rsid w:val="001830E5"/>
    <w:rsid w:val="00183718"/>
    <w:rsid w:val="001837CD"/>
    <w:rsid w:val="001845C9"/>
    <w:rsid w:val="001900C3"/>
    <w:rsid w:val="001900CF"/>
    <w:rsid w:val="00190EAC"/>
    <w:rsid w:val="00191C02"/>
    <w:rsid w:val="00191E9F"/>
    <w:rsid w:val="001977B0"/>
    <w:rsid w:val="00197DE9"/>
    <w:rsid w:val="001A2CC1"/>
    <w:rsid w:val="001A3B18"/>
    <w:rsid w:val="001A50E0"/>
    <w:rsid w:val="001A6229"/>
    <w:rsid w:val="001A6403"/>
    <w:rsid w:val="001A6AFD"/>
    <w:rsid w:val="001B2D0E"/>
    <w:rsid w:val="001B52B9"/>
    <w:rsid w:val="001B6513"/>
    <w:rsid w:val="001C017F"/>
    <w:rsid w:val="001C1324"/>
    <w:rsid w:val="001C1B78"/>
    <w:rsid w:val="001C4F42"/>
    <w:rsid w:val="001D0164"/>
    <w:rsid w:val="001D1BF4"/>
    <w:rsid w:val="001D1FA4"/>
    <w:rsid w:val="001D2744"/>
    <w:rsid w:val="001D455B"/>
    <w:rsid w:val="001D47FB"/>
    <w:rsid w:val="001D6FF3"/>
    <w:rsid w:val="001D748F"/>
    <w:rsid w:val="001E0753"/>
    <w:rsid w:val="001E0B93"/>
    <w:rsid w:val="001E1505"/>
    <w:rsid w:val="001E172B"/>
    <w:rsid w:val="001E1C0F"/>
    <w:rsid w:val="001E285D"/>
    <w:rsid w:val="001E3565"/>
    <w:rsid w:val="001E36A5"/>
    <w:rsid w:val="001E5373"/>
    <w:rsid w:val="001E7B15"/>
    <w:rsid w:val="001F3690"/>
    <w:rsid w:val="0020052F"/>
    <w:rsid w:val="002012EE"/>
    <w:rsid w:val="00201CF2"/>
    <w:rsid w:val="002023BA"/>
    <w:rsid w:val="00202632"/>
    <w:rsid w:val="002034BA"/>
    <w:rsid w:val="00204841"/>
    <w:rsid w:val="00205998"/>
    <w:rsid w:val="00205B71"/>
    <w:rsid w:val="002076C3"/>
    <w:rsid w:val="00207F9D"/>
    <w:rsid w:val="00211C97"/>
    <w:rsid w:val="002147CA"/>
    <w:rsid w:val="00217D2C"/>
    <w:rsid w:val="00221472"/>
    <w:rsid w:val="00225548"/>
    <w:rsid w:val="00230473"/>
    <w:rsid w:val="00230E14"/>
    <w:rsid w:val="0023373B"/>
    <w:rsid w:val="00234BC7"/>
    <w:rsid w:val="002404F0"/>
    <w:rsid w:val="00240A1C"/>
    <w:rsid w:val="00240C83"/>
    <w:rsid w:val="00243C56"/>
    <w:rsid w:val="00253ACA"/>
    <w:rsid w:val="00255A92"/>
    <w:rsid w:val="00256FDC"/>
    <w:rsid w:val="00260762"/>
    <w:rsid w:val="00262170"/>
    <w:rsid w:val="00262892"/>
    <w:rsid w:val="00262B47"/>
    <w:rsid w:val="00262BA4"/>
    <w:rsid w:val="00262C72"/>
    <w:rsid w:val="002630BF"/>
    <w:rsid w:val="00263A40"/>
    <w:rsid w:val="00266120"/>
    <w:rsid w:val="0026696A"/>
    <w:rsid w:val="0026734F"/>
    <w:rsid w:val="002701DA"/>
    <w:rsid w:val="00273032"/>
    <w:rsid w:val="0027338A"/>
    <w:rsid w:val="00273984"/>
    <w:rsid w:val="00276011"/>
    <w:rsid w:val="0027637C"/>
    <w:rsid w:val="00277B95"/>
    <w:rsid w:val="00280045"/>
    <w:rsid w:val="00281F00"/>
    <w:rsid w:val="00282AE8"/>
    <w:rsid w:val="00282E9D"/>
    <w:rsid w:val="00283677"/>
    <w:rsid w:val="002848DB"/>
    <w:rsid w:val="00284E0F"/>
    <w:rsid w:val="002873FD"/>
    <w:rsid w:val="002904AE"/>
    <w:rsid w:val="002941DE"/>
    <w:rsid w:val="002944EA"/>
    <w:rsid w:val="00294851"/>
    <w:rsid w:val="00295A79"/>
    <w:rsid w:val="002966ED"/>
    <w:rsid w:val="0029694E"/>
    <w:rsid w:val="002A01B8"/>
    <w:rsid w:val="002A0248"/>
    <w:rsid w:val="002A118C"/>
    <w:rsid w:val="002A1A1D"/>
    <w:rsid w:val="002A29B5"/>
    <w:rsid w:val="002A29E1"/>
    <w:rsid w:val="002A2BA4"/>
    <w:rsid w:val="002A3BD5"/>
    <w:rsid w:val="002A3C27"/>
    <w:rsid w:val="002A6290"/>
    <w:rsid w:val="002A6C7E"/>
    <w:rsid w:val="002A714B"/>
    <w:rsid w:val="002B25DF"/>
    <w:rsid w:val="002B553C"/>
    <w:rsid w:val="002B5A8E"/>
    <w:rsid w:val="002C0830"/>
    <w:rsid w:val="002C084E"/>
    <w:rsid w:val="002C1E59"/>
    <w:rsid w:val="002C4332"/>
    <w:rsid w:val="002C447A"/>
    <w:rsid w:val="002C5306"/>
    <w:rsid w:val="002C5555"/>
    <w:rsid w:val="002C571C"/>
    <w:rsid w:val="002C5827"/>
    <w:rsid w:val="002C702B"/>
    <w:rsid w:val="002C73FC"/>
    <w:rsid w:val="002C78B6"/>
    <w:rsid w:val="002D1A0B"/>
    <w:rsid w:val="002D36FB"/>
    <w:rsid w:val="002D530B"/>
    <w:rsid w:val="002D6EE1"/>
    <w:rsid w:val="002E149A"/>
    <w:rsid w:val="002E2E9E"/>
    <w:rsid w:val="002E3249"/>
    <w:rsid w:val="002E46AA"/>
    <w:rsid w:val="002E6378"/>
    <w:rsid w:val="002E6E22"/>
    <w:rsid w:val="002F320E"/>
    <w:rsid w:val="002F35CB"/>
    <w:rsid w:val="002F37D3"/>
    <w:rsid w:val="002F65A5"/>
    <w:rsid w:val="002F70E6"/>
    <w:rsid w:val="002F7276"/>
    <w:rsid w:val="002F77E5"/>
    <w:rsid w:val="0030051E"/>
    <w:rsid w:val="00300A06"/>
    <w:rsid w:val="00302058"/>
    <w:rsid w:val="00302991"/>
    <w:rsid w:val="003037CC"/>
    <w:rsid w:val="00304220"/>
    <w:rsid w:val="00304741"/>
    <w:rsid w:val="00304855"/>
    <w:rsid w:val="00306B3A"/>
    <w:rsid w:val="00307813"/>
    <w:rsid w:val="003112AF"/>
    <w:rsid w:val="0031317B"/>
    <w:rsid w:val="003157D9"/>
    <w:rsid w:val="00316BBD"/>
    <w:rsid w:val="00324B8A"/>
    <w:rsid w:val="0032759E"/>
    <w:rsid w:val="00331431"/>
    <w:rsid w:val="00332A71"/>
    <w:rsid w:val="003337D9"/>
    <w:rsid w:val="00334599"/>
    <w:rsid w:val="00334A59"/>
    <w:rsid w:val="00335C5B"/>
    <w:rsid w:val="00337D06"/>
    <w:rsid w:val="00337F26"/>
    <w:rsid w:val="0034042B"/>
    <w:rsid w:val="003424CE"/>
    <w:rsid w:val="00343130"/>
    <w:rsid w:val="003437A8"/>
    <w:rsid w:val="00343890"/>
    <w:rsid w:val="0034473D"/>
    <w:rsid w:val="00345C8E"/>
    <w:rsid w:val="00345EC8"/>
    <w:rsid w:val="00346884"/>
    <w:rsid w:val="00350347"/>
    <w:rsid w:val="00351B9D"/>
    <w:rsid w:val="00351EEB"/>
    <w:rsid w:val="00352AC5"/>
    <w:rsid w:val="00353CF8"/>
    <w:rsid w:val="00354472"/>
    <w:rsid w:val="00356890"/>
    <w:rsid w:val="003627C3"/>
    <w:rsid w:val="00363D22"/>
    <w:rsid w:val="003662EE"/>
    <w:rsid w:val="00366D54"/>
    <w:rsid w:val="00367996"/>
    <w:rsid w:val="00367BA4"/>
    <w:rsid w:val="00370AF0"/>
    <w:rsid w:val="00372B3F"/>
    <w:rsid w:val="00373129"/>
    <w:rsid w:val="00374421"/>
    <w:rsid w:val="00374FC1"/>
    <w:rsid w:val="003753CF"/>
    <w:rsid w:val="00382CC5"/>
    <w:rsid w:val="003830C4"/>
    <w:rsid w:val="00386AAD"/>
    <w:rsid w:val="0039084A"/>
    <w:rsid w:val="00390BE9"/>
    <w:rsid w:val="0039187A"/>
    <w:rsid w:val="00392404"/>
    <w:rsid w:val="00393690"/>
    <w:rsid w:val="003939D3"/>
    <w:rsid w:val="00396BCB"/>
    <w:rsid w:val="003A23D5"/>
    <w:rsid w:val="003A2AFB"/>
    <w:rsid w:val="003A4333"/>
    <w:rsid w:val="003B3400"/>
    <w:rsid w:val="003B3B9C"/>
    <w:rsid w:val="003B4BAF"/>
    <w:rsid w:val="003B4CFC"/>
    <w:rsid w:val="003B5208"/>
    <w:rsid w:val="003B647F"/>
    <w:rsid w:val="003B661D"/>
    <w:rsid w:val="003B6644"/>
    <w:rsid w:val="003C038F"/>
    <w:rsid w:val="003C09BC"/>
    <w:rsid w:val="003C138B"/>
    <w:rsid w:val="003C3100"/>
    <w:rsid w:val="003C348D"/>
    <w:rsid w:val="003C34C7"/>
    <w:rsid w:val="003C3987"/>
    <w:rsid w:val="003D0B4B"/>
    <w:rsid w:val="003D10DF"/>
    <w:rsid w:val="003D4002"/>
    <w:rsid w:val="003D4988"/>
    <w:rsid w:val="003D49E4"/>
    <w:rsid w:val="003D4DE5"/>
    <w:rsid w:val="003D51C1"/>
    <w:rsid w:val="003E0431"/>
    <w:rsid w:val="003E090C"/>
    <w:rsid w:val="003E13AF"/>
    <w:rsid w:val="003E2894"/>
    <w:rsid w:val="003E2E7B"/>
    <w:rsid w:val="003E3C18"/>
    <w:rsid w:val="003E4D43"/>
    <w:rsid w:val="003E52F2"/>
    <w:rsid w:val="003E7163"/>
    <w:rsid w:val="003F1431"/>
    <w:rsid w:val="003F151E"/>
    <w:rsid w:val="003F16FF"/>
    <w:rsid w:val="003F1CBA"/>
    <w:rsid w:val="003F3272"/>
    <w:rsid w:val="003F472C"/>
    <w:rsid w:val="003F472F"/>
    <w:rsid w:val="003F4CEB"/>
    <w:rsid w:val="003F6399"/>
    <w:rsid w:val="003F69A8"/>
    <w:rsid w:val="003F70E8"/>
    <w:rsid w:val="00403A7E"/>
    <w:rsid w:val="004050AD"/>
    <w:rsid w:val="0041069D"/>
    <w:rsid w:val="004108ED"/>
    <w:rsid w:val="00410C14"/>
    <w:rsid w:val="004129FE"/>
    <w:rsid w:val="0041414E"/>
    <w:rsid w:val="004160D8"/>
    <w:rsid w:val="00416C83"/>
    <w:rsid w:val="00417CCF"/>
    <w:rsid w:val="00417CD3"/>
    <w:rsid w:val="00420829"/>
    <w:rsid w:val="004211B1"/>
    <w:rsid w:val="004227A9"/>
    <w:rsid w:val="00422E15"/>
    <w:rsid w:val="00430892"/>
    <w:rsid w:val="0043189E"/>
    <w:rsid w:val="0043335D"/>
    <w:rsid w:val="00434FBD"/>
    <w:rsid w:val="00435320"/>
    <w:rsid w:val="004370A8"/>
    <w:rsid w:val="00437A34"/>
    <w:rsid w:val="00437FB8"/>
    <w:rsid w:val="00441778"/>
    <w:rsid w:val="004423A9"/>
    <w:rsid w:val="00442544"/>
    <w:rsid w:val="00443CE1"/>
    <w:rsid w:val="0045133B"/>
    <w:rsid w:val="00451971"/>
    <w:rsid w:val="004522C2"/>
    <w:rsid w:val="00453586"/>
    <w:rsid w:val="00457EC3"/>
    <w:rsid w:val="00460F24"/>
    <w:rsid w:val="00461E76"/>
    <w:rsid w:val="00462CC7"/>
    <w:rsid w:val="004640BE"/>
    <w:rsid w:val="00464E2C"/>
    <w:rsid w:val="00465243"/>
    <w:rsid w:val="00471A2A"/>
    <w:rsid w:val="004733FA"/>
    <w:rsid w:val="00474F73"/>
    <w:rsid w:val="0047638D"/>
    <w:rsid w:val="00476D06"/>
    <w:rsid w:val="00483E50"/>
    <w:rsid w:val="00484DA4"/>
    <w:rsid w:val="00485AC9"/>
    <w:rsid w:val="00493474"/>
    <w:rsid w:val="00493B98"/>
    <w:rsid w:val="00493D39"/>
    <w:rsid w:val="004944DF"/>
    <w:rsid w:val="00496246"/>
    <w:rsid w:val="004A0224"/>
    <w:rsid w:val="004A1B13"/>
    <w:rsid w:val="004A329C"/>
    <w:rsid w:val="004A3A97"/>
    <w:rsid w:val="004B07C5"/>
    <w:rsid w:val="004B2309"/>
    <w:rsid w:val="004B27E1"/>
    <w:rsid w:val="004B36CB"/>
    <w:rsid w:val="004B3882"/>
    <w:rsid w:val="004B5744"/>
    <w:rsid w:val="004B7E5D"/>
    <w:rsid w:val="004C0701"/>
    <w:rsid w:val="004C0EB2"/>
    <w:rsid w:val="004C1CF1"/>
    <w:rsid w:val="004C6C77"/>
    <w:rsid w:val="004C7802"/>
    <w:rsid w:val="004D1707"/>
    <w:rsid w:val="004D18AA"/>
    <w:rsid w:val="004D466B"/>
    <w:rsid w:val="004D51D2"/>
    <w:rsid w:val="004D7283"/>
    <w:rsid w:val="004D7ED6"/>
    <w:rsid w:val="004E31E9"/>
    <w:rsid w:val="004E4485"/>
    <w:rsid w:val="004E64A0"/>
    <w:rsid w:val="004E68A7"/>
    <w:rsid w:val="004F1C4B"/>
    <w:rsid w:val="004F31E1"/>
    <w:rsid w:val="004F3FBC"/>
    <w:rsid w:val="004F41BC"/>
    <w:rsid w:val="004F4440"/>
    <w:rsid w:val="005005BC"/>
    <w:rsid w:val="00502BA8"/>
    <w:rsid w:val="00502E9F"/>
    <w:rsid w:val="0050301F"/>
    <w:rsid w:val="0050338F"/>
    <w:rsid w:val="005037DF"/>
    <w:rsid w:val="00504A9C"/>
    <w:rsid w:val="005073BF"/>
    <w:rsid w:val="0051067E"/>
    <w:rsid w:val="005111B4"/>
    <w:rsid w:val="00511E99"/>
    <w:rsid w:val="00513617"/>
    <w:rsid w:val="00513BB9"/>
    <w:rsid w:val="00513D25"/>
    <w:rsid w:val="00514A51"/>
    <w:rsid w:val="005156EC"/>
    <w:rsid w:val="00516624"/>
    <w:rsid w:val="00516B6E"/>
    <w:rsid w:val="005178BB"/>
    <w:rsid w:val="00517E82"/>
    <w:rsid w:val="00520B2F"/>
    <w:rsid w:val="00520EA4"/>
    <w:rsid w:val="00522270"/>
    <w:rsid w:val="005232B3"/>
    <w:rsid w:val="00523478"/>
    <w:rsid w:val="005240A6"/>
    <w:rsid w:val="00526E27"/>
    <w:rsid w:val="005300E5"/>
    <w:rsid w:val="0053216D"/>
    <w:rsid w:val="005363FF"/>
    <w:rsid w:val="005367D1"/>
    <w:rsid w:val="00536BB6"/>
    <w:rsid w:val="0054118B"/>
    <w:rsid w:val="0054142E"/>
    <w:rsid w:val="00541C07"/>
    <w:rsid w:val="00541D97"/>
    <w:rsid w:val="005422EC"/>
    <w:rsid w:val="0054251D"/>
    <w:rsid w:val="00542E53"/>
    <w:rsid w:val="00546D34"/>
    <w:rsid w:val="00547086"/>
    <w:rsid w:val="00547922"/>
    <w:rsid w:val="005510AC"/>
    <w:rsid w:val="0055176C"/>
    <w:rsid w:val="00551895"/>
    <w:rsid w:val="005523AC"/>
    <w:rsid w:val="00552DE3"/>
    <w:rsid w:val="005534CD"/>
    <w:rsid w:val="00553737"/>
    <w:rsid w:val="00554404"/>
    <w:rsid w:val="00556707"/>
    <w:rsid w:val="00556C12"/>
    <w:rsid w:val="00556FB1"/>
    <w:rsid w:val="0056143B"/>
    <w:rsid w:val="005631AF"/>
    <w:rsid w:val="0056630F"/>
    <w:rsid w:val="0056772C"/>
    <w:rsid w:val="005703E7"/>
    <w:rsid w:val="00570472"/>
    <w:rsid w:val="005718C2"/>
    <w:rsid w:val="00571977"/>
    <w:rsid w:val="00572809"/>
    <w:rsid w:val="00572B96"/>
    <w:rsid w:val="00573583"/>
    <w:rsid w:val="005737F0"/>
    <w:rsid w:val="00573A5C"/>
    <w:rsid w:val="00573BBC"/>
    <w:rsid w:val="00574D64"/>
    <w:rsid w:val="00576169"/>
    <w:rsid w:val="005765B6"/>
    <w:rsid w:val="00577D69"/>
    <w:rsid w:val="005825B5"/>
    <w:rsid w:val="005826A7"/>
    <w:rsid w:val="00584E85"/>
    <w:rsid w:val="0058552F"/>
    <w:rsid w:val="005863FE"/>
    <w:rsid w:val="00586601"/>
    <w:rsid w:val="005866CD"/>
    <w:rsid w:val="0058730D"/>
    <w:rsid w:val="0058779E"/>
    <w:rsid w:val="00591FF9"/>
    <w:rsid w:val="005936F9"/>
    <w:rsid w:val="00593AF3"/>
    <w:rsid w:val="005969AD"/>
    <w:rsid w:val="005A0937"/>
    <w:rsid w:val="005A0BB9"/>
    <w:rsid w:val="005A0FC3"/>
    <w:rsid w:val="005A215C"/>
    <w:rsid w:val="005A25B6"/>
    <w:rsid w:val="005A2C5C"/>
    <w:rsid w:val="005A3DB1"/>
    <w:rsid w:val="005A4383"/>
    <w:rsid w:val="005A475E"/>
    <w:rsid w:val="005A5523"/>
    <w:rsid w:val="005A5FEC"/>
    <w:rsid w:val="005A6D6A"/>
    <w:rsid w:val="005B65F9"/>
    <w:rsid w:val="005C0021"/>
    <w:rsid w:val="005C003E"/>
    <w:rsid w:val="005C41DF"/>
    <w:rsid w:val="005C6831"/>
    <w:rsid w:val="005C7235"/>
    <w:rsid w:val="005C79EF"/>
    <w:rsid w:val="005C7AC1"/>
    <w:rsid w:val="005D3133"/>
    <w:rsid w:val="005D5A9A"/>
    <w:rsid w:val="005D737C"/>
    <w:rsid w:val="005E2FD6"/>
    <w:rsid w:val="005E39A3"/>
    <w:rsid w:val="005F0CF7"/>
    <w:rsid w:val="005F0DC3"/>
    <w:rsid w:val="005F64CA"/>
    <w:rsid w:val="00604EC4"/>
    <w:rsid w:val="0060546F"/>
    <w:rsid w:val="0060591A"/>
    <w:rsid w:val="006068E0"/>
    <w:rsid w:val="00607304"/>
    <w:rsid w:val="00607E09"/>
    <w:rsid w:val="00610409"/>
    <w:rsid w:val="0061598F"/>
    <w:rsid w:val="00616179"/>
    <w:rsid w:val="00617060"/>
    <w:rsid w:val="00622CC3"/>
    <w:rsid w:val="00624CD4"/>
    <w:rsid w:val="00624DE0"/>
    <w:rsid w:val="006253F0"/>
    <w:rsid w:val="00627F87"/>
    <w:rsid w:val="00631095"/>
    <w:rsid w:val="00631FDB"/>
    <w:rsid w:val="00634C09"/>
    <w:rsid w:val="00635A01"/>
    <w:rsid w:val="00636596"/>
    <w:rsid w:val="0063685D"/>
    <w:rsid w:val="00640534"/>
    <w:rsid w:val="0064185D"/>
    <w:rsid w:val="006421AF"/>
    <w:rsid w:val="00643FD7"/>
    <w:rsid w:val="00644CF4"/>
    <w:rsid w:val="00647FC4"/>
    <w:rsid w:val="00652046"/>
    <w:rsid w:val="00652ED7"/>
    <w:rsid w:val="00654AB5"/>
    <w:rsid w:val="006562B8"/>
    <w:rsid w:val="006568BD"/>
    <w:rsid w:val="00657E1D"/>
    <w:rsid w:val="00660A8D"/>
    <w:rsid w:val="00661FA6"/>
    <w:rsid w:val="006628C2"/>
    <w:rsid w:val="006630D2"/>
    <w:rsid w:val="00663289"/>
    <w:rsid w:val="006632C1"/>
    <w:rsid w:val="00666385"/>
    <w:rsid w:val="00666DD8"/>
    <w:rsid w:val="00673D6A"/>
    <w:rsid w:val="00674710"/>
    <w:rsid w:val="00674BB4"/>
    <w:rsid w:val="00677681"/>
    <w:rsid w:val="0068029E"/>
    <w:rsid w:val="006824D0"/>
    <w:rsid w:val="00682989"/>
    <w:rsid w:val="0068395F"/>
    <w:rsid w:val="00684777"/>
    <w:rsid w:val="006862F1"/>
    <w:rsid w:val="00692407"/>
    <w:rsid w:val="00693430"/>
    <w:rsid w:val="006948F7"/>
    <w:rsid w:val="00694AA0"/>
    <w:rsid w:val="00696D25"/>
    <w:rsid w:val="006A0055"/>
    <w:rsid w:val="006A01FD"/>
    <w:rsid w:val="006A0510"/>
    <w:rsid w:val="006A193A"/>
    <w:rsid w:val="006A3812"/>
    <w:rsid w:val="006A4325"/>
    <w:rsid w:val="006A5FF0"/>
    <w:rsid w:val="006B0FAE"/>
    <w:rsid w:val="006B2701"/>
    <w:rsid w:val="006B5B9D"/>
    <w:rsid w:val="006B791D"/>
    <w:rsid w:val="006B79C8"/>
    <w:rsid w:val="006C2931"/>
    <w:rsid w:val="006C314B"/>
    <w:rsid w:val="006C31C7"/>
    <w:rsid w:val="006C705B"/>
    <w:rsid w:val="006D37D7"/>
    <w:rsid w:val="006D3CC8"/>
    <w:rsid w:val="006D513B"/>
    <w:rsid w:val="006D5170"/>
    <w:rsid w:val="006D6119"/>
    <w:rsid w:val="006D628B"/>
    <w:rsid w:val="006D6C79"/>
    <w:rsid w:val="006E01F3"/>
    <w:rsid w:val="006E5056"/>
    <w:rsid w:val="006E788A"/>
    <w:rsid w:val="006F1B88"/>
    <w:rsid w:val="006F2701"/>
    <w:rsid w:val="006F30AE"/>
    <w:rsid w:val="006F4855"/>
    <w:rsid w:val="006F5766"/>
    <w:rsid w:val="00701544"/>
    <w:rsid w:val="00703F56"/>
    <w:rsid w:val="007061E1"/>
    <w:rsid w:val="007062AC"/>
    <w:rsid w:val="00706E80"/>
    <w:rsid w:val="007078AF"/>
    <w:rsid w:val="007120CE"/>
    <w:rsid w:val="00712209"/>
    <w:rsid w:val="00712F33"/>
    <w:rsid w:val="00716339"/>
    <w:rsid w:val="00717D50"/>
    <w:rsid w:val="00720008"/>
    <w:rsid w:val="007204F4"/>
    <w:rsid w:val="00720A3E"/>
    <w:rsid w:val="00720BF8"/>
    <w:rsid w:val="0072190B"/>
    <w:rsid w:val="00723A1C"/>
    <w:rsid w:val="00724743"/>
    <w:rsid w:val="0072589A"/>
    <w:rsid w:val="0072589C"/>
    <w:rsid w:val="00725A3F"/>
    <w:rsid w:val="007272EB"/>
    <w:rsid w:val="007303EF"/>
    <w:rsid w:val="00731317"/>
    <w:rsid w:val="00734BD3"/>
    <w:rsid w:val="0073616C"/>
    <w:rsid w:val="007377C9"/>
    <w:rsid w:val="00737FC2"/>
    <w:rsid w:val="0074422E"/>
    <w:rsid w:val="00745C5F"/>
    <w:rsid w:val="00746984"/>
    <w:rsid w:val="007471C1"/>
    <w:rsid w:val="00752191"/>
    <w:rsid w:val="00754094"/>
    <w:rsid w:val="007543F4"/>
    <w:rsid w:val="0075751A"/>
    <w:rsid w:val="007615C9"/>
    <w:rsid w:val="007615F8"/>
    <w:rsid w:val="007619C6"/>
    <w:rsid w:val="007627AF"/>
    <w:rsid w:val="007630DB"/>
    <w:rsid w:val="00763CE5"/>
    <w:rsid w:val="007643C5"/>
    <w:rsid w:val="0076713B"/>
    <w:rsid w:val="00767359"/>
    <w:rsid w:val="0077021C"/>
    <w:rsid w:val="00771321"/>
    <w:rsid w:val="007713EB"/>
    <w:rsid w:val="00773C86"/>
    <w:rsid w:val="00773CC8"/>
    <w:rsid w:val="007753CB"/>
    <w:rsid w:val="00777D40"/>
    <w:rsid w:val="00782C09"/>
    <w:rsid w:val="0078345B"/>
    <w:rsid w:val="00783633"/>
    <w:rsid w:val="00784CC9"/>
    <w:rsid w:val="00785C89"/>
    <w:rsid w:val="00786218"/>
    <w:rsid w:val="00790E49"/>
    <w:rsid w:val="0079130C"/>
    <w:rsid w:val="00791BC6"/>
    <w:rsid w:val="00793E44"/>
    <w:rsid w:val="007940A0"/>
    <w:rsid w:val="007966E7"/>
    <w:rsid w:val="007A00BC"/>
    <w:rsid w:val="007A02D7"/>
    <w:rsid w:val="007A0E09"/>
    <w:rsid w:val="007A11FE"/>
    <w:rsid w:val="007A15FD"/>
    <w:rsid w:val="007A1DD9"/>
    <w:rsid w:val="007A3020"/>
    <w:rsid w:val="007A3124"/>
    <w:rsid w:val="007A4245"/>
    <w:rsid w:val="007A4FDC"/>
    <w:rsid w:val="007A514D"/>
    <w:rsid w:val="007A515E"/>
    <w:rsid w:val="007A6AF7"/>
    <w:rsid w:val="007A7197"/>
    <w:rsid w:val="007B19C7"/>
    <w:rsid w:val="007B24E0"/>
    <w:rsid w:val="007B2519"/>
    <w:rsid w:val="007B4790"/>
    <w:rsid w:val="007B5A68"/>
    <w:rsid w:val="007B5D6D"/>
    <w:rsid w:val="007B5DCC"/>
    <w:rsid w:val="007C0BCC"/>
    <w:rsid w:val="007C1A84"/>
    <w:rsid w:val="007C249D"/>
    <w:rsid w:val="007C3F66"/>
    <w:rsid w:val="007C4713"/>
    <w:rsid w:val="007C66C4"/>
    <w:rsid w:val="007C7F9A"/>
    <w:rsid w:val="007D23D6"/>
    <w:rsid w:val="007D268E"/>
    <w:rsid w:val="007D3008"/>
    <w:rsid w:val="007D52C8"/>
    <w:rsid w:val="007D5E1C"/>
    <w:rsid w:val="007E2643"/>
    <w:rsid w:val="007E415D"/>
    <w:rsid w:val="007E498B"/>
    <w:rsid w:val="007E711E"/>
    <w:rsid w:val="007F38A5"/>
    <w:rsid w:val="007F5604"/>
    <w:rsid w:val="007F6504"/>
    <w:rsid w:val="0080212B"/>
    <w:rsid w:val="00802EF0"/>
    <w:rsid w:val="00803633"/>
    <w:rsid w:val="008037BE"/>
    <w:rsid w:val="00803A5E"/>
    <w:rsid w:val="008044D1"/>
    <w:rsid w:val="00804B4A"/>
    <w:rsid w:val="00805A5C"/>
    <w:rsid w:val="00805DDD"/>
    <w:rsid w:val="00806CE4"/>
    <w:rsid w:val="00807A2E"/>
    <w:rsid w:val="008109E6"/>
    <w:rsid w:val="008119D7"/>
    <w:rsid w:val="008122A6"/>
    <w:rsid w:val="008132F3"/>
    <w:rsid w:val="008135E9"/>
    <w:rsid w:val="0081648A"/>
    <w:rsid w:val="008168DE"/>
    <w:rsid w:val="00822810"/>
    <w:rsid w:val="0082361C"/>
    <w:rsid w:val="00823CA3"/>
    <w:rsid w:val="00824174"/>
    <w:rsid w:val="008256D5"/>
    <w:rsid w:val="00825B99"/>
    <w:rsid w:val="00826037"/>
    <w:rsid w:val="00830A07"/>
    <w:rsid w:val="008322CB"/>
    <w:rsid w:val="00832DE6"/>
    <w:rsid w:val="00832EEB"/>
    <w:rsid w:val="008335A4"/>
    <w:rsid w:val="00833E7C"/>
    <w:rsid w:val="0084171F"/>
    <w:rsid w:val="00841EAA"/>
    <w:rsid w:val="00843D37"/>
    <w:rsid w:val="00844659"/>
    <w:rsid w:val="00845851"/>
    <w:rsid w:val="00846506"/>
    <w:rsid w:val="00846918"/>
    <w:rsid w:val="00852710"/>
    <w:rsid w:val="00853F30"/>
    <w:rsid w:val="00856356"/>
    <w:rsid w:val="008569E0"/>
    <w:rsid w:val="00860C0E"/>
    <w:rsid w:val="00860D07"/>
    <w:rsid w:val="008619A4"/>
    <w:rsid w:val="00862763"/>
    <w:rsid w:val="00866586"/>
    <w:rsid w:val="008713CC"/>
    <w:rsid w:val="00873E24"/>
    <w:rsid w:val="00874E71"/>
    <w:rsid w:val="00875EBA"/>
    <w:rsid w:val="00880933"/>
    <w:rsid w:val="00884FA2"/>
    <w:rsid w:val="00885F52"/>
    <w:rsid w:val="00886CA2"/>
    <w:rsid w:val="008910DD"/>
    <w:rsid w:val="0089168A"/>
    <w:rsid w:val="008924AC"/>
    <w:rsid w:val="00892CC7"/>
    <w:rsid w:val="00892F51"/>
    <w:rsid w:val="00893B6A"/>
    <w:rsid w:val="00893CC1"/>
    <w:rsid w:val="00895BA5"/>
    <w:rsid w:val="008A0221"/>
    <w:rsid w:val="008A0698"/>
    <w:rsid w:val="008A32F5"/>
    <w:rsid w:val="008A3CE4"/>
    <w:rsid w:val="008A4135"/>
    <w:rsid w:val="008B022D"/>
    <w:rsid w:val="008B06AB"/>
    <w:rsid w:val="008B1879"/>
    <w:rsid w:val="008B46D1"/>
    <w:rsid w:val="008B577E"/>
    <w:rsid w:val="008B6203"/>
    <w:rsid w:val="008C03B1"/>
    <w:rsid w:val="008C09DA"/>
    <w:rsid w:val="008C1050"/>
    <w:rsid w:val="008C133B"/>
    <w:rsid w:val="008C1397"/>
    <w:rsid w:val="008C257A"/>
    <w:rsid w:val="008C3241"/>
    <w:rsid w:val="008C458A"/>
    <w:rsid w:val="008C4F5B"/>
    <w:rsid w:val="008C5B97"/>
    <w:rsid w:val="008D1A71"/>
    <w:rsid w:val="008D1CD5"/>
    <w:rsid w:val="008D1DB1"/>
    <w:rsid w:val="008D1F40"/>
    <w:rsid w:val="008D20F9"/>
    <w:rsid w:val="008D27AC"/>
    <w:rsid w:val="008D3916"/>
    <w:rsid w:val="008D57AD"/>
    <w:rsid w:val="008D5896"/>
    <w:rsid w:val="008D5E37"/>
    <w:rsid w:val="008E1769"/>
    <w:rsid w:val="008E1904"/>
    <w:rsid w:val="008E3658"/>
    <w:rsid w:val="008E425E"/>
    <w:rsid w:val="008F1F4E"/>
    <w:rsid w:val="008F47C6"/>
    <w:rsid w:val="008F4AD7"/>
    <w:rsid w:val="008F532E"/>
    <w:rsid w:val="0090307D"/>
    <w:rsid w:val="00903717"/>
    <w:rsid w:val="00903964"/>
    <w:rsid w:val="00905D48"/>
    <w:rsid w:val="0090677D"/>
    <w:rsid w:val="00910DCD"/>
    <w:rsid w:val="00913145"/>
    <w:rsid w:val="00913548"/>
    <w:rsid w:val="00913F1F"/>
    <w:rsid w:val="009142C4"/>
    <w:rsid w:val="009172D6"/>
    <w:rsid w:val="00917C9B"/>
    <w:rsid w:val="00920F79"/>
    <w:rsid w:val="009238C5"/>
    <w:rsid w:val="00927D8C"/>
    <w:rsid w:val="00930F04"/>
    <w:rsid w:val="009312A9"/>
    <w:rsid w:val="009323E6"/>
    <w:rsid w:val="0093289E"/>
    <w:rsid w:val="00933191"/>
    <w:rsid w:val="009331AA"/>
    <w:rsid w:val="00934042"/>
    <w:rsid w:val="0093504D"/>
    <w:rsid w:val="00940E00"/>
    <w:rsid w:val="0094188D"/>
    <w:rsid w:val="00943E22"/>
    <w:rsid w:val="009455D8"/>
    <w:rsid w:val="00946337"/>
    <w:rsid w:val="00950317"/>
    <w:rsid w:val="00950DC0"/>
    <w:rsid w:val="00950E3B"/>
    <w:rsid w:val="00950EDF"/>
    <w:rsid w:val="00952159"/>
    <w:rsid w:val="009535E8"/>
    <w:rsid w:val="009539B5"/>
    <w:rsid w:val="0095638D"/>
    <w:rsid w:val="00956F7F"/>
    <w:rsid w:val="009572AA"/>
    <w:rsid w:val="00960009"/>
    <w:rsid w:val="0096009A"/>
    <w:rsid w:val="00960432"/>
    <w:rsid w:val="00960CC2"/>
    <w:rsid w:val="00961C1C"/>
    <w:rsid w:val="00962FD2"/>
    <w:rsid w:val="0096379F"/>
    <w:rsid w:val="009656CF"/>
    <w:rsid w:val="009666DC"/>
    <w:rsid w:val="00971156"/>
    <w:rsid w:val="0097122F"/>
    <w:rsid w:val="0097221D"/>
    <w:rsid w:val="009722F6"/>
    <w:rsid w:val="009727EE"/>
    <w:rsid w:val="009736D5"/>
    <w:rsid w:val="009740D8"/>
    <w:rsid w:val="00975135"/>
    <w:rsid w:val="009751CD"/>
    <w:rsid w:val="00977242"/>
    <w:rsid w:val="00977373"/>
    <w:rsid w:val="009812AC"/>
    <w:rsid w:val="009815A8"/>
    <w:rsid w:val="00983301"/>
    <w:rsid w:val="0098698F"/>
    <w:rsid w:val="00990AE3"/>
    <w:rsid w:val="00990FAD"/>
    <w:rsid w:val="00991A86"/>
    <w:rsid w:val="009A0897"/>
    <w:rsid w:val="009A15AF"/>
    <w:rsid w:val="009A680D"/>
    <w:rsid w:val="009B2F65"/>
    <w:rsid w:val="009B5589"/>
    <w:rsid w:val="009B6398"/>
    <w:rsid w:val="009B6525"/>
    <w:rsid w:val="009B68D5"/>
    <w:rsid w:val="009B7B67"/>
    <w:rsid w:val="009C156D"/>
    <w:rsid w:val="009C1ECB"/>
    <w:rsid w:val="009C3BE7"/>
    <w:rsid w:val="009D0626"/>
    <w:rsid w:val="009D0C7D"/>
    <w:rsid w:val="009D1364"/>
    <w:rsid w:val="009D1E36"/>
    <w:rsid w:val="009D20B0"/>
    <w:rsid w:val="009D2613"/>
    <w:rsid w:val="009D4C82"/>
    <w:rsid w:val="009D6E0D"/>
    <w:rsid w:val="009E0955"/>
    <w:rsid w:val="009E0DA4"/>
    <w:rsid w:val="009E3C8E"/>
    <w:rsid w:val="009E6565"/>
    <w:rsid w:val="009E698B"/>
    <w:rsid w:val="009E76C6"/>
    <w:rsid w:val="009F064D"/>
    <w:rsid w:val="009F118D"/>
    <w:rsid w:val="009F2B69"/>
    <w:rsid w:val="009F357F"/>
    <w:rsid w:val="009F42C8"/>
    <w:rsid w:val="009F623A"/>
    <w:rsid w:val="009F6439"/>
    <w:rsid w:val="009F6576"/>
    <w:rsid w:val="00A0005C"/>
    <w:rsid w:val="00A039B1"/>
    <w:rsid w:val="00A04F8A"/>
    <w:rsid w:val="00A0511B"/>
    <w:rsid w:val="00A05B24"/>
    <w:rsid w:val="00A119E9"/>
    <w:rsid w:val="00A1286A"/>
    <w:rsid w:val="00A12CD6"/>
    <w:rsid w:val="00A13846"/>
    <w:rsid w:val="00A141C5"/>
    <w:rsid w:val="00A17D6A"/>
    <w:rsid w:val="00A2048A"/>
    <w:rsid w:val="00A24B50"/>
    <w:rsid w:val="00A24F46"/>
    <w:rsid w:val="00A263E1"/>
    <w:rsid w:val="00A26B42"/>
    <w:rsid w:val="00A311AE"/>
    <w:rsid w:val="00A3236A"/>
    <w:rsid w:val="00A33D38"/>
    <w:rsid w:val="00A4066E"/>
    <w:rsid w:val="00A420B1"/>
    <w:rsid w:val="00A42B88"/>
    <w:rsid w:val="00A45CCD"/>
    <w:rsid w:val="00A47393"/>
    <w:rsid w:val="00A47B89"/>
    <w:rsid w:val="00A50251"/>
    <w:rsid w:val="00A53357"/>
    <w:rsid w:val="00A5371F"/>
    <w:rsid w:val="00A556FD"/>
    <w:rsid w:val="00A6019A"/>
    <w:rsid w:val="00A60FF3"/>
    <w:rsid w:val="00A62DEA"/>
    <w:rsid w:val="00A63C9C"/>
    <w:rsid w:val="00A64E34"/>
    <w:rsid w:val="00A661CB"/>
    <w:rsid w:val="00A70AF1"/>
    <w:rsid w:val="00A7103E"/>
    <w:rsid w:val="00A71AB5"/>
    <w:rsid w:val="00A7316D"/>
    <w:rsid w:val="00A745D6"/>
    <w:rsid w:val="00A76472"/>
    <w:rsid w:val="00A7681D"/>
    <w:rsid w:val="00A80217"/>
    <w:rsid w:val="00A83E86"/>
    <w:rsid w:val="00A85454"/>
    <w:rsid w:val="00A85998"/>
    <w:rsid w:val="00A85E7C"/>
    <w:rsid w:val="00A90096"/>
    <w:rsid w:val="00A93E6F"/>
    <w:rsid w:val="00A95636"/>
    <w:rsid w:val="00A963FF"/>
    <w:rsid w:val="00AA4C0D"/>
    <w:rsid w:val="00AA4E6A"/>
    <w:rsid w:val="00AA5F2B"/>
    <w:rsid w:val="00AA7481"/>
    <w:rsid w:val="00AB069C"/>
    <w:rsid w:val="00AB5518"/>
    <w:rsid w:val="00AB6C57"/>
    <w:rsid w:val="00AB6D6D"/>
    <w:rsid w:val="00AB7702"/>
    <w:rsid w:val="00AC014F"/>
    <w:rsid w:val="00AC18D6"/>
    <w:rsid w:val="00AC190C"/>
    <w:rsid w:val="00AC2684"/>
    <w:rsid w:val="00AC3836"/>
    <w:rsid w:val="00AC5817"/>
    <w:rsid w:val="00AC6011"/>
    <w:rsid w:val="00AC6037"/>
    <w:rsid w:val="00AC6157"/>
    <w:rsid w:val="00AC7B29"/>
    <w:rsid w:val="00AC7ECF"/>
    <w:rsid w:val="00AC7F1C"/>
    <w:rsid w:val="00AD0238"/>
    <w:rsid w:val="00AD08EF"/>
    <w:rsid w:val="00AD0AAB"/>
    <w:rsid w:val="00AD0B22"/>
    <w:rsid w:val="00AD0C1C"/>
    <w:rsid w:val="00AD0D0B"/>
    <w:rsid w:val="00AD1882"/>
    <w:rsid w:val="00AD2948"/>
    <w:rsid w:val="00AD43BB"/>
    <w:rsid w:val="00AD60F4"/>
    <w:rsid w:val="00AD6D0D"/>
    <w:rsid w:val="00AD7101"/>
    <w:rsid w:val="00AD7769"/>
    <w:rsid w:val="00AE04AD"/>
    <w:rsid w:val="00AE10C4"/>
    <w:rsid w:val="00AE3599"/>
    <w:rsid w:val="00AE37FC"/>
    <w:rsid w:val="00AE5577"/>
    <w:rsid w:val="00AF15DE"/>
    <w:rsid w:val="00AF28B7"/>
    <w:rsid w:val="00AF36C1"/>
    <w:rsid w:val="00AF654D"/>
    <w:rsid w:val="00B005B2"/>
    <w:rsid w:val="00B01894"/>
    <w:rsid w:val="00B0285B"/>
    <w:rsid w:val="00B036E9"/>
    <w:rsid w:val="00B03A87"/>
    <w:rsid w:val="00B03DA4"/>
    <w:rsid w:val="00B05F1B"/>
    <w:rsid w:val="00B07A20"/>
    <w:rsid w:val="00B10969"/>
    <w:rsid w:val="00B1351E"/>
    <w:rsid w:val="00B15696"/>
    <w:rsid w:val="00B15DDD"/>
    <w:rsid w:val="00B1630D"/>
    <w:rsid w:val="00B179E6"/>
    <w:rsid w:val="00B17F87"/>
    <w:rsid w:val="00B2122B"/>
    <w:rsid w:val="00B21E75"/>
    <w:rsid w:val="00B23BC7"/>
    <w:rsid w:val="00B2411E"/>
    <w:rsid w:val="00B248A4"/>
    <w:rsid w:val="00B25C90"/>
    <w:rsid w:val="00B27319"/>
    <w:rsid w:val="00B30F9C"/>
    <w:rsid w:val="00B36B5D"/>
    <w:rsid w:val="00B36ED0"/>
    <w:rsid w:val="00B374A2"/>
    <w:rsid w:val="00B4079B"/>
    <w:rsid w:val="00B408E2"/>
    <w:rsid w:val="00B40D89"/>
    <w:rsid w:val="00B41D91"/>
    <w:rsid w:val="00B4244A"/>
    <w:rsid w:val="00B425C8"/>
    <w:rsid w:val="00B45AA1"/>
    <w:rsid w:val="00B476FE"/>
    <w:rsid w:val="00B51688"/>
    <w:rsid w:val="00B5175B"/>
    <w:rsid w:val="00B53392"/>
    <w:rsid w:val="00B54547"/>
    <w:rsid w:val="00B54EB1"/>
    <w:rsid w:val="00B56157"/>
    <w:rsid w:val="00B61491"/>
    <w:rsid w:val="00B61C0B"/>
    <w:rsid w:val="00B62B76"/>
    <w:rsid w:val="00B64EC0"/>
    <w:rsid w:val="00B66848"/>
    <w:rsid w:val="00B70773"/>
    <w:rsid w:val="00B7119C"/>
    <w:rsid w:val="00B712B3"/>
    <w:rsid w:val="00B72230"/>
    <w:rsid w:val="00B7550C"/>
    <w:rsid w:val="00B75D58"/>
    <w:rsid w:val="00B76B74"/>
    <w:rsid w:val="00B808CB"/>
    <w:rsid w:val="00B81575"/>
    <w:rsid w:val="00B82994"/>
    <w:rsid w:val="00B84D08"/>
    <w:rsid w:val="00B857E5"/>
    <w:rsid w:val="00B90AB9"/>
    <w:rsid w:val="00B9163D"/>
    <w:rsid w:val="00B91E0C"/>
    <w:rsid w:val="00B9564D"/>
    <w:rsid w:val="00BA2F8B"/>
    <w:rsid w:val="00BA36EC"/>
    <w:rsid w:val="00BA59EE"/>
    <w:rsid w:val="00BA5E33"/>
    <w:rsid w:val="00BA5E7D"/>
    <w:rsid w:val="00BB2384"/>
    <w:rsid w:val="00BB25B4"/>
    <w:rsid w:val="00BB3D31"/>
    <w:rsid w:val="00BC071C"/>
    <w:rsid w:val="00BC2032"/>
    <w:rsid w:val="00BC3E11"/>
    <w:rsid w:val="00BC782E"/>
    <w:rsid w:val="00BD253E"/>
    <w:rsid w:val="00BD5A56"/>
    <w:rsid w:val="00BD750A"/>
    <w:rsid w:val="00BD7710"/>
    <w:rsid w:val="00BE19CD"/>
    <w:rsid w:val="00BE2F05"/>
    <w:rsid w:val="00BE738A"/>
    <w:rsid w:val="00BE772B"/>
    <w:rsid w:val="00BE7C4E"/>
    <w:rsid w:val="00BF0340"/>
    <w:rsid w:val="00BF0DB4"/>
    <w:rsid w:val="00BF1679"/>
    <w:rsid w:val="00BF2877"/>
    <w:rsid w:val="00BF2F29"/>
    <w:rsid w:val="00BF334D"/>
    <w:rsid w:val="00BF458E"/>
    <w:rsid w:val="00BF46B6"/>
    <w:rsid w:val="00BF77B2"/>
    <w:rsid w:val="00BF7904"/>
    <w:rsid w:val="00BF7BDF"/>
    <w:rsid w:val="00C00405"/>
    <w:rsid w:val="00C02DE1"/>
    <w:rsid w:val="00C03D91"/>
    <w:rsid w:val="00C05462"/>
    <w:rsid w:val="00C06A05"/>
    <w:rsid w:val="00C07BC6"/>
    <w:rsid w:val="00C1095C"/>
    <w:rsid w:val="00C109CF"/>
    <w:rsid w:val="00C10C8E"/>
    <w:rsid w:val="00C141AA"/>
    <w:rsid w:val="00C14A92"/>
    <w:rsid w:val="00C15B74"/>
    <w:rsid w:val="00C16EC0"/>
    <w:rsid w:val="00C20503"/>
    <w:rsid w:val="00C206E9"/>
    <w:rsid w:val="00C20984"/>
    <w:rsid w:val="00C21881"/>
    <w:rsid w:val="00C22761"/>
    <w:rsid w:val="00C22ABF"/>
    <w:rsid w:val="00C232F3"/>
    <w:rsid w:val="00C240C8"/>
    <w:rsid w:val="00C242C6"/>
    <w:rsid w:val="00C2480C"/>
    <w:rsid w:val="00C26F86"/>
    <w:rsid w:val="00C31035"/>
    <w:rsid w:val="00C31A07"/>
    <w:rsid w:val="00C32478"/>
    <w:rsid w:val="00C32D62"/>
    <w:rsid w:val="00C34565"/>
    <w:rsid w:val="00C3531A"/>
    <w:rsid w:val="00C360D8"/>
    <w:rsid w:val="00C363EC"/>
    <w:rsid w:val="00C368A0"/>
    <w:rsid w:val="00C368A7"/>
    <w:rsid w:val="00C37CDD"/>
    <w:rsid w:val="00C37D0B"/>
    <w:rsid w:val="00C43DB4"/>
    <w:rsid w:val="00C45313"/>
    <w:rsid w:val="00C46644"/>
    <w:rsid w:val="00C46D83"/>
    <w:rsid w:val="00C47D36"/>
    <w:rsid w:val="00C506BB"/>
    <w:rsid w:val="00C50C60"/>
    <w:rsid w:val="00C53B18"/>
    <w:rsid w:val="00C53C63"/>
    <w:rsid w:val="00C56380"/>
    <w:rsid w:val="00C56E86"/>
    <w:rsid w:val="00C57C43"/>
    <w:rsid w:val="00C6073D"/>
    <w:rsid w:val="00C61241"/>
    <w:rsid w:val="00C61FEE"/>
    <w:rsid w:val="00C62FF0"/>
    <w:rsid w:val="00C63307"/>
    <w:rsid w:val="00C66204"/>
    <w:rsid w:val="00C674FF"/>
    <w:rsid w:val="00C7009C"/>
    <w:rsid w:val="00C715EE"/>
    <w:rsid w:val="00C72D4A"/>
    <w:rsid w:val="00C730BB"/>
    <w:rsid w:val="00C74B89"/>
    <w:rsid w:val="00C74EE6"/>
    <w:rsid w:val="00C75A27"/>
    <w:rsid w:val="00C761FB"/>
    <w:rsid w:val="00C81381"/>
    <w:rsid w:val="00C81BD5"/>
    <w:rsid w:val="00C83BBE"/>
    <w:rsid w:val="00C83FCF"/>
    <w:rsid w:val="00C85B82"/>
    <w:rsid w:val="00C86000"/>
    <w:rsid w:val="00C863A5"/>
    <w:rsid w:val="00C8666E"/>
    <w:rsid w:val="00C87D53"/>
    <w:rsid w:val="00C91742"/>
    <w:rsid w:val="00C91B5C"/>
    <w:rsid w:val="00C91F96"/>
    <w:rsid w:val="00C93A9A"/>
    <w:rsid w:val="00C94F9E"/>
    <w:rsid w:val="00CA0306"/>
    <w:rsid w:val="00CA08FC"/>
    <w:rsid w:val="00CA188C"/>
    <w:rsid w:val="00CA246F"/>
    <w:rsid w:val="00CA2A12"/>
    <w:rsid w:val="00CA34CA"/>
    <w:rsid w:val="00CA363E"/>
    <w:rsid w:val="00CA3DE0"/>
    <w:rsid w:val="00CA501B"/>
    <w:rsid w:val="00CA5283"/>
    <w:rsid w:val="00CA5A1D"/>
    <w:rsid w:val="00CA62A0"/>
    <w:rsid w:val="00CA68CC"/>
    <w:rsid w:val="00CA7417"/>
    <w:rsid w:val="00CB1B24"/>
    <w:rsid w:val="00CB2734"/>
    <w:rsid w:val="00CB3E87"/>
    <w:rsid w:val="00CB4ADE"/>
    <w:rsid w:val="00CB5E1A"/>
    <w:rsid w:val="00CB79D2"/>
    <w:rsid w:val="00CC14FA"/>
    <w:rsid w:val="00CC156F"/>
    <w:rsid w:val="00CC1B57"/>
    <w:rsid w:val="00CC4DB5"/>
    <w:rsid w:val="00CC616F"/>
    <w:rsid w:val="00CC6892"/>
    <w:rsid w:val="00CC76CE"/>
    <w:rsid w:val="00CD743D"/>
    <w:rsid w:val="00CD745E"/>
    <w:rsid w:val="00CE1310"/>
    <w:rsid w:val="00CE2FE8"/>
    <w:rsid w:val="00CE3F7C"/>
    <w:rsid w:val="00CE5026"/>
    <w:rsid w:val="00CE71FF"/>
    <w:rsid w:val="00CE7E69"/>
    <w:rsid w:val="00CF5359"/>
    <w:rsid w:val="00D00D44"/>
    <w:rsid w:val="00D0161D"/>
    <w:rsid w:val="00D018E0"/>
    <w:rsid w:val="00D02DDB"/>
    <w:rsid w:val="00D0577C"/>
    <w:rsid w:val="00D07087"/>
    <w:rsid w:val="00D10FD2"/>
    <w:rsid w:val="00D13970"/>
    <w:rsid w:val="00D13F58"/>
    <w:rsid w:val="00D15BF7"/>
    <w:rsid w:val="00D17F58"/>
    <w:rsid w:val="00D215A4"/>
    <w:rsid w:val="00D23183"/>
    <w:rsid w:val="00D24D72"/>
    <w:rsid w:val="00D27D57"/>
    <w:rsid w:val="00D30141"/>
    <w:rsid w:val="00D309A7"/>
    <w:rsid w:val="00D32072"/>
    <w:rsid w:val="00D320CE"/>
    <w:rsid w:val="00D323C1"/>
    <w:rsid w:val="00D33232"/>
    <w:rsid w:val="00D34D77"/>
    <w:rsid w:val="00D34FBD"/>
    <w:rsid w:val="00D36663"/>
    <w:rsid w:val="00D36677"/>
    <w:rsid w:val="00D36B9E"/>
    <w:rsid w:val="00D37C85"/>
    <w:rsid w:val="00D43A61"/>
    <w:rsid w:val="00D44FCE"/>
    <w:rsid w:val="00D457D0"/>
    <w:rsid w:val="00D45C6C"/>
    <w:rsid w:val="00D47DBB"/>
    <w:rsid w:val="00D513C6"/>
    <w:rsid w:val="00D513E2"/>
    <w:rsid w:val="00D52115"/>
    <w:rsid w:val="00D52432"/>
    <w:rsid w:val="00D528A1"/>
    <w:rsid w:val="00D52D53"/>
    <w:rsid w:val="00D52F88"/>
    <w:rsid w:val="00D53F74"/>
    <w:rsid w:val="00D55661"/>
    <w:rsid w:val="00D55C84"/>
    <w:rsid w:val="00D566DB"/>
    <w:rsid w:val="00D56EC7"/>
    <w:rsid w:val="00D60B97"/>
    <w:rsid w:val="00D61C4A"/>
    <w:rsid w:val="00D629F2"/>
    <w:rsid w:val="00D63A88"/>
    <w:rsid w:val="00D63F1A"/>
    <w:rsid w:val="00D66DE1"/>
    <w:rsid w:val="00D70635"/>
    <w:rsid w:val="00D70E14"/>
    <w:rsid w:val="00D71E42"/>
    <w:rsid w:val="00D726FB"/>
    <w:rsid w:val="00D73690"/>
    <w:rsid w:val="00D800E0"/>
    <w:rsid w:val="00D80442"/>
    <w:rsid w:val="00D8102B"/>
    <w:rsid w:val="00D81D42"/>
    <w:rsid w:val="00D83DB7"/>
    <w:rsid w:val="00D83F38"/>
    <w:rsid w:val="00D857A6"/>
    <w:rsid w:val="00D87749"/>
    <w:rsid w:val="00D90118"/>
    <w:rsid w:val="00D91734"/>
    <w:rsid w:val="00D91742"/>
    <w:rsid w:val="00D93046"/>
    <w:rsid w:val="00D9431C"/>
    <w:rsid w:val="00D9669A"/>
    <w:rsid w:val="00D97CD5"/>
    <w:rsid w:val="00DA3F5E"/>
    <w:rsid w:val="00DA46CE"/>
    <w:rsid w:val="00DB0A78"/>
    <w:rsid w:val="00DB15BA"/>
    <w:rsid w:val="00DB2359"/>
    <w:rsid w:val="00DB4C3E"/>
    <w:rsid w:val="00DB4EA5"/>
    <w:rsid w:val="00DB4F37"/>
    <w:rsid w:val="00DB5F81"/>
    <w:rsid w:val="00DC028C"/>
    <w:rsid w:val="00DC18DB"/>
    <w:rsid w:val="00DC3D0F"/>
    <w:rsid w:val="00DC5106"/>
    <w:rsid w:val="00DC54DB"/>
    <w:rsid w:val="00DC58E9"/>
    <w:rsid w:val="00DC5903"/>
    <w:rsid w:val="00DD255A"/>
    <w:rsid w:val="00DD2A78"/>
    <w:rsid w:val="00DD30E4"/>
    <w:rsid w:val="00DD3B13"/>
    <w:rsid w:val="00DD42D4"/>
    <w:rsid w:val="00DD4B7E"/>
    <w:rsid w:val="00DD59F0"/>
    <w:rsid w:val="00DD62E4"/>
    <w:rsid w:val="00DD6C7A"/>
    <w:rsid w:val="00DD730B"/>
    <w:rsid w:val="00DD7FF1"/>
    <w:rsid w:val="00DE12BD"/>
    <w:rsid w:val="00DE1B6B"/>
    <w:rsid w:val="00DE2401"/>
    <w:rsid w:val="00DE4C37"/>
    <w:rsid w:val="00DF1053"/>
    <w:rsid w:val="00DF183E"/>
    <w:rsid w:val="00DF392D"/>
    <w:rsid w:val="00DF4D0D"/>
    <w:rsid w:val="00DF7235"/>
    <w:rsid w:val="00DF7E49"/>
    <w:rsid w:val="00E01438"/>
    <w:rsid w:val="00E0203B"/>
    <w:rsid w:val="00E0466D"/>
    <w:rsid w:val="00E072AE"/>
    <w:rsid w:val="00E1031C"/>
    <w:rsid w:val="00E116D6"/>
    <w:rsid w:val="00E12BC0"/>
    <w:rsid w:val="00E13495"/>
    <w:rsid w:val="00E14944"/>
    <w:rsid w:val="00E161E3"/>
    <w:rsid w:val="00E22D6D"/>
    <w:rsid w:val="00E25446"/>
    <w:rsid w:val="00E25E62"/>
    <w:rsid w:val="00E26095"/>
    <w:rsid w:val="00E260F9"/>
    <w:rsid w:val="00E270C2"/>
    <w:rsid w:val="00E27637"/>
    <w:rsid w:val="00E325A8"/>
    <w:rsid w:val="00E33233"/>
    <w:rsid w:val="00E3330B"/>
    <w:rsid w:val="00E35F88"/>
    <w:rsid w:val="00E374F4"/>
    <w:rsid w:val="00E37F2F"/>
    <w:rsid w:val="00E4170E"/>
    <w:rsid w:val="00E42CB6"/>
    <w:rsid w:val="00E460C8"/>
    <w:rsid w:val="00E46DCE"/>
    <w:rsid w:val="00E51B29"/>
    <w:rsid w:val="00E52D09"/>
    <w:rsid w:val="00E53FDF"/>
    <w:rsid w:val="00E607DD"/>
    <w:rsid w:val="00E60C59"/>
    <w:rsid w:val="00E6574D"/>
    <w:rsid w:val="00E705BC"/>
    <w:rsid w:val="00E70BFA"/>
    <w:rsid w:val="00E70F76"/>
    <w:rsid w:val="00E719CB"/>
    <w:rsid w:val="00E72E24"/>
    <w:rsid w:val="00E75F86"/>
    <w:rsid w:val="00E76763"/>
    <w:rsid w:val="00E8104F"/>
    <w:rsid w:val="00E8351E"/>
    <w:rsid w:val="00E83FFF"/>
    <w:rsid w:val="00E92FC8"/>
    <w:rsid w:val="00E93388"/>
    <w:rsid w:val="00E9438C"/>
    <w:rsid w:val="00E94E30"/>
    <w:rsid w:val="00E969BB"/>
    <w:rsid w:val="00EA0768"/>
    <w:rsid w:val="00EA09AE"/>
    <w:rsid w:val="00EA1310"/>
    <w:rsid w:val="00EA6F40"/>
    <w:rsid w:val="00EA776C"/>
    <w:rsid w:val="00EB035F"/>
    <w:rsid w:val="00EB07E5"/>
    <w:rsid w:val="00EB1138"/>
    <w:rsid w:val="00EB1331"/>
    <w:rsid w:val="00EB28AC"/>
    <w:rsid w:val="00EB35BA"/>
    <w:rsid w:val="00EB397B"/>
    <w:rsid w:val="00EB772A"/>
    <w:rsid w:val="00EB7DCE"/>
    <w:rsid w:val="00EC0578"/>
    <w:rsid w:val="00EC07DF"/>
    <w:rsid w:val="00EC1B74"/>
    <w:rsid w:val="00EC2272"/>
    <w:rsid w:val="00EC6A6E"/>
    <w:rsid w:val="00EC6CA9"/>
    <w:rsid w:val="00EC6DF4"/>
    <w:rsid w:val="00EC7643"/>
    <w:rsid w:val="00EC7D8C"/>
    <w:rsid w:val="00ED2122"/>
    <w:rsid w:val="00ED2ED7"/>
    <w:rsid w:val="00ED3B7A"/>
    <w:rsid w:val="00ED4962"/>
    <w:rsid w:val="00ED4E55"/>
    <w:rsid w:val="00ED678B"/>
    <w:rsid w:val="00ED784F"/>
    <w:rsid w:val="00EE0736"/>
    <w:rsid w:val="00EE6D1E"/>
    <w:rsid w:val="00EF2F74"/>
    <w:rsid w:val="00EF369F"/>
    <w:rsid w:val="00EF4055"/>
    <w:rsid w:val="00EF47CC"/>
    <w:rsid w:val="00EF50C3"/>
    <w:rsid w:val="00F009EB"/>
    <w:rsid w:val="00F01DE5"/>
    <w:rsid w:val="00F02B5E"/>
    <w:rsid w:val="00F033F2"/>
    <w:rsid w:val="00F0399E"/>
    <w:rsid w:val="00F057D5"/>
    <w:rsid w:val="00F0617D"/>
    <w:rsid w:val="00F07492"/>
    <w:rsid w:val="00F07BDF"/>
    <w:rsid w:val="00F1009B"/>
    <w:rsid w:val="00F11B7D"/>
    <w:rsid w:val="00F1312D"/>
    <w:rsid w:val="00F1374C"/>
    <w:rsid w:val="00F14727"/>
    <w:rsid w:val="00F15D79"/>
    <w:rsid w:val="00F16F84"/>
    <w:rsid w:val="00F17186"/>
    <w:rsid w:val="00F21F8B"/>
    <w:rsid w:val="00F226DB"/>
    <w:rsid w:val="00F23C05"/>
    <w:rsid w:val="00F25A6C"/>
    <w:rsid w:val="00F27799"/>
    <w:rsid w:val="00F27F99"/>
    <w:rsid w:val="00F30837"/>
    <w:rsid w:val="00F3094C"/>
    <w:rsid w:val="00F31695"/>
    <w:rsid w:val="00F346B4"/>
    <w:rsid w:val="00F346F4"/>
    <w:rsid w:val="00F347DA"/>
    <w:rsid w:val="00F3574F"/>
    <w:rsid w:val="00F45177"/>
    <w:rsid w:val="00F45746"/>
    <w:rsid w:val="00F458B7"/>
    <w:rsid w:val="00F45C47"/>
    <w:rsid w:val="00F47199"/>
    <w:rsid w:val="00F533D0"/>
    <w:rsid w:val="00F54280"/>
    <w:rsid w:val="00F549C6"/>
    <w:rsid w:val="00F56CC2"/>
    <w:rsid w:val="00F57586"/>
    <w:rsid w:val="00F61922"/>
    <w:rsid w:val="00F623A6"/>
    <w:rsid w:val="00F6710D"/>
    <w:rsid w:val="00F72654"/>
    <w:rsid w:val="00F737BC"/>
    <w:rsid w:val="00F73EBB"/>
    <w:rsid w:val="00F74300"/>
    <w:rsid w:val="00F75E56"/>
    <w:rsid w:val="00F7773E"/>
    <w:rsid w:val="00F77B75"/>
    <w:rsid w:val="00F81BE9"/>
    <w:rsid w:val="00F83F60"/>
    <w:rsid w:val="00F845E7"/>
    <w:rsid w:val="00F84B09"/>
    <w:rsid w:val="00F85E93"/>
    <w:rsid w:val="00F866A8"/>
    <w:rsid w:val="00F874EE"/>
    <w:rsid w:val="00F87F2F"/>
    <w:rsid w:val="00F90639"/>
    <w:rsid w:val="00F91DA1"/>
    <w:rsid w:val="00F92117"/>
    <w:rsid w:val="00F925FA"/>
    <w:rsid w:val="00F94154"/>
    <w:rsid w:val="00F94C1D"/>
    <w:rsid w:val="00F967A2"/>
    <w:rsid w:val="00F97B30"/>
    <w:rsid w:val="00FA023A"/>
    <w:rsid w:val="00FA07F5"/>
    <w:rsid w:val="00FA092F"/>
    <w:rsid w:val="00FA385A"/>
    <w:rsid w:val="00FA52E1"/>
    <w:rsid w:val="00FA6841"/>
    <w:rsid w:val="00FA7157"/>
    <w:rsid w:val="00FB298E"/>
    <w:rsid w:val="00FB584E"/>
    <w:rsid w:val="00FB590F"/>
    <w:rsid w:val="00FC23AE"/>
    <w:rsid w:val="00FC2B95"/>
    <w:rsid w:val="00FC503B"/>
    <w:rsid w:val="00FC6DD3"/>
    <w:rsid w:val="00FD1589"/>
    <w:rsid w:val="00FD249E"/>
    <w:rsid w:val="00FD296A"/>
    <w:rsid w:val="00FD4796"/>
    <w:rsid w:val="00FD66BB"/>
    <w:rsid w:val="00FE09A6"/>
    <w:rsid w:val="00FE26E1"/>
    <w:rsid w:val="00FE36A2"/>
    <w:rsid w:val="00FE4DFE"/>
    <w:rsid w:val="00FE4EF0"/>
    <w:rsid w:val="00FE4FEA"/>
    <w:rsid w:val="00FE6AC3"/>
    <w:rsid w:val="00FF08C8"/>
    <w:rsid w:val="00FF102B"/>
    <w:rsid w:val="00FF212F"/>
    <w:rsid w:val="00FF3347"/>
    <w:rsid w:val="00FF3B80"/>
  </w:rsids>
  <m:mathPr>
    <m:mathFont m:val="Cambria Math"/>
    <m:brkBin m:val="before"/>
    <m:brkBinSub m:val="--"/>
    <m:smallFrac m:val="0"/>
    <m:dispDef/>
    <m:lMargin m:val="0"/>
    <m:rMargin m:val="0"/>
    <m:defJc m:val="centerGroup"/>
    <m:wrapIndent m:val="1440"/>
    <m:intLim m:val="subSup"/>
    <m:naryLim m:val="undOvr"/>
  </m:mathPr>
  <w:themeFontLang w:val="ro-RO"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5" type="connector" idref="#_s1116">
          <o:proxy start="" idref="#_s1118" connectloc="0"/>
          <o:proxy end="" idref="#_s1117" connectloc="2"/>
        </o:r>
        <o:r id="V:Rule6" type="connector" idref="#_s1092">
          <o:proxy start="" idref="#_s1094" connectloc="0"/>
          <o:proxy end="" idref="#_s1093" connectloc="2"/>
        </o:r>
        <o:r id="V:Rule7" type="connector" idref="#_s1091">
          <o:proxy start="" idref="#_s1095" connectloc="0"/>
          <o:proxy end="" idref="#_s1093" connectloc="2"/>
        </o:r>
        <o:r id="V:Rule8" type="connector" idref="#_s1115">
          <o:proxy start="" idref="#_s1119" connectloc="0"/>
          <o:proxy end="" idref="#_s1117" connectloc="2"/>
        </o:r>
      </o:rules>
    </o:shapelayout>
  </w:shapeDefaults>
  <w:doNotEmbedSmartTags/>
  <w:decimalSymbol w:val="."/>
  <w:listSeparator w:val=","/>
  <w14:docId w14:val="63B1FE5D"/>
  <w15:chartTrackingRefBased/>
  <w15:docId w15:val="{3AB31832-0FE4-49B6-B6A6-61FB6A14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locked="1" w:uiPriority="99"/>
    <w:lsdException w:name="caption" w:locked="1" w:semiHidden="1" w:unhideWhenUsed="1" w:qFormat="1"/>
    <w:lsdException w:name="footnote reference" w:qFormat="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Hyperlink" w:locked="1" w:uiPriority="99"/>
    <w:lsdException w:name="Followed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9A"/>
    <w:rPr>
      <w:rFonts w:cs="Calibri"/>
      <w:sz w:val="22"/>
      <w:szCs w:val="22"/>
      <w:lang w:val="en-US" w:eastAsia="en-US"/>
    </w:rPr>
  </w:style>
  <w:style w:type="paragraph" w:styleId="Heading1">
    <w:name w:val="heading 1"/>
    <w:basedOn w:val="Normal"/>
    <w:next w:val="Normal"/>
    <w:link w:val="Heading1Char"/>
    <w:qFormat/>
    <w:locked/>
    <w:rsid w:val="007F38A5"/>
    <w:pPr>
      <w:keepNext/>
      <w:keepLines/>
      <w:spacing w:before="240"/>
      <w:outlineLvl w:val="0"/>
    </w:pPr>
    <w:rPr>
      <w:rFonts w:ascii="Cambria" w:hAnsi="Cambria" w:cs="Times New Roman"/>
      <w:color w:val="365F91"/>
      <w:sz w:val="32"/>
      <w:szCs w:val="32"/>
    </w:rPr>
  </w:style>
  <w:style w:type="paragraph" w:styleId="Heading2">
    <w:name w:val="heading 2"/>
    <w:basedOn w:val="Normal"/>
    <w:next w:val="Normal"/>
    <w:link w:val="Heading2Char"/>
    <w:semiHidden/>
    <w:unhideWhenUsed/>
    <w:qFormat/>
    <w:locked/>
    <w:rsid w:val="00CA741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F38A5"/>
    <w:rPr>
      <w:rFonts w:ascii="Cambria" w:hAnsi="Cambria" w:cs="Times New Roman"/>
      <w:color w:val="365F91"/>
      <w:sz w:val="32"/>
      <w:szCs w:val="32"/>
      <w:lang w:val="en-US" w:eastAsia="en-US"/>
    </w:rPr>
  </w:style>
  <w:style w:type="paragraph" w:customStyle="1" w:styleId="CaracterCaracter1">
    <w:name w:val="Caracter Caracter1"/>
    <w:basedOn w:val="Normal"/>
    <w:rsid w:val="00D66DE1"/>
    <w:rPr>
      <w:rFonts w:ascii="Times New Roman" w:eastAsia="Times New Roman" w:hAnsi="Times New Roman" w:cs="Times New Roman"/>
      <w:sz w:val="24"/>
      <w:szCs w:val="24"/>
      <w:lang w:val="pl-PL" w:eastAsia="pl-PL"/>
    </w:rPr>
  </w:style>
  <w:style w:type="paragraph" w:styleId="ListParagraph">
    <w:name w:val="List Paragraph"/>
    <w:aliases w:val="Antes de enumeración,Normal bullet 2,Akapit z listą BS,List Paragraph1,Outlines a.b.c.,List_Paragraph,Multilevel para_II,Akapit z lista BS,body 2,Listă paragraf1,List Paragraph11,List Paragraph111,Listă colorată - Accentuare 11,Bullet,EC"/>
    <w:basedOn w:val="Normal"/>
    <w:link w:val="ListParagraphChar"/>
    <w:uiPriority w:val="34"/>
    <w:qFormat/>
    <w:rsid w:val="00D66DE1"/>
    <w:pPr>
      <w:ind w:left="720"/>
    </w:pPr>
    <w:rPr>
      <w:rFonts w:eastAsia="Times New Roman" w:cs="Times New Roman"/>
      <w:sz w:val="20"/>
      <w:szCs w:val="20"/>
    </w:rPr>
  </w:style>
  <w:style w:type="character" w:customStyle="1" w:styleId="ListParagraphChar">
    <w:name w:val="List Paragraph Char"/>
    <w:aliases w:val="Antes de enumeración Char,Normal bullet 2 Char,Akapit z listą BS Char,List Paragraph1 Char,Outlines a.b.c. Char,List_Paragraph Char,Multilevel para_II Char,Akapit z lista BS Char,body 2 Char,Listă paragraf1 Char,List Paragraph11 Char"/>
    <w:link w:val="ListParagraph"/>
    <w:uiPriority w:val="34"/>
    <w:qFormat/>
    <w:locked/>
    <w:rsid w:val="00D66DE1"/>
    <w:rPr>
      <w:rFonts w:ascii="Calibri" w:hAnsi="Calibri"/>
      <w:lang w:val="en-US" w:eastAsia="x-none"/>
    </w:rPr>
  </w:style>
  <w:style w:type="paragraph" w:styleId="Header">
    <w:name w:val="header"/>
    <w:basedOn w:val="Normal"/>
    <w:link w:val="HeaderChar"/>
    <w:uiPriority w:val="99"/>
    <w:rsid w:val="00D66DE1"/>
    <w:pPr>
      <w:tabs>
        <w:tab w:val="center" w:pos="4536"/>
        <w:tab w:val="right" w:pos="9072"/>
      </w:tabs>
    </w:pPr>
    <w:rPr>
      <w:rFonts w:eastAsia="Times New Roman" w:cs="Times New Roman"/>
      <w:sz w:val="20"/>
      <w:szCs w:val="20"/>
    </w:rPr>
  </w:style>
  <w:style w:type="character" w:customStyle="1" w:styleId="HeaderChar">
    <w:name w:val="Header Char"/>
    <w:link w:val="Header"/>
    <w:uiPriority w:val="99"/>
    <w:locked/>
    <w:rsid w:val="00D66DE1"/>
    <w:rPr>
      <w:rFonts w:ascii="Calibri" w:hAnsi="Calibri"/>
      <w:lang w:val="en-US" w:eastAsia="x-none"/>
    </w:rPr>
  </w:style>
  <w:style w:type="paragraph" w:styleId="Footer">
    <w:name w:val="footer"/>
    <w:basedOn w:val="Normal"/>
    <w:link w:val="FooterChar"/>
    <w:uiPriority w:val="99"/>
    <w:rsid w:val="00D66DE1"/>
    <w:pPr>
      <w:tabs>
        <w:tab w:val="center" w:pos="4536"/>
        <w:tab w:val="right" w:pos="9072"/>
      </w:tabs>
    </w:pPr>
    <w:rPr>
      <w:rFonts w:eastAsia="Times New Roman" w:cs="Times New Roman"/>
      <w:sz w:val="20"/>
      <w:szCs w:val="20"/>
    </w:rPr>
  </w:style>
  <w:style w:type="character" w:customStyle="1" w:styleId="FooterChar">
    <w:name w:val="Footer Char"/>
    <w:link w:val="Footer"/>
    <w:uiPriority w:val="99"/>
    <w:locked/>
    <w:rsid w:val="00D66DE1"/>
    <w:rPr>
      <w:rFonts w:ascii="Calibri" w:hAnsi="Calibri"/>
      <w:lang w:val="en-US" w:eastAsia="x-none"/>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qFormat/>
    <w:rsid w:val="00C37CDD"/>
    <w:rPr>
      <w:rFonts w:eastAsia="Times New Roman" w:cs="Times New Roman"/>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link w:val="FootnoteText"/>
    <w:uiPriority w:val="99"/>
    <w:locked/>
    <w:rsid w:val="00C37CDD"/>
    <w:rPr>
      <w:rFonts w:ascii="Calibri" w:hAnsi="Calibri"/>
      <w:sz w:val="20"/>
      <w:lang w:val="en-US" w:eastAsia="x-none"/>
    </w:rPr>
  </w:style>
  <w:style w:type="character" w:styleId="FootnoteReference">
    <w:name w:val="footnote reference"/>
    <w:aliases w:val="BVI fnr Char Char Caracter Char Caracter Char Caracter Char Caracter Char Caracter Char Char Char Char Char Char,Char Char1 Char Char Char Char Char Char Caracter1 Char Caracter Char Caracter Char Caracter Char Char Caracter Char"/>
    <w:link w:val="CharChar1CharCharCharCharCharCharCaracter1CharCaracterCharCaracterCharCaracterCharCharCaracter"/>
    <w:qFormat/>
    <w:locked/>
    <w:rsid w:val="00C37CDD"/>
    <w:rPr>
      <w:rFonts w:cs="Times New Roman"/>
      <w:vertAlign w:val="superscript"/>
    </w:rPr>
  </w:style>
  <w:style w:type="paragraph" w:customStyle="1" w:styleId="CharChar1CharCharCharCharCharCharCaracter1CharCaracterCharCaracterCharCaracterCharCharCaracter">
    <w:name w:val="Char Char1 Char Char Char Char Char Char Caracter1 Char Caracter Char Caracter Char Caracter Char Char Caracter"/>
    <w:aliases w:val="Char Char1 Char Char Char Char Char Char Caracter Char Char Caracter"/>
    <w:basedOn w:val="Normal"/>
    <w:next w:val="Normal"/>
    <w:link w:val="FootnoteReference"/>
    <w:rsid w:val="00A05B24"/>
    <w:pPr>
      <w:spacing w:after="160" w:line="240" w:lineRule="exact"/>
    </w:pPr>
    <w:rPr>
      <w:rFonts w:eastAsia="Times New Roman" w:cs="Times New Roman"/>
      <w:sz w:val="20"/>
      <w:szCs w:val="20"/>
      <w:vertAlign w:val="superscript"/>
      <w:lang w:val="ro-RO" w:eastAsia="ro-RO"/>
    </w:rPr>
  </w:style>
  <w:style w:type="paragraph" w:styleId="BalloonText">
    <w:name w:val="Balloon Text"/>
    <w:basedOn w:val="Normal"/>
    <w:link w:val="BalloonTextChar"/>
    <w:semiHidden/>
    <w:rsid w:val="00C37CDD"/>
    <w:rPr>
      <w:rFonts w:ascii="Tahoma" w:eastAsia="Times New Roman" w:hAnsi="Tahoma" w:cs="Times New Roman"/>
      <w:sz w:val="16"/>
      <w:szCs w:val="20"/>
    </w:rPr>
  </w:style>
  <w:style w:type="character" w:customStyle="1" w:styleId="BalloonTextChar">
    <w:name w:val="Balloon Text Char"/>
    <w:link w:val="BalloonText"/>
    <w:semiHidden/>
    <w:locked/>
    <w:rsid w:val="00C37CDD"/>
    <w:rPr>
      <w:rFonts w:ascii="Tahoma" w:hAnsi="Tahoma"/>
      <w:sz w:val="16"/>
      <w:lang w:val="en-US" w:eastAsia="x-none"/>
    </w:rPr>
  </w:style>
  <w:style w:type="paragraph" w:customStyle="1" w:styleId="CharChar3CaracterCaracter1CharCharCaracterCaracter1CaracterCaracterCharCharCaracterCaracterCharCharCaracterCaracterCharCharCaracterCaracterCaracterCaracter1CharChar1Caracter">
    <w:name w:val="Char Char3 Caracter Caracter1 Char Char Caracter Caracter1 Caracter Caracter Char Char Caracter Caracter Char Char Caracter Caracter Char Char Caracter Caracter Caracter Caracter1 Char Char1 Caracter"/>
    <w:basedOn w:val="Normal"/>
    <w:rsid w:val="005866CD"/>
    <w:rPr>
      <w:rFonts w:ascii="Times New Roman" w:eastAsia="Times New Roman" w:hAnsi="Times New Roman" w:cs="Times New Roman"/>
      <w:sz w:val="24"/>
      <w:szCs w:val="24"/>
      <w:lang w:val="pl-PL" w:eastAsia="pl-PL"/>
    </w:rPr>
  </w:style>
  <w:style w:type="paragraph" w:customStyle="1" w:styleId="S1">
    <w:name w:val="S1"/>
    <w:basedOn w:val="Normal"/>
    <w:uiPriority w:val="99"/>
    <w:rsid w:val="00C46644"/>
    <w:pPr>
      <w:ind w:left="144" w:right="144" w:firstLine="720"/>
      <w:jc w:val="both"/>
    </w:pPr>
    <w:rPr>
      <w:rFonts w:ascii="TimesNewRomanPS" w:eastAsia="Times New Roman" w:hAnsi="TimesNewRomanPS" w:cs="Times New Roman"/>
      <w:sz w:val="36"/>
      <w:szCs w:val="20"/>
    </w:rPr>
  </w:style>
  <w:style w:type="paragraph" w:customStyle="1" w:styleId="CaracterCaracterCharCharCaracterCaracterCharCharCaracterCaracterCharCharCaracterCaracterCharCharCaracterCaracterCharCharCaracterCaracter">
    <w:name w:val="Caracter Caracter Char Char Caracter Caracter Char Char Caracter Caracter Char Char Caracter Caracter Char Char Caracter Caracter Char Char Caracter Caracter"/>
    <w:basedOn w:val="Normal"/>
    <w:rsid w:val="00C46644"/>
    <w:pPr>
      <w:spacing w:after="160" w:line="240" w:lineRule="exact"/>
    </w:pPr>
    <w:rPr>
      <w:rFonts w:ascii="Tahoma" w:eastAsia="Times New Roman" w:hAnsi="Tahoma" w:cs="Times New Roman"/>
      <w:sz w:val="20"/>
      <w:szCs w:val="20"/>
    </w:rPr>
  </w:style>
  <w:style w:type="paragraph" w:customStyle="1" w:styleId="CaracterCaracter11">
    <w:name w:val="Caracter Caracter11"/>
    <w:basedOn w:val="Normal"/>
    <w:rsid w:val="00514A51"/>
    <w:rPr>
      <w:rFonts w:ascii="Times New Roman" w:eastAsia="Times New Roman" w:hAnsi="Times New Roman" w:cs="Times New Roman"/>
      <w:sz w:val="24"/>
      <w:szCs w:val="24"/>
      <w:lang w:val="pl-PL" w:eastAsia="pl-PL"/>
    </w:rPr>
  </w:style>
  <w:style w:type="paragraph" w:styleId="TOCHeading">
    <w:name w:val="TOC Heading"/>
    <w:basedOn w:val="Heading1"/>
    <w:next w:val="Normal"/>
    <w:uiPriority w:val="39"/>
    <w:qFormat/>
    <w:rsid w:val="007F38A5"/>
    <w:pPr>
      <w:spacing w:line="259" w:lineRule="auto"/>
      <w:outlineLvl w:val="9"/>
    </w:pPr>
  </w:style>
  <w:style w:type="paragraph" w:styleId="TOC1">
    <w:name w:val="toc 1"/>
    <w:basedOn w:val="Normal"/>
    <w:next w:val="Normal"/>
    <w:autoRedefine/>
    <w:uiPriority w:val="39"/>
    <w:locked/>
    <w:rsid w:val="000958D7"/>
    <w:pPr>
      <w:shd w:val="clear" w:color="auto" w:fill="E2EFD9" w:themeFill="accent6" w:themeFillTint="33"/>
      <w:tabs>
        <w:tab w:val="left" w:pos="284"/>
        <w:tab w:val="right" w:pos="9540"/>
      </w:tabs>
      <w:spacing w:before="360"/>
      <w:ind w:right="7"/>
      <w:jc w:val="both"/>
    </w:pPr>
    <w:rPr>
      <w:rFonts w:ascii="Tahoma" w:eastAsia="MS Mincho" w:hAnsi="Tahoma" w:cs="Tahoma"/>
      <w:b/>
      <w:bCs/>
      <w:caps/>
      <w:noProof/>
      <w:sz w:val="24"/>
      <w:szCs w:val="24"/>
      <w:shd w:val="clear" w:color="auto" w:fill="E2EFD9" w:themeFill="accent6" w:themeFillTint="33"/>
      <w:lang w:val="ro-RO" w:eastAsia="x-none"/>
    </w:rPr>
  </w:style>
  <w:style w:type="character" w:styleId="Hyperlink">
    <w:name w:val="Hyperlink"/>
    <w:uiPriority w:val="99"/>
    <w:rsid w:val="007F38A5"/>
    <w:rPr>
      <w:rFonts w:cs="Times New Roman"/>
      <w:color w:val="0000FF"/>
      <w:u w:val="single"/>
    </w:rPr>
  </w:style>
  <w:style w:type="paragraph" w:styleId="TOC2">
    <w:name w:val="toc 2"/>
    <w:basedOn w:val="Normal"/>
    <w:next w:val="Normal"/>
    <w:autoRedefine/>
    <w:semiHidden/>
    <w:locked/>
    <w:rsid w:val="00AC7ECF"/>
    <w:pPr>
      <w:spacing w:before="240"/>
    </w:pPr>
    <w:rPr>
      <w:b/>
      <w:bCs/>
      <w:sz w:val="20"/>
      <w:szCs w:val="20"/>
    </w:rPr>
  </w:style>
  <w:style w:type="paragraph" w:styleId="TOC3">
    <w:name w:val="toc 3"/>
    <w:basedOn w:val="Normal"/>
    <w:next w:val="Normal"/>
    <w:autoRedefine/>
    <w:semiHidden/>
    <w:locked/>
    <w:rsid w:val="00AC7ECF"/>
    <w:pPr>
      <w:ind w:left="220"/>
    </w:pPr>
    <w:rPr>
      <w:sz w:val="20"/>
      <w:szCs w:val="20"/>
    </w:rPr>
  </w:style>
  <w:style w:type="paragraph" w:styleId="TOC4">
    <w:name w:val="toc 4"/>
    <w:basedOn w:val="Normal"/>
    <w:next w:val="Normal"/>
    <w:autoRedefine/>
    <w:semiHidden/>
    <w:locked/>
    <w:rsid w:val="00AC7ECF"/>
    <w:pPr>
      <w:ind w:left="440"/>
    </w:pPr>
    <w:rPr>
      <w:sz w:val="20"/>
      <w:szCs w:val="20"/>
    </w:rPr>
  </w:style>
  <w:style w:type="paragraph" w:styleId="TOC5">
    <w:name w:val="toc 5"/>
    <w:basedOn w:val="Normal"/>
    <w:next w:val="Normal"/>
    <w:autoRedefine/>
    <w:semiHidden/>
    <w:locked/>
    <w:rsid w:val="00AC7ECF"/>
    <w:pPr>
      <w:ind w:left="660"/>
    </w:pPr>
    <w:rPr>
      <w:sz w:val="20"/>
      <w:szCs w:val="20"/>
    </w:rPr>
  </w:style>
  <w:style w:type="paragraph" w:styleId="TOC6">
    <w:name w:val="toc 6"/>
    <w:basedOn w:val="Normal"/>
    <w:next w:val="Normal"/>
    <w:autoRedefine/>
    <w:semiHidden/>
    <w:locked/>
    <w:rsid w:val="00AC7ECF"/>
    <w:pPr>
      <w:ind w:left="880"/>
    </w:pPr>
    <w:rPr>
      <w:sz w:val="20"/>
      <w:szCs w:val="20"/>
    </w:rPr>
  </w:style>
  <w:style w:type="paragraph" w:styleId="TOC7">
    <w:name w:val="toc 7"/>
    <w:basedOn w:val="Normal"/>
    <w:next w:val="Normal"/>
    <w:autoRedefine/>
    <w:semiHidden/>
    <w:locked/>
    <w:rsid w:val="00AC7ECF"/>
    <w:pPr>
      <w:ind w:left="1100"/>
    </w:pPr>
    <w:rPr>
      <w:sz w:val="20"/>
      <w:szCs w:val="20"/>
    </w:rPr>
  </w:style>
  <w:style w:type="paragraph" w:styleId="TOC8">
    <w:name w:val="toc 8"/>
    <w:basedOn w:val="Normal"/>
    <w:next w:val="Normal"/>
    <w:autoRedefine/>
    <w:semiHidden/>
    <w:locked/>
    <w:rsid w:val="00AC7ECF"/>
    <w:pPr>
      <w:ind w:left="1320"/>
    </w:pPr>
    <w:rPr>
      <w:sz w:val="20"/>
      <w:szCs w:val="20"/>
    </w:rPr>
  </w:style>
  <w:style w:type="paragraph" w:styleId="TOC9">
    <w:name w:val="toc 9"/>
    <w:basedOn w:val="Normal"/>
    <w:next w:val="Normal"/>
    <w:autoRedefine/>
    <w:semiHidden/>
    <w:locked/>
    <w:rsid w:val="00AC7ECF"/>
    <w:pPr>
      <w:ind w:left="1540"/>
    </w:pPr>
    <w:rPr>
      <w:sz w:val="20"/>
      <w:szCs w:val="20"/>
    </w:rPr>
  </w:style>
  <w:style w:type="paragraph" w:customStyle="1" w:styleId="CaracterCaracterCharCharCaracterCaracter">
    <w:name w:val="Caracter Caracter Char Char Caracter Caracter"/>
    <w:basedOn w:val="Normal"/>
    <w:rsid w:val="007B24E0"/>
    <w:pPr>
      <w:spacing w:after="160" w:line="240" w:lineRule="exact"/>
    </w:pPr>
    <w:rPr>
      <w:rFonts w:ascii="Tahoma" w:hAnsi="Tahoma" w:cs="Times New Roman"/>
      <w:sz w:val="20"/>
      <w:szCs w:val="20"/>
    </w:rPr>
  </w:style>
  <w:style w:type="character" w:customStyle="1" w:styleId="hps">
    <w:name w:val="hps"/>
    <w:rsid w:val="00A05B24"/>
    <w:rPr>
      <w:rFonts w:cs="Times New Roman"/>
    </w:rPr>
  </w:style>
  <w:style w:type="paragraph" w:customStyle="1" w:styleId="Caracter2CharCharCaracterCharCharCaracterCharCharCaracterCharChar">
    <w:name w:val="Caracter2 Char Char Caracter Char Char Caracter Char Char Caracter Char Char"/>
    <w:basedOn w:val="Normal"/>
    <w:rsid w:val="009E698B"/>
    <w:rPr>
      <w:rFonts w:ascii="Times New Roman" w:hAnsi="Times New Roman" w:cs="Times New Roman"/>
      <w:sz w:val="24"/>
      <w:szCs w:val="24"/>
      <w:lang w:val="pl-PL" w:eastAsia="pl-PL"/>
    </w:rPr>
  </w:style>
  <w:style w:type="paragraph" w:customStyle="1" w:styleId="CharChar3CaracterCaracter1CharCharCaracterCaracter1CaracterCaracterCharCharCaracterCaracterCharCharCaracterCaracterCharCharCaracterCaracterCaracterCaracter1CharChar1Caracter1">
    <w:name w:val="Char Char3 Caracter Caracter1 Char Char Caracter Caracter1 Caracter Caracter Char Char Caracter Caracter Char Char Caracter Caracter Char Char Caracter Caracter Caracter Caracter1 Char Char1 Caracter1"/>
    <w:basedOn w:val="Normal"/>
    <w:rsid w:val="003E7163"/>
    <w:rPr>
      <w:rFonts w:ascii="Times New Roman" w:hAnsi="Times New Roman" w:cs="Times New Roman"/>
      <w:sz w:val="24"/>
      <w:szCs w:val="24"/>
      <w:lang w:val="pl-PL" w:eastAsia="pl-PL"/>
    </w:rPr>
  </w:style>
  <w:style w:type="character" w:styleId="Strong">
    <w:name w:val="Strong"/>
    <w:qFormat/>
    <w:locked/>
    <w:rsid w:val="00E0466D"/>
    <w:rPr>
      <w:rFonts w:cs="Times New Roman"/>
      <w:b/>
      <w:bCs/>
    </w:rPr>
  </w:style>
  <w:style w:type="character" w:customStyle="1" w:styleId="apple-converted-space">
    <w:name w:val="apple-converted-space"/>
    <w:rsid w:val="00E0466D"/>
    <w:rPr>
      <w:rFonts w:cs="Times New Roman"/>
    </w:rPr>
  </w:style>
  <w:style w:type="character" w:styleId="Emphasis">
    <w:name w:val="Emphasis"/>
    <w:qFormat/>
    <w:locked/>
    <w:rsid w:val="00913145"/>
    <w:rPr>
      <w:i/>
    </w:rPr>
  </w:style>
  <w:style w:type="paragraph" w:styleId="EndnoteText">
    <w:name w:val="endnote text"/>
    <w:basedOn w:val="Normal"/>
    <w:link w:val="EndnoteTextChar"/>
    <w:semiHidden/>
    <w:rsid w:val="000F3045"/>
    <w:rPr>
      <w:sz w:val="20"/>
      <w:szCs w:val="20"/>
    </w:rPr>
  </w:style>
  <w:style w:type="character" w:customStyle="1" w:styleId="EndnoteTextChar">
    <w:name w:val="Endnote Text Char"/>
    <w:link w:val="EndnoteText"/>
    <w:semiHidden/>
    <w:locked/>
    <w:rsid w:val="000F3045"/>
    <w:rPr>
      <w:rFonts w:eastAsia="Times New Roman" w:cs="Calibri"/>
      <w:lang w:val="en-US" w:eastAsia="en-US"/>
    </w:rPr>
  </w:style>
  <w:style w:type="character" w:styleId="EndnoteReference">
    <w:name w:val="endnote reference"/>
    <w:semiHidden/>
    <w:rsid w:val="000F3045"/>
    <w:rPr>
      <w:rFonts w:cs="Times New Roman"/>
      <w:vertAlign w:val="superscript"/>
    </w:rPr>
  </w:style>
  <w:style w:type="paragraph" w:customStyle="1" w:styleId="CaracterCaracter13">
    <w:name w:val="Caracter Caracter13"/>
    <w:basedOn w:val="Normal"/>
    <w:rsid w:val="00541C07"/>
    <w:rPr>
      <w:rFonts w:ascii="Times New Roman" w:hAnsi="Times New Roman" w:cs="Times New Roman"/>
      <w:sz w:val="24"/>
      <w:szCs w:val="24"/>
      <w:lang w:val="pl-PL" w:eastAsia="pl-PL"/>
    </w:rPr>
  </w:style>
  <w:style w:type="paragraph" w:styleId="BodyText2">
    <w:name w:val="Body Text 2"/>
    <w:basedOn w:val="Normal"/>
    <w:link w:val="BodyText2Char"/>
    <w:rsid w:val="00541C07"/>
    <w:rPr>
      <w:rFonts w:ascii="Times New Roman" w:hAnsi="Times New Roman" w:cs="Times New Roman"/>
      <w:sz w:val="28"/>
      <w:szCs w:val="20"/>
      <w:lang w:val="en-GB"/>
    </w:rPr>
  </w:style>
  <w:style w:type="character" w:customStyle="1" w:styleId="BodyText2Char">
    <w:name w:val="Body Text 2 Char"/>
    <w:link w:val="BodyText2"/>
    <w:locked/>
    <w:rsid w:val="00541C07"/>
    <w:rPr>
      <w:rFonts w:ascii="Times New Roman" w:hAnsi="Times New Roman" w:cs="Times New Roman"/>
      <w:sz w:val="28"/>
      <w:lang w:val="en-GB" w:eastAsia="en-US"/>
    </w:rPr>
  </w:style>
  <w:style w:type="paragraph" w:customStyle="1" w:styleId="DefaultText2">
    <w:name w:val="Default Text:2"/>
    <w:basedOn w:val="Normal"/>
    <w:rsid w:val="00541C07"/>
    <w:pPr>
      <w:autoSpaceDE w:val="0"/>
      <w:autoSpaceDN w:val="0"/>
      <w:adjustRightInd w:val="0"/>
    </w:pPr>
    <w:rPr>
      <w:rFonts w:ascii="Times New Roman" w:hAnsi="Times New Roman" w:cs="Times New Roman"/>
      <w:sz w:val="24"/>
      <w:szCs w:val="24"/>
    </w:rPr>
  </w:style>
  <w:style w:type="paragraph" w:styleId="Quote">
    <w:name w:val="Quote"/>
    <w:basedOn w:val="Normal"/>
    <w:next w:val="Normal"/>
    <w:link w:val="QuoteChar"/>
    <w:qFormat/>
    <w:rsid w:val="00F14727"/>
    <w:pPr>
      <w:spacing w:before="200" w:after="160"/>
      <w:ind w:left="864" w:right="864"/>
      <w:jc w:val="center"/>
    </w:pPr>
    <w:rPr>
      <w:i/>
      <w:iCs/>
      <w:color w:val="404040"/>
    </w:rPr>
  </w:style>
  <w:style w:type="character" w:customStyle="1" w:styleId="QuoteChar">
    <w:name w:val="Quote Char"/>
    <w:link w:val="Quote"/>
    <w:locked/>
    <w:rsid w:val="00F14727"/>
    <w:rPr>
      <w:rFonts w:eastAsia="Times New Roman" w:cs="Calibri"/>
      <w:i/>
      <w:iCs/>
      <w:color w:val="404040"/>
      <w:sz w:val="22"/>
      <w:szCs w:val="22"/>
      <w:lang w:val="en-US" w:eastAsia="en-US"/>
    </w:rPr>
  </w:style>
  <w:style w:type="paragraph" w:customStyle="1" w:styleId="DefaultText">
    <w:name w:val="Default Text"/>
    <w:basedOn w:val="Normal"/>
    <w:rsid w:val="000C22FC"/>
    <w:pPr>
      <w:overflowPunct w:val="0"/>
      <w:autoSpaceDE w:val="0"/>
      <w:autoSpaceDN w:val="0"/>
      <w:adjustRightInd w:val="0"/>
      <w:textAlignment w:val="baseline"/>
    </w:pPr>
    <w:rPr>
      <w:rFonts w:ascii="Times New Roman" w:hAnsi="Times New Roman" w:cs="Times New Roman"/>
      <w:sz w:val="24"/>
      <w:szCs w:val="24"/>
    </w:rPr>
  </w:style>
  <w:style w:type="paragraph" w:customStyle="1" w:styleId="CaracterCaracter12">
    <w:name w:val="Caracter Caracter12"/>
    <w:basedOn w:val="Normal"/>
    <w:rsid w:val="000C22FC"/>
    <w:rPr>
      <w:rFonts w:ascii="Times New Roman" w:hAnsi="Times New Roman" w:cs="Times New Roman"/>
      <w:sz w:val="24"/>
      <w:szCs w:val="24"/>
      <w:lang w:val="pl-PL" w:eastAsia="pl-PL"/>
    </w:rPr>
  </w:style>
  <w:style w:type="character" w:styleId="CommentReference">
    <w:name w:val="annotation reference"/>
    <w:semiHidden/>
    <w:rsid w:val="00D9431C"/>
    <w:rPr>
      <w:rFonts w:cs="Times New Roman"/>
      <w:sz w:val="16"/>
      <w:szCs w:val="16"/>
    </w:rPr>
  </w:style>
  <w:style w:type="paragraph" w:styleId="CommentText">
    <w:name w:val="annotation text"/>
    <w:basedOn w:val="Normal"/>
    <w:link w:val="CommentTextChar"/>
    <w:semiHidden/>
    <w:rsid w:val="00D9431C"/>
    <w:rPr>
      <w:sz w:val="20"/>
      <w:szCs w:val="20"/>
    </w:rPr>
  </w:style>
  <w:style w:type="character" w:customStyle="1" w:styleId="CommentTextChar">
    <w:name w:val="Comment Text Char"/>
    <w:link w:val="CommentText"/>
    <w:semiHidden/>
    <w:locked/>
    <w:rsid w:val="00D9431C"/>
    <w:rPr>
      <w:rFonts w:eastAsia="Times New Roman" w:cs="Calibri"/>
      <w:lang w:val="en-US" w:eastAsia="en-US"/>
    </w:rPr>
  </w:style>
  <w:style w:type="paragraph" w:styleId="CommentSubject">
    <w:name w:val="annotation subject"/>
    <w:basedOn w:val="CommentText"/>
    <w:next w:val="CommentText"/>
    <w:link w:val="CommentSubjectChar"/>
    <w:semiHidden/>
    <w:rsid w:val="00D9431C"/>
    <w:rPr>
      <w:b/>
      <w:bCs/>
    </w:rPr>
  </w:style>
  <w:style w:type="character" w:customStyle="1" w:styleId="CommentSubjectChar">
    <w:name w:val="Comment Subject Char"/>
    <w:link w:val="CommentSubject"/>
    <w:semiHidden/>
    <w:locked/>
    <w:rsid w:val="00D9431C"/>
    <w:rPr>
      <w:rFonts w:eastAsia="Times New Roman" w:cs="Calibri"/>
      <w:b/>
      <w:bCs/>
      <w:lang w:val="en-US" w:eastAsia="en-US"/>
    </w:rPr>
  </w:style>
  <w:style w:type="paragraph" w:styleId="Revision">
    <w:name w:val="Revision"/>
    <w:hidden/>
    <w:semiHidden/>
    <w:rsid w:val="00D45C6C"/>
    <w:rPr>
      <w:rFonts w:cs="Calibri"/>
      <w:sz w:val="22"/>
      <w:szCs w:val="22"/>
      <w:lang w:val="en-US" w:eastAsia="en-US"/>
    </w:rPr>
  </w:style>
  <w:style w:type="character" w:styleId="PageNumber">
    <w:name w:val="page number"/>
    <w:rsid w:val="000B76FB"/>
    <w:rPr>
      <w:rFonts w:cs="Times New Roman"/>
    </w:rPr>
  </w:style>
  <w:style w:type="character" w:styleId="FollowedHyperlink">
    <w:name w:val="FollowedHyperlink"/>
    <w:basedOn w:val="DefaultParagraphFont"/>
    <w:uiPriority w:val="99"/>
    <w:unhideWhenUsed/>
    <w:rsid w:val="003037CC"/>
    <w:rPr>
      <w:color w:val="800080"/>
      <w:u w:val="single"/>
    </w:rPr>
  </w:style>
  <w:style w:type="paragraph" w:customStyle="1" w:styleId="xl288">
    <w:name w:val="xl288"/>
    <w:basedOn w:val="Normal"/>
    <w:rsid w:val="003037CC"/>
    <w:pPr>
      <w:shd w:val="clear" w:color="000000" w:fill="FFFFFF"/>
      <w:spacing w:before="100" w:beforeAutospacing="1" w:after="100" w:afterAutospacing="1"/>
      <w:jc w:val="center"/>
    </w:pPr>
    <w:rPr>
      <w:rFonts w:ascii="Arial" w:eastAsia="Times New Roman" w:hAnsi="Arial" w:cs="Arial"/>
      <w:sz w:val="24"/>
      <w:szCs w:val="24"/>
      <w:lang w:val="ro-RO" w:eastAsia="ro-RO"/>
    </w:rPr>
  </w:style>
  <w:style w:type="paragraph" w:customStyle="1" w:styleId="xl289">
    <w:name w:val="xl289"/>
    <w:basedOn w:val="Normal"/>
    <w:rsid w:val="003037CC"/>
    <w:pPr>
      <w:shd w:val="clear" w:color="000000" w:fill="FFFFFF"/>
      <w:spacing w:before="100" w:beforeAutospacing="1" w:after="100" w:afterAutospacing="1"/>
      <w:jc w:val="center"/>
    </w:pPr>
    <w:rPr>
      <w:rFonts w:ascii="Arial" w:eastAsia="Times New Roman" w:hAnsi="Arial" w:cs="Arial"/>
      <w:b/>
      <w:bCs/>
      <w:sz w:val="24"/>
      <w:szCs w:val="24"/>
      <w:lang w:val="ro-RO" w:eastAsia="ro-RO"/>
    </w:rPr>
  </w:style>
  <w:style w:type="paragraph" w:customStyle="1" w:styleId="xl290">
    <w:name w:val="xl290"/>
    <w:basedOn w:val="Normal"/>
    <w:rsid w:val="003037CC"/>
    <w:pPr>
      <w:shd w:val="clear" w:color="000000" w:fill="FFFFFF"/>
      <w:spacing w:before="100" w:beforeAutospacing="1" w:after="100" w:afterAutospacing="1"/>
    </w:pPr>
    <w:rPr>
      <w:rFonts w:ascii="Arial" w:eastAsia="Times New Roman" w:hAnsi="Arial" w:cs="Arial"/>
      <w:i/>
      <w:iCs/>
      <w:sz w:val="24"/>
      <w:szCs w:val="24"/>
      <w:lang w:val="ro-RO" w:eastAsia="ro-RO"/>
    </w:rPr>
  </w:style>
  <w:style w:type="paragraph" w:customStyle="1" w:styleId="xl291">
    <w:name w:val="xl291"/>
    <w:basedOn w:val="Normal"/>
    <w:rsid w:val="003037CC"/>
    <w:pPr>
      <w:shd w:val="clear" w:color="000000" w:fill="FFFFFF"/>
      <w:spacing w:before="100" w:beforeAutospacing="1" w:after="100" w:afterAutospacing="1"/>
      <w:jc w:val="right"/>
    </w:pPr>
    <w:rPr>
      <w:rFonts w:ascii="Arial" w:eastAsia="Times New Roman" w:hAnsi="Arial" w:cs="Arial"/>
      <w:b/>
      <w:bCs/>
      <w:sz w:val="24"/>
      <w:szCs w:val="24"/>
      <w:lang w:val="ro-RO" w:eastAsia="ro-RO"/>
    </w:rPr>
  </w:style>
  <w:style w:type="paragraph" w:customStyle="1" w:styleId="xl292">
    <w:name w:val="xl292"/>
    <w:basedOn w:val="Normal"/>
    <w:rsid w:val="003037CC"/>
    <w:pPr>
      <w:shd w:val="clear" w:color="000000" w:fill="FFFFFF"/>
      <w:spacing w:before="100" w:beforeAutospacing="1" w:after="100" w:afterAutospacing="1"/>
      <w:jc w:val="right"/>
    </w:pPr>
    <w:rPr>
      <w:rFonts w:ascii="Arial" w:eastAsia="Times New Roman" w:hAnsi="Arial" w:cs="Arial"/>
      <w:sz w:val="24"/>
      <w:szCs w:val="24"/>
      <w:lang w:val="ro-RO" w:eastAsia="ro-RO"/>
    </w:rPr>
  </w:style>
  <w:style w:type="paragraph" w:customStyle="1" w:styleId="xl293">
    <w:name w:val="xl293"/>
    <w:basedOn w:val="Normal"/>
    <w:rsid w:val="003037CC"/>
    <w:pPr>
      <w:pBdr>
        <w:bottom w:val="single" w:sz="8" w:space="0" w:color="auto"/>
      </w:pBdr>
      <w:shd w:val="clear" w:color="000000" w:fill="FFFFFF"/>
      <w:spacing w:before="100" w:beforeAutospacing="1" w:after="100" w:afterAutospacing="1"/>
      <w:jc w:val="right"/>
    </w:pPr>
    <w:rPr>
      <w:rFonts w:ascii="Arial" w:eastAsia="Times New Roman" w:hAnsi="Arial" w:cs="Arial"/>
      <w:sz w:val="24"/>
      <w:szCs w:val="24"/>
      <w:lang w:val="ro-RO" w:eastAsia="ro-RO"/>
    </w:rPr>
  </w:style>
  <w:style w:type="paragraph" w:customStyle="1" w:styleId="xl294">
    <w:name w:val="xl294"/>
    <w:basedOn w:val="Normal"/>
    <w:rsid w:val="003037C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eastAsia="Times New Roman" w:hAnsi="Arial" w:cs="Arial"/>
      <w:b/>
      <w:bCs/>
      <w:sz w:val="28"/>
      <w:szCs w:val="28"/>
      <w:lang w:val="ro-RO" w:eastAsia="ro-RO"/>
    </w:rPr>
  </w:style>
  <w:style w:type="paragraph" w:customStyle="1" w:styleId="xl295">
    <w:name w:val="xl295"/>
    <w:basedOn w:val="Normal"/>
    <w:rsid w:val="003037CC"/>
    <w:pPr>
      <w:pBdr>
        <w:bottom w:val="single" w:sz="4"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296">
    <w:name w:val="xl296"/>
    <w:basedOn w:val="Normal"/>
    <w:rsid w:val="003037C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297">
    <w:name w:val="xl297"/>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298">
    <w:name w:val="xl298"/>
    <w:basedOn w:val="Normal"/>
    <w:rsid w:val="003037CC"/>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lang w:val="ro-RO" w:eastAsia="ro-RO"/>
    </w:rPr>
  </w:style>
  <w:style w:type="paragraph" w:customStyle="1" w:styleId="xl299">
    <w:name w:val="xl299"/>
    <w:basedOn w:val="Normal"/>
    <w:rsid w:val="003037CC"/>
    <w:pPr>
      <w:pBdr>
        <w:left w:val="single" w:sz="8" w:space="0" w:color="auto"/>
        <w:bottom w:val="single" w:sz="4" w:space="0" w:color="auto"/>
      </w:pBdr>
      <w:spacing w:before="100" w:beforeAutospacing="1" w:after="100" w:afterAutospacing="1"/>
      <w:jc w:val="center"/>
      <w:textAlignment w:val="center"/>
    </w:pPr>
    <w:rPr>
      <w:rFonts w:ascii="Arial" w:eastAsia="Times New Roman" w:hAnsi="Arial" w:cs="Arial"/>
      <w:lang w:val="ro-RO" w:eastAsia="ro-RO"/>
    </w:rPr>
  </w:style>
  <w:style w:type="paragraph" w:customStyle="1" w:styleId="xl300">
    <w:name w:val="xl300"/>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301">
    <w:name w:val="xl301"/>
    <w:basedOn w:val="Normal"/>
    <w:rsid w:val="003037CC"/>
    <w:pPr>
      <w:pBdr>
        <w:bottom w:val="single" w:sz="4" w:space="0" w:color="auto"/>
      </w:pBdr>
      <w:shd w:val="clear" w:color="000000" w:fill="FFFFFF"/>
      <w:spacing w:before="100" w:beforeAutospacing="1" w:after="100" w:afterAutospacing="1"/>
      <w:jc w:val="right"/>
      <w:textAlignment w:val="center"/>
    </w:pPr>
    <w:rPr>
      <w:rFonts w:ascii="Arial" w:eastAsia="Times New Roman" w:hAnsi="Arial" w:cs="Arial"/>
      <w:lang w:val="ro-RO" w:eastAsia="ro-RO"/>
    </w:rPr>
  </w:style>
  <w:style w:type="paragraph" w:customStyle="1" w:styleId="xl302">
    <w:name w:val="xl302"/>
    <w:basedOn w:val="Normal"/>
    <w:rsid w:val="003037CC"/>
    <w:pPr>
      <w:pBdr>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303">
    <w:name w:val="xl303"/>
    <w:basedOn w:val="Normal"/>
    <w:rsid w:val="003037CC"/>
    <w:pPr>
      <w:shd w:val="clear" w:color="000000" w:fill="FFFFFF"/>
      <w:spacing w:before="100" w:beforeAutospacing="1" w:after="100" w:afterAutospacing="1"/>
      <w:jc w:val="center"/>
    </w:pPr>
    <w:rPr>
      <w:rFonts w:ascii="Arial" w:eastAsia="Times New Roman" w:hAnsi="Arial" w:cs="Arial"/>
      <w:b/>
      <w:bCs/>
      <w:sz w:val="28"/>
      <w:szCs w:val="28"/>
      <w:lang w:val="ro-RO" w:eastAsia="ro-RO"/>
    </w:rPr>
  </w:style>
  <w:style w:type="paragraph" w:customStyle="1" w:styleId="xl304">
    <w:name w:val="xl304"/>
    <w:basedOn w:val="Normal"/>
    <w:rsid w:val="003037C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05">
    <w:name w:val="xl305"/>
    <w:basedOn w:val="Normal"/>
    <w:rsid w:val="003037C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06">
    <w:name w:val="xl306"/>
    <w:basedOn w:val="Normal"/>
    <w:rsid w:val="003037CC"/>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07">
    <w:name w:val="xl307"/>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08">
    <w:name w:val="xl308"/>
    <w:basedOn w:val="Normal"/>
    <w:rsid w:val="003037C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09">
    <w:name w:val="xl309"/>
    <w:basedOn w:val="Normal"/>
    <w:rsid w:val="003037C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310">
    <w:name w:val="xl310"/>
    <w:basedOn w:val="Normal"/>
    <w:rsid w:val="003037C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311">
    <w:name w:val="xl311"/>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312">
    <w:name w:val="xl312"/>
    <w:basedOn w:val="Normal"/>
    <w:rsid w:val="003037CC"/>
    <w:pPr>
      <w:pBdr>
        <w:top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24"/>
      <w:szCs w:val="24"/>
      <w:lang w:val="ro-RO" w:eastAsia="ro-RO"/>
    </w:rPr>
  </w:style>
  <w:style w:type="paragraph" w:customStyle="1" w:styleId="xl313">
    <w:name w:val="xl313"/>
    <w:basedOn w:val="Normal"/>
    <w:rsid w:val="003037CC"/>
    <w:pP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14">
    <w:name w:val="xl314"/>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15">
    <w:name w:val="xl315"/>
    <w:basedOn w:val="Normal"/>
    <w:rsid w:val="003037CC"/>
    <w:pP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16">
    <w:name w:val="xl316"/>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17">
    <w:name w:val="xl317"/>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18">
    <w:name w:val="xl318"/>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19">
    <w:name w:val="xl319"/>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0">
    <w:name w:val="xl320"/>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1">
    <w:name w:val="xl321"/>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2">
    <w:name w:val="xl322"/>
    <w:basedOn w:val="Normal"/>
    <w:rsid w:val="003037CC"/>
    <w:pPr>
      <w:pBdr>
        <w:right w:val="single" w:sz="8" w:space="0" w:color="auto"/>
      </w:pBdr>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3">
    <w:name w:val="xl323"/>
    <w:basedOn w:val="Normal"/>
    <w:rsid w:val="003037CC"/>
    <w:pP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324">
    <w:name w:val="xl324"/>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5">
    <w:name w:val="xl325"/>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6">
    <w:name w:val="xl326"/>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color w:val="000000"/>
      <w:sz w:val="24"/>
      <w:szCs w:val="24"/>
      <w:lang w:val="ro-RO" w:eastAsia="ro-RO"/>
    </w:rPr>
  </w:style>
  <w:style w:type="paragraph" w:customStyle="1" w:styleId="xl327">
    <w:name w:val="xl327"/>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28">
    <w:name w:val="xl328"/>
    <w:basedOn w:val="Normal"/>
    <w:rsid w:val="003037CC"/>
    <w:pP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29">
    <w:name w:val="xl329"/>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30">
    <w:name w:val="xl330"/>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color w:val="000000"/>
      <w:sz w:val="24"/>
      <w:szCs w:val="24"/>
      <w:lang w:val="ro-RO" w:eastAsia="ro-RO"/>
    </w:rPr>
  </w:style>
  <w:style w:type="paragraph" w:customStyle="1" w:styleId="xl331">
    <w:name w:val="xl331"/>
    <w:basedOn w:val="Normal"/>
    <w:rsid w:val="003037CC"/>
    <w:pP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332">
    <w:name w:val="xl332"/>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33">
    <w:name w:val="xl333"/>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34">
    <w:name w:val="xl334"/>
    <w:basedOn w:val="Normal"/>
    <w:rsid w:val="003037CC"/>
    <w:pPr>
      <w:pBdr>
        <w:left w:val="single" w:sz="8" w:space="0" w:color="auto"/>
        <w:right w:val="single" w:sz="8" w:space="0" w:color="auto"/>
      </w:pBdr>
      <w:spacing w:before="100" w:beforeAutospacing="1" w:after="100" w:afterAutospacing="1"/>
    </w:pPr>
    <w:rPr>
      <w:rFonts w:ascii="Arial" w:eastAsia="Times New Roman" w:hAnsi="Arial" w:cs="Arial"/>
      <w:b/>
      <w:bCs/>
      <w:sz w:val="24"/>
      <w:szCs w:val="24"/>
      <w:lang w:val="ro-RO" w:eastAsia="ro-RO"/>
    </w:rPr>
  </w:style>
  <w:style w:type="paragraph" w:customStyle="1" w:styleId="xl335">
    <w:name w:val="xl335"/>
    <w:basedOn w:val="Normal"/>
    <w:rsid w:val="003037CC"/>
    <w:pPr>
      <w:pBdr>
        <w:left w:val="single" w:sz="8" w:space="0" w:color="auto"/>
        <w:right w:val="single" w:sz="8" w:space="0" w:color="auto"/>
      </w:pBdr>
      <w:shd w:val="clear" w:color="000000" w:fill="FFFFFF"/>
      <w:spacing w:before="100" w:beforeAutospacing="1" w:after="100" w:afterAutospacing="1"/>
    </w:pPr>
    <w:rPr>
      <w:rFonts w:ascii="Arial" w:eastAsia="Times New Roman" w:hAnsi="Arial" w:cs="Arial"/>
      <w:b/>
      <w:bCs/>
      <w:sz w:val="24"/>
      <w:szCs w:val="24"/>
      <w:lang w:val="ro-RO" w:eastAsia="ro-RO"/>
    </w:rPr>
  </w:style>
  <w:style w:type="paragraph" w:customStyle="1" w:styleId="xl336">
    <w:name w:val="xl336"/>
    <w:basedOn w:val="Normal"/>
    <w:rsid w:val="003037CC"/>
    <w:pPr>
      <w:pBdr>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37">
    <w:name w:val="xl337"/>
    <w:basedOn w:val="Normal"/>
    <w:rsid w:val="003037CC"/>
    <w:pPr>
      <w:shd w:val="clear" w:color="000000" w:fill="FFFFFF"/>
      <w:spacing w:before="100" w:beforeAutospacing="1" w:after="100" w:afterAutospacing="1"/>
    </w:pPr>
    <w:rPr>
      <w:rFonts w:ascii="Arial" w:eastAsia="Times New Roman" w:hAnsi="Arial" w:cs="Arial"/>
      <w:b/>
      <w:bCs/>
      <w:sz w:val="24"/>
      <w:szCs w:val="24"/>
      <w:lang w:val="ro-RO" w:eastAsia="ro-RO"/>
    </w:rPr>
  </w:style>
  <w:style w:type="paragraph" w:customStyle="1" w:styleId="xl338">
    <w:name w:val="xl338"/>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color w:val="FF0000"/>
      <w:sz w:val="24"/>
      <w:szCs w:val="24"/>
      <w:lang w:val="ro-RO" w:eastAsia="ro-RO"/>
    </w:rPr>
  </w:style>
  <w:style w:type="paragraph" w:customStyle="1" w:styleId="xl339">
    <w:name w:val="xl339"/>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40">
    <w:name w:val="xl340"/>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1">
    <w:name w:val="xl341"/>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2">
    <w:name w:val="xl342"/>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3">
    <w:name w:val="xl343"/>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color w:val="000000"/>
      <w:sz w:val="24"/>
      <w:szCs w:val="24"/>
      <w:lang w:val="ro-RO" w:eastAsia="ro-RO"/>
    </w:rPr>
  </w:style>
  <w:style w:type="paragraph" w:customStyle="1" w:styleId="xl344">
    <w:name w:val="xl344"/>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5">
    <w:name w:val="xl345"/>
    <w:basedOn w:val="Normal"/>
    <w:rsid w:val="003037CC"/>
    <w:pPr>
      <w:pBdr>
        <w:left w:val="single" w:sz="8" w:space="0" w:color="auto"/>
      </w:pBdr>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6">
    <w:name w:val="xl346"/>
    <w:basedOn w:val="Normal"/>
    <w:rsid w:val="003037CC"/>
    <w:pPr>
      <w:shd w:val="clear" w:color="000000" w:fill="FFFFFF"/>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47">
    <w:name w:val="xl347"/>
    <w:basedOn w:val="Normal"/>
    <w:rsid w:val="003037CC"/>
    <w:pPr>
      <w:shd w:val="clear" w:color="000000" w:fill="FFFFFF"/>
      <w:spacing w:before="100" w:beforeAutospacing="1" w:after="100" w:afterAutospacing="1"/>
      <w:textAlignment w:val="center"/>
    </w:pPr>
    <w:rPr>
      <w:rFonts w:ascii="Arial" w:eastAsia="Times New Roman" w:hAnsi="Arial" w:cs="Arial"/>
      <w:sz w:val="24"/>
      <w:szCs w:val="24"/>
      <w:lang w:val="ro-RO" w:eastAsia="ro-RO"/>
    </w:rPr>
  </w:style>
  <w:style w:type="paragraph" w:customStyle="1" w:styleId="xl348">
    <w:name w:val="xl348"/>
    <w:basedOn w:val="Normal"/>
    <w:rsid w:val="003037CC"/>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w:eastAsia="Times New Roman" w:hAnsi="Arial" w:cs="Arial"/>
      <w:sz w:val="24"/>
      <w:szCs w:val="24"/>
      <w:lang w:val="ro-RO" w:eastAsia="ro-RO"/>
    </w:rPr>
  </w:style>
  <w:style w:type="paragraph" w:customStyle="1" w:styleId="xl349">
    <w:name w:val="xl349"/>
    <w:basedOn w:val="Normal"/>
    <w:rsid w:val="003037CC"/>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50">
    <w:name w:val="xl350"/>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51">
    <w:name w:val="xl351"/>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pPr>
    <w:rPr>
      <w:rFonts w:ascii="Arial" w:eastAsia="Times New Roman" w:hAnsi="Arial" w:cs="Arial"/>
      <w:b/>
      <w:bCs/>
      <w:sz w:val="24"/>
      <w:szCs w:val="24"/>
      <w:lang w:val="ro-RO" w:eastAsia="ro-RO"/>
    </w:rPr>
  </w:style>
  <w:style w:type="paragraph" w:customStyle="1" w:styleId="xl352">
    <w:name w:val="xl352"/>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pPr>
    <w:rPr>
      <w:rFonts w:ascii="Arial" w:eastAsia="Times New Roman" w:hAnsi="Arial" w:cs="Arial"/>
      <w:b/>
      <w:bCs/>
      <w:sz w:val="24"/>
      <w:szCs w:val="24"/>
      <w:lang w:val="ro-RO" w:eastAsia="ro-RO"/>
    </w:rPr>
  </w:style>
  <w:style w:type="paragraph" w:customStyle="1" w:styleId="xl353">
    <w:name w:val="xl353"/>
    <w:basedOn w:val="Normal"/>
    <w:rsid w:val="003037CC"/>
    <w:pPr>
      <w:pBdr>
        <w:left w:val="single" w:sz="8" w:space="31" w:color="auto"/>
        <w:right w:val="single" w:sz="8" w:space="0" w:color="auto"/>
      </w:pBdr>
      <w:shd w:val="clear" w:color="000000" w:fill="FFFFFF"/>
      <w:spacing w:before="100" w:beforeAutospacing="1" w:after="100" w:afterAutospacing="1"/>
      <w:ind w:firstLineChars="600" w:firstLine="600"/>
    </w:pPr>
    <w:rPr>
      <w:rFonts w:ascii="Arial" w:eastAsia="Times New Roman" w:hAnsi="Arial" w:cs="Arial"/>
      <w:sz w:val="24"/>
      <w:szCs w:val="24"/>
      <w:lang w:val="ro-RO" w:eastAsia="ro-RO"/>
    </w:rPr>
  </w:style>
  <w:style w:type="paragraph" w:customStyle="1" w:styleId="xl354">
    <w:name w:val="xl354"/>
    <w:basedOn w:val="Normal"/>
    <w:rsid w:val="003037CC"/>
    <w:pPr>
      <w:pBdr>
        <w:left w:val="single" w:sz="8" w:space="31" w:color="auto"/>
        <w:right w:val="single" w:sz="8" w:space="0" w:color="auto"/>
      </w:pBdr>
      <w:shd w:val="clear" w:color="000000" w:fill="FFFFFF"/>
      <w:spacing w:before="100" w:beforeAutospacing="1" w:after="100" w:afterAutospacing="1"/>
      <w:ind w:firstLineChars="600" w:firstLine="600"/>
    </w:pPr>
    <w:rPr>
      <w:rFonts w:ascii="Arial" w:eastAsia="Times New Roman" w:hAnsi="Arial" w:cs="Arial"/>
      <w:sz w:val="24"/>
      <w:szCs w:val="24"/>
      <w:lang w:val="ro-RO" w:eastAsia="ro-RO"/>
    </w:rPr>
  </w:style>
  <w:style w:type="paragraph" w:customStyle="1" w:styleId="xl355">
    <w:name w:val="xl355"/>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Arial" w:eastAsia="Times New Roman" w:hAnsi="Arial" w:cs="Arial"/>
      <w:b/>
      <w:bCs/>
      <w:sz w:val="24"/>
      <w:szCs w:val="24"/>
      <w:lang w:val="ro-RO" w:eastAsia="ro-RO"/>
    </w:rPr>
  </w:style>
  <w:style w:type="paragraph" w:customStyle="1" w:styleId="xl356">
    <w:name w:val="xl356"/>
    <w:basedOn w:val="Normal"/>
    <w:rsid w:val="003037CC"/>
    <w:pPr>
      <w:pBdr>
        <w:left w:val="single" w:sz="8" w:space="31" w:color="auto"/>
        <w:right w:val="single" w:sz="8" w:space="0" w:color="auto"/>
      </w:pBdr>
      <w:shd w:val="clear" w:color="000000" w:fill="FFFFFF"/>
      <w:spacing w:before="100" w:beforeAutospacing="1" w:after="100" w:afterAutospacing="1"/>
      <w:ind w:firstLineChars="600" w:firstLine="600"/>
      <w:textAlignment w:val="center"/>
    </w:pPr>
    <w:rPr>
      <w:rFonts w:ascii="Arial" w:eastAsia="Times New Roman" w:hAnsi="Arial" w:cs="Arial"/>
      <w:sz w:val="24"/>
      <w:szCs w:val="24"/>
      <w:lang w:val="ro-RO" w:eastAsia="ro-RO"/>
    </w:rPr>
  </w:style>
  <w:style w:type="paragraph" w:customStyle="1" w:styleId="xl357">
    <w:name w:val="xl357"/>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Arial" w:eastAsia="Times New Roman" w:hAnsi="Arial" w:cs="Arial"/>
      <w:b/>
      <w:bCs/>
      <w:sz w:val="24"/>
      <w:szCs w:val="24"/>
      <w:lang w:val="ro-RO" w:eastAsia="ro-RO"/>
    </w:rPr>
  </w:style>
  <w:style w:type="paragraph" w:customStyle="1" w:styleId="xl358">
    <w:name w:val="xl358"/>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textAlignment w:val="center"/>
    </w:pPr>
    <w:rPr>
      <w:rFonts w:ascii="Arial" w:eastAsia="Times New Roman" w:hAnsi="Arial" w:cs="Arial"/>
      <w:b/>
      <w:bCs/>
      <w:sz w:val="24"/>
      <w:szCs w:val="24"/>
      <w:lang w:val="ro-RO" w:eastAsia="ro-RO"/>
    </w:rPr>
  </w:style>
  <w:style w:type="paragraph" w:customStyle="1" w:styleId="xl359">
    <w:name w:val="xl359"/>
    <w:basedOn w:val="Normal"/>
    <w:rsid w:val="003037CC"/>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60">
    <w:name w:val="xl360"/>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61">
    <w:name w:val="xl361"/>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pPr>
    <w:rPr>
      <w:rFonts w:ascii="Arial" w:eastAsia="Times New Roman" w:hAnsi="Arial" w:cs="Arial"/>
      <w:b/>
      <w:bCs/>
      <w:sz w:val="24"/>
      <w:szCs w:val="24"/>
      <w:lang w:val="ro-RO" w:eastAsia="ro-RO"/>
    </w:rPr>
  </w:style>
  <w:style w:type="paragraph" w:customStyle="1" w:styleId="xl362">
    <w:name w:val="xl362"/>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pPr>
    <w:rPr>
      <w:rFonts w:ascii="Arial" w:eastAsia="Times New Roman" w:hAnsi="Arial" w:cs="Arial"/>
      <w:sz w:val="24"/>
      <w:szCs w:val="24"/>
      <w:lang w:val="ro-RO" w:eastAsia="ro-RO"/>
    </w:rPr>
  </w:style>
  <w:style w:type="paragraph" w:customStyle="1" w:styleId="xl363">
    <w:name w:val="xl363"/>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Arial" w:eastAsia="Times New Roman" w:hAnsi="Arial" w:cs="Arial"/>
      <w:sz w:val="24"/>
      <w:szCs w:val="24"/>
      <w:lang w:val="ro-RO" w:eastAsia="ro-RO"/>
    </w:rPr>
  </w:style>
  <w:style w:type="paragraph" w:customStyle="1" w:styleId="xl364">
    <w:name w:val="xl364"/>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pPr>
    <w:rPr>
      <w:rFonts w:ascii="Arial" w:eastAsia="Times New Roman" w:hAnsi="Arial" w:cs="Arial"/>
      <w:sz w:val="24"/>
      <w:szCs w:val="24"/>
      <w:lang w:val="ro-RO" w:eastAsia="ro-RO"/>
    </w:rPr>
  </w:style>
  <w:style w:type="paragraph" w:customStyle="1" w:styleId="xl365">
    <w:name w:val="xl365"/>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66">
    <w:name w:val="xl366"/>
    <w:basedOn w:val="Normal"/>
    <w:rsid w:val="003037CC"/>
    <w:pPr>
      <w:pBdr>
        <w:left w:val="single" w:sz="8" w:space="11" w:color="auto"/>
        <w:right w:val="single" w:sz="8" w:space="0" w:color="auto"/>
      </w:pBdr>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67">
    <w:name w:val="xl367"/>
    <w:basedOn w:val="Normal"/>
    <w:rsid w:val="003037CC"/>
    <w:pPr>
      <w:pBdr>
        <w:left w:val="single" w:sz="8" w:space="0" w:color="auto"/>
      </w:pBdr>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68">
    <w:name w:val="xl368"/>
    <w:basedOn w:val="Normal"/>
    <w:rsid w:val="003037CC"/>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eastAsia="Times New Roman" w:hAnsi="Arial" w:cs="Arial"/>
      <w:lang w:val="ro-RO" w:eastAsia="ro-RO"/>
    </w:rPr>
  </w:style>
  <w:style w:type="paragraph" w:customStyle="1" w:styleId="xl369">
    <w:name w:val="xl369"/>
    <w:basedOn w:val="Normal"/>
    <w:rsid w:val="003037CC"/>
    <w:pPr>
      <w:pBdr>
        <w:left w:val="single" w:sz="8" w:space="0" w:color="auto"/>
      </w:pBdr>
      <w:shd w:val="clear" w:color="000000" w:fill="FFFFFF"/>
      <w:spacing w:before="100" w:beforeAutospacing="1" w:after="100" w:afterAutospacing="1"/>
    </w:pPr>
    <w:rPr>
      <w:rFonts w:ascii="Arial" w:eastAsia="Times New Roman" w:hAnsi="Arial" w:cs="Arial"/>
      <w:b/>
      <w:bCs/>
      <w:sz w:val="24"/>
      <w:szCs w:val="24"/>
      <w:lang w:val="ro-RO" w:eastAsia="ro-RO"/>
    </w:rPr>
  </w:style>
  <w:style w:type="paragraph" w:customStyle="1" w:styleId="xl370">
    <w:name w:val="xl370"/>
    <w:basedOn w:val="Normal"/>
    <w:rsid w:val="003037CC"/>
    <w:pPr>
      <w:pBdr>
        <w:right w:val="single" w:sz="8" w:space="0" w:color="auto"/>
      </w:pBdr>
      <w:shd w:val="clear" w:color="000000" w:fill="FFFFFF"/>
      <w:spacing w:before="100" w:beforeAutospacing="1" w:after="100" w:afterAutospacing="1"/>
    </w:pPr>
    <w:rPr>
      <w:rFonts w:ascii="Arial" w:eastAsia="Times New Roman" w:hAnsi="Arial" w:cs="Arial"/>
      <w:b/>
      <w:bCs/>
      <w:sz w:val="24"/>
      <w:szCs w:val="24"/>
      <w:lang w:val="ro-RO" w:eastAsia="ro-RO"/>
    </w:rPr>
  </w:style>
  <w:style w:type="paragraph" w:customStyle="1" w:styleId="xl371">
    <w:name w:val="xl371"/>
    <w:basedOn w:val="Normal"/>
    <w:rsid w:val="003037CC"/>
    <w:pPr>
      <w:pBdr>
        <w:left w:val="single" w:sz="8" w:space="0" w:color="auto"/>
        <w:right w:val="single" w:sz="8" w:space="0" w:color="auto"/>
      </w:pBdr>
      <w:shd w:val="clear" w:color="000000" w:fill="B8CCE4"/>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72">
    <w:name w:val="xl372"/>
    <w:basedOn w:val="Normal"/>
    <w:rsid w:val="003037CC"/>
    <w:pP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3">
    <w:name w:val="xl373"/>
    <w:basedOn w:val="Normal"/>
    <w:rsid w:val="003037CC"/>
    <w:pP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4">
    <w:name w:val="xl374"/>
    <w:basedOn w:val="Normal"/>
    <w:rsid w:val="003037CC"/>
    <w:pPr>
      <w:pBdr>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5">
    <w:name w:val="xl375"/>
    <w:basedOn w:val="Normal"/>
    <w:rsid w:val="003037CC"/>
    <w:pPr>
      <w:pBdr>
        <w:lef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6">
    <w:name w:val="xl376"/>
    <w:basedOn w:val="Normal"/>
    <w:rsid w:val="003037CC"/>
    <w:pPr>
      <w:pBdr>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color w:val="000000"/>
      <w:sz w:val="24"/>
      <w:szCs w:val="24"/>
      <w:lang w:val="ro-RO" w:eastAsia="ro-RO"/>
    </w:rPr>
  </w:style>
  <w:style w:type="paragraph" w:customStyle="1" w:styleId="xl377">
    <w:name w:val="xl377"/>
    <w:basedOn w:val="Normal"/>
    <w:rsid w:val="003037CC"/>
    <w:pPr>
      <w:pBdr>
        <w:lef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8">
    <w:name w:val="xl378"/>
    <w:basedOn w:val="Normal"/>
    <w:rsid w:val="003037CC"/>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79">
    <w:name w:val="xl379"/>
    <w:basedOn w:val="Normal"/>
    <w:rsid w:val="003037CC"/>
    <w:pPr>
      <w:pBdr>
        <w:bottom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0">
    <w:name w:val="xl380"/>
    <w:basedOn w:val="Normal"/>
    <w:rsid w:val="003037CC"/>
    <w:pPr>
      <w:pBdr>
        <w:bottom w:val="single" w:sz="8" w:space="0" w:color="auto"/>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1">
    <w:name w:val="xl381"/>
    <w:basedOn w:val="Normal"/>
    <w:rsid w:val="003037CC"/>
    <w:pPr>
      <w:pBdr>
        <w:left w:val="single" w:sz="8" w:space="0" w:color="auto"/>
        <w:bottom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2">
    <w:name w:val="xl382"/>
    <w:basedOn w:val="Normal"/>
    <w:rsid w:val="003037CC"/>
    <w:pPr>
      <w:pBdr>
        <w:bottom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3">
    <w:name w:val="xl383"/>
    <w:basedOn w:val="Normal"/>
    <w:rsid w:val="003037CC"/>
    <w:pPr>
      <w:pBdr>
        <w:bottom w:val="single" w:sz="8" w:space="0" w:color="auto"/>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4">
    <w:name w:val="xl384"/>
    <w:basedOn w:val="Normal"/>
    <w:rsid w:val="003037CC"/>
    <w:pPr>
      <w:pBdr>
        <w:bottom w:val="single" w:sz="8" w:space="0" w:color="auto"/>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color w:val="000000"/>
      <w:sz w:val="24"/>
      <w:szCs w:val="24"/>
      <w:lang w:val="ro-RO" w:eastAsia="ro-RO"/>
    </w:rPr>
  </w:style>
  <w:style w:type="paragraph" w:customStyle="1" w:styleId="xl385">
    <w:name w:val="xl385"/>
    <w:basedOn w:val="Normal"/>
    <w:rsid w:val="003037CC"/>
    <w:pPr>
      <w:pBdr>
        <w:left w:val="single" w:sz="8" w:space="0" w:color="auto"/>
        <w:right w:val="single" w:sz="8" w:space="0" w:color="auto"/>
      </w:pBdr>
      <w:shd w:val="clear" w:color="000000" w:fill="FCD5B4"/>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86">
    <w:name w:val="xl386"/>
    <w:basedOn w:val="Normal"/>
    <w:rsid w:val="003037CC"/>
    <w:pP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7">
    <w:name w:val="xl387"/>
    <w:basedOn w:val="Normal"/>
    <w:rsid w:val="003037CC"/>
    <w:pPr>
      <w:shd w:val="clear" w:color="000000" w:fill="FCD5B4"/>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88">
    <w:name w:val="xl388"/>
    <w:basedOn w:val="Normal"/>
    <w:rsid w:val="003037CC"/>
    <w:pP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9">
    <w:name w:val="xl389"/>
    <w:basedOn w:val="Normal"/>
    <w:rsid w:val="003037CC"/>
    <w:pPr>
      <w:pBdr>
        <w:right w:val="single" w:sz="8" w:space="0" w:color="auto"/>
      </w:pBd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0">
    <w:name w:val="xl390"/>
    <w:basedOn w:val="Normal"/>
    <w:rsid w:val="003037CC"/>
    <w:pPr>
      <w:pBdr>
        <w:left w:val="single" w:sz="8" w:space="0" w:color="auto"/>
      </w:pBd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1">
    <w:name w:val="xl391"/>
    <w:basedOn w:val="Normal"/>
    <w:rsid w:val="003037CC"/>
    <w:pPr>
      <w:pBdr>
        <w:right w:val="single" w:sz="8" w:space="0" w:color="auto"/>
      </w:pBd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2">
    <w:name w:val="xl392"/>
    <w:basedOn w:val="Normal"/>
    <w:rsid w:val="003037CC"/>
    <w:pPr>
      <w:pBdr>
        <w:left w:val="single" w:sz="8" w:space="0" w:color="auto"/>
      </w:pBdr>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3">
    <w:name w:val="xl393"/>
    <w:basedOn w:val="Normal"/>
    <w:rsid w:val="003037CC"/>
    <w:pPr>
      <w:pBdr>
        <w:left w:val="single" w:sz="8" w:space="0" w:color="auto"/>
      </w:pBdr>
      <w:spacing w:before="100" w:beforeAutospacing="1" w:after="100" w:afterAutospacing="1"/>
    </w:pPr>
    <w:rPr>
      <w:rFonts w:ascii="Arial" w:eastAsia="Times New Roman" w:hAnsi="Arial" w:cs="Arial"/>
      <w:b/>
      <w:bCs/>
      <w:sz w:val="24"/>
      <w:szCs w:val="24"/>
      <w:lang w:val="ro-RO" w:eastAsia="ro-RO"/>
    </w:rPr>
  </w:style>
  <w:style w:type="paragraph" w:customStyle="1" w:styleId="xl394">
    <w:name w:val="xl394"/>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5">
    <w:name w:val="xl395"/>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6">
    <w:name w:val="xl396"/>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7">
    <w:name w:val="xl397"/>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98">
    <w:name w:val="xl398"/>
    <w:basedOn w:val="Normal"/>
    <w:rsid w:val="003037CC"/>
    <w:pP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99">
    <w:name w:val="xl399"/>
    <w:basedOn w:val="Normal"/>
    <w:rsid w:val="003037CC"/>
    <w:pPr>
      <w:shd w:val="clear" w:color="000000" w:fill="DCE6F1"/>
      <w:spacing w:before="100" w:beforeAutospacing="1" w:after="100" w:afterAutospacing="1"/>
      <w:jc w:val="center"/>
    </w:pPr>
    <w:rPr>
      <w:rFonts w:ascii="Arial" w:eastAsia="Times New Roman" w:hAnsi="Arial" w:cs="Arial"/>
      <w:b/>
      <w:bCs/>
      <w:sz w:val="28"/>
      <w:szCs w:val="28"/>
      <w:lang w:val="ro-RO" w:eastAsia="ro-RO"/>
    </w:rPr>
  </w:style>
  <w:style w:type="paragraph" w:customStyle="1" w:styleId="xl400">
    <w:name w:val="xl400"/>
    <w:basedOn w:val="Normal"/>
    <w:rsid w:val="003037CC"/>
    <w:pPr>
      <w:pBdr>
        <w:top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401">
    <w:name w:val="xl401"/>
    <w:basedOn w:val="Normal"/>
    <w:rsid w:val="003037CC"/>
    <w:pPr>
      <w:pBdr>
        <w:top w:val="single" w:sz="8" w:space="0" w:color="auto"/>
        <w:bottom w:val="single" w:sz="4" w:space="0" w:color="auto"/>
      </w:pBd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402">
    <w:name w:val="xl402"/>
    <w:basedOn w:val="Normal"/>
    <w:rsid w:val="003037CC"/>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403">
    <w:name w:val="xl403"/>
    <w:basedOn w:val="Normal"/>
    <w:rsid w:val="003037C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404">
    <w:name w:val="xl404"/>
    <w:basedOn w:val="Normal"/>
    <w:rsid w:val="003037CC"/>
    <w:pPr>
      <w:pBdr>
        <w:top w:val="single" w:sz="8" w:space="0" w:color="auto"/>
        <w:bottom w:val="single" w:sz="4" w:space="0" w:color="auto"/>
      </w:pBd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405">
    <w:name w:val="xl405"/>
    <w:basedOn w:val="Normal"/>
    <w:rsid w:val="003037CC"/>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406">
    <w:name w:val="xl406"/>
    <w:basedOn w:val="Normal"/>
    <w:rsid w:val="003037CC"/>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407">
    <w:name w:val="xl407"/>
    <w:basedOn w:val="Normal"/>
    <w:rsid w:val="003037CC"/>
    <w:pPr>
      <w:pBdr>
        <w:top w:val="single" w:sz="8" w:space="0" w:color="auto"/>
        <w:bottom w:val="single" w:sz="4" w:space="0" w:color="auto"/>
      </w:pBdr>
      <w:spacing w:before="100" w:beforeAutospacing="1" w:after="100" w:afterAutospacing="1"/>
    </w:pPr>
    <w:rPr>
      <w:rFonts w:ascii="Arial" w:eastAsia="Times New Roman" w:hAnsi="Arial" w:cs="Arial"/>
      <w:sz w:val="24"/>
      <w:szCs w:val="24"/>
      <w:lang w:val="ro-RO" w:eastAsia="ro-RO"/>
    </w:rPr>
  </w:style>
  <w:style w:type="paragraph" w:customStyle="1" w:styleId="xl408">
    <w:name w:val="xl408"/>
    <w:basedOn w:val="Normal"/>
    <w:rsid w:val="003037CC"/>
    <w:pPr>
      <w:pBdr>
        <w:top w:val="single" w:sz="8" w:space="0" w:color="auto"/>
        <w:bottom w:val="single" w:sz="4" w:space="0" w:color="auto"/>
        <w:right w:val="single" w:sz="8" w:space="0" w:color="auto"/>
      </w:pBdr>
      <w:spacing w:before="100" w:beforeAutospacing="1" w:after="100" w:afterAutospacing="1"/>
    </w:pPr>
    <w:rPr>
      <w:rFonts w:ascii="Arial" w:eastAsia="Times New Roman" w:hAnsi="Arial" w:cs="Arial"/>
      <w:sz w:val="24"/>
      <w:szCs w:val="24"/>
      <w:lang w:val="ro-RO" w:eastAsia="ro-RO"/>
    </w:rPr>
  </w:style>
  <w:style w:type="paragraph" w:customStyle="1" w:styleId="xl409">
    <w:name w:val="xl409"/>
    <w:basedOn w:val="Normal"/>
    <w:rsid w:val="003037CC"/>
    <w:pPr>
      <w:pBdr>
        <w:top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410">
    <w:name w:val="xl410"/>
    <w:basedOn w:val="Normal"/>
    <w:rsid w:val="003037C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lang w:val="ro-RO" w:eastAsia="ro-RO"/>
    </w:rPr>
  </w:style>
  <w:style w:type="table" w:styleId="TableGrid">
    <w:name w:val="Table Grid"/>
    <w:basedOn w:val="TableNormal"/>
    <w:locked/>
    <w:rsid w:val="00303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CA7417"/>
    <w:rPr>
      <w:rFonts w:asciiTheme="majorHAnsi" w:eastAsiaTheme="majorEastAsia" w:hAnsiTheme="majorHAnsi" w:cstheme="majorBidi"/>
      <w:color w:val="2E74B5" w:themeColor="accent1" w:themeShade="BF"/>
      <w:sz w:val="26"/>
      <w:szCs w:val="26"/>
      <w:lang w:val="en-US" w:eastAsia="en-US"/>
    </w:rPr>
  </w:style>
  <w:style w:type="paragraph" w:styleId="NormalWeb">
    <w:name w:val="Normal (Web)"/>
    <w:basedOn w:val="Normal"/>
    <w:rsid w:val="00484DA4"/>
    <w:pPr>
      <w:suppressAutoHyphens/>
      <w:spacing w:before="280" w:after="280"/>
    </w:pPr>
    <w:rPr>
      <w:rFonts w:ascii="Times New Roman" w:eastAsia="Times New Roman" w:hAnsi="Times New Roman" w:cs="Times New Roman"/>
      <w:color w:val="000000"/>
      <w:sz w:val="24"/>
      <w:szCs w:val="24"/>
      <w:lang w:eastAsia="zh-CN"/>
    </w:rPr>
  </w:style>
  <w:style w:type="character" w:styleId="BookTitle">
    <w:name w:val="Book Title"/>
    <w:basedOn w:val="DefaultParagraphFont"/>
    <w:uiPriority w:val="33"/>
    <w:qFormat/>
    <w:rsid w:val="00C94F9E"/>
    <w:rPr>
      <w:b/>
      <w:bCs/>
      <w:i/>
      <w:iCs/>
      <w:spacing w:val="5"/>
    </w:rPr>
  </w:style>
  <w:style w:type="character" w:styleId="PlaceholderText">
    <w:name w:val="Placeholder Text"/>
    <w:basedOn w:val="DefaultParagraphFont"/>
    <w:uiPriority w:val="99"/>
    <w:semiHidden/>
    <w:rsid w:val="00C94F9E"/>
    <w:rPr>
      <w:color w:val="808080"/>
    </w:rPr>
  </w:style>
  <w:style w:type="paragraph" w:styleId="NoSpacing">
    <w:name w:val="No Spacing"/>
    <w:link w:val="NoSpacingChar"/>
    <w:uiPriority w:val="1"/>
    <w:qFormat/>
    <w:rsid w:val="00C94F9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94F9E"/>
    <w:rPr>
      <w:rFonts w:asciiTheme="minorHAnsi" w:eastAsiaTheme="minorEastAsia" w:hAnsiTheme="minorHAnsi" w:cstheme="minorBidi"/>
      <w:sz w:val="22"/>
      <w:szCs w:val="22"/>
      <w:lang w:val="en-US" w:eastAsia="en-US"/>
    </w:rPr>
  </w:style>
  <w:style w:type="paragraph" w:customStyle="1" w:styleId="Caracter2CharCharCaracterCharCharCaracterCharCharCaracterCharChar0">
    <w:name w:val="Caracter2 Char Char Caracter Char Char Caracter Char Char Caracter Char Char"/>
    <w:basedOn w:val="Normal"/>
    <w:rsid w:val="00773CC8"/>
    <w:rPr>
      <w:rFonts w:ascii="Times New Roman" w:eastAsia="Times New Roman" w:hAnsi="Times New Roman" w:cs="Times New Roman"/>
      <w:sz w:val="24"/>
      <w:szCs w:val="24"/>
      <w:lang w:val="pl-PL" w:eastAsia="pl-PL"/>
    </w:rPr>
  </w:style>
  <w:style w:type="paragraph" w:customStyle="1" w:styleId="SUPERSChar1">
    <w:name w:val="SUPERS Char1"/>
    <w:basedOn w:val="Normal"/>
    <w:next w:val="Normal"/>
    <w:uiPriority w:val="99"/>
    <w:rsid w:val="00845851"/>
    <w:pPr>
      <w:suppressAutoHyphens/>
      <w:spacing w:after="160" w:line="240" w:lineRule="exact"/>
    </w:pPr>
    <w:rPr>
      <w:rFonts w:cs="Times New Roman"/>
      <w:sz w:val="20"/>
      <w:szCs w:val="20"/>
      <w:vertAlign w:val="superscript"/>
      <w:lang w:val="ro-RO" w:eastAsia="ro-RO"/>
    </w:rPr>
  </w:style>
  <w:style w:type="table" w:customStyle="1" w:styleId="TableGrid13">
    <w:name w:val="Table Grid13"/>
    <w:basedOn w:val="TableNormal"/>
    <w:next w:val="TableGrid"/>
    <w:uiPriority w:val="39"/>
    <w:rsid w:val="00EC6DF4"/>
    <w:rPr>
      <w:rFonts w:ascii="Liberation Serif" w:eastAsia="SimSun" w:hAnsi="Liberation Serif"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acter2CharCharCaracterCharCharCaracterCharCharCaracterCharChar1">
    <w:name w:val="Caracter2 Char Char Caracter Char Char Caracter Char Char Caracter Char Char"/>
    <w:basedOn w:val="Normal"/>
    <w:rsid w:val="00EC6A6E"/>
    <w:rPr>
      <w:rFonts w:ascii="Times New Roman" w:eastAsia="Times New Roman" w:hAnsi="Times New Roman" w:cs="Times New Roman"/>
      <w:sz w:val="24"/>
      <w:szCs w:val="24"/>
      <w:lang w:val="pl-PL" w:eastAsia="pl-PL"/>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8322CB"/>
    <w:rPr>
      <w:rFonts w:eastAsia="Calibri"/>
      <w:lang w:val="en-GB" w:eastAsia="zh-CN"/>
    </w:rPr>
  </w:style>
  <w:style w:type="paragraph" w:customStyle="1" w:styleId="Caracter2CharCharCaracterCharCharCaracterCharCharCaracterCharChar2">
    <w:name w:val="Caracter2 Char Char Caracter Char Char Caracter Char Char Caracter Char Char"/>
    <w:basedOn w:val="Normal"/>
    <w:rsid w:val="002F37D3"/>
    <w:rPr>
      <w:rFonts w:ascii="Times New Roman" w:eastAsia="Times New Roman" w:hAnsi="Times New Roman" w:cs="Times New Roman"/>
      <w:sz w:val="24"/>
      <w:szCs w:val="24"/>
      <w:lang w:val="pl-PL" w:eastAsia="pl-PL"/>
    </w:rPr>
  </w:style>
  <w:style w:type="character" w:styleId="LineNumber">
    <w:name w:val="line number"/>
    <w:basedOn w:val="DefaultParagraphFont"/>
    <w:rsid w:val="00123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0"/>
          <w:marBottom w:val="384"/>
          <w:divBdr>
            <w:top w:val="none" w:sz="0" w:space="0" w:color="auto"/>
            <w:left w:val="none" w:sz="0" w:space="0" w:color="auto"/>
            <w:bottom w:val="none" w:sz="0" w:space="0" w:color="auto"/>
            <w:right w:val="none" w:sz="0" w:space="0" w:color="auto"/>
          </w:divBdr>
        </w:div>
        <w:div w:id="9">
          <w:marLeft w:val="547"/>
          <w:marRight w:val="0"/>
          <w:marTop w:val="0"/>
          <w:marBottom w:val="384"/>
          <w:divBdr>
            <w:top w:val="none" w:sz="0" w:space="0" w:color="auto"/>
            <w:left w:val="none" w:sz="0" w:space="0" w:color="auto"/>
            <w:bottom w:val="none" w:sz="0" w:space="0" w:color="auto"/>
            <w:right w:val="none" w:sz="0" w:space="0" w:color="auto"/>
          </w:divBdr>
        </w:div>
        <w:div w:id="12">
          <w:marLeft w:val="547"/>
          <w:marRight w:val="0"/>
          <w:marTop w:val="0"/>
          <w:marBottom w:val="384"/>
          <w:divBdr>
            <w:top w:val="none" w:sz="0" w:space="0" w:color="auto"/>
            <w:left w:val="none" w:sz="0" w:space="0" w:color="auto"/>
            <w:bottom w:val="none" w:sz="0" w:space="0" w:color="auto"/>
            <w:right w:val="none" w:sz="0" w:space="0" w:color="auto"/>
          </w:divBdr>
        </w:div>
        <w:div w:id="14">
          <w:marLeft w:val="547"/>
          <w:marRight w:val="0"/>
          <w:marTop w:val="0"/>
          <w:marBottom w:val="384"/>
          <w:divBdr>
            <w:top w:val="none" w:sz="0" w:space="0" w:color="auto"/>
            <w:left w:val="none" w:sz="0" w:space="0" w:color="auto"/>
            <w:bottom w:val="none" w:sz="0" w:space="0" w:color="auto"/>
            <w:right w:val="none" w:sz="0" w:space="0" w:color="auto"/>
          </w:divBdr>
        </w:div>
        <w:div w:id="15">
          <w:marLeft w:val="547"/>
          <w:marRight w:val="0"/>
          <w:marTop w:val="0"/>
          <w:marBottom w:val="384"/>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9574651">
      <w:bodyDiv w:val="1"/>
      <w:marLeft w:val="0"/>
      <w:marRight w:val="0"/>
      <w:marTop w:val="0"/>
      <w:marBottom w:val="0"/>
      <w:divBdr>
        <w:top w:val="none" w:sz="0" w:space="0" w:color="auto"/>
        <w:left w:val="none" w:sz="0" w:space="0" w:color="auto"/>
        <w:bottom w:val="none" w:sz="0" w:space="0" w:color="auto"/>
        <w:right w:val="none" w:sz="0" w:space="0" w:color="auto"/>
      </w:divBdr>
    </w:div>
    <w:div w:id="37896067">
      <w:bodyDiv w:val="1"/>
      <w:marLeft w:val="0"/>
      <w:marRight w:val="0"/>
      <w:marTop w:val="0"/>
      <w:marBottom w:val="0"/>
      <w:divBdr>
        <w:top w:val="none" w:sz="0" w:space="0" w:color="auto"/>
        <w:left w:val="none" w:sz="0" w:space="0" w:color="auto"/>
        <w:bottom w:val="none" w:sz="0" w:space="0" w:color="auto"/>
        <w:right w:val="none" w:sz="0" w:space="0" w:color="auto"/>
      </w:divBdr>
    </w:div>
    <w:div w:id="137651252">
      <w:bodyDiv w:val="1"/>
      <w:marLeft w:val="0"/>
      <w:marRight w:val="0"/>
      <w:marTop w:val="0"/>
      <w:marBottom w:val="0"/>
      <w:divBdr>
        <w:top w:val="none" w:sz="0" w:space="0" w:color="auto"/>
        <w:left w:val="none" w:sz="0" w:space="0" w:color="auto"/>
        <w:bottom w:val="none" w:sz="0" w:space="0" w:color="auto"/>
        <w:right w:val="none" w:sz="0" w:space="0" w:color="auto"/>
      </w:divBdr>
    </w:div>
    <w:div w:id="149910505">
      <w:bodyDiv w:val="1"/>
      <w:marLeft w:val="0"/>
      <w:marRight w:val="0"/>
      <w:marTop w:val="0"/>
      <w:marBottom w:val="0"/>
      <w:divBdr>
        <w:top w:val="none" w:sz="0" w:space="0" w:color="auto"/>
        <w:left w:val="none" w:sz="0" w:space="0" w:color="auto"/>
        <w:bottom w:val="none" w:sz="0" w:space="0" w:color="auto"/>
        <w:right w:val="none" w:sz="0" w:space="0" w:color="auto"/>
      </w:divBdr>
    </w:div>
    <w:div w:id="152919708">
      <w:bodyDiv w:val="1"/>
      <w:marLeft w:val="0"/>
      <w:marRight w:val="0"/>
      <w:marTop w:val="0"/>
      <w:marBottom w:val="0"/>
      <w:divBdr>
        <w:top w:val="none" w:sz="0" w:space="0" w:color="auto"/>
        <w:left w:val="none" w:sz="0" w:space="0" w:color="auto"/>
        <w:bottom w:val="none" w:sz="0" w:space="0" w:color="auto"/>
        <w:right w:val="none" w:sz="0" w:space="0" w:color="auto"/>
      </w:divBdr>
    </w:div>
    <w:div w:id="221992115">
      <w:bodyDiv w:val="1"/>
      <w:marLeft w:val="0"/>
      <w:marRight w:val="0"/>
      <w:marTop w:val="0"/>
      <w:marBottom w:val="0"/>
      <w:divBdr>
        <w:top w:val="none" w:sz="0" w:space="0" w:color="auto"/>
        <w:left w:val="none" w:sz="0" w:space="0" w:color="auto"/>
        <w:bottom w:val="none" w:sz="0" w:space="0" w:color="auto"/>
        <w:right w:val="none" w:sz="0" w:space="0" w:color="auto"/>
      </w:divBdr>
    </w:div>
    <w:div w:id="234627537">
      <w:bodyDiv w:val="1"/>
      <w:marLeft w:val="0"/>
      <w:marRight w:val="0"/>
      <w:marTop w:val="0"/>
      <w:marBottom w:val="0"/>
      <w:divBdr>
        <w:top w:val="none" w:sz="0" w:space="0" w:color="auto"/>
        <w:left w:val="none" w:sz="0" w:space="0" w:color="auto"/>
        <w:bottom w:val="none" w:sz="0" w:space="0" w:color="auto"/>
        <w:right w:val="none" w:sz="0" w:space="0" w:color="auto"/>
      </w:divBdr>
      <w:divsChild>
        <w:div w:id="1409383838">
          <w:marLeft w:val="2520"/>
          <w:marRight w:val="0"/>
          <w:marTop w:val="67"/>
          <w:marBottom w:val="0"/>
          <w:divBdr>
            <w:top w:val="none" w:sz="0" w:space="0" w:color="auto"/>
            <w:left w:val="none" w:sz="0" w:space="0" w:color="auto"/>
            <w:bottom w:val="none" w:sz="0" w:space="0" w:color="auto"/>
            <w:right w:val="none" w:sz="0" w:space="0" w:color="auto"/>
          </w:divBdr>
        </w:div>
        <w:div w:id="1736732594">
          <w:marLeft w:val="2520"/>
          <w:marRight w:val="0"/>
          <w:marTop w:val="67"/>
          <w:marBottom w:val="0"/>
          <w:divBdr>
            <w:top w:val="none" w:sz="0" w:space="0" w:color="auto"/>
            <w:left w:val="none" w:sz="0" w:space="0" w:color="auto"/>
            <w:bottom w:val="none" w:sz="0" w:space="0" w:color="auto"/>
            <w:right w:val="none" w:sz="0" w:space="0" w:color="auto"/>
          </w:divBdr>
        </w:div>
        <w:div w:id="569383792">
          <w:marLeft w:val="2520"/>
          <w:marRight w:val="0"/>
          <w:marTop w:val="67"/>
          <w:marBottom w:val="0"/>
          <w:divBdr>
            <w:top w:val="none" w:sz="0" w:space="0" w:color="auto"/>
            <w:left w:val="none" w:sz="0" w:space="0" w:color="auto"/>
            <w:bottom w:val="none" w:sz="0" w:space="0" w:color="auto"/>
            <w:right w:val="none" w:sz="0" w:space="0" w:color="auto"/>
          </w:divBdr>
        </w:div>
        <w:div w:id="894123529">
          <w:marLeft w:val="2520"/>
          <w:marRight w:val="0"/>
          <w:marTop w:val="67"/>
          <w:marBottom w:val="0"/>
          <w:divBdr>
            <w:top w:val="none" w:sz="0" w:space="0" w:color="auto"/>
            <w:left w:val="none" w:sz="0" w:space="0" w:color="auto"/>
            <w:bottom w:val="none" w:sz="0" w:space="0" w:color="auto"/>
            <w:right w:val="none" w:sz="0" w:space="0" w:color="auto"/>
          </w:divBdr>
        </w:div>
        <w:div w:id="844512415">
          <w:marLeft w:val="2520"/>
          <w:marRight w:val="0"/>
          <w:marTop w:val="67"/>
          <w:marBottom w:val="0"/>
          <w:divBdr>
            <w:top w:val="none" w:sz="0" w:space="0" w:color="auto"/>
            <w:left w:val="none" w:sz="0" w:space="0" w:color="auto"/>
            <w:bottom w:val="none" w:sz="0" w:space="0" w:color="auto"/>
            <w:right w:val="none" w:sz="0" w:space="0" w:color="auto"/>
          </w:divBdr>
        </w:div>
        <w:div w:id="755828454">
          <w:marLeft w:val="2520"/>
          <w:marRight w:val="0"/>
          <w:marTop w:val="67"/>
          <w:marBottom w:val="0"/>
          <w:divBdr>
            <w:top w:val="none" w:sz="0" w:space="0" w:color="auto"/>
            <w:left w:val="none" w:sz="0" w:space="0" w:color="auto"/>
            <w:bottom w:val="none" w:sz="0" w:space="0" w:color="auto"/>
            <w:right w:val="none" w:sz="0" w:space="0" w:color="auto"/>
          </w:divBdr>
        </w:div>
        <w:div w:id="2009095235">
          <w:marLeft w:val="2520"/>
          <w:marRight w:val="0"/>
          <w:marTop w:val="67"/>
          <w:marBottom w:val="0"/>
          <w:divBdr>
            <w:top w:val="none" w:sz="0" w:space="0" w:color="auto"/>
            <w:left w:val="none" w:sz="0" w:space="0" w:color="auto"/>
            <w:bottom w:val="none" w:sz="0" w:space="0" w:color="auto"/>
            <w:right w:val="none" w:sz="0" w:space="0" w:color="auto"/>
          </w:divBdr>
        </w:div>
      </w:divsChild>
    </w:div>
    <w:div w:id="242959769">
      <w:bodyDiv w:val="1"/>
      <w:marLeft w:val="0"/>
      <w:marRight w:val="0"/>
      <w:marTop w:val="0"/>
      <w:marBottom w:val="0"/>
      <w:divBdr>
        <w:top w:val="none" w:sz="0" w:space="0" w:color="auto"/>
        <w:left w:val="none" w:sz="0" w:space="0" w:color="auto"/>
        <w:bottom w:val="none" w:sz="0" w:space="0" w:color="auto"/>
        <w:right w:val="none" w:sz="0" w:space="0" w:color="auto"/>
      </w:divBdr>
    </w:div>
    <w:div w:id="269631243">
      <w:bodyDiv w:val="1"/>
      <w:marLeft w:val="0"/>
      <w:marRight w:val="0"/>
      <w:marTop w:val="0"/>
      <w:marBottom w:val="0"/>
      <w:divBdr>
        <w:top w:val="none" w:sz="0" w:space="0" w:color="auto"/>
        <w:left w:val="none" w:sz="0" w:space="0" w:color="auto"/>
        <w:bottom w:val="none" w:sz="0" w:space="0" w:color="auto"/>
        <w:right w:val="none" w:sz="0" w:space="0" w:color="auto"/>
      </w:divBdr>
    </w:div>
    <w:div w:id="269749950">
      <w:bodyDiv w:val="1"/>
      <w:marLeft w:val="0"/>
      <w:marRight w:val="0"/>
      <w:marTop w:val="0"/>
      <w:marBottom w:val="0"/>
      <w:divBdr>
        <w:top w:val="none" w:sz="0" w:space="0" w:color="auto"/>
        <w:left w:val="none" w:sz="0" w:space="0" w:color="auto"/>
        <w:bottom w:val="none" w:sz="0" w:space="0" w:color="auto"/>
        <w:right w:val="none" w:sz="0" w:space="0" w:color="auto"/>
      </w:divBdr>
    </w:div>
    <w:div w:id="314990100">
      <w:bodyDiv w:val="1"/>
      <w:marLeft w:val="0"/>
      <w:marRight w:val="0"/>
      <w:marTop w:val="0"/>
      <w:marBottom w:val="0"/>
      <w:divBdr>
        <w:top w:val="none" w:sz="0" w:space="0" w:color="auto"/>
        <w:left w:val="none" w:sz="0" w:space="0" w:color="auto"/>
        <w:bottom w:val="none" w:sz="0" w:space="0" w:color="auto"/>
        <w:right w:val="none" w:sz="0" w:space="0" w:color="auto"/>
      </w:divBdr>
    </w:div>
    <w:div w:id="337080484">
      <w:bodyDiv w:val="1"/>
      <w:marLeft w:val="0"/>
      <w:marRight w:val="0"/>
      <w:marTop w:val="0"/>
      <w:marBottom w:val="0"/>
      <w:divBdr>
        <w:top w:val="none" w:sz="0" w:space="0" w:color="auto"/>
        <w:left w:val="none" w:sz="0" w:space="0" w:color="auto"/>
        <w:bottom w:val="none" w:sz="0" w:space="0" w:color="auto"/>
        <w:right w:val="none" w:sz="0" w:space="0" w:color="auto"/>
      </w:divBdr>
    </w:div>
    <w:div w:id="372929122">
      <w:bodyDiv w:val="1"/>
      <w:marLeft w:val="0"/>
      <w:marRight w:val="0"/>
      <w:marTop w:val="0"/>
      <w:marBottom w:val="0"/>
      <w:divBdr>
        <w:top w:val="none" w:sz="0" w:space="0" w:color="auto"/>
        <w:left w:val="none" w:sz="0" w:space="0" w:color="auto"/>
        <w:bottom w:val="none" w:sz="0" w:space="0" w:color="auto"/>
        <w:right w:val="none" w:sz="0" w:space="0" w:color="auto"/>
      </w:divBdr>
    </w:div>
    <w:div w:id="419260500">
      <w:bodyDiv w:val="1"/>
      <w:marLeft w:val="0"/>
      <w:marRight w:val="0"/>
      <w:marTop w:val="0"/>
      <w:marBottom w:val="0"/>
      <w:divBdr>
        <w:top w:val="none" w:sz="0" w:space="0" w:color="auto"/>
        <w:left w:val="none" w:sz="0" w:space="0" w:color="auto"/>
        <w:bottom w:val="none" w:sz="0" w:space="0" w:color="auto"/>
        <w:right w:val="none" w:sz="0" w:space="0" w:color="auto"/>
      </w:divBdr>
    </w:div>
    <w:div w:id="420417996">
      <w:bodyDiv w:val="1"/>
      <w:marLeft w:val="0"/>
      <w:marRight w:val="0"/>
      <w:marTop w:val="0"/>
      <w:marBottom w:val="0"/>
      <w:divBdr>
        <w:top w:val="none" w:sz="0" w:space="0" w:color="auto"/>
        <w:left w:val="none" w:sz="0" w:space="0" w:color="auto"/>
        <w:bottom w:val="none" w:sz="0" w:space="0" w:color="auto"/>
        <w:right w:val="none" w:sz="0" w:space="0" w:color="auto"/>
      </w:divBdr>
    </w:div>
    <w:div w:id="424959030">
      <w:bodyDiv w:val="1"/>
      <w:marLeft w:val="0"/>
      <w:marRight w:val="0"/>
      <w:marTop w:val="0"/>
      <w:marBottom w:val="0"/>
      <w:divBdr>
        <w:top w:val="none" w:sz="0" w:space="0" w:color="auto"/>
        <w:left w:val="none" w:sz="0" w:space="0" w:color="auto"/>
        <w:bottom w:val="none" w:sz="0" w:space="0" w:color="auto"/>
        <w:right w:val="none" w:sz="0" w:space="0" w:color="auto"/>
      </w:divBdr>
      <w:divsChild>
        <w:div w:id="1958835302">
          <w:marLeft w:val="446"/>
          <w:marRight w:val="0"/>
          <w:marTop w:val="0"/>
          <w:marBottom w:val="0"/>
          <w:divBdr>
            <w:top w:val="none" w:sz="0" w:space="0" w:color="auto"/>
            <w:left w:val="none" w:sz="0" w:space="0" w:color="auto"/>
            <w:bottom w:val="none" w:sz="0" w:space="0" w:color="auto"/>
            <w:right w:val="none" w:sz="0" w:space="0" w:color="auto"/>
          </w:divBdr>
        </w:div>
        <w:div w:id="99106666">
          <w:marLeft w:val="446"/>
          <w:marRight w:val="0"/>
          <w:marTop w:val="0"/>
          <w:marBottom w:val="0"/>
          <w:divBdr>
            <w:top w:val="none" w:sz="0" w:space="0" w:color="auto"/>
            <w:left w:val="none" w:sz="0" w:space="0" w:color="auto"/>
            <w:bottom w:val="none" w:sz="0" w:space="0" w:color="auto"/>
            <w:right w:val="none" w:sz="0" w:space="0" w:color="auto"/>
          </w:divBdr>
        </w:div>
        <w:div w:id="340402518">
          <w:marLeft w:val="446"/>
          <w:marRight w:val="0"/>
          <w:marTop w:val="0"/>
          <w:marBottom w:val="0"/>
          <w:divBdr>
            <w:top w:val="none" w:sz="0" w:space="0" w:color="auto"/>
            <w:left w:val="none" w:sz="0" w:space="0" w:color="auto"/>
            <w:bottom w:val="none" w:sz="0" w:space="0" w:color="auto"/>
            <w:right w:val="none" w:sz="0" w:space="0" w:color="auto"/>
          </w:divBdr>
        </w:div>
        <w:div w:id="147985801">
          <w:marLeft w:val="446"/>
          <w:marRight w:val="0"/>
          <w:marTop w:val="0"/>
          <w:marBottom w:val="0"/>
          <w:divBdr>
            <w:top w:val="none" w:sz="0" w:space="0" w:color="auto"/>
            <w:left w:val="none" w:sz="0" w:space="0" w:color="auto"/>
            <w:bottom w:val="none" w:sz="0" w:space="0" w:color="auto"/>
            <w:right w:val="none" w:sz="0" w:space="0" w:color="auto"/>
          </w:divBdr>
        </w:div>
        <w:div w:id="871655358">
          <w:marLeft w:val="446"/>
          <w:marRight w:val="0"/>
          <w:marTop w:val="0"/>
          <w:marBottom w:val="0"/>
          <w:divBdr>
            <w:top w:val="none" w:sz="0" w:space="0" w:color="auto"/>
            <w:left w:val="none" w:sz="0" w:space="0" w:color="auto"/>
            <w:bottom w:val="none" w:sz="0" w:space="0" w:color="auto"/>
            <w:right w:val="none" w:sz="0" w:space="0" w:color="auto"/>
          </w:divBdr>
        </w:div>
      </w:divsChild>
    </w:div>
    <w:div w:id="426311984">
      <w:bodyDiv w:val="1"/>
      <w:marLeft w:val="0"/>
      <w:marRight w:val="0"/>
      <w:marTop w:val="0"/>
      <w:marBottom w:val="0"/>
      <w:divBdr>
        <w:top w:val="none" w:sz="0" w:space="0" w:color="auto"/>
        <w:left w:val="none" w:sz="0" w:space="0" w:color="auto"/>
        <w:bottom w:val="none" w:sz="0" w:space="0" w:color="auto"/>
        <w:right w:val="none" w:sz="0" w:space="0" w:color="auto"/>
      </w:divBdr>
    </w:div>
    <w:div w:id="526792983">
      <w:bodyDiv w:val="1"/>
      <w:marLeft w:val="0"/>
      <w:marRight w:val="0"/>
      <w:marTop w:val="0"/>
      <w:marBottom w:val="0"/>
      <w:divBdr>
        <w:top w:val="none" w:sz="0" w:space="0" w:color="auto"/>
        <w:left w:val="none" w:sz="0" w:space="0" w:color="auto"/>
        <w:bottom w:val="none" w:sz="0" w:space="0" w:color="auto"/>
        <w:right w:val="none" w:sz="0" w:space="0" w:color="auto"/>
      </w:divBdr>
    </w:div>
    <w:div w:id="613705969">
      <w:bodyDiv w:val="1"/>
      <w:marLeft w:val="0"/>
      <w:marRight w:val="0"/>
      <w:marTop w:val="0"/>
      <w:marBottom w:val="0"/>
      <w:divBdr>
        <w:top w:val="none" w:sz="0" w:space="0" w:color="auto"/>
        <w:left w:val="none" w:sz="0" w:space="0" w:color="auto"/>
        <w:bottom w:val="none" w:sz="0" w:space="0" w:color="auto"/>
        <w:right w:val="none" w:sz="0" w:space="0" w:color="auto"/>
      </w:divBdr>
    </w:div>
    <w:div w:id="668869036">
      <w:bodyDiv w:val="1"/>
      <w:marLeft w:val="0"/>
      <w:marRight w:val="0"/>
      <w:marTop w:val="0"/>
      <w:marBottom w:val="0"/>
      <w:divBdr>
        <w:top w:val="none" w:sz="0" w:space="0" w:color="auto"/>
        <w:left w:val="none" w:sz="0" w:space="0" w:color="auto"/>
        <w:bottom w:val="none" w:sz="0" w:space="0" w:color="auto"/>
        <w:right w:val="none" w:sz="0" w:space="0" w:color="auto"/>
      </w:divBdr>
      <w:divsChild>
        <w:div w:id="25453774">
          <w:marLeft w:val="360"/>
          <w:marRight w:val="0"/>
          <w:marTop w:val="120"/>
          <w:marBottom w:val="120"/>
          <w:divBdr>
            <w:top w:val="none" w:sz="0" w:space="0" w:color="auto"/>
            <w:left w:val="none" w:sz="0" w:space="0" w:color="auto"/>
            <w:bottom w:val="none" w:sz="0" w:space="0" w:color="auto"/>
            <w:right w:val="none" w:sz="0" w:space="0" w:color="auto"/>
          </w:divBdr>
        </w:div>
        <w:div w:id="191378791">
          <w:marLeft w:val="1080"/>
          <w:marRight w:val="0"/>
          <w:marTop w:val="120"/>
          <w:marBottom w:val="120"/>
          <w:divBdr>
            <w:top w:val="none" w:sz="0" w:space="0" w:color="auto"/>
            <w:left w:val="none" w:sz="0" w:space="0" w:color="auto"/>
            <w:bottom w:val="none" w:sz="0" w:space="0" w:color="auto"/>
            <w:right w:val="none" w:sz="0" w:space="0" w:color="auto"/>
          </w:divBdr>
        </w:div>
        <w:div w:id="1003973687">
          <w:marLeft w:val="1080"/>
          <w:marRight w:val="0"/>
          <w:marTop w:val="120"/>
          <w:marBottom w:val="120"/>
          <w:divBdr>
            <w:top w:val="none" w:sz="0" w:space="0" w:color="auto"/>
            <w:left w:val="none" w:sz="0" w:space="0" w:color="auto"/>
            <w:bottom w:val="none" w:sz="0" w:space="0" w:color="auto"/>
            <w:right w:val="none" w:sz="0" w:space="0" w:color="auto"/>
          </w:divBdr>
        </w:div>
      </w:divsChild>
    </w:div>
    <w:div w:id="757600555">
      <w:bodyDiv w:val="1"/>
      <w:marLeft w:val="0"/>
      <w:marRight w:val="0"/>
      <w:marTop w:val="0"/>
      <w:marBottom w:val="0"/>
      <w:divBdr>
        <w:top w:val="none" w:sz="0" w:space="0" w:color="auto"/>
        <w:left w:val="none" w:sz="0" w:space="0" w:color="auto"/>
        <w:bottom w:val="none" w:sz="0" w:space="0" w:color="auto"/>
        <w:right w:val="none" w:sz="0" w:space="0" w:color="auto"/>
      </w:divBdr>
    </w:div>
    <w:div w:id="777414267">
      <w:bodyDiv w:val="1"/>
      <w:marLeft w:val="0"/>
      <w:marRight w:val="0"/>
      <w:marTop w:val="0"/>
      <w:marBottom w:val="0"/>
      <w:divBdr>
        <w:top w:val="none" w:sz="0" w:space="0" w:color="auto"/>
        <w:left w:val="none" w:sz="0" w:space="0" w:color="auto"/>
        <w:bottom w:val="none" w:sz="0" w:space="0" w:color="auto"/>
        <w:right w:val="none" w:sz="0" w:space="0" w:color="auto"/>
      </w:divBdr>
    </w:div>
    <w:div w:id="857238523">
      <w:bodyDiv w:val="1"/>
      <w:marLeft w:val="0"/>
      <w:marRight w:val="0"/>
      <w:marTop w:val="0"/>
      <w:marBottom w:val="0"/>
      <w:divBdr>
        <w:top w:val="none" w:sz="0" w:space="0" w:color="auto"/>
        <w:left w:val="none" w:sz="0" w:space="0" w:color="auto"/>
        <w:bottom w:val="none" w:sz="0" w:space="0" w:color="auto"/>
        <w:right w:val="none" w:sz="0" w:space="0" w:color="auto"/>
      </w:divBdr>
    </w:div>
    <w:div w:id="865098009">
      <w:bodyDiv w:val="1"/>
      <w:marLeft w:val="0"/>
      <w:marRight w:val="0"/>
      <w:marTop w:val="0"/>
      <w:marBottom w:val="0"/>
      <w:divBdr>
        <w:top w:val="none" w:sz="0" w:space="0" w:color="auto"/>
        <w:left w:val="none" w:sz="0" w:space="0" w:color="auto"/>
        <w:bottom w:val="none" w:sz="0" w:space="0" w:color="auto"/>
        <w:right w:val="none" w:sz="0" w:space="0" w:color="auto"/>
      </w:divBdr>
    </w:div>
    <w:div w:id="899369188">
      <w:bodyDiv w:val="1"/>
      <w:marLeft w:val="0"/>
      <w:marRight w:val="0"/>
      <w:marTop w:val="0"/>
      <w:marBottom w:val="0"/>
      <w:divBdr>
        <w:top w:val="none" w:sz="0" w:space="0" w:color="auto"/>
        <w:left w:val="none" w:sz="0" w:space="0" w:color="auto"/>
        <w:bottom w:val="none" w:sz="0" w:space="0" w:color="auto"/>
        <w:right w:val="none" w:sz="0" w:space="0" w:color="auto"/>
      </w:divBdr>
    </w:div>
    <w:div w:id="933242041">
      <w:bodyDiv w:val="1"/>
      <w:marLeft w:val="0"/>
      <w:marRight w:val="0"/>
      <w:marTop w:val="0"/>
      <w:marBottom w:val="0"/>
      <w:divBdr>
        <w:top w:val="none" w:sz="0" w:space="0" w:color="auto"/>
        <w:left w:val="none" w:sz="0" w:space="0" w:color="auto"/>
        <w:bottom w:val="none" w:sz="0" w:space="0" w:color="auto"/>
        <w:right w:val="none" w:sz="0" w:space="0" w:color="auto"/>
      </w:divBdr>
    </w:div>
    <w:div w:id="937298405">
      <w:bodyDiv w:val="1"/>
      <w:marLeft w:val="0"/>
      <w:marRight w:val="0"/>
      <w:marTop w:val="0"/>
      <w:marBottom w:val="0"/>
      <w:divBdr>
        <w:top w:val="none" w:sz="0" w:space="0" w:color="auto"/>
        <w:left w:val="none" w:sz="0" w:space="0" w:color="auto"/>
        <w:bottom w:val="none" w:sz="0" w:space="0" w:color="auto"/>
        <w:right w:val="none" w:sz="0" w:space="0" w:color="auto"/>
      </w:divBdr>
    </w:div>
    <w:div w:id="960384150">
      <w:bodyDiv w:val="1"/>
      <w:marLeft w:val="0"/>
      <w:marRight w:val="0"/>
      <w:marTop w:val="0"/>
      <w:marBottom w:val="0"/>
      <w:divBdr>
        <w:top w:val="none" w:sz="0" w:space="0" w:color="auto"/>
        <w:left w:val="none" w:sz="0" w:space="0" w:color="auto"/>
        <w:bottom w:val="none" w:sz="0" w:space="0" w:color="auto"/>
        <w:right w:val="none" w:sz="0" w:space="0" w:color="auto"/>
      </w:divBdr>
    </w:div>
    <w:div w:id="970751414">
      <w:bodyDiv w:val="1"/>
      <w:marLeft w:val="0"/>
      <w:marRight w:val="0"/>
      <w:marTop w:val="0"/>
      <w:marBottom w:val="0"/>
      <w:divBdr>
        <w:top w:val="none" w:sz="0" w:space="0" w:color="auto"/>
        <w:left w:val="none" w:sz="0" w:space="0" w:color="auto"/>
        <w:bottom w:val="none" w:sz="0" w:space="0" w:color="auto"/>
        <w:right w:val="none" w:sz="0" w:space="0" w:color="auto"/>
      </w:divBdr>
    </w:div>
    <w:div w:id="1000426054">
      <w:bodyDiv w:val="1"/>
      <w:marLeft w:val="0"/>
      <w:marRight w:val="0"/>
      <w:marTop w:val="0"/>
      <w:marBottom w:val="0"/>
      <w:divBdr>
        <w:top w:val="none" w:sz="0" w:space="0" w:color="auto"/>
        <w:left w:val="none" w:sz="0" w:space="0" w:color="auto"/>
        <w:bottom w:val="none" w:sz="0" w:space="0" w:color="auto"/>
        <w:right w:val="none" w:sz="0" w:space="0" w:color="auto"/>
      </w:divBdr>
    </w:div>
    <w:div w:id="1008019388">
      <w:bodyDiv w:val="1"/>
      <w:marLeft w:val="0"/>
      <w:marRight w:val="0"/>
      <w:marTop w:val="0"/>
      <w:marBottom w:val="0"/>
      <w:divBdr>
        <w:top w:val="none" w:sz="0" w:space="0" w:color="auto"/>
        <w:left w:val="none" w:sz="0" w:space="0" w:color="auto"/>
        <w:bottom w:val="none" w:sz="0" w:space="0" w:color="auto"/>
        <w:right w:val="none" w:sz="0" w:space="0" w:color="auto"/>
      </w:divBdr>
    </w:div>
    <w:div w:id="1021904908">
      <w:bodyDiv w:val="1"/>
      <w:marLeft w:val="0"/>
      <w:marRight w:val="0"/>
      <w:marTop w:val="0"/>
      <w:marBottom w:val="0"/>
      <w:divBdr>
        <w:top w:val="none" w:sz="0" w:space="0" w:color="auto"/>
        <w:left w:val="none" w:sz="0" w:space="0" w:color="auto"/>
        <w:bottom w:val="none" w:sz="0" w:space="0" w:color="auto"/>
        <w:right w:val="none" w:sz="0" w:space="0" w:color="auto"/>
      </w:divBdr>
    </w:div>
    <w:div w:id="1080325231">
      <w:bodyDiv w:val="1"/>
      <w:marLeft w:val="0"/>
      <w:marRight w:val="0"/>
      <w:marTop w:val="0"/>
      <w:marBottom w:val="0"/>
      <w:divBdr>
        <w:top w:val="none" w:sz="0" w:space="0" w:color="auto"/>
        <w:left w:val="none" w:sz="0" w:space="0" w:color="auto"/>
        <w:bottom w:val="none" w:sz="0" w:space="0" w:color="auto"/>
        <w:right w:val="none" w:sz="0" w:space="0" w:color="auto"/>
      </w:divBdr>
    </w:div>
    <w:div w:id="1101949984">
      <w:bodyDiv w:val="1"/>
      <w:marLeft w:val="0"/>
      <w:marRight w:val="0"/>
      <w:marTop w:val="0"/>
      <w:marBottom w:val="0"/>
      <w:divBdr>
        <w:top w:val="none" w:sz="0" w:space="0" w:color="auto"/>
        <w:left w:val="none" w:sz="0" w:space="0" w:color="auto"/>
        <w:bottom w:val="none" w:sz="0" w:space="0" w:color="auto"/>
        <w:right w:val="none" w:sz="0" w:space="0" w:color="auto"/>
      </w:divBdr>
    </w:div>
    <w:div w:id="1103379347">
      <w:bodyDiv w:val="1"/>
      <w:marLeft w:val="0"/>
      <w:marRight w:val="0"/>
      <w:marTop w:val="0"/>
      <w:marBottom w:val="0"/>
      <w:divBdr>
        <w:top w:val="none" w:sz="0" w:space="0" w:color="auto"/>
        <w:left w:val="none" w:sz="0" w:space="0" w:color="auto"/>
        <w:bottom w:val="none" w:sz="0" w:space="0" w:color="auto"/>
        <w:right w:val="none" w:sz="0" w:space="0" w:color="auto"/>
      </w:divBdr>
      <w:divsChild>
        <w:div w:id="287198327">
          <w:marLeft w:val="547"/>
          <w:marRight w:val="0"/>
          <w:marTop w:val="120"/>
          <w:marBottom w:val="120"/>
          <w:divBdr>
            <w:top w:val="none" w:sz="0" w:space="0" w:color="auto"/>
            <w:left w:val="none" w:sz="0" w:space="0" w:color="auto"/>
            <w:bottom w:val="none" w:sz="0" w:space="0" w:color="auto"/>
            <w:right w:val="none" w:sz="0" w:space="0" w:color="auto"/>
          </w:divBdr>
        </w:div>
        <w:div w:id="543176269">
          <w:marLeft w:val="547"/>
          <w:marRight w:val="0"/>
          <w:marTop w:val="120"/>
          <w:marBottom w:val="120"/>
          <w:divBdr>
            <w:top w:val="none" w:sz="0" w:space="0" w:color="auto"/>
            <w:left w:val="none" w:sz="0" w:space="0" w:color="auto"/>
            <w:bottom w:val="none" w:sz="0" w:space="0" w:color="auto"/>
            <w:right w:val="none" w:sz="0" w:space="0" w:color="auto"/>
          </w:divBdr>
        </w:div>
        <w:div w:id="1945074316">
          <w:marLeft w:val="547"/>
          <w:marRight w:val="0"/>
          <w:marTop w:val="120"/>
          <w:marBottom w:val="120"/>
          <w:divBdr>
            <w:top w:val="none" w:sz="0" w:space="0" w:color="auto"/>
            <w:left w:val="none" w:sz="0" w:space="0" w:color="auto"/>
            <w:bottom w:val="none" w:sz="0" w:space="0" w:color="auto"/>
            <w:right w:val="none" w:sz="0" w:space="0" w:color="auto"/>
          </w:divBdr>
        </w:div>
        <w:div w:id="2017074761">
          <w:marLeft w:val="547"/>
          <w:marRight w:val="0"/>
          <w:marTop w:val="120"/>
          <w:marBottom w:val="120"/>
          <w:divBdr>
            <w:top w:val="none" w:sz="0" w:space="0" w:color="auto"/>
            <w:left w:val="none" w:sz="0" w:space="0" w:color="auto"/>
            <w:bottom w:val="none" w:sz="0" w:space="0" w:color="auto"/>
            <w:right w:val="none" w:sz="0" w:space="0" w:color="auto"/>
          </w:divBdr>
        </w:div>
        <w:div w:id="15624969">
          <w:marLeft w:val="547"/>
          <w:marRight w:val="0"/>
          <w:marTop w:val="120"/>
          <w:marBottom w:val="120"/>
          <w:divBdr>
            <w:top w:val="none" w:sz="0" w:space="0" w:color="auto"/>
            <w:left w:val="none" w:sz="0" w:space="0" w:color="auto"/>
            <w:bottom w:val="none" w:sz="0" w:space="0" w:color="auto"/>
            <w:right w:val="none" w:sz="0" w:space="0" w:color="auto"/>
          </w:divBdr>
        </w:div>
        <w:div w:id="1748067085">
          <w:marLeft w:val="547"/>
          <w:marRight w:val="0"/>
          <w:marTop w:val="120"/>
          <w:marBottom w:val="120"/>
          <w:divBdr>
            <w:top w:val="none" w:sz="0" w:space="0" w:color="auto"/>
            <w:left w:val="none" w:sz="0" w:space="0" w:color="auto"/>
            <w:bottom w:val="none" w:sz="0" w:space="0" w:color="auto"/>
            <w:right w:val="none" w:sz="0" w:space="0" w:color="auto"/>
          </w:divBdr>
        </w:div>
        <w:div w:id="1195583873">
          <w:marLeft w:val="547"/>
          <w:marRight w:val="0"/>
          <w:marTop w:val="120"/>
          <w:marBottom w:val="120"/>
          <w:divBdr>
            <w:top w:val="none" w:sz="0" w:space="0" w:color="auto"/>
            <w:left w:val="none" w:sz="0" w:space="0" w:color="auto"/>
            <w:bottom w:val="none" w:sz="0" w:space="0" w:color="auto"/>
            <w:right w:val="none" w:sz="0" w:space="0" w:color="auto"/>
          </w:divBdr>
        </w:div>
      </w:divsChild>
    </w:div>
    <w:div w:id="1112434360">
      <w:bodyDiv w:val="1"/>
      <w:marLeft w:val="0"/>
      <w:marRight w:val="0"/>
      <w:marTop w:val="0"/>
      <w:marBottom w:val="0"/>
      <w:divBdr>
        <w:top w:val="none" w:sz="0" w:space="0" w:color="auto"/>
        <w:left w:val="none" w:sz="0" w:space="0" w:color="auto"/>
        <w:bottom w:val="none" w:sz="0" w:space="0" w:color="auto"/>
        <w:right w:val="none" w:sz="0" w:space="0" w:color="auto"/>
      </w:divBdr>
    </w:div>
    <w:div w:id="1155103913">
      <w:bodyDiv w:val="1"/>
      <w:marLeft w:val="0"/>
      <w:marRight w:val="0"/>
      <w:marTop w:val="0"/>
      <w:marBottom w:val="0"/>
      <w:divBdr>
        <w:top w:val="none" w:sz="0" w:space="0" w:color="auto"/>
        <w:left w:val="none" w:sz="0" w:space="0" w:color="auto"/>
        <w:bottom w:val="none" w:sz="0" w:space="0" w:color="auto"/>
        <w:right w:val="none" w:sz="0" w:space="0" w:color="auto"/>
      </w:divBdr>
      <w:divsChild>
        <w:div w:id="751968179">
          <w:marLeft w:val="547"/>
          <w:marRight w:val="0"/>
          <w:marTop w:val="120"/>
          <w:marBottom w:val="120"/>
          <w:divBdr>
            <w:top w:val="none" w:sz="0" w:space="0" w:color="auto"/>
            <w:left w:val="none" w:sz="0" w:space="0" w:color="auto"/>
            <w:bottom w:val="none" w:sz="0" w:space="0" w:color="auto"/>
            <w:right w:val="none" w:sz="0" w:space="0" w:color="auto"/>
          </w:divBdr>
        </w:div>
        <w:div w:id="638652053">
          <w:marLeft w:val="547"/>
          <w:marRight w:val="0"/>
          <w:marTop w:val="120"/>
          <w:marBottom w:val="120"/>
          <w:divBdr>
            <w:top w:val="none" w:sz="0" w:space="0" w:color="auto"/>
            <w:left w:val="none" w:sz="0" w:space="0" w:color="auto"/>
            <w:bottom w:val="none" w:sz="0" w:space="0" w:color="auto"/>
            <w:right w:val="none" w:sz="0" w:space="0" w:color="auto"/>
          </w:divBdr>
        </w:div>
        <w:div w:id="2103336212">
          <w:marLeft w:val="547"/>
          <w:marRight w:val="0"/>
          <w:marTop w:val="120"/>
          <w:marBottom w:val="120"/>
          <w:divBdr>
            <w:top w:val="none" w:sz="0" w:space="0" w:color="auto"/>
            <w:left w:val="none" w:sz="0" w:space="0" w:color="auto"/>
            <w:bottom w:val="none" w:sz="0" w:space="0" w:color="auto"/>
            <w:right w:val="none" w:sz="0" w:space="0" w:color="auto"/>
          </w:divBdr>
        </w:div>
        <w:div w:id="1553037466">
          <w:marLeft w:val="547"/>
          <w:marRight w:val="0"/>
          <w:marTop w:val="120"/>
          <w:marBottom w:val="120"/>
          <w:divBdr>
            <w:top w:val="none" w:sz="0" w:space="0" w:color="auto"/>
            <w:left w:val="none" w:sz="0" w:space="0" w:color="auto"/>
            <w:bottom w:val="none" w:sz="0" w:space="0" w:color="auto"/>
            <w:right w:val="none" w:sz="0" w:space="0" w:color="auto"/>
          </w:divBdr>
        </w:div>
        <w:div w:id="687145383">
          <w:marLeft w:val="547"/>
          <w:marRight w:val="0"/>
          <w:marTop w:val="120"/>
          <w:marBottom w:val="120"/>
          <w:divBdr>
            <w:top w:val="none" w:sz="0" w:space="0" w:color="auto"/>
            <w:left w:val="none" w:sz="0" w:space="0" w:color="auto"/>
            <w:bottom w:val="none" w:sz="0" w:space="0" w:color="auto"/>
            <w:right w:val="none" w:sz="0" w:space="0" w:color="auto"/>
          </w:divBdr>
        </w:div>
        <w:div w:id="806816844">
          <w:marLeft w:val="547"/>
          <w:marRight w:val="0"/>
          <w:marTop w:val="120"/>
          <w:marBottom w:val="120"/>
          <w:divBdr>
            <w:top w:val="none" w:sz="0" w:space="0" w:color="auto"/>
            <w:left w:val="none" w:sz="0" w:space="0" w:color="auto"/>
            <w:bottom w:val="none" w:sz="0" w:space="0" w:color="auto"/>
            <w:right w:val="none" w:sz="0" w:space="0" w:color="auto"/>
          </w:divBdr>
        </w:div>
        <w:div w:id="393432588">
          <w:marLeft w:val="547"/>
          <w:marRight w:val="0"/>
          <w:marTop w:val="120"/>
          <w:marBottom w:val="120"/>
          <w:divBdr>
            <w:top w:val="none" w:sz="0" w:space="0" w:color="auto"/>
            <w:left w:val="none" w:sz="0" w:space="0" w:color="auto"/>
            <w:bottom w:val="none" w:sz="0" w:space="0" w:color="auto"/>
            <w:right w:val="none" w:sz="0" w:space="0" w:color="auto"/>
          </w:divBdr>
        </w:div>
      </w:divsChild>
    </w:div>
    <w:div w:id="1167212380">
      <w:bodyDiv w:val="1"/>
      <w:marLeft w:val="0"/>
      <w:marRight w:val="0"/>
      <w:marTop w:val="0"/>
      <w:marBottom w:val="0"/>
      <w:divBdr>
        <w:top w:val="none" w:sz="0" w:space="0" w:color="auto"/>
        <w:left w:val="none" w:sz="0" w:space="0" w:color="auto"/>
        <w:bottom w:val="none" w:sz="0" w:space="0" w:color="auto"/>
        <w:right w:val="none" w:sz="0" w:space="0" w:color="auto"/>
      </w:divBdr>
      <w:divsChild>
        <w:div w:id="1510675797">
          <w:marLeft w:val="360"/>
          <w:marRight w:val="0"/>
          <w:marTop w:val="120"/>
          <w:marBottom w:val="120"/>
          <w:divBdr>
            <w:top w:val="none" w:sz="0" w:space="0" w:color="auto"/>
            <w:left w:val="none" w:sz="0" w:space="0" w:color="auto"/>
            <w:bottom w:val="none" w:sz="0" w:space="0" w:color="auto"/>
            <w:right w:val="none" w:sz="0" w:space="0" w:color="auto"/>
          </w:divBdr>
        </w:div>
        <w:div w:id="986669132">
          <w:marLeft w:val="360"/>
          <w:marRight w:val="0"/>
          <w:marTop w:val="120"/>
          <w:marBottom w:val="120"/>
          <w:divBdr>
            <w:top w:val="none" w:sz="0" w:space="0" w:color="auto"/>
            <w:left w:val="none" w:sz="0" w:space="0" w:color="auto"/>
            <w:bottom w:val="none" w:sz="0" w:space="0" w:color="auto"/>
            <w:right w:val="none" w:sz="0" w:space="0" w:color="auto"/>
          </w:divBdr>
        </w:div>
        <w:div w:id="865141315">
          <w:marLeft w:val="360"/>
          <w:marRight w:val="0"/>
          <w:marTop w:val="120"/>
          <w:marBottom w:val="120"/>
          <w:divBdr>
            <w:top w:val="none" w:sz="0" w:space="0" w:color="auto"/>
            <w:left w:val="none" w:sz="0" w:space="0" w:color="auto"/>
            <w:bottom w:val="none" w:sz="0" w:space="0" w:color="auto"/>
            <w:right w:val="none" w:sz="0" w:space="0" w:color="auto"/>
          </w:divBdr>
        </w:div>
      </w:divsChild>
    </w:div>
    <w:div w:id="1169448169">
      <w:bodyDiv w:val="1"/>
      <w:marLeft w:val="0"/>
      <w:marRight w:val="0"/>
      <w:marTop w:val="0"/>
      <w:marBottom w:val="0"/>
      <w:divBdr>
        <w:top w:val="none" w:sz="0" w:space="0" w:color="auto"/>
        <w:left w:val="none" w:sz="0" w:space="0" w:color="auto"/>
        <w:bottom w:val="none" w:sz="0" w:space="0" w:color="auto"/>
        <w:right w:val="none" w:sz="0" w:space="0" w:color="auto"/>
      </w:divBdr>
      <w:divsChild>
        <w:div w:id="1749301516">
          <w:marLeft w:val="1080"/>
          <w:marRight w:val="0"/>
          <w:marTop w:val="120"/>
          <w:marBottom w:val="120"/>
          <w:divBdr>
            <w:top w:val="none" w:sz="0" w:space="0" w:color="auto"/>
            <w:left w:val="none" w:sz="0" w:space="0" w:color="auto"/>
            <w:bottom w:val="none" w:sz="0" w:space="0" w:color="auto"/>
            <w:right w:val="none" w:sz="0" w:space="0" w:color="auto"/>
          </w:divBdr>
        </w:div>
        <w:div w:id="1130517431">
          <w:marLeft w:val="1080"/>
          <w:marRight w:val="0"/>
          <w:marTop w:val="120"/>
          <w:marBottom w:val="120"/>
          <w:divBdr>
            <w:top w:val="none" w:sz="0" w:space="0" w:color="auto"/>
            <w:left w:val="none" w:sz="0" w:space="0" w:color="auto"/>
            <w:bottom w:val="none" w:sz="0" w:space="0" w:color="auto"/>
            <w:right w:val="none" w:sz="0" w:space="0" w:color="auto"/>
          </w:divBdr>
        </w:div>
        <w:div w:id="1039820776">
          <w:marLeft w:val="1080"/>
          <w:marRight w:val="0"/>
          <w:marTop w:val="120"/>
          <w:marBottom w:val="120"/>
          <w:divBdr>
            <w:top w:val="none" w:sz="0" w:space="0" w:color="auto"/>
            <w:left w:val="none" w:sz="0" w:space="0" w:color="auto"/>
            <w:bottom w:val="none" w:sz="0" w:space="0" w:color="auto"/>
            <w:right w:val="none" w:sz="0" w:space="0" w:color="auto"/>
          </w:divBdr>
        </w:div>
      </w:divsChild>
    </w:div>
    <w:div w:id="1193029297">
      <w:bodyDiv w:val="1"/>
      <w:marLeft w:val="0"/>
      <w:marRight w:val="0"/>
      <w:marTop w:val="0"/>
      <w:marBottom w:val="0"/>
      <w:divBdr>
        <w:top w:val="none" w:sz="0" w:space="0" w:color="auto"/>
        <w:left w:val="none" w:sz="0" w:space="0" w:color="auto"/>
        <w:bottom w:val="none" w:sz="0" w:space="0" w:color="auto"/>
        <w:right w:val="none" w:sz="0" w:space="0" w:color="auto"/>
      </w:divBdr>
    </w:div>
    <w:div w:id="1204904161">
      <w:bodyDiv w:val="1"/>
      <w:marLeft w:val="0"/>
      <w:marRight w:val="0"/>
      <w:marTop w:val="0"/>
      <w:marBottom w:val="0"/>
      <w:divBdr>
        <w:top w:val="none" w:sz="0" w:space="0" w:color="auto"/>
        <w:left w:val="none" w:sz="0" w:space="0" w:color="auto"/>
        <w:bottom w:val="none" w:sz="0" w:space="0" w:color="auto"/>
        <w:right w:val="none" w:sz="0" w:space="0" w:color="auto"/>
      </w:divBdr>
    </w:div>
    <w:div w:id="1253198134">
      <w:bodyDiv w:val="1"/>
      <w:marLeft w:val="0"/>
      <w:marRight w:val="0"/>
      <w:marTop w:val="0"/>
      <w:marBottom w:val="0"/>
      <w:divBdr>
        <w:top w:val="none" w:sz="0" w:space="0" w:color="auto"/>
        <w:left w:val="none" w:sz="0" w:space="0" w:color="auto"/>
        <w:bottom w:val="none" w:sz="0" w:space="0" w:color="auto"/>
        <w:right w:val="none" w:sz="0" w:space="0" w:color="auto"/>
      </w:divBdr>
    </w:div>
    <w:div w:id="1274439626">
      <w:bodyDiv w:val="1"/>
      <w:marLeft w:val="0"/>
      <w:marRight w:val="0"/>
      <w:marTop w:val="0"/>
      <w:marBottom w:val="0"/>
      <w:divBdr>
        <w:top w:val="none" w:sz="0" w:space="0" w:color="auto"/>
        <w:left w:val="none" w:sz="0" w:space="0" w:color="auto"/>
        <w:bottom w:val="none" w:sz="0" w:space="0" w:color="auto"/>
        <w:right w:val="none" w:sz="0" w:space="0" w:color="auto"/>
      </w:divBdr>
    </w:div>
    <w:div w:id="1275944045">
      <w:bodyDiv w:val="1"/>
      <w:marLeft w:val="0"/>
      <w:marRight w:val="0"/>
      <w:marTop w:val="0"/>
      <w:marBottom w:val="0"/>
      <w:divBdr>
        <w:top w:val="none" w:sz="0" w:space="0" w:color="auto"/>
        <w:left w:val="none" w:sz="0" w:space="0" w:color="auto"/>
        <w:bottom w:val="none" w:sz="0" w:space="0" w:color="auto"/>
        <w:right w:val="none" w:sz="0" w:space="0" w:color="auto"/>
      </w:divBdr>
    </w:div>
    <w:div w:id="1280525319">
      <w:bodyDiv w:val="1"/>
      <w:marLeft w:val="0"/>
      <w:marRight w:val="0"/>
      <w:marTop w:val="0"/>
      <w:marBottom w:val="0"/>
      <w:divBdr>
        <w:top w:val="none" w:sz="0" w:space="0" w:color="auto"/>
        <w:left w:val="none" w:sz="0" w:space="0" w:color="auto"/>
        <w:bottom w:val="none" w:sz="0" w:space="0" w:color="auto"/>
        <w:right w:val="none" w:sz="0" w:space="0" w:color="auto"/>
      </w:divBdr>
    </w:div>
    <w:div w:id="1305431182">
      <w:bodyDiv w:val="1"/>
      <w:marLeft w:val="0"/>
      <w:marRight w:val="0"/>
      <w:marTop w:val="0"/>
      <w:marBottom w:val="0"/>
      <w:divBdr>
        <w:top w:val="none" w:sz="0" w:space="0" w:color="auto"/>
        <w:left w:val="none" w:sz="0" w:space="0" w:color="auto"/>
        <w:bottom w:val="none" w:sz="0" w:space="0" w:color="auto"/>
        <w:right w:val="none" w:sz="0" w:space="0" w:color="auto"/>
      </w:divBdr>
    </w:div>
    <w:div w:id="1311863677">
      <w:bodyDiv w:val="1"/>
      <w:marLeft w:val="0"/>
      <w:marRight w:val="0"/>
      <w:marTop w:val="0"/>
      <w:marBottom w:val="0"/>
      <w:divBdr>
        <w:top w:val="none" w:sz="0" w:space="0" w:color="auto"/>
        <w:left w:val="none" w:sz="0" w:space="0" w:color="auto"/>
        <w:bottom w:val="none" w:sz="0" w:space="0" w:color="auto"/>
        <w:right w:val="none" w:sz="0" w:space="0" w:color="auto"/>
      </w:divBdr>
    </w:div>
    <w:div w:id="1339650186">
      <w:bodyDiv w:val="1"/>
      <w:marLeft w:val="0"/>
      <w:marRight w:val="0"/>
      <w:marTop w:val="0"/>
      <w:marBottom w:val="0"/>
      <w:divBdr>
        <w:top w:val="none" w:sz="0" w:space="0" w:color="auto"/>
        <w:left w:val="none" w:sz="0" w:space="0" w:color="auto"/>
        <w:bottom w:val="none" w:sz="0" w:space="0" w:color="auto"/>
        <w:right w:val="none" w:sz="0" w:space="0" w:color="auto"/>
      </w:divBdr>
    </w:div>
    <w:div w:id="1387757128">
      <w:bodyDiv w:val="1"/>
      <w:marLeft w:val="0"/>
      <w:marRight w:val="0"/>
      <w:marTop w:val="0"/>
      <w:marBottom w:val="0"/>
      <w:divBdr>
        <w:top w:val="none" w:sz="0" w:space="0" w:color="auto"/>
        <w:left w:val="none" w:sz="0" w:space="0" w:color="auto"/>
        <w:bottom w:val="none" w:sz="0" w:space="0" w:color="auto"/>
        <w:right w:val="none" w:sz="0" w:space="0" w:color="auto"/>
      </w:divBdr>
    </w:div>
    <w:div w:id="1391929314">
      <w:bodyDiv w:val="1"/>
      <w:marLeft w:val="0"/>
      <w:marRight w:val="0"/>
      <w:marTop w:val="0"/>
      <w:marBottom w:val="0"/>
      <w:divBdr>
        <w:top w:val="none" w:sz="0" w:space="0" w:color="auto"/>
        <w:left w:val="none" w:sz="0" w:space="0" w:color="auto"/>
        <w:bottom w:val="none" w:sz="0" w:space="0" w:color="auto"/>
        <w:right w:val="none" w:sz="0" w:space="0" w:color="auto"/>
      </w:divBdr>
    </w:div>
    <w:div w:id="1472559067">
      <w:bodyDiv w:val="1"/>
      <w:marLeft w:val="0"/>
      <w:marRight w:val="0"/>
      <w:marTop w:val="0"/>
      <w:marBottom w:val="0"/>
      <w:divBdr>
        <w:top w:val="none" w:sz="0" w:space="0" w:color="auto"/>
        <w:left w:val="none" w:sz="0" w:space="0" w:color="auto"/>
        <w:bottom w:val="none" w:sz="0" w:space="0" w:color="auto"/>
        <w:right w:val="none" w:sz="0" w:space="0" w:color="auto"/>
      </w:divBdr>
    </w:div>
    <w:div w:id="1597321891">
      <w:bodyDiv w:val="1"/>
      <w:marLeft w:val="0"/>
      <w:marRight w:val="0"/>
      <w:marTop w:val="0"/>
      <w:marBottom w:val="0"/>
      <w:divBdr>
        <w:top w:val="none" w:sz="0" w:space="0" w:color="auto"/>
        <w:left w:val="none" w:sz="0" w:space="0" w:color="auto"/>
        <w:bottom w:val="none" w:sz="0" w:space="0" w:color="auto"/>
        <w:right w:val="none" w:sz="0" w:space="0" w:color="auto"/>
      </w:divBdr>
    </w:div>
    <w:div w:id="1629388144">
      <w:bodyDiv w:val="1"/>
      <w:marLeft w:val="0"/>
      <w:marRight w:val="0"/>
      <w:marTop w:val="0"/>
      <w:marBottom w:val="0"/>
      <w:divBdr>
        <w:top w:val="none" w:sz="0" w:space="0" w:color="auto"/>
        <w:left w:val="none" w:sz="0" w:space="0" w:color="auto"/>
        <w:bottom w:val="none" w:sz="0" w:space="0" w:color="auto"/>
        <w:right w:val="none" w:sz="0" w:space="0" w:color="auto"/>
      </w:divBdr>
    </w:div>
    <w:div w:id="1762798049">
      <w:bodyDiv w:val="1"/>
      <w:marLeft w:val="0"/>
      <w:marRight w:val="0"/>
      <w:marTop w:val="0"/>
      <w:marBottom w:val="0"/>
      <w:divBdr>
        <w:top w:val="none" w:sz="0" w:space="0" w:color="auto"/>
        <w:left w:val="none" w:sz="0" w:space="0" w:color="auto"/>
        <w:bottom w:val="none" w:sz="0" w:space="0" w:color="auto"/>
        <w:right w:val="none" w:sz="0" w:space="0" w:color="auto"/>
      </w:divBdr>
    </w:div>
    <w:div w:id="1764833685">
      <w:bodyDiv w:val="1"/>
      <w:marLeft w:val="0"/>
      <w:marRight w:val="0"/>
      <w:marTop w:val="0"/>
      <w:marBottom w:val="0"/>
      <w:divBdr>
        <w:top w:val="none" w:sz="0" w:space="0" w:color="auto"/>
        <w:left w:val="none" w:sz="0" w:space="0" w:color="auto"/>
        <w:bottom w:val="none" w:sz="0" w:space="0" w:color="auto"/>
        <w:right w:val="none" w:sz="0" w:space="0" w:color="auto"/>
      </w:divBdr>
    </w:div>
    <w:div w:id="1768424201">
      <w:bodyDiv w:val="1"/>
      <w:marLeft w:val="0"/>
      <w:marRight w:val="0"/>
      <w:marTop w:val="0"/>
      <w:marBottom w:val="0"/>
      <w:divBdr>
        <w:top w:val="none" w:sz="0" w:space="0" w:color="auto"/>
        <w:left w:val="none" w:sz="0" w:space="0" w:color="auto"/>
        <w:bottom w:val="none" w:sz="0" w:space="0" w:color="auto"/>
        <w:right w:val="none" w:sz="0" w:space="0" w:color="auto"/>
      </w:divBdr>
    </w:div>
    <w:div w:id="1790467221">
      <w:bodyDiv w:val="1"/>
      <w:marLeft w:val="0"/>
      <w:marRight w:val="0"/>
      <w:marTop w:val="0"/>
      <w:marBottom w:val="0"/>
      <w:divBdr>
        <w:top w:val="none" w:sz="0" w:space="0" w:color="auto"/>
        <w:left w:val="none" w:sz="0" w:space="0" w:color="auto"/>
        <w:bottom w:val="none" w:sz="0" w:space="0" w:color="auto"/>
        <w:right w:val="none" w:sz="0" w:space="0" w:color="auto"/>
      </w:divBdr>
    </w:div>
    <w:div w:id="1871340498">
      <w:bodyDiv w:val="1"/>
      <w:marLeft w:val="0"/>
      <w:marRight w:val="0"/>
      <w:marTop w:val="0"/>
      <w:marBottom w:val="0"/>
      <w:divBdr>
        <w:top w:val="none" w:sz="0" w:space="0" w:color="auto"/>
        <w:left w:val="none" w:sz="0" w:space="0" w:color="auto"/>
        <w:bottom w:val="none" w:sz="0" w:space="0" w:color="auto"/>
        <w:right w:val="none" w:sz="0" w:space="0" w:color="auto"/>
      </w:divBdr>
    </w:div>
    <w:div w:id="1875120989">
      <w:bodyDiv w:val="1"/>
      <w:marLeft w:val="0"/>
      <w:marRight w:val="0"/>
      <w:marTop w:val="0"/>
      <w:marBottom w:val="0"/>
      <w:divBdr>
        <w:top w:val="none" w:sz="0" w:space="0" w:color="auto"/>
        <w:left w:val="none" w:sz="0" w:space="0" w:color="auto"/>
        <w:bottom w:val="none" w:sz="0" w:space="0" w:color="auto"/>
        <w:right w:val="none" w:sz="0" w:space="0" w:color="auto"/>
      </w:divBdr>
    </w:div>
    <w:div w:id="1977638496">
      <w:bodyDiv w:val="1"/>
      <w:marLeft w:val="0"/>
      <w:marRight w:val="0"/>
      <w:marTop w:val="0"/>
      <w:marBottom w:val="0"/>
      <w:divBdr>
        <w:top w:val="none" w:sz="0" w:space="0" w:color="auto"/>
        <w:left w:val="none" w:sz="0" w:space="0" w:color="auto"/>
        <w:bottom w:val="none" w:sz="0" w:space="0" w:color="auto"/>
        <w:right w:val="none" w:sz="0" w:space="0" w:color="auto"/>
      </w:divBdr>
    </w:div>
    <w:div w:id="1982029145">
      <w:bodyDiv w:val="1"/>
      <w:marLeft w:val="0"/>
      <w:marRight w:val="0"/>
      <w:marTop w:val="0"/>
      <w:marBottom w:val="0"/>
      <w:divBdr>
        <w:top w:val="none" w:sz="0" w:space="0" w:color="auto"/>
        <w:left w:val="none" w:sz="0" w:space="0" w:color="auto"/>
        <w:bottom w:val="none" w:sz="0" w:space="0" w:color="auto"/>
        <w:right w:val="none" w:sz="0" w:space="0" w:color="auto"/>
      </w:divBdr>
    </w:div>
    <w:div w:id="2022007979">
      <w:bodyDiv w:val="1"/>
      <w:marLeft w:val="0"/>
      <w:marRight w:val="0"/>
      <w:marTop w:val="0"/>
      <w:marBottom w:val="0"/>
      <w:divBdr>
        <w:top w:val="none" w:sz="0" w:space="0" w:color="auto"/>
        <w:left w:val="none" w:sz="0" w:space="0" w:color="auto"/>
        <w:bottom w:val="none" w:sz="0" w:space="0" w:color="auto"/>
        <w:right w:val="none" w:sz="0" w:space="0" w:color="auto"/>
      </w:divBdr>
    </w:div>
    <w:div w:id="210688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21" Type="http://schemas.openxmlformats.org/officeDocument/2006/relationships/image" Target="media/image16.emf"/><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6.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footer" Target="footer2.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footer" Target="footer3.xml"/><Relationship Id="rId8" Type="http://schemas.openxmlformats.org/officeDocument/2006/relationships/image" Target="media/image3.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legislatie.just.ro/Public/DetaliiDocumentAfis/215973"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9062AD621F4D77BA71C83736B19738"/>
        <w:category>
          <w:name w:val="General"/>
          <w:gallery w:val="placeholder"/>
        </w:category>
        <w:types>
          <w:type w:val="bbPlcHdr"/>
        </w:types>
        <w:behaviors>
          <w:behavior w:val="content"/>
        </w:behaviors>
        <w:guid w:val="{9E4A7632-5D36-41F9-9ACE-C0C6DD186E84}"/>
      </w:docPartPr>
      <w:docPartBody>
        <w:p w:rsidR="00880913" w:rsidRDefault="00A46A26">
          <w:r w:rsidRPr="007016E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Iskoola Po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1)">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26"/>
    <w:rsid w:val="0002798F"/>
    <w:rsid w:val="00035CF3"/>
    <w:rsid w:val="00050293"/>
    <w:rsid w:val="0005060D"/>
    <w:rsid w:val="00091096"/>
    <w:rsid w:val="00094A90"/>
    <w:rsid w:val="000B3031"/>
    <w:rsid w:val="000B5869"/>
    <w:rsid w:val="000C6AF2"/>
    <w:rsid w:val="000D2E90"/>
    <w:rsid w:val="00113204"/>
    <w:rsid w:val="00124CEB"/>
    <w:rsid w:val="00204133"/>
    <w:rsid w:val="00207311"/>
    <w:rsid w:val="00274518"/>
    <w:rsid w:val="002A17E4"/>
    <w:rsid w:val="003002F4"/>
    <w:rsid w:val="0035007C"/>
    <w:rsid w:val="003C5AE1"/>
    <w:rsid w:val="003F740D"/>
    <w:rsid w:val="004716CD"/>
    <w:rsid w:val="00521278"/>
    <w:rsid w:val="005739E7"/>
    <w:rsid w:val="005B6246"/>
    <w:rsid w:val="005E5B48"/>
    <w:rsid w:val="0063139F"/>
    <w:rsid w:val="006438E1"/>
    <w:rsid w:val="00656B04"/>
    <w:rsid w:val="0067457C"/>
    <w:rsid w:val="006B3EBA"/>
    <w:rsid w:val="006D2EB4"/>
    <w:rsid w:val="00726D73"/>
    <w:rsid w:val="007776E4"/>
    <w:rsid w:val="007A1D65"/>
    <w:rsid w:val="00876DEF"/>
    <w:rsid w:val="00880913"/>
    <w:rsid w:val="0090528B"/>
    <w:rsid w:val="00947F32"/>
    <w:rsid w:val="009B1774"/>
    <w:rsid w:val="00A00683"/>
    <w:rsid w:val="00A46A26"/>
    <w:rsid w:val="00A552D7"/>
    <w:rsid w:val="00A85B82"/>
    <w:rsid w:val="00AC5187"/>
    <w:rsid w:val="00AE7FB1"/>
    <w:rsid w:val="00B275C5"/>
    <w:rsid w:val="00B3635E"/>
    <w:rsid w:val="00BE1A27"/>
    <w:rsid w:val="00C17059"/>
    <w:rsid w:val="00C30E5E"/>
    <w:rsid w:val="00C3108E"/>
    <w:rsid w:val="00C3754C"/>
    <w:rsid w:val="00C553F5"/>
    <w:rsid w:val="00CA135B"/>
    <w:rsid w:val="00D517A6"/>
    <w:rsid w:val="00D76469"/>
    <w:rsid w:val="00DE2650"/>
    <w:rsid w:val="00E0431C"/>
    <w:rsid w:val="00EF758B"/>
    <w:rsid w:val="00F3038D"/>
    <w:rsid w:val="00FE38D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2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A26"/>
    <w:rPr>
      <w:color w:val="808080"/>
    </w:rPr>
  </w:style>
  <w:style w:type="paragraph" w:customStyle="1" w:styleId="EE2A5800D1AC43AB8DEA06969B9EF2FA">
    <w:name w:val="EE2A5800D1AC43AB8DEA06969B9EF2FA"/>
    <w:rsid w:val="00A46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90EFC-42B3-46AB-ABC2-242B4AB6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53</Pages>
  <Words>13584</Words>
  <Characters>81128</Characters>
  <Application>Microsoft Office Word</Application>
  <DocSecurity>0</DocSecurity>
  <Lines>676</Lines>
  <Paragraphs>189</Paragraphs>
  <ScaleCrop>false</ScaleCrop>
  <HeadingPairs>
    <vt:vector size="2" baseType="variant">
      <vt:variant>
        <vt:lpstr>Title</vt:lpstr>
      </vt:variant>
      <vt:variant>
        <vt:i4>1</vt:i4>
      </vt:variant>
    </vt:vector>
  </HeadingPairs>
  <TitlesOfParts>
    <vt:vector size="1" baseType="lpstr">
      <vt:lpstr>RAPORT PRIVIND EXECUȚIA BUGETARĂ FINALĂ PE ANUL 2022</vt:lpstr>
    </vt:vector>
  </TitlesOfParts>
  <Company>MEF</Company>
  <LinksUpToDate>false</LinksUpToDate>
  <CharactersWithSpaces>94523</CharactersWithSpaces>
  <SharedDoc>false</SharedDoc>
  <HLinks>
    <vt:vector size="48" baseType="variant">
      <vt:variant>
        <vt:i4>1441840</vt:i4>
      </vt:variant>
      <vt:variant>
        <vt:i4>44</vt:i4>
      </vt:variant>
      <vt:variant>
        <vt:i4>0</vt:i4>
      </vt:variant>
      <vt:variant>
        <vt:i4>5</vt:i4>
      </vt:variant>
      <vt:variant>
        <vt:lpwstr/>
      </vt:variant>
      <vt:variant>
        <vt:lpwstr>_Toc452725469</vt:lpwstr>
      </vt:variant>
      <vt:variant>
        <vt:i4>1441840</vt:i4>
      </vt:variant>
      <vt:variant>
        <vt:i4>38</vt:i4>
      </vt:variant>
      <vt:variant>
        <vt:i4>0</vt:i4>
      </vt:variant>
      <vt:variant>
        <vt:i4>5</vt:i4>
      </vt:variant>
      <vt:variant>
        <vt:lpwstr/>
      </vt:variant>
      <vt:variant>
        <vt:lpwstr>_Toc452725468</vt:lpwstr>
      </vt:variant>
      <vt:variant>
        <vt:i4>1441840</vt:i4>
      </vt:variant>
      <vt:variant>
        <vt:i4>32</vt:i4>
      </vt:variant>
      <vt:variant>
        <vt:i4>0</vt:i4>
      </vt:variant>
      <vt:variant>
        <vt:i4>5</vt:i4>
      </vt:variant>
      <vt:variant>
        <vt:lpwstr/>
      </vt:variant>
      <vt:variant>
        <vt:lpwstr>_Toc452725467</vt:lpwstr>
      </vt:variant>
      <vt:variant>
        <vt:i4>1441840</vt:i4>
      </vt:variant>
      <vt:variant>
        <vt:i4>26</vt:i4>
      </vt:variant>
      <vt:variant>
        <vt:i4>0</vt:i4>
      </vt:variant>
      <vt:variant>
        <vt:i4>5</vt:i4>
      </vt:variant>
      <vt:variant>
        <vt:lpwstr/>
      </vt:variant>
      <vt:variant>
        <vt:lpwstr>_Toc452725466</vt:lpwstr>
      </vt:variant>
      <vt:variant>
        <vt:i4>1441840</vt:i4>
      </vt:variant>
      <vt:variant>
        <vt:i4>20</vt:i4>
      </vt:variant>
      <vt:variant>
        <vt:i4>0</vt:i4>
      </vt:variant>
      <vt:variant>
        <vt:i4>5</vt:i4>
      </vt:variant>
      <vt:variant>
        <vt:lpwstr/>
      </vt:variant>
      <vt:variant>
        <vt:lpwstr>_Toc452725465</vt:lpwstr>
      </vt:variant>
      <vt:variant>
        <vt:i4>1376304</vt:i4>
      </vt:variant>
      <vt:variant>
        <vt:i4>14</vt:i4>
      </vt:variant>
      <vt:variant>
        <vt:i4>0</vt:i4>
      </vt:variant>
      <vt:variant>
        <vt:i4>5</vt:i4>
      </vt:variant>
      <vt:variant>
        <vt:lpwstr/>
      </vt:variant>
      <vt:variant>
        <vt:lpwstr>_Toc452725457</vt:lpwstr>
      </vt:variant>
      <vt:variant>
        <vt:i4>1376304</vt:i4>
      </vt:variant>
      <vt:variant>
        <vt:i4>8</vt:i4>
      </vt:variant>
      <vt:variant>
        <vt:i4>0</vt:i4>
      </vt:variant>
      <vt:variant>
        <vt:i4>5</vt:i4>
      </vt:variant>
      <vt:variant>
        <vt:lpwstr/>
      </vt:variant>
      <vt:variant>
        <vt:lpwstr>_Toc452725456</vt:lpwstr>
      </vt:variant>
      <vt:variant>
        <vt:i4>1376304</vt:i4>
      </vt:variant>
      <vt:variant>
        <vt:i4>2</vt:i4>
      </vt:variant>
      <vt:variant>
        <vt:i4>0</vt:i4>
      </vt:variant>
      <vt:variant>
        <vt:i4>5</vt:i4>
      </vt:variant>
      <vt:variant>
        <vt:lpwstr/>
      </vt:variant>
      <vt:variant>
        <vt:lpwstr>_Toc452725452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PRIVIND EXECUȚIA BUGETARĂ FINALĂ PE ANUL 2022</dc:title>
  <dc:subject/>
  <dc:creator>FLORIN-ANDREI DAIA</dc:creator>
  <cp:keywords/>
  <dc:description/>
  <cp:lastModifiedBy>FLORIN-ANDREI DAIA</cp:lastModifiedBy>
  <cp:revision>18</cp:revision>
  <cp:lastPrinted>2022-06-06T07:58:00Z</cp:lastPrinted>
  <dcterms:created xsi:type="dcterms:W3CDTF">2023-05-30T14:50:00Z</dcterms:created>
  <dcterms:modified xsi:type="dcterms:W3CDTF">2023-06-06T10:25:00Z</dcterms:modified>
</cp:coreProperties>
</file>