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RAPORT PRIVIND EXECU</w:t>
      </w:r>
      <w:r w:rsidR="003F4E84" w:rsidRPr="00807147">
        <w:rPr>
          <w:rFonts w:ascii="Tahoma" w:hAnsi="Tahoma" w:cs="Tahoma"/>
          <w:b/>
          <w:caps/>
          <w:color w:val="0070C0"/>
          <w:sz w:val="24"/>
          <w:szCs w:val="24"/>
        </w:rPr>
        <w:t>ția buget</w:t>
      </w:r>
      <w:r w:rsidRPr="00807147">
        <w:rPr>
          <w:rFonts w:ascii="Tahoma" w:hAnsi="Tahoma" w:cs="Tahoma"/>
          <w:b/>
          <w:caps/>
          <w:color w:val="0070C0"/>
          <w:sz w:val="24"/>
          <w:szCs w:val="24"/>
        </w:rPr>
        <w:t>ARĂ</w:t>
      </w:r>
    </w:p>
    <w:p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 xml:space="preserve"> PE </w:t>
      </w:r>
      <w:r w:rsidR="009262D2">
        <w:rPr>
          <w:rFonts w:ascii="Tahoma" w:hAnsi="Tahoma" w:cs="Tahoma"/>
          <w:b/>
          <w:caps/>
          <w:color w:val="0070C0"/>
          <w:sz w:val="24"/>
          <w:szCs w:val="24"/>
        </w:rPr>
        <w:t>al doilea</w:t>
      </w:r>
      <w:r w:rsidR="009262D2" w:rsidRPr="00807147">
        <w:rPr>
          <w:rFonts w:ascii="Tahoma" w:hAnsi="Tahoma" w:cs="Tahoma"/>
          <w:b/>
          <w:caps/>
          <w:color w:val="0070C0"/>
          <w:sz w:val="24"/>
          <w:szCs w:val="24"/>
        </w:rPr>
        <w:t xml:space="preserve"> </w:t>
      </w:r>
      <w:r w:rsidRPr="00807147">
        <w:rPr>
          <w:rFonts w:ascii="Tahoma" w:hAnsi="Tahoma" w:cs="Tahoma"/>
          <w:b/>
          <w:caps/>
          <w:color w:val="0070C0"/>
          <w:sz w:val="24"/>
          <w:szCs w:val="24"/>
        </w:rPr>
        <w:t xml:space="preserve">TRIMESTRU </w:t>
      </w:r>
    </w:p>
    <w:p w:rsidR="003F4E84"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AL ANULUI 202</w:t>
      </w:r>
      <w:r w:rsidR="00DA1CBE" w:rsidRPr="00807147">
        <w:rPr>
          <w:rFonts w:ascii="Tahoma" w:hAnsi="Tahoma" w:cs="Tahoma"/>
          <w:b/>
          <w:caps/>
          <w:color w:val="0070C0"/>
          <w:sz w:val="24"/>
          <w:szCs w:val="24"/>
        </w:rPr>
        <w:t>3</w:t>
      </w:r>
    </w:p>
    <w:p w:rsidR="003F4E84" w:rsidRPr="00807147" w:rsidRDefault="003F4E84" w:rsidP="00C9727F">
      <w:pPr>
        <w:spacing w:after="120" w:line="240" w:lineRule="auto"/>
        <w:jc w:val="right"/>
        <w:rPr>
          <w:rFonts w:ascii="Tahoma" w:hAnsi="Tahoma" w:cs="Tahoma"/>
          <w:b/>
          <w:color w:val="0070C0"/>
          <w:sz w:val="24"/>
          <w:szCs w:val="24"/>
        </w:rPr>
      </w:pPr>
    </w:p>
    <w:p w:rsidR="00061787" w:rsidRPr="00807147" w:rsidRDefault="005D6D51" w:rsidP="00660150">
      <w:pPr>
        <w:shd w:val="clear" w:color="auto" w:fill="DEEAF6" w:themeFill="accent1" w:themeFillTint="33"/>
        <w:spacing w:after="120" w:line="276" w:lineRule="auto"/>
        <w:jc w:val="both"/>
        <w:rPr>
          <w:rFonts w:ascii="Tahoma" w:hAnsi="Tahoma" w:cs="Tahoma"/>
          <w:bCs/>
          <w:sz w:val="24"/>
          <w:szCs w:val="24"/>
        </w:rPr>
      </w:pPr>
      <w:r w:rsidRPr="00807147">
        <w:rPr>
          <w:rFonts w:ascii="Tahoma" w:hAnsi="Tahoma" w:cs="Tahoma"/>
          <w:bCs/>
          <w:sz w:val="24"/>
          <w:szCs w:val="24"/>
        </w:rPr>
        <w:t xml:space="preserve">În </w:t>
      </w:r>
      <w:r w:rsidR="00E62253">
        <w:rPr>
          <w:rFonts w:ascii="Tahoma" w:hAnsi="Tahoma" w:cs="Tahoma"/>
          <w:bCs/>
          <w:sz w:val="24"/>
          <w:szCs w:val="24"/>
        </w:rPr>
        <w:t>al doilea</w:t>
      </w:r>
      <w:r w:rsidRPr="00807147">
        <w:rPr>
          <w:rFonts w:ascii="Tahoma" w:hAnsi="Tahoma" w:cs="Tahoma"/>
          <w:bCs/>
          <w:sz w:val="24"/>
          <w:szCs w:val="24"/>
        </w:rPr>
        <w:t xml:space="preserve"> trimestru al anului 202</w:t>
      </w:r>
      <w:r w:rsidR="00E16DED" w:rsidRPr="00807147">
        <w:rPr>
          <w:rFonts w:ascii="Tahoma" w:hAnsi="Tahoma" w:cs="Tahoma"/>
          <w:bCs/>
          <w:sz w:val="24"/>
          <w:szCs w:val="24"/>
        </w:rPr>
        <w:t>3</w:t>
      </w:r>
      <w:r w:rsidR="002F2CFC" w:rsidRPr="00807147">
        <w:rPr>
          <w:rFonts w:ascii="Tahoma" w:hAnsi="Tahoma" w:cs="Tahoma"/>
          <w:bCs/>
          <w:sz w:val="24"/>
          <w:szCs w:val="24"/>
        </w:rPr>
        <w:t>,</w:t>
      </w:r>
      <w:r w:rsidRPr="00807147">
        <w:rPr>
          <w:rFonts w:ascii="Tahoma" w:hAnsi="Tahoma" w:cs="Tahoma"/>
          <w:bCs/>
          <w:sz w:val="24"/>
          <w:szCs w:val="24"/>
        </w:rPr>
        <w:t xml:space="preserve"> bugetul general consolidat a înregistrat un </w:t>
      </w:r>
      <w:r w:rsidRPr="00807147">
        <w:rPr>
          <w:rFonts w:ascii="Tahoma" w:hAnsi="Tahoma" w:cs="Tahoma"/>
          <w:b/>
          <w:bCs/>
          <w:sz w:val="24"/>
          <w:szCs w:val="24"/>
        </w:rPr>
        <w:t>deficit</w:t>
      </w:r>
      <w:r w:rsidRPr="00807147">
        <w:rPr>
          <w:rFonts w:ascii="Tahoma" w:hAnsi="Tahoma" w:cs="Tahoma"/>
          <w:bCs/>
          <w:sz w:val="24"/>
          <w:szCs w:val="24"/>
        </w:rPr>
        <w:t xml:space="preserve"> în valoare de </w:t>
      </w:r>
      <w:r w:rsidR="00E62253">
        <w:rPr>
          <w:rFonts w:ascii="Tahoma" w:hAnsi="Tahoma" w:cs="Tahoma"/>
          <w:b/>
          <w:bCs/>
          <w:sz w:val="24"/>
          <w:szCs w:val="24"/>
        </w:rPr>
        <w:t>14,46</w:t>
      </w:r>
      <w:r w:rsidRPr="00807147">
        <w:rPr>
          <w:rFonts w:ascii="Tahoma" w:hAnsi="Tahoma" w:cs="Tahoma"/>
          <w:b/>
          <w:bCs/>
          <w:sz w:val="24"/>
          <w:szCs w:val="24"/>
        </w:rPr>
        <w:t xml:space="preserve"> </w:t>
      </w:r>
      <w:r w:rsidR="00602503" w:rsidRPr="00807147">
        <w:rPr>
          <w:rFonts w:ascii="Tahoma" w:hAnsi="Tahoma" w:cs="Tahoma"/>
          <w:b/>
          <w:bCs/>
          <w:sz w:val="24"/>
          <w:szCs w:val="24"/>
        </w:rPr>
        <w:t>miliarde</w:t>
      </w:r>
      <w:r w:rsidR="00713D80" w:rsidRPr="00807147">
        <w:rPr>
          <w:rFonts w:ascii="Tahoma" w:hAnsi="Tahoma" w:cs="Tahoma"/>
          <w:b/>
          <w:bCs/>
          <w:sz w:val="24"/>
          <w:szCs w:val="24"/>
        </w:rPr>
        <w:t xml:space="preserve"> </w:t>
      </w:r>
      <w:r w:rsidRPr="00807147">
        <w:rPr>
          <w:rFonts w:ascii="Tahoma" w:hAnsi="Tahoma" w:cs="Tahoma"/>
          <w:b/>
          <w:bCs/>
          <w:sz w:val="24"/>
          <w:szCs w:val="24"/>
        </w:rPr>
        <w:t>lei (</w:t>
      </w:r>
      <w:r w:rsidR="00E62253">
        <w:rPr>
          <w:rFonts w:ascii="Tahoma" w:hAnsi="Tahoma" w:cs="Tahoma"/>
          <w:b/>
          <w:bCs/>
          <w:sz w:val="24"/>
          <w:szCs w:val="24"/>
        </w:rPr>
        <w:t>0,91</w:t>
      </w:r>
      <w:r w:rsidRPr="00807147">
        <w:rPr>
          <w:rFonts w:ascii="Tahoma" w:hAnsi="Tahoma" w:cs="Tahoma"/>
          <w:b/>
          <w:bCs/>
          <w:sz w:val="24"/>
          <w:szCs w:val="24"/>
        </w:rPr>
        <w:t>% din PIB)</w:t>
      </w:r>
      <w:r w:rsidR="00C9727F" w:rsidRPr="00807147">
        <w:rPr>
          <w:rFonts w:ascii="Tahoma" w:hAnsi="Tahoma" w:cs="Tahoma"/>
          <w:bCs/>
          <w:sz w:val="24"/>
          <w:szCs w:val="24"/>
        </w:rPr>
        <w:t>,</w:t>
      </w:r>
      <w:r w:rsidR="007C6A86" w:rsidRPr="00807147">
        <w:rPr>
          <w:rFonts w:ascii="Tahoma" w:hAnsi="Tahoma" w:cs="Tahoma"/>
          <w:bCs/>
          <w:sz w:val="24"/>
          <w:szCs w:val="24"/>
        </w:rPr>
        <w:t xml:space="preserve"> cu </w:t>
      </w:r>
      <w:r w:rsidR="00E62253">
        <w:rPr>
          <w:rFonts w:ascii="Tahoma" w:hAnsi="Tahoma" w:cs="Tahoma"/>
          <w:bCs/>
          <w:sz w:val="24"/>
          <w:szCs w:val="24"/>
        </w:rPr>
        <w:t>3,24</w:t>
      </w:r>
      <w:r w:rsidR="007C6A86"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00E62253">
        <w:rPr>
          <w:rFonts w:ascii="Tahoma" w:hAnsi="Tahoma" w:cs="Tahoma"/>
          <w:bCs/>
          <w:sz w:val="24"/>
          <w:szCs w:val="24"/>
        </w:rPr>
        <w:t>peste</w:t>
      </w:r>
      <w:r w:rsidRPr="00807147">
        <w:rPr>
          <w:rFonts w:ascii="Tahoma" w:hAnsi="Tahoma" w:cs="Tahoma"/>
          <w:bCs/>
          <w:sz w:val="24"/>
          <w:szCs w:val="24"/>
        </w:rPr>
        <w:t xml:space="preserve"> nivelul prognozat </w:t>
      </w:r>
      <w:r w:rsidR="007C6A86" w:rsidRPr="00807147">
        <w:rPr>
          <w:rFonts w:ascii="Tahoma" w:hAnsi="Tahoma" w:cs="Tahoma"/>
          <w:bCs/>
          <w:sz w:val="24"/>
          <w:szCs w:val="24"/>
        </w:rPr>
        <w:t xml:space="preserve">pentru perioada analizată de </w:t>
      </w:r>
      <w:r w:rsidR="00E62253">
        <w:rPr>
          <w:rFonts w:ascii="Tahoma" w:hAnsi="Tahoma" w:cs="Tahoma"/>
          <w:bCs/>
          <w:sz w:val="24"/>
          <w:szCs w:val="24"/>
        </w:rPr>
        <w:t>11,23</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 (</w:t>
      </w:r>
      <w:r w:rsidR="00E62253">
        <w:rPr>
          <w:rFonts w:ascii="Tahoma" w:hAnsi="Tahoma" w:cs="Tahoma"/>
          <w:bCs/>
          <w:sz w:val="24"/>
          <w:szCs w:val="24"/>
        </w:rPr>
        <w:t>0,71</w:t>
      </w:r>
      <w:r w:rsidRPr="00807147">
        <w:rPr>
          <w:rFonts w:ascii="Tahoma" w:hAnsi="Tahoma" w:cs="Tahoma"/>
          <w:bCs/>
          <w:sz w:val="24"/>
          <w:szCs w:val="24"/>
        </w:rPr>
        <w:t>% din PIB).</w:t>
      </w:r>
    </w:p>
    <w:p w:rsidR="00F24FA0" w:rsidRPr="00807147" w:rsidRDefault="00F24FA0" w:rsidP="00313CA3">
      <w:pPr>
        <w:spacing w:after="120" w:line="360" w:lineRule="auto"/>
        <w:jc w:val="both"/>
        <w:rPr>
          <w:rFonts w:ascii="Tahoma" w:hAnsi="Tahoma" w:cs="Tahoma"/>
          <w:b/>
          <w:color w:val="767171" w:themeColor="background2" w:themeShade="80"/>
          <w:sz w:val="24"/>
          <w:szCs w:val="24"/>
        </w:rPr>
      </w:pPr>
    </w:p>
    <w:p w:rsidR="00F972DC" w:rsidRPr="0080714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t>veniturile bugetului general consolidat</w:t>
      </w:r>
    </w:p>
    <w:p w:rsidR="000F1E3F" w:rsidRPr="00807147" w:rsidRDefault="000F1E3F" w:rsidP="00313CA3">
      <w:pPr>
        <w:spacing w:after="120" w:line="240" w:lineRule="auto"/>
        <w:rPr>
          <w:rFonts w:ascii="Tahoma" w:hAnsi="Tahoma" w:cs="Tahoma"/>
          <w:b/>
          <w:color w:val="0070C0"/>
          <w:sz w:val="24"/>
          <w:szCs w:val="24"/>
        </w:rPr>
      </w:pPr>
    </w:p>
    <w:p w:rsidR="009A320D" w:rsidRPr="00807147" w:rsidRDefault="00CF55E5" w:rsidP="00753D9F">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Veniturile bugetului general</w:t>
      </w:r>
      <w:r w:rsidR="009D16DA" w:rsidRPr="00807147">
        <w:rPr>
          <w:rFonts w:ascii="Tahoma" w:hAnsi="Tahoma" w:cs="Tahoma"/>
          <w:b/>
          <w:sz w:val="24"/>
          <w:szCs w:val="24"/>
        </w:rPr>
        <w:t xml:space="preserve"> consolidat</w:t>
      </w:r>
      <w:r w:rsidR="00E62253">
        <w:rPr>
          <w:rFonts w:ascii="Tahoma" w:hAnsi="Tahoma" w:cs="Tahoma"/>
          <w:b/>
          <w:sz w:val="24"/>
          <w:szCs w:val="24"/>
        </w:rPr>
        <w:t>,</w:t>
      </w:r>
      <w:r w:rsidR="007A3AFD" w:rsidRPr="00807147">
        <w:rPr>
          <w:rFonts w:ascii="Tahoma" w:hAnsi="Tahoma" w:cs="Tahoma"/>
          <w:sz w:val="24"/>
          <w:szCs w:val="24"/>
        </w:rPr>
        <w:t xml:space="preserve"> </w:t>
      </w:r>
      <w:r w:rsidR="00E62253">
        <w:rPr>
          <w:rFonts w:ascii="Tahoma" w:hAnsi="Tahoma" w:cs="Tahoma"/>
          <w:sz w:val="24"/>
          <w:szCs w:val="24"/>
        </w:rPr>
        <w:t xml:space="preserve">în perioada analizată, </w:t>
      </w:r>
      <w:r w:rsidR="007A3AFD" w:rsidRPr="00807147">
        <w:rPr>
          <w:rFonts w:ascii="Tahoma" w:hAnsi="Tahoma" w:cs="Tahoma"/>
          <w:sz w:val="24"/>
          <w:szCs w:val="24"/>
        </w:rPr>
        <w:t xml:space="preserve">au însumat </w:t>
      </w:r>
      <w:r w:rsidR="00E62253">
        <w:rPr>
          <w:rFonts w:ascii="Tahoma" w:hAnsi="Tahoma" w:cs="Tahoma"/>
          <w:sz w:val="24"/>
          <w:szCs w:val="24"/>
        </w:rPr>
        <w:t>128,58</w:t>
      </w:r>
      <w:r w:rsidR="009D16DA"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009D16DA" w:rsidRPr="00807147">
        <w:rPr>
          <w:rFonts w:ascii="Tahoma" w:hAnsi="Tahoma" w:cs="Tahoma"/>
          <w:sz w:val="24"/>
          <w:szCs w:val="24"/>
        </w:rPr>
        <w:t>lei (</w:t>
      </w:r>
      <w:r w:rsidR="00E62253">
        <w:rPr>
          <w:rFonts w:ascii="Tahoma" w:hAnsi="Tahoma" w:cs="Tahoma"/>
          <w:sz w:val="24"/>
          <w:szCs w:val="24"/>
        </w:rPr>
        <w:t>8,1</w:t>
      </w:r>
      <w:r w:rsidR="009D16DA" w:rsidRPr="00807147">
        <w:rPr>
          <w:rFonts w:ascii="Tahoma" w:hAnsi="Tahoma" w:cs="Tahoma"/>
          <w:sz w:val="24"/>
          <w:szCs w:val="24"/>
        </w:rPr>
        <w:t>% din PIB)</w:t>
      </w:r>
      <w:r w:rsidR="00186A0B">
        <w:rPr>
          <w:rFonts w:ascii="Tahoma" w:hAnsi="Tahoma" w:cs="Tahoma"/>
          <w:sz w:val="24"/>
          <w:szCs w:val="24"/>
        </w:rPr>
        <w:t>,</w:t>
      </w:r>
      <w:r w:rsidR="009D16DA" w:rsidRPr="00807147">
        <w:rPr>
          <w:rFonts w:ascii="Tahoma" w:hAnsi="Tahoma" w:cs="Tahoma"/>
          <w:sz w:val="24"/>
          <w:szCs w:val="24"/>
        </w:rPr>
        <w:t xml:space="preserve"> </w:t>
      </w:r>
      <w:r w:rsidR="00733F08" w:rsidRPr="00807147">
        <w:rPr>
          <w:rFonts w:ascii="Tahoma" w:hAnsi="Tahoma" w:cs="Tahoma"/>
          <w:sz w:val="24"/>
          <w:szCs w:val="24"/>
        </w:rPr>
        <w:t xml:space="preserve">reflectând un </w:t>
      </w:r>
      <w:r w:rsidR="009D16DA" w:rsidRPr="00807147">
        <w:rPr>
          <w:rFonts w:ascii="Tahoma" w:hAnsi="Tahoma" w:cs="Tahoma"/>
          <w:sz w:val="24"/>
          <w:szCs w:val="24"/>
        </w:rPr>
        <w:t xml:space="preserve">grad de realizare a programului de încasări de </w:t>
      </w:r>
      <w:r w:rsidR="00E62253">
        <w:rPr>
          <w:rFonts w:ascii="Tahoma" w:hAnsi="Tahoma" w:cs="Tahoma"/>
          <w:sz w:val="24"/>
          <w:szCs w:val="24"/>
        </w:rPr>
        <w:t>89</w:t>
      </w:r>
      <w:r w:rsidR="00363C11" w:rsidRPr="00807147">
        <w:rPr>
          <w:rFonts w:ascii="Tahoma" w:hAnsi="Tahoma" w:cs="Tahoma"/>
          <w:sz w:val="24"/>
          <w:szCs w:val="24"/>
        </w:rPr>
        <w:t>,</w:t>
      </w:r>
      <w:r w:rsidR="00E16DED" w:rsidRPr="00807147">
        <w:rPr>
          <w:rFonts w:ascii="Tahoma" w:hAnsi="Tahoma" w:cs="Tahoma"/>
          <w:sz w:val="24"/>
          <w:szCs w:val="24"/>
        </w:rPr>
        <w:t>9</w:t>
      </w:r>
      <w:r w:rsidR="009D16DA" w:rsidRPr="00807147">
        <w:rPr>
          <w:rFonts w:ascii="Tahoma" w:hAnsi="Tahoma" w:cs="Tahoma"/>
          <w:sz w:val="24"/>
          <w:szCs w:val="24"/>
        </w:rPr>
        <w:t>%</w:t>
      </w:r>
      <w:r w:rsidR="002F2CFC" w:rsidRPr="00807147">
        <w:rPr>
          <w:rFonts w:ascii="Tahoma" w:hAnsi="Tahoma" w:cs="Tahoma"/>
          <w:sz w:val="24"/>
          <w:szCs w:val="24"/>
        </w:rPr>
        <w:t>.</w:t>
      </w:r>
      <w:r w:rsidR="00BD76A9" w:rsidRPr="00807147">
        <w:rPr>
          <w:rFonts w:ascii="Tahoma" w:hAnsi="Tahoma" w:cs="Tahoma"/>
          <w:sz w:val="24"/>
          <w:szCs w:val="24"/>
        </w:rPr>
        <w:t xml:space="preserve"> </w:t>
      </w:r>
    </w:p>
    <w:p w:rsidR="00024773" w:rsidRPr="00807147" w:rsidRDefault="00DD52A5" w:rsidP="00753D9F">
      <w:pPr>
        <w:tabs>
          <w:tab w:val="left" w:pos="810"/>
          <w:tab w:val="left" w:pos="1134"/>
        </w:tabs>
        <w:spacing w:before="120" w:after="120" w:line="276" w:lineRule="auto"/>
        <w:jc w:val="both"/>
        <w:rPr>
          <w:rFonts w:ascii="Tahoma" w:hAnsi="Tahoma" w:cs="Tahoma"/>
          <w:bCs/>
          <w:sz w:val="24"/>
          <w:szCs w:val="24"/>
        </w:rPr>
      </w:pPr>
      <w:r w:rsidRPr="00807147">
        <w:rPr>
          <w:rFonts w:ascii="Tahoma" w:hAnsi="Tahoma" w:cs="Tahoma"/>
          <w:bCs/>
          <w:sz w:val="24"/>
          <w:szCs w:val="24"/>
        </w:rPr>
        <w:t xml:space="preserve">Comparativ cu încasările </w:t>
      </w:r>
      <w:r w:rsidR="00E62253">
        <w:rPr>
          <w:rFonts w:ascii="Tahoma" w:hAnsi="Tahoma" w:cs="Tahoma"/>
          <w:bCs/>
          <w:sz w:val="24"/>
          <w:szCs w:val="24"/>
        </w:rPr>
        <w:t xml:space="preserve">celui de-al doilea </w:t>
      </w:r>
      <w:r w:rsidRPr="00807147">
        <w:rPr>
          <w:rFonts w:ascii="Tahoma" w:hAnsi="Tahoma" w:cs="Tahoma"/>
          <w:bCs/>
          <w:sz w:val="24"/>
          <w:szCs w:val="24"/>
        </w:rPr>
        <w:t>trimestru al anului 20</w:t>
      </w:r>
      <w:r w:rsidR="00CE4909" w:rsidRPr="00807147">
        <w:rPr>
          <w:rFonts w:ascii="Tahoma" w:hAnsi="Tahoma" w:cs="Tahoma"/>
          <w:bCs/>
          <w:sz w:val="24"/>
          <w:szCs w:val="24"/>
        </w:rPr>
        <w:t>2</w:t>
      </w:r>
      <w:r w:rsidR="00E16DED" w:rsidRPr="00807147">
        <w:rPr>
          <w:rFonts w:ascii="Tahoma" w:hAnsi="Tahoma" w:cs="Tahoma"/>
          <w:bCs/>
          <w:sz w:val="24"/>
          <w:szCs w:val="24"/>
        </w:rPr>
        <w:t>2</w:t>
      </w:r>
      <w:r w:rsidRPr="00807147">
        <w:rPr>
          <w:rFonts w:ascii="Tahoma" w:hAnsi="Tahoma" w:cs="Tahoma"/>
          <w:bCs/>
          <w:sz w:val="24"/>
          <w:szCs w:val="24"/>
        </w:rPr>
        <w:t xml:space="preserve">, </w:t>
      </w:r>
      <w:r w:rsidR="002F2CFC" w:rsidRPr="00807147">
        <w:rPr>
          <w:rFonts w:ascii="Tahoma" w:hAnsi="Tahoma" w:cs="Tahoma"/>
          <w:bCs/>
          <w:sz w:val="24"/>
          <w:szCs w:val="24"/>
        </w:rPr>
        <w:t xml:space="preserve">veniturile </w:t>
      </w:r>
      <w:r w:rsidR="00197545" w:rsidRPr="00807147">
        <w:rPr>
          <w:rFonts w:ascii="Tahoma" w:hAnsi="Tahoma" w:cs="Tahoma"/>
          <w:bCs/>
          <w:sz w:val="24"/>
          <w:szCs w:val="24"/>
        </w:rPr>
        <w:t xml:space="preserve">bugetului general consolidat </w:t>
      </w:r>
      <w:r w:rsidR="002F2CFC" w:rsidRPr="00807147">
        <w:rPr>
          <w:rFonts w:ascii="Tahoma" w:hAnsi="Tahoma" w:cs="Tahoma"/>
          <w:bCs/>
          <w:sz w:val="24"/>
          <w:szCs w:val="24"/>
        </w:rPr>
        <w:t xml:space="preserve">au </w:t>
      </w:r>
      <w:r w:rsidR="00197545" w:rsidRPr="00807147">
        <w:rPr>
          <w:rFonts w:ascii="Tahoma" w:hAnsi="Tahoma" w:cs="Tahoma"/>
          <w:bCs/>
          <w:sz w:val="24"/>
          <w:szCs w:val="24"/>
        </w:rPr>
        <w:t>crescut</w:t>
      </w:r>
      <w:r w:rsidR="002F2CFC" w:rsidRPr="00807147">
        <w:rPr>
          <w:rFonts w:ascii="Tahoma" w:hAnsi="Tahoma" w:cs="Tahoma"/>
          <w:bCs/>
          <w:sz w:val="24"/>
          <w:szCs w:val="24"/>
        </w:rPr>
        <w:t xml:space="preserve"> </w:t>
      </w:r>
      <w:r w:rsidR="00197545" w:rsidRPr="00807147">
        <w:rPr>
          <w:rFonts w:ascii="Tahoma" w:hAnsi="Tahoma" w:cs="Tahoma"/>
          <w:bCs/>
          <w:sz w:val="24"/>
          <w:szCs w:val="24"/>
        </w:rPr>
        <w:t xml:space="preserve">în termeni nominali </w:t>
      </w:r>
      <w:r w:rsidR="009D16DA" w:rsidRPr="00807147">
        <w:rPr>
          <w:rFonts w:ascii="Tahoma" w:hAnsi="Tahoma" w:cs="Tahoma"/>
          <w:bCs/>
          <w:sz w:val="24"/>
          <w:szCs w:val="24"/>
        </w:rPr>
        <w:t xml:space="preserve">cu </w:t>
      </w:r>
      <w:r w:rsidR="00906766">
        <w:rPr>
          <w:rFonts w:ascii="Tahoma" w:hAnsi="Tahoma" w:cs="Tahoma"/>
          <w:bCs/>
          <w:sz w:val="24"/>
          <w:szCs w:val="24"/>
        </w:rPr>
        <w:t>14,2</w:t>
      </w:r>
      <w:r w:rsidR="009D16DA" w:rsidRPr="00807147">
        <w:rPr>
          <w:rFonts w:ascii="Tahoma" w:hAnsi="Tahoma" w:cs="Tahoma"/>
          <w:bCs/>
          <w:sz w:val="24"/>
          <w:szCs w:val="24"/>
        </w:rPr>
        <w:t>%,</w:t>
      </w:r>
      <w:r w:rsidR="00197545" w:rsidRPr="00807147">
        <w:rPr>
          <w:rFonts w:ascii="Tahoma" w:hAnsi="Tahoma" w:cs="Tahoma"/>
          <w:bCs/>
          <w:sz w:val="24"/>
          <w:szCs w:val="24"/>
        </w:rPr>
        <w:t xml:space="preserve"> iar ca procent în PIB </w:t>
      </w:r>
      <w:r w:rsidR="00E16DED" w:rsidRPr="00807147">
        <w:rPr>
          <w:rFonts w:ascii="Tahoma" w:hAnsi="Tahoma" w:cs="Tahoma"/>
          <w:bCs/>
          <w:sz w:val="24"/>
          <w:szCs w:val="24"/>
        </w:rPr>
        <w:t>cu 0,</w:t>
      </w:r>
      <w:r w:rsidR="00906766">
        <w:rPr>
          <w:rFonts w:ascii="Tahoma" w:hAnsi="Tahoma" w:cs="Tahoma"/>
          <w:bCs/>
          <w:sz w:val="24"/>
          <w:szCs w:val="24"/>
        </w:rPr>
        <w:t>1</w:t>
      </w:r>
      <w:r w:rsidR="00197545" w:rsidRPr="00807147">
        <w:rPr>
          <w:rFonts w:ascii="Tahoma" w:hAnsi="Tahoma" w:cs="Tahoma"/>
          <w:bCs/>
          <w:sz w:val="24"/>
          <w:szCs w:val="24"/>
        </w:rPr>
        <w:t xml:space="preserve"> puncte procentuale de la </w:t>
      </w:r>
      <w:r w:rsidR="00906766">
        <w:rPr>
          <w:rFonts w:ascii="Tahoma" w:hAnsi="Tahoma" w:cs="Tahoma"/>
          <w:bCs/>
          <w:sz w:val="24"/>
          <w:szCs w:val="24"/>
        </w:rPr>
        <w:t>8,0</w:t>
      </w:r>
      <w:r w:rsidR="00197545" w:rsidRPr="00807147">
        <w:rPr>
          <w:rFonts w:ascii="Tahoma" w:hAnsi="Tahoma" w:cs="Tahoma"/>
          <w:bCs/>
          <w:sz w:val="24"/>
          <w:szCs w:val="24"/>
        </w:rPr>
        <w:t xml:space="preserve">% din PIB cât au fost în </w:t>
      </w:r>
      <w:r w:rsidR="00906766">
        <w:rPr>
          <w:rFonts w:ascii="Tahoma" w:hAnsi="Tahoma" w:cs="Tahoma"/>
          <w:bCs/>
          <w:sz w:val="24"/>
          <w:szCs w:val="24"/>
        </w:rPr>
        <w:t>al doilea</w:t>
      </w:r>
      <w:r w:rsidR="00197545" w:rsidRPr="00807147">
        <w:rPr>
          <w:rFonts w:ascii="Tahoma" w:hAnsi="Tahoma" w:cs="Tahoma"/>
          <w:bCs/>
          <w:sz w:val="24"/>
          <w:szCs w:val="24"/>
        </w:rPr>
        <w:t xml:space="preserve"> trimestru al anului 202</w:t>
      </w:r>
      <w:r w:rsidR="00E16DED" w:rsidRPr="00807147">
        <w:rPr>
          <w:rFonts w:ascii="Tahoma" w:hAnsi="Tahoma" w:cs="Tahoma"/>
          <w:bCs/>
          <w:sz w:val="24"/>
          <w:szCs w:val="24"/>
        </w:rPr>
        <w:t>2</w:t>
      </w:r>
      <w:r w:rsidR="00197545" w:rsidRPr="00807147">
        <w:rPr>
          <w:rFonts w:ascii="Tahoma" w:hAnsi="Tahoma" w:cs="Tahoma"/>
          <w:bCs/>
          <w:sz w:val="24"/>
          <w:szCs w:val="24"/>
        </w:rPr>
        <w:t xml:space="preserve"> la </w:t>
      </w:r>
      <w:r w:rsidR="00906766">
        <w:rPr>
          <w:rFonts w:ascii="Tahoma" w:hAnsi="Tahoma" w:cs="Tahoma"/>
          <w:bCs/>
          <w:sz w:val="24"/>
          <w:szCs w:val="24"/>
        </w:rPr>
        <w:t>8</w:t>
      </w:r>
      <w:r w:rsidR="00197545" w:rsidRPr="00807147">
        <w:rPr>
          <w:rFonts w:ascii="Tahoma" w:hAnsi="Tahoma" w:cs="Tahoma"/>
          <w:bCs/>
          <w:sz w:val="24"/>
          <w:szCs w:val="24"/>
        </w:rPr>
        <w:t>,</w:t>
      </w:r>
      <w:r w:rsidR="00E16DED" w:rsidRPr="00807147">
        <w:rPr>
          <w:rFonts w:ascii="Tahoma" w:hAnsi="Tahoma" w:cs="Tahoma"/>
          <w:bCs/>
          <w:sz w:val="24"/>
          <w:szCs w:val="24"/>
        </w:rPr>
        <w:t>1</w:t>
      </w:r>
      <w:r w:rsidR="00197545" w:rsidRPr="00807147">
        <w:rPr>
          <w:rFonts w:ascii="Tahoma" w:hAnsi="Tahoma" w:cs="Tahoma"/>
          <w:bCs/>
          <w:sz w:val="24"/>
          <w:szCs w:val="24"/>
        </w:rPr>
        <w:t xml:space="preserve">% din PIB în </w:t>
      </w:r>
      <w:r w:rsidR="00906766">
        <w:rPr>
          <w:rFonts w:ascii="Tahoma" w:hAnsi="Tahoma" w:cs="Tahoma"/>
          <w:bCs/>
          <w:sz w:val="24"/>
          <w:szCs w:val="24"/>
        </w:rPr>
        <w:t>al doilea</w:t>
      </w:r>
      <w:r w:rsidR="00197545" w:rsidRPr="00807147">
        <w:rPr>
          <w:rFonts w:ascii="Tahoma" w:hAnsi="Tahoma" w:cs="Tahoma"/>
          <w:bCs/>
          <w:sz w:val="24"/>
          <w:szCs w:val="24"/>
        </w:rPr>
        <w:t xml:space="preserve"> trimestru al anului 202</w:t>
      </w:r>
      <w:r w:rsidR="00E16DED" w:rsidRPr="00807147">
        <w:rPr>
          <w:rFonts w:ascii="Tahoma" w:hAnsi="Tahoma" w:cs="Tahoma"/>
          <w:bCs/>
          <w:sz w:val="24"/>
          <w:szCs w:val="24"/>
        </w:rPr>
        <w:t>3</w:t>
      </w:r>
      <w:r w:rsidR="00197545" w:rsidRPr="00807147">
        <w:rPr>
          <w:rFonts w:ascii="Tahoma" w:hAnsi="Tahoma" w:cs="Tahoma"/>
          <w:bCs/>
          <w:sz w:val="24"/>
          <w:szCs w:val="24"/>
        </w:rPr>
        <w:t>.</w:t>
      </w:r>
      <w:r w:rsidR="009D16DA" w:rsidRPr="00807147">
        <w:rPr>
          <w:rFonts w:ascii="Tahoma" w:hAnsi="Tahoma" w:cs="Tahoma"/>
          <w:bCs/>
          <w:sz w:val="24"/>
          <w:szCs w:val="24"/>
        </w:rPr>
        <w:t xml:space="preserve"> </w:t>
      </w:r>
    </w:p>
    <w:p w:rsidR="00DD52A5" w:rsidRPr="00807147" w:rsidRDefault="00DD52A5" w:rsidP="00753D9F">
      <w:pPr>
        <w:tabs>
          <w:tab w:val="left" w:pos="810"/>
          <w:tab w:val="left" w:pos="1134"/>
        </w:tabs>
        <w:spacing w:before="120" w:after="120" w:line="276" w:lineRule="auto"/>
        <w:jc w:val="both"/>
        <w:rPr>
          <w:rFonts w:ascii="Tahoma" w:hAnsi="Tahoma" w:cs="Tahoma"/>
          <w:sz w:val="24"/>
          <w:szCs w:val="24"/>
        </w:rPr>
      </w:pPr>
      <w:r w:rsidRPr="00807147">
        <w:rPr>
          <w:rFonts w:ascii="Tahoma" w:hAnsi="Tahoma" w:cs="Tahoma"/>
          <w:b/>
          <w:bCs/>
          <w:sz w:val="24"/>
          <w:szCs w:val="24"/>
        </w:rPr>
        <w:t>Veniturile încasate</w:t>
      </w:r>
      <w:r w:rsidRPr="00807147">
        <w:rPr>
          <w:rFonts w:ascii="Tahoma" w:hAnsi="Tahoma" w:cs="Tahoma"/>
          <w:sz w:val="24"/>
          <w:szCs w:val="24"/>
        </w:rPr>
        <w:t xml:space="preserve"> </w:t>
      </w:r>
      <w:r w:rsidRPr="00807147">
        <w:rPr>
          <w:rFonts w:ascii="Tahoma" w:hAnsi="Tahoma" w:cs="Tahoma"/>
          <w:b/>
          <w:bCs/>
          <w:sz w:val="24"/>
          <w:szCs w:val="24"/>
        </w:rPr>
        <w:t>din economia internă</w:t>
      </w:r>
      <w:r w:rsidRPr="00807147">
        <w:rPr>
          <w:rFonts w:ascii="Tahoma" w:hAnsi="Tahoma" w:cs="Tahoma"/>
          <w:sz w:val="24"/>
          <w:szCs w:val="24"/>
        </w:rPr>
        <w:t xml:space="preserve"> (fără fonduri de la Uniunea Europeană) au fost în sumă de </w:t>
      </w:r>
      <w:r w:rsidR="00906766">
        <w:rPr>
          <w:rFonts w:ascii="Tahoma" w:hAnsi="Tahoma" w:cs="Tahoma"/>
          <w:bCs/>
          <w:sz w:val="24"/>
          <w:szCs w:val="24"/>
        </w:rPr>
        <w:t>116,25</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w:t>
      </w:r>
      <w:r w:rsidRPr="00807147">
        <w:rPr>
          <w:rFonts w:ascii="Tahoma" w:hAnsi="Tahoma" w:cs="Tahoma"/>
          <w:b/>
          <w:bCs/>
          <w:sz w:val="24"/>
          <w:szCs w:val="24"/>
        </w:rPr>
        <w:t xml:space="preserve"> </w:t>
      </w:r>
      <w:r w:rsidRPr="00807147">
        <w:rPr>
          <w:rFonts w:ascii="Tahoma" w:hAnsi="Tahoma" w:cs="Tahoma"/>
          <w:sz w:val="24"/>
          <w:szCs w:val="24"/>
        </w:rPr>
        <w:t xml:space="preserve">reprezentând </w:t>
      </w:r>
      <w:r w:rsidR="00906766">
        <w:rPr>
          <w:rFonts w:ascii="Tahoma" w:hAnsi="Tahoma" w:cs="Tahoma"/>
          <w:sz w:val="24"/>
          <w:szCs w:val="24"/>
        </w:rPr>
        <w:t>7,3</w:t>
      </w:r>
      <w:r w:rsidRPr="00807147">
        <w:rPr>
          <w:rFonts w:ascii="Tahoma" w:hAnsi="Tahoma" w:cs="Tahoma"/>
          <w:sz w:val="24"/>
          <w:szCs w:val="24"/>
        </w:rPr>
        <w:t xml:space="preserve">% ca pondere în PIB </w:t>
      </w:r>
      <w:r w:rsidR="009D16DA" w:rsidRPr="00807147">
        <w:rPr>
          <w:rFonts w:ascii="Tahoma" w:hAnsi="Tahoma" w:cs="Tahoma"/>
          <w:sz w:val="24"/>
          <w:szCs w:val="24"/>
        </w:rPr>
        <w:t>și</w:t>
      </w:r>
      <w:r w:rsidRPr="00807147">
        <w:rPr>
          <w:rFonts w:ascii="Tahoma" w:hAnsi="Tahoma" w:cs="Tahoma"/>
          <w:sz w:val="24"/>
          <w:szCs w:val="24"/>
        </w:rPr>
        <w:t xml:space="preserve"> un grad de realizare a programului trimestrial de </w:t>
      </w:r>
      <w:r w:rsidR="00906766">
        <w:rPr>
          <w:rFonts w:ascii="Tahoma" w:hAnsi="Tahoma" w:cs="Tahoma"/>
          <w:sz w:val="24"/>
          <w:szCs w:val="24"/>
        </w:rPr>
        <w:t>92,1</w:t>
      </w:r>
      <w:r w:rsidRPr="00807147">
        <w:rPr>
          <w:rFonts w:ascii="Tahoma" w:hAnsi="Tahoma" w:cs="Tahoma"/>
          <w:sz w:val="24"/>
          <w:szCs w:val="24"/>
        </w:rPr>
        <w:t>%.</w:t>
      </w:r>
      <w:r w:rsidR="00CF2B0B" w:rsidRPr="00807147">
        <w:rPr>
          <w:rFonts w:ascii="Tahoma" w:hAnsi="Tahoma" w:cs="Tahoma"/>
          <w:sz w:val="24"/>
          <w:szCs w:val="24"/>
        </w:rPr>
        <w:t xml:space="preserve"> Comparativ cu perioada similară a anului anterior veniturile din economia internă au crescut cu 9,</w:t>
      </w:r>
      <w:r w:rsidR="00906766">
        <w:rPr>
          <w:rFonts w:ascii="Tahoma" w:hAnsi="Tahoma" w:cs="Tahoma"/>
          <w:sz w:val="24"/>
          <w:szCs w:val="24"/>
        </w:rPr>
        <w:t>5</w:t>
      </w:r>
      <w:r w:rsidR="00CF2B0B" w:rsidRPr="00807147">
        <w:rPr>
          <w:rFonts w:ascii="Tahoma" w:hAnsi="Tahoma" w:cs="Tahoma"/>
          <w:sz w:val="24"/>
          <w:szCs w:val="24"/>
        </w:rPr>
        <w:t xml:space="preserve">%. </w:t>
      </w:r>
    </w:p>
    <w:p w:rsidR="00187781" w:rsidRPr="00807147" w:rsidRDefault="00906766" w:rsidP="00187781">
      <w:pPr>
        <w:tabs>
          <w:tab w:val="left" w:pos="810"/>
          <w:tab w:val="left" w:pos="1134"/>
        </w:tabs>
        <w:spacing w:before="240"/>
        <w:jc w:val="both"/>
        <w:rPr>
          <w:rFonts w:ascii="Tahoma" w:hAnsi="Tahoma" w:cs="Tahoma"/>
          <w:sz w:val="24"/>
          <w:szCs w:val="24"/>
        </w:rPr>
      </w:pPr>
      <w:r>
        <w:rPr>
          <w:rFonts w:ascii="Tahoma" w:hAnsi="Tahoma" w:cs="Tahoma"/>
          <w:sz w:val="24"/>
          <w:szCs w:val="24"/>
        </w:rPr>
        <w:object w:dxaOrig="9450"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16.75pt" o:ole="">
            <v:imagedata r:id="rId8" o:title=""/>
          </v:shape>
          <o:OLEObject Type="Link" ProgID="Excel.Sheet.12" ShapeID="_x0000_i1025" DrawAspect="Content" r:id="rId9" UpdateMode="Always">
            <o:LinkType>EnhancedMetaFile</o:LinkType>
            <o:LockedField>false</o:LockedField>
          </o:OLEObject>
        </w:object>
      </w:r>
    </w:p>
    <w:p w:rsidR="00137E47" w:rsidRDefault="00DD52A5" w:rsidP="00AE59A3">
      <w:pPr>
        <w:pStyle w:val="NormalWeb"/>
        <w:shd w:val="clear" w:color="auto" w:fill="FFFFFF"/>
        <w:tabs>
          <w:tab w:val="left" w:pos="142"/>
        </w:tabs>
        <w:spacing w:before="120" w:after="240"/>
        <w:ind w:firstLine="0"/>
        <w:rPr>
          <w:rFonts w:ascii="Tahoma" w:hAnsi="Tahoma" w:cs="Tahoma"/>
          <w:color w:val="auto"/>
          <w:lang w:val="ro-RO"/>
        </w:rPr>
      </w:pPr>
      <w:r w:rsidRPr="00807147">
        <w:rPr>
          <w:rFonts w:ascii="Tahoma" w:hAnsi="Tahoma" w:cs="Tahoma"/>
          <w:b/>
          <w:bCs/>
          <w:color w:val="00000A"/>
          <w:lang w:val="ro-RO"/>
        </w:rPr>
        <w:lastRenderedPageBreak/>
        <w:t>Veniturile fiscale</w:t>
      </w:r>
      <w:r w:rsidRPr="00807147">
        <w:rPr>
          <w:rFonts w:ascii="Tahoma" w:hAnsi="Tahoma" w:cs="Tahoma"/>
          <w:color w:val="00000A"/>
          <w:lang w:val="ro-RO"/>
        </w:rPr>
        <w:t xml:space="preserve"> au </w:t>
      </w:r>
      <w:r w:rsidR="00C06FA2" w:rsidRPr="00807147">
        <w:rPr>
          <w:rFonts w:ascii="Tahoma" w:hAnsi="Tahoma" w:cs="Tahoma"/>
          <w:color w:val="00000A"/>
          <w:lang w:val="ro-RO"/>
        </w:rPr>
        <w:t>însumat</w:t>
      </w:r>
      <w:r w:rsidRPr="00807147">
        <w:rPr>
          <w:rFonts w:ascii="Tahoma" w:hAnsi="Tahoma" w:cs="Tahoma"/>
          <w:color w:val="00000A"/>
          <w:lang w:val="ro-RO"/>
        </w:rPr>
        <w:t xml:space="preserve"> </w:t>
      </w:r>
      <w:r w:rsidR="00906766">
        <w:rPr>
          <w:rFonts w:ascii="Tahoma" w:hAnsi="Tahoma" w:cs="Tahoma"/>
          <w:color w:val="00000A"/>
          <w:lang w:val="ro-RO"/>
        </w:rPr>
        <w:t>63,73</w:t>
      </w:r>
      <w:r w:rsidRPr="00807147">
        <w:rPr>
          <w:rFonts w:ascii="Tahoma" w:hAnsi="Tahoma" w:cs="Tahoma"/>
          <w:color w:val="00000A"/>
          <w:lang w:val="ro-RO"/>
        </w:rPr>
        <w:t xml:space="preserve"> </w:t>
      </w:r>
      <w:r w:rsidR="00602503" w:rsidRPr="00807147">
        <w:rPr>
          <w:rFonts w:ascii="Tahoma" w:hAnsi="Tahoma" w:cs="Tahoma"/>
          <w:color w:val="00000A"/>
          <w:lang w:val="ro-RO"/>
        </w:rPr>
        <w:t>miliarde</w:t>
      </w:r>
      <w:r w:rsidR="00713D80" w:rsidRPr="00807147">
        <w:rPr>
          <w:rFonts w:ascii="Tahoma" w:hAnsi="Tahoma" w:cs="Tahoma"/>
          <w:color w:val="00000A"/>
          <w:lang w:val="ro-RO"/>
        </w:rPr>
        <w:t xml:space="preserve"> </w:t>
      </w:r>
      <w:r w:rsidRPr="00807147">
        <w:rPr>
          <w:rFonts w:ascii="Tahoma" w:hAnsi="Tahoma" w:cs="Tahoma"/>
          <w:color w:val="00000A"/>
          <w:lang w:val="ro-RO"/>
        </w:rPr>
        <w:t xml:space="preserve">lei și s-au realizat în proporție de </w:t>
      </w:r>
      <w:r w:rsidR="00906766">
        <w:rPr>
          <w:rFonts w:ascii="Tahoma" w:hAnsi="Tahoma" w:cs="Tahoma"/>
          <w:color w:val="00000A"/>
          <w:lang w:val="ro-RO"/>
        </w:rPr>
        <w:t>90,1</w:t>
      </w:r>
      <w:r w:rsidR="0034724E" w:rsidRPr="00807147">
        <w:rPr>
          <w:rFonts w:ascii="Tahoma" w:hAnsi="Tahoma" w:cs="Tahoma"/>
          <w:color w:val="00000A"/>
          <w:lang w:val="ro-RO"/>
        </w:rPr>
        <w:t xml:space="preserve">%. </w:t>
      </w:r>
      <w:r w:rsidR="0034724E" w:rsidRPr="00807147">
        <w:rPr>
          <w:rFonts w:ascii="Tahoma" w:hAnsi="Tahoma" w:cs="Tahoma"/>
          <w:color w:val="auto"/>
          <w:lang w:val="ro-RO"/>
        </w:rPr>
        <w:t xml:space="preserve">Acestea au reprezentat </w:t>
      </w:r>
      <w:r w:rsidR="00906766">
        <w:rPr>
          <w:rFonts w:ascii="Tahoma" w:hAnsi="Tahoma" w:cs="Tahoma"/>
          <w:color w:val="auto"/>
          <w:lang w:val="ro-RO"/>
        </w:rPr>
        <w:t>4,0</w:t>
      </w:r>
      <w:r w:rsidRPr="00807147">
        <w:rPr>
          <w:rFonts w:ascii="Tahoma" w:hAnsi="Tahoma" w:cs="Tahoma"/>
          <w:color w:val="auto"/>
          <w:lang w:val="ro-RO"/>
        </w:rPr>
        <w:t xml:space="preserve">% din PIB, fiind cu </w:t>
      </w:r>
      <w:r w:rsidR="00906766">
        <w:rPr>
          <w:rFonts w:ascii="Tahoma" w:hAnsi="Tahoma" w:cs="Tahoma"/>
          <w:color w:val="auto"/>
          <w:lang w:val="ro-RO"/>
        </w:rPr>
        <w:t>9,7</w:t>
      </w:r>
      <w:r w:rsidRPr="00807147">
        <w:rPr>
          <w:rFonts w:ascii="Tahoma" w:hAnsi="Tahoma" w:cs="Tahoma"/>
          <w:color w:val="auto"/>
          <w:lang w:val="ro-RO"/>
        </w:rPr>
        <w:t xml:space="preserve">% mai </w:t>
      </w:r>
      <w:r w:rsidR="0034724E" w:rsidRPr="00807147">
        <w:rPr>
          <w:rFonts w:ascii="Tahoma" w:hAnsi="Tahoma" w:cs="Tahoma"/>
          <w:color w:val="auto"/>
          <w:lang w:val="ro-RO"/>
        </w:rPr>
        <w:t>mari</w:t>
      </w:r>
      <w:r w:rsidRPr="00807147">
        <w:rPr>
          <w:rFonts w:ascii="Tahoma" w:hAnsi="Tahoma" w:cs="Tahoma"/>
          <w:color w:val="auto"/>
          <w:lang w:val="ro-RO"/>
        </w:rPr>
        <w:t xml:space="preserve"> comparativ cu încasările trimestru</w:t>
      </w:r>
      <w:r w:rsidR="00906766">
        <w:rPr>
          <w:rFonts w:ascii="Tahoma" w:hAnsi="Tahoma" w:cs="Tahoma"/>
          <w:color w:val="auto"/>
          <w:lang w:val="ro-RO"/>
        </w:rPr>
        <w:t>lui II</w:t>
      </w:r>
      <w:r w:rsidRPr="00807147">
        <w:rPr>
          <w:rFonts w:ascii="Tahoma" w:hAnsi="Tahoma" w:cs="Tahoma"/>
          <w:color w:val="auto"/>
          <w:lang w:val="ro-RO"/>
        </w:rPr>
        <w:t xml:space="preserve"> 20</w:t>
      </w:r>
      <w:r w:rsidR="0034724E" w:rsidRPr="00807147">
        <w:rPr>
          <w:rFonts w:ascii="Tahoma" w:hAnsi="Tahoma" w:cs="Tahoma"/>
          <w:color w:val="auto"/>
          <w:lang w:val="ro-RO"/>
        </w:rPr>
        <w:t>2</w:t>
      </w:r>
      <w:r w:rsidR="008E08AA" w:rsidRPr="00807147">
        <w:rPr>
          <w:rFonts w:ascii="Tahoma" w:hAnsi="Tahoma" w:cs="Tahoma"/>
          <w:color w:val="auto"/>
          <w:lang w:val="ro-RO"/>
        </w:rPr>
        <w:t>2</w:t>
      </w:r>
      <w:r w:rsidRPr="00807147">
        <w:rPr>
          <w:rFonts w:ascii="Tahoma" w:hAnsi="Tahoma" w:cs="Tahoma"/>
          <w:color w:val="auto"/>
          <w:lang w:val="ro-RO"/>
        </w:rPr>
        <w:t>.</w:t>
      </w:r>
    </w:p>
    <w:p w:rsidR="00A56918" w:rsidRDefault="00AE59A3" w:rsidP="00137E47">
      <w:pPr>
        <w:pStyle w:val="NormalWeb"/>
        <w:shd w:val="clear" w:color="auto" w:fill="FFFFFF"/>
        <w:tabs>
          <w:tab w:val="left" w:pos="142"/>
        </w:tabs>
        <w:spacing w:before="120" w:after="120"/>
        <w:ind w:firstLine="0"/>
        <w:rPr>
          <w:rFonts w:ascii="Tahoma" w:hAnsi="Tahoma" w:cs="Tahoma"/>
          <w:color w:val="auto"/>
          <w:lang w:val="ro-RO"/>
        </w:rPr>
      </w:pPr>
      <w:r>
        <w:rPr>
          <w:rFonts w:ascii="Tahoma" w:hAnsi="Tahoma" w:cs="Tahoma"/>
          <w:color w:val="auto"/>
          <w:lang w:val="ro-RO"/>
        </w:rPr>
        <w:object w:dxaOrig="9541" w:dyaOrig="6106">
          <v:shape id="_x0000_i1026" type="#_x0000_t75" style="width:486.75pt;height:262.5pt" o:ole="">
            <v:imagedata r:id="rId10" o:title=""/>
          </v:shape>
          <o:OLEObject Type="Link" ProgID="Excel.Sheet.12" ShapeID="_x0000_i1026" DrawAspect="Content" r:id="rId11" UpdateMode="Always">
            <o:LinkType>EnhancedMetaFile</o:LinkType>
            <o:LockedField>false</o:LockedField>
          </o:OLEObject>
        </w:object>
      </w:r>
    </w:p>
    <w:p w:rsidR="00AE59A3" w:rsidRDefault="00AE59A3" w:rsidP="00137E47">
      <w:pPr>
        <w:pStyle w:val="NormalWeb"/>
        <w:shd w:val="clear" w:color="auto" w:fill="FFFFFF"/>
        <w:tabs>
          <w:tab w:val="left" w:pos="142"/>
        </w:tabs>
        <w:spacing w:before="120" w:after="120"/>
        <w:ind w:firstLine="0"/>
        <w:rPr>
          <w:rFonts w:ascii="Tahoma" w:hAnsi="Tahoma" w:cs="Tahoma"/>
          <w:color w:val="auto"/>
          <w:lang w:val="ro-RO"/>
        </w:rPr>
      </w:pPr>
    </w:p>
    <w:p w:rsidR="00DD52A5" w:rsidRPr="00807147" w:rsidRDefault="00222906" w:rsidP="00137E47">
      <w:pPr>
        <w:pStyle w:val="NormalWeb"/>
        <w:shd w:val="clear" w:color="auto" w:fill="FFFFFF"/>
        <w:tabs>
          <w:tab w:val="left" w:pos="142"/>
        </w:tabs>
        <w:spacing w:before="120" w:after="120"/>
        <w:ind w:firstLine="0"/>
        <w:rPr>
          <w:rFonts w:ascii="Tahoma" w:hAnsi="Tahoma" w:cs="Tahoma"/>
          <w:color w:val="00000A"/>
          <w:lang w:val="ro-RO"/>
        </w:rPr>
      </w:pPr>
      <w:r w:rsidRPr="00807147">
        <w:rPr>
          <w:rFonts w:ascii="Tahoma" w:hAnsi="Tahoma" w:cs="Tahoma"/>
          <w:lang w:val="ro-RO"/>
        </w:rPr>
        <w:t>În</w:t>
      </w:r>
      <w:r w:rsidR="0079445D" w:rsidRPr="00807147">
        <w:rPr>
          <w:rFonts w:ascii="Tahoma" w:hAnsi="Tahoma" w:cs="Tahoma"/>
          <w:lang w:val="ro-RO"/>
        </w:rPr>
        <w:t xml:space="preserve"> </w:t>
      </w:r>
      <w:r w:rsidR="00906766">
        <w:rPr>
          <w:rFonts w:ascii="Tahoma" w:hAnsi="Tahoma" w:cs="Tahoma"/>
          <w:lang w:val="ro-RO"/>
        </w:rPr>
        <w:t>al doilea</w:t>
      </w:r>
      <w:r w:rsidR="0079445D" w:rsidRPr="00807147">
        <w:rPr>
          <w:rFonts w:ascii="Tahoma" w:hAnsi="Tahoma" w:cs="Tahoma"/>
          <w:lang w:val="ro-RO"/>
        </w:rPr>
        <w:t xml:space="preserve"> trimestru</w:t>
      </w:r>
      <w:r w:rsidR="008849D9" w:rsidRPr="00807147">
        <w:rPr>
          <w:rFonts w:ascii="Tahoma" w:hAnsi="Tahoma" w:cs="Tahoma"/>
          <w:lang w:val="ro-RO"/>
        </w:rPr>
        <w:t xml:space="preserve"> al anului 202</w:t>
      </w:r>
      <w:r w:rsidR="008E08AA" w:rsidRPr="00807147">
        <w:rPr>
          <w:rFonts w:ascii="Tahoma" w:hAnsi="Tahoma" w:cs="Tahoma"/>
          <w:lang w:val="ro-RO"/>
        </w:rPr>
        <w:t>3</w:t>
      </w:r>
      <w:r w:rsidR="0079445D" w:rsidRPr="00807147">
        <w:rPr>
          <w:rFonts w:ascii="Tahoma" w:hAnsi="Tahoma" w:cs="Tahoma"/>
          <w:lang w:val="ro-RO"/>
        </w:rPr>
        <w:t>, î</w:t>
      </w:r>
      <w:r w:rsidR="00DD52A5" w:rsidRPr="00807147">
        <w:rPr>
          <w:rFonts w:ascii="Tahoma" w:hAnsi="Tahoma" w:cs="Tahoma"/>
          <w:lang w:val="ro-RO"/>
        </w:rPr>
        <w:t>ncasările pe principalele categorii de impozite</w:t>
      </w:r>
      <w:r w:rsidR="0079445D" w:rsidRPr="00807147">
        <w:rPr>
          <w:rFonts w:ascii="Tahoma" w:hAnsi="Tahoma" w:cs="Tahoma"/>
          <w:lang w:val="ro-RO"/>
        </w:rPr>
        <w:t xml:space="preserve"> </w:t>
      </w:r>
      <w:r w:rsidR="00DD52A5" w:rsidRPr="00807147">
        <w:rPr>
          <w:rFonts w:ascii="Tahoma" w:hAnsi="Tahoma" w:cs="Tahoma"/>
          <w:lang w:val="ro-RO"/>
        </w:rPr>
        <w:t>au înregistrat următoarea evoluție:</w:t>
      </w:r>
    </w:p>
    <w:p w:rsidR="00755B4F" w:rsidRPr="00755B4F" w:rsidRDefault="00755B4F" w:rsidP="00755B4F">
      <w:pPr>
        <w:tabs>
          <w:tab w:val="left" w:pos="284"/>
        </w:tabs>
        <w:suppressAutoHyphens/>
        <w:autoSpaceDE w:val="0"/>
        <w:autoSpaceDN w:val="0"/>
        <w:adjustRightInd w:val="0"/>
        <w:spacing w:after="120" w:line="276" w:lineRule="auto"/>
        <w:jc w:val="both"/>
        <w:rPr>
          <w:rFonts w:ascii="Tahoma" w:eastAsia="SimSun" w:hAnsi="Tahoma" w:cs="Tahoma"/>
          <w:bCs/>
          <w:noProof/>
          <w:kern w:val="1"/>
          <w:sz w:val="24"/>
          <w:szCs w:val="24"/>
          <w:lang w:eastAsia="ro-RO"/>
        </w:rPr>
      </w:pPr>
      <w:r w:rsidRPr="00755B4F">
        <w:rPr>
          <w:rFonts w:ascii="Tahoma" w:eastAsia="SimSun" w:hAnsi="Tahoma" w:cs="Tahoma"/>
          <w:bCs/>
          <w:noProof/>
          <w:kern w:val="1"/>
          <w:sz w:val="24"/>
          <w:szCs w:val="24"/>
          <w:lang w:eastAsia="ro-RO"/>
        </w:rPr>
        <w:t xml:space="preserve">Încasările din </w:t>
      </w:r>
      <w:r w:rsidRPr="00755B4F">
        <w:rPr>
          <w:rFonts w:ascii="Tahoma" w:eastAsia="SimSun" w:hAnsi="Tahoma" w:cs="Tahoma"/>
          <w:b/>
          <w:bCs/>
          <w:noProof/>
          <w:kern w:val="1"/>
          <w:sz w:val="24"/>
          <w:szCs w:val="24"/>
          <w:lang w:eastAsia="ro-RO"/>
        </w:rPr>
        <w:t>impozitul pe profit</w:t>
      </w:r>
      <w:r w:rsidRPr="00755B4F">
        <w:rPr>
          <w:rFonts w:ascii="Tahoma" w:eastAsia="SimSun" w:hAnsi="Tahoma" w:cs="Tahoma"/>
          <w:bCs/>
          <w:noProof/>
          <w:kern w:val="1"/>
          <w:sz w:val="24"/>
          <w:szCs w:val="24"/>
          <w:lang w:eastAsia="ro-RO"/>
        </w:rPr>
        <w:t xml:space="preserve"> de 12,2 miliarde lei, înregistrează o evoluție pozitivă față de perioada similară a anului 2022 de 24,8% (+2,4 miliarde lei), susținută de avansul încasărilor din impozitul pe profit de la agenții economici cu 26,1% (+2,4 miliarde lei).</w:t>
      </w:r>
    </w:p>
    <w:p w:rsidR="00755B4F" w:rsidRPr="00755B4F" w:rsidRDefault="00755B4F" w:rsidP="00755B4F">
      <w:pPr>
        <w:tabs>
          <w:tab w:val="left" w:pos="284"/>
        </w:tabs>
        <w:suppressAutoHyphens/>
        <w:autoSpaceDE w:val="0"/>
        <w:autoSpaceDN w:val="0"/>
        <w:adjustRightInd w:val="0"/>
        <w:spacing w:after="120" w:line="276" w:lineRule="auto"/>
        <w:jc w:val="both"/>
        <w:rPr>
          <w:rFonts w:ascii="Tahoma" w:eastAsia="Calibri" w:hAnsi="Tahoma" w:cs="Tahoma"/>
          <w:color w:val="00000A"/>
          <w:kern w:val="1"/>
          <w:sz w:val="24"/>
          <w:szCs w:val="24"/>
        </w:rPr>
      </w:pPr>
      <w:r w:rsidRPr="00755B4F">
        <w:rPr>
          <w:rFonts w:ascii="Tahoma" w:eastAsia="Calibri" w:hAnsi="Tahoma" w:cs="Tahoma"/>
          <w:color w:val="00000A"/>
          <w:kern w:val="1"/>
          <w:sz w:val="24"/>
          <w:szCs w:val="24"/>
        </w:rPr>
        <w:t xml:space="preserve">Gradul de realizare este de 99,0% </w:t>
      </w:r>
      <w:r w:rsidRPr="00755B4F">
        <w:rPr>
          <w:rFonts w:ascii="Tahoma" w:eastAsia="SimSun" w:hAnsi="Tahoma" w:cs="Tahoma"/>
          <w:bCs/>
          <w:noProof/>
          <w:kern w:val="1"/>
          <w:sz w:val="24"/>
          <w:szCs w:val="24"/>
          <w:lang w:eastAsia="ro-RO"/>
        </w:rPr>
        <w:t xml:space="preserve">(-0,1 miliarde lei), </w:t>
      </w:r>
      <w:r w:rsidRPr="00755B4F">
        <w:rPr>
          <w:rFonts w:ascii="Tahoma" w:eastAsia="Calibri" w:hAnsi="Tahoma" w:cs="Tahoma"/>
          <w:color w:val="00000A"/>
          <w:kern w:val="1"/>
          <w:sz w:val="24"/>
          <w:szCs w:val="24"/>
        </w:rPr>
        <w:t>față de programul stabilit, fiind influențat în principal de scăderea încasărilor din impozitul pe profit de la bănci comerciale.</w:t>
      </w:r>
    </w:p>
    <w:p w:rsidR="00755B4F" w:rsidRPr="00755B4F" w:rsidRDefault="00755B4F" w:rsidP="00755B4F">
      <w:pPr>
        <w:tabs>
          <w:tab w:val="left" w:pos="284"/>
        </w:tabs>
        <w:suppressAutoHyphens/>
        <w:autoSpaceDE w:val="0"/>
        <w:autoSpaceDN w:val="0"/>
        <w:adjustRightInd w:val="0"/>
        <w:spacing w:after="0" w:line="276" w:lineRule="auto"/>
        <w:jc w:val="both"/>
        <w:rPr>
          <w:rFonts w:ascii="Tahoma" w:eastAsia="Calibri" w:hAnsi="Tahoma" w:cs="Tahoma"/>
          <w:color w:val="00000A"/>
          <w:kern w:val="1"/>
          <w:sz w:val="24"/>
          <w:szCs w:val="24"/>
        </w:rPr>
      </w:pPr>
      <w:r w:rsidRPr="00755B4F">
        <w:rPr>
          <w:rFonts w:ascii="Tahoma" w:eastAsia="Calibri" w:hAnsi="Tahoma" w:cs="Tahoma"/>
          <w:color w:val="00000A"/>
          <w:kern w:val="1"/>
          <w:sz w:val="24"/>
          <w:szCs w:val="24"/>
        </w:rPr>
        <w:t xml:space="preserve">Încasările din </w:t>
      </w:r>
      <w:r w:rsidRPr="00755B4F">
        <w:rPr>
          <w:rFonts w:ascii="Tahoma" w:eastAsia="Calibri" w:hAnsi="Tahoma" w:cs="Tahoma"/>
          <w:b/>
          <w:color w:val="00000A"/>
          <w:kern w:val="1"/>
          <w:sz w:val="24"/>
          <w:szCs w:val="24"/>
        </w:rPr>
        <w:t>impozitul pe venit</w:t>
      </w:r>
      <w:r w:rsidRPr="00755B4F">
        <w:rPr>
          <w:rFonts w:ascii="Tahoma" w:eastAsia="Calibri" w:hAnsi="Tahoma" w:cs="Tahoma"/>
          <w:color w:val="00000A"/>
          <w:kern w:val="1"/>
          <w:sz w:val="24"/>
          <w:szCs w:val="24"/>
        </w:rPr>
        <w:t xml:space="preserve"> </w:t>
      </w:r>
      <w:r w:rsidRPr="00755B4F">
        <w:rPr>
          <w:rFonts w:ascii="Tahoma" w:eastAsia="SimSun" w:hAnsi="Tahoma" w:cs="Tahoma"/>
          <w:bCs/>
          <w:noProof/>
          <w:kern w:val="1"/>
          <w:sz w:val="24"/>
          <w:szCs w:val="24"/>
          <w:lang w:eastAsia="ro-RO"/>
        </w:rPr>
        <w:t xml:space="preserve">în trimestrul II al anului 2023 </w:t>
      </w:r>
      <w:r w:rsidRPr="00755B4F">
        <w:rPr>
          <w:rFonts w:ascii="Tahoma" w:eastAsia="Calibri" w:hAnsi="Tahoma" w:cs="Tahoma"/>
          <w:color w:val="00000A"/>
          <w:kern w:val="1"/>
          <w:sz w:val="24"/>
          <w:szCs w:val="24"/>
        </w:rPr>
        <w:t>au totalizat 10,</w:t>
      </w:r>
      <w:r>
        <w:rPr>
          <w:rFonts w:ascii="Tahoma" w:eastAsia="Calibri" w:hAnsi="Tahoma" w:cs="Tahoma"/>
          <w:color w:val="00000A"/>
          <w:kern w:val="1"/>
          <w:sz w:val="24"/>
          <w:szCs w:val="24"/>
        </w:rPr>
        <w:t>7</w:t>
      </w:r>
      <w:r w:rsidRPr="00755B4F">
        <w:rPr>
          <w:rFonts w:ascii="Tahoma" w:eastAsia="Calibri" w:hAnsi="Tahoma" w:cs="Tahoma"/>
          <w:color w:val="00000A"/>
          <w:kern w:val="1"/>
          <w:sz w:val="24"/>
          <w:szCs w:val="24"/>
        </w:rPr>
        <w:t xml:space="preserve"> miliarde lei, în creștere cu 13,</w:t>
      </w:r>
      <w:r>
        <w:rPr>
          <w:rFonts w:ascii="Tahoma" w:eastAsia="Calibri" w:hAnsi="Tahoma" w:cs="Tahoma"/>
          <w:color w:val="00000A"/>
          <w:kern w:val="1"/>
          <w:sz w:val="24"/>
          <w:szCs w:val="24"/>
        </w:rPr>
        <w:t>7</w:t>
      </w:r>
      <w:r w:rsidRPr="00755B4F">
        <w:rPr>
          <w:rFonts w:ascii="Tahoma" w:eastAsia="Calibri" w:hAnsi="Tahoma" w:cs="Tahoma"/>
          <w:color w:val="00000A"/>
          <w:kern w:val="1"/>
          <w:sz w:val="24"/>
          <w:szCs w:val="24"/>
        </w:rPr>
        <w:t>% comparativ cu aceeași perioadă a anului precedent, cu un gradul de realizare de 100,</w:t>
      </w:r>
      <w:r>
        <w:rPr>
          <w:rFonts w:ascii="Tahoma" w:eastAsia="Calibri" w:hAnsi="Tahoma" w:cs="Tahoma"/>
          <w:color w:val="00000A"/>
          <w:kern w:val="1"/>
          <w:sz w:val="24"/>
          <w:szCs w:val="24"/>
        </w:rPr>
        <w:t>0% față de programul stabilit.</w:t>
      </w:r>
    </w:p>
    <w:p w:rsidR="00755B4F" w:rsidRPr="00755B4F" w:rsidRDefault="00755B4F" w:rsidP="00755B4F">
      <w:pPr>
        <w:tabs>
          <w:tab w:val="left" w:pos="284"/>
        </w:tabs>
        <w:suppressAutoHyphens/>
        <w:autoSpaceDE w:val="0"/>
        <w:autoSpaceDN w:val="0"/>
        <w:adjustRightInd w:val="0"/>
        <w:spacing w:after="0" w:line="276" w:lineRule="auto"/>
        <w:jc w:val="both"/>
        <w:rPr>
          <w:rFonts w:ascii="Tahoma" w:eastAsia="Calibri" w:hAnsi="Tahoma" w:cs="Tahoma"/>
          <w:kern w:val="1"/>
          <w:sz w:val="24"/>
          <w:szCs w:val="24"/>
        </w:rPr>
      </w:pPr>
      <w:r w:rsidRPr="00755B4F">
        <w:rPr>
          <w:rFonts w:ascii="Tahoma" w:eastAsia="Calibri" w:hAnsi="Tahoma" w:cs="Tahoma"/>
          <w:kern w:val="1"/>
          <w:sz w:val="24"/>
          <w:szCs w:val="24"/>
        </w:rPr>
        <w:t>În structură, încasările din impozitul pe venitul din salarii</w:t>
      </w:r>
      <w:r w:rsidRPr="00755B4F">
        <w:rPr>
          <w:rFonts w:ascii="Tahoma" w:eastAsia="Calibri" w:hAnsi="Tahoma" w:cs="Tahoma"/>
          <w:kern w:val="1"/>
          <w:sz w:val="24"/>
          <w:szCs w:val="24"/>
          <w:vertAlign w:val="superscript"/>
        </w:rPr>
        <w:footnoteReference w:id="1"/>
      </w:r>
      <w:r w:rsidRPr="00755B4F">
        <w:rPr>
          <w:rFonts w:ascii="Tahoma" w:eastAsia="Calibri" w:hAnsi="Tahoma" w:cs="Tahoma"/>
          <w:kern w:val="1"/>
          <w:sz w:val="24"/>
          <w:szCs w:val="24"/>
        </w:rPr>
        <w:t xml:space="preserve"> înregistrează față de aceeași perioadă a anului 2022 o dinamică de 9,3%, sub evoluția fondului brut de salarii de 15,3%</w:t>
      </w:r>
      <w:r w:rsidRPr="00755B4F">
        <w:rPr>
          <w:rFonts w:ascii="Tahoma" w:eastAsia="Calibri" w:hAnsi="Tahoma" w:cs="Tahoma"/>
          <w:kern w:val="1"/>
          <w:sz w:val="24"/>
          <w:szCs w:val="24"/>
          <w:vertAlign w:val="superscript"/>
        </w:rPr>
        <w:footnoteReference w:id="2"/>
      </w:r>
      <w:r w:rsidRPr="00755B4F">
        <w:rPr>
          <w:rFonts w:ascii="Tahoma" w:eastAsia="Calibri" w:hAnsi="Tahoma" w:cs="Tahoma"/>
          <w:kern w:val="1"/>
          <w:sz w:val="24"/>
          <w:szCs w:val="24"/>
        </w:rPr>
        <w:t xml:space="preserve">, fiind influențată de măsurile privind extinderea facilităților acordate  salariaților din sectorul agricol și industrie alimentară (efect negativ din scutirea de impozit pe venit din salarii,  </w:t>
      </w:r>
      <w:r w:rsidRPr="00755B4F">
        <w:rPr>
          <w:rFonts w:ascii="Tahoma" w:eastAsia="Calibri" w:hAnsi="Tahoma" w:cs="Tahoma"/>
          <w:kern w:val="1"/>
          <w:sz w:val="24"/>
          <w:szCs w:val="24"/>
        </w:rPr>
        <w:lastRenderedPageBreak/>
        <w:t>conform Legii nr. 135/2022</w:t>
      </w:r>
      <w:r w:rsidRPr="00755B4F">
        <w:rPr>
          <w:rFonts w:ascii="Tahoma" w:eastAsia="Calibri" w:hAnsi="Tahoma" w:cs="Tahoma"/>
          <w:kern w:val="1"/>
          <w:sz w:val="24"/>
          <w:szCs w:val="24"/>
          <w:vertAlign w:val="superscript"/>
        </w:rPr>
        <w:footnoteReference w:id="3"/>
      </w:r>
      <w:r w:rsidRPr="00755B4F">
        <w:rPr>
          <w:rFonts w:ascii="Tahoma" w:eastAsia="Calibri" w:hAnsi="Tahoma" w:cs="Tahoma"/>
          <w:kern w:val="1"/>
          <w:sz w:val="24"/>
          <w:szCs w:val="24"/>
        </w:rPr>
        <w:t xml:space="preserve">), neimpozitarea sumei de 200 lei/lună, reprezentând venituri din salarii și asimilate salariilor pentru anumite categorii de salariați (salariații cu nivelul salariului de bază brut lunar egal cu nivelul salariului minim brut pe </w:t>
      </w:r>
      <w:proofErr w:type="spellStart"/>
      <w:r w:rsidRPr="00755B4F">
        <w:rPr>
          <w:rFonts w:ascii="Tahoma" w:eastAsia="Calibri" w:hAnsi="Tahoma" w:cs="Tahoma"/>
          <w:kern w:val="1"/>
          <w:sz w:val="24"/>
          <w:szCs w:val="24"/>
        </w:rPr>
        <w:t>ţară</w:t>
      </w:r>
      <w:proofErr w:type="spellEnd"/>
      <w:r w:rsidRPr="00755B4F">
        <w:rPr>
          <w:rFonts w:ascii="Tahoma" w:eastAsia="Calibri" w:hAnsi="Tahoma" w:cs="Tahoma"/>
          <w:kern w:val="1"/>
          <w:sz w:val="24"/>
          <w:szCs w:val="24"/>
        </w:rPr>
        <w:t xml:space="preserve"> garantat în plată și venitul brut realizat din salarii </w:t>
      </w:r>
      <w:proofErr w:type="spellStart"/>
      <w:r w:rsidRPr="00755B4F">
        <w:rPr>
          <w:rFonts w:ascii="Tahoma" w:eastAsia="Calibri" w:hAnsi="Tahoma" w:cs="Tahoma"/>
          <w:kern w:val="1"/>
          <w:sz w:val="24"/>
          <w:szCs w:val="24"/>
        </w:rPr>
        <w:t>şi</w:t>
      </w:r>
      <w:proofErr w:type="spellEnd"/>
      <w:r w:rsidRPr="00755B4F">
        <w:rPr>
          <w:rFonts w:ascii="Tahoma" w:eastAsia="Calibri" w:hAnsi="Tahoma" w:cs="Tahoma"/>
          <w:kern w:val="1"/>
          <w:sz w:val="24"/>
          <w:szCs w:val="24"/>
        </w:rPr>
        <w:t xml:space="preserve"> asimilate salariilor ce nu </w:t>
      </w:r>
      <w:proofErr w:type="spellStart"/>
      <w:r w:rsidRPr="00755B4F">
        <w:rPr>
          <w:rFonts w:ascii="Tahoma" w:eastAsia="Calibri" w:hAnsi="Tahoma" w:cs="Tahoma"/>
          <w:kern w:val="1"/>
          <w:sz w:val="24"/>
          <w:szCs w:val="24"/>
        </w:rPr>
        <w:t>depăşeşte</w:t>
      </w:r>
      <w:proofErr w:type="spellEnd"/>
      <w:r w:rsidRPr="00755B4F">
        <w:rPr>
          <w:rFonts w:ascii="Tahoma" w:eastAsia="Calibri" w:hAnsi="Tahoma" w:cs="Tahoma"/>
          <w:kern w:val="1"/>
          <w:sz w:val="24"/>
          <w:szCs w:val="24"/>
        </w:rPr>
        <w:t xml:space="preserve"> nivelul de 4.000 lei inclusiv, conform O.U.G. nr. 168/2022), precum și de noile măsuri fiscale privind modificarea deducerilor personale introduse prin O.G. nr. 16/2022.</w:t>
      </w:r>
    </w:p>
    <w:p w:rsidR="00755B4F" w:rsidRPr="00755B4F" w:rsidRDefault="00755B4F" w:rsidP="00755B4F">
      <w:pPr>
        <w:tabs>
          <w:tab w:val="left" w:pos="284"/>
        </w:tabs>
        <w:autoSpaceDE w:val="0"/>
        <w:autoSpaceDN w:val="0"/>
        <w:adjustRightInd w:val="0"/>
        <w:spacing w:after="120" w:line="276" w:lineRule="auto"/>
        <w:jc w:val="both"/>
        <w:rPr>
          <w:rFonts w:ascii="Tahoma" w:eastAsia="SimSun" w:hAnsi="Tahoma" w:cs="Tahoma"/>
          <w:color w:val="00000A"/>
          <w:kern w:val="1"/>
          <w:sz w:val="24"/>
          <w:szCs w:val="24"/>
        </w:rPr>
      </w:pPr>
      <w:r w:rsidRPr="00755B4F">
        <w:rPr>
          <w:rFonts w:ascii="Tahoma" w:eastAsia="SimSun" w:hAnsi="Tahoma" w:cs="Tahoma"/>
          <w:color w:val="00000A"/>
          <w:kern w:val="1"/>
          <w:sz w:val="24"/>
          <w:szCs w:val="24"/>
        </w:rPr>
        <w:t>O evoluție pozitivă a veniturilor din această sursă a fost susținută în special de sporul încasărilor din impozitul pe veniturile din declarația unică +10,5% și impozitul pe veniturile din pensii (+48,5%, creștere în care este inclusă majorarea valorii punctului de pensie cu 12,5%</w:t>
      </w:r>
      <w:r w:rsidRPr="00755B4F">
        <w:rPr>
          <w:rFonts w:ascii="Tahoma" w:eastAsia="SimSun" w:hAnsi="Tahoma" w:cs="Tahoma"/>
          <w:color w:val="00000A"/>
          <w:kern w:val="1"/>
          <w:sz w:val="24"/>
          <w:szCs w:val="24"/>
          <w:vertAlign w:val="superscript"/>
        </w:rPr>
        <w:footnoteReference w:id="4"/>
      </w:r>
      <w:r w:rsidRPr="00755B4F">
        <w:rPr>
          <w:rFonts w:ascii="Tahoma" w:eastAsia="SimSun" w:hAnsi="Tahoma" w:cs="Tahoma"/>
          <w:color w:val="00000A"/>
          <w:kern w:val="1"/>
          <w:sz w:val="24"/>
          <w:szCs w:val="24"/>
        </w:rPr>
        <w:t>).</w:t>
      </w:r>
    </w:p>
    <w:p w:rsidR="005F1823" w:rsidRPr="00807147" w:rsidRDefault="00DD52A5" w:rsidP="00755B4F">
      <w:pPr>
        <w:tabs>
          <w:tab w:val="left" w:pos="284"/>
        </w:tabs>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Încasările din </w:t>
      </w:r>
      <w:r w:rsidRPr="00807147">
        <w:rPr>
          <w:rFonts w:ascii="Tahoma" w:hAnsi="Tahoma" w:cs="Tahoma"/>
          <w:b/>
          <w:bCs/>
          <w:sz w:val="24"/>
          <w:szCs w:val="24"/>
        </w:rPr>
        <w:t xml:space="preserve">impozitele </w:t>
      </w:r>
      <w:r w:rsidR="00640FBB" w:rsidRPr="00807147">
        <w:rPr>
          <w:rFonts w:ascii="Tahoma" w:hAnsi="Tahoma" w:cs="Tahoma"/>
          <w:b/>
          <w:bCs/>
          <w:sz w:val="24"/>
          <w:szCs w:val="24"/>
        </w:rPr>
        <w:t>și</w:t>
      </w:r>
      <w:r w:rsidRPr="00807147">
        <w:rPr>
          <w:rFonts w:ascii="Tahoma" w:hAnsi="Tahoma" w:cs="Tahoma"/>
          <w:b/>
          <w:bCs/>
          <w:sz w:val="24"/>
          <w:szCs w:val="24"/>
        </w:rPr>
        <w:t xml:space="preserve"> taxele pe proprietate</w:t>
      </w:r>
      <w:r w:rsidRPr="00807147">
        <w:rPr>
          <w:rFonts w:ascii="Tahoma" w:hAnsi="Tahoma" w:cs="Tahoma"/>
          <w:sz w:val="24"/>
          <w:szCs w:val="24"/>
        </w:rPr>
        <w:t xml:space="preserve"> au însumat </w:t>
      </w:r>
      <w:r w:rsidR="00755B4F">
        <w:rPr>
          <w:rFonts w:ascii="Tahoma" w:hAnsi="Tahoma" w:cs="Tahoma"/>
          <w:sz w:val="24"/>
          <w:szCs w:val="24"/>
        </w:rPr>
        <w:t>0,7</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și s-au realizat în proporție de </w:t>
      </w:r>
      <w:r w:rsidR="00755B4F">
        <w:rPr>
          <w:rFonts w:ascii="Tahoma" w:hAnsi="Tahoma" w:cs="Tahoma"/>
          <w:sz w:val="24"/>
          <w:szCs w:val="24"/>
        </w:rPr>
        <w:t>66,0</w:t>
      </w:r>
      <w:r w:rsidRPr="00807147">
        <w:rPr>
          <w:rFonts w:ascii="Tahoma" w:hAnsi="Tahoma" w:cs="Tahoma"/>
          <w:sz w:val="24"/>
          <w:szCs w:val="24"/>
        </w:rPr>
        <w:t xml:space="preserve">%. </w:t>
      </w:r>
      <w:r w:rsidR="0033447D" w:rsidRPr="00807147">
        <w:rPr>
          <w:rFonts w:ascii="Tahoma" w:hAnsi="Tahoma" w:cs="Tahoma"/>
          <w:sz w:val="24"/>
          <w:szCs w:val="24"/>
        </w:rPr>
        <w:t>Totodată, c</w:t>
      </w:r>
      <w:r w:rsidRPr="00807147">
        <w:rPr>
          <w:rFonts w:ascii="Tahoma" w:hAnsi="Tahoma" w:cs="Tahoma"/>
          <w:sz w:val="24"/>
          <w:szCs w:val="24"/>
        </w:rPr>
        <w:t>omparativ cu încasările din trimestrul I</w:t>
      </w:r>
      <w:r w:rsidR="00755B4F">
        <w:rPr>
          <w:rFonts w:ascii="Tahoma" w:hAnsi="Tahoma" w:cs="Tahoma"/>
          <w:sz w:val="24"/>
          <w:szCs w:val="24"/>
        </w:rPr>
        <w:t>I</w:t>
      </w:r>
      <w:r w:rsidRPr="00807147">
        <w:rPr>
          <w:rFonts w:ascii="Tahoma" w:hAnsi="Tahoma" w:cs="Tahoma"/>
          <w:sz w:val="24"/>
          <w:szCs w:val="24"/>
        </w:rPr>
        <w:t xml:space="preserve"> 20</w:t>
      </w:r>
      <w:r w:rsidR="00DE15CB" w:rsidRPr="00807147">
        <w:rPr>
          <w:rFonts w:ascii="Tahoma" w:hAnsi="Tahoma" w:cs="Tahoma"/>
          <w:sz w:val="24"/>
          <w:szCs w:val="24"/>
        </w:rPr>
        <w:t>2</w:t>
      </w:r>
      <w:r w:rsidR="002D0BFF" w:rsidRPr="00807147">
        <w:rPr>
          <w:rFonts w:ascii="Tahoma" w:hAnsi="Tahoma" w:cs="Tahoma"/>
          <w:sz w:val="24"/>
          <w:szCs w:val="24"/>
        </w:rPr>
        <w:t>2</w:t>
      </w:r>
      <w:r w:rsidRPr="00807147">
        <w:rPr>
          <w:rFonts w:ascii="Tahoma" w:hAnsi="Tahoma" w:cs="Tahoma"/>
          <w:sz w:val="24"/>
          <w:szCs w:val="24"/>
        </w:rPr>
        <w:t xml:space="preserve">, acestea au </w:t>
      </w:r>
      <w:r w:rsidR="00DE15CB" w:rsidRPr="00807147">
        <w:rPr>
          <w:rFonts w:ascii="Tahoma" w:hAnsi="Tahoma" w:cs="Tahoma"/>
          <w:sz w:val="24"/>
          <w:szCs w:val="24"/>
        </w:rPr>
        <w:t>crescut</w:t>
      </w:r>
      <w:r w:rsidRPr="00807147">
        <w:rPr>
          <w:rFonts w:ascii="Tahoma" w:hAnsi="Tahoma" w:cs="Tahoma"/>
          <w:sz w:val="24"/>
          <w:szCs w:val="24"/>
        </w:rPr>
        <w:t xml:space="preserve"> cu </w:t>
      </w:r>
      <w:r w:rsidR="00755B4F">
        <w:rPr>
          <w:rFonts w:ascii="Tahoma" w:hAnsi="Tahoma" w:cs="Tahoma"/>
          <w:sz w:val="24"/>
          <w:szCs w:val="24"/>
        </w:rPr>
        <w:t>1,0</w:t>
      </w:r>
      <w:r w:rsidRPr="00807147">
        <w:rPr>
          <w:rFonts w:ascii="Tahoma" w:hAnsi="Tahoma" w:cs="Tahoma"/>
          <w:sz w:val="24"/>
          <w:szCs w:val="24"/>
        </w:rPr>
        <w:t>%</w:t>
      </w:r>
      <w:r w:rsidR="005F1823" w:rsidRPr="00807147">
        <w:rPr>
          <w:rFonts w:ascii="Tahoma" w:hAnsi="Tahoma" w:cs="Tahoma"/>
          <w:sz w:val="24"/>
          <w:szCs w:val="24"/>
        </w:rPr>
        <w:t>.</w:t>
      </w:r>
      <w:r w:rsidR="00124758" w:rsidRPr="00807147">
        <w:rPr>
          <w:rFonts w:ascii="Tahoma" w:hAnsi="Tahoma" w:cs="Tahoma"/>
          <w:sz w:val="24"/>
          <w:szCs w:val="24"/>
        </w:rPr>
        <w:t xml:space="preserve"> Nerealizarea programului de încasări pentru perioada analizată s-a datorat evoluției încasărilor la bugetele locale </w:t>
      </w:r>
      <w:r w:rsidR="00124758" w:rsidRPr="00807147">
        <w:rPr>
          <w:rFonts w:ascii="Tahoma" w:eastAsia="Calibri" w:hAnsi="Tahoma" w:cs="Tahoma"/>
          <w:sz w:val="24"/>
          <w:szCs w:val="24"/>
        </w:rPr>
        <w:t>ca urmare a modificărilor legislative aduse impozitului pe proprietate (impozit/taxa pe clădiri și impozit/taxa pe teren) prin Legea nr. 370/2022, ce au fost adoptate după aprobarea legilor bugetare pe anul 2023, în timp ce proiecția veniturilor a avut la bază prevederile O.G. nr. 16/2022.</w:t>
      </w:r>
    </w:p>
    <w:p w:rsidR="00755B4F" w:rsidRPr="00755B4F" w:rsidRDefault="00755B4F" w:rsidP="00755B4F">
      <w:pPr>
        <w:suppressAutoHyphens/>
        <w:autoSpaceDE w:val="0"/>
        <w:autoSpaceDN w:val="0"/>
        <w:adjustRightInd w:val="0"/>
        <w:spacing w:after="120" w:line="276" w:lineRule="auto"/>
        <w:jc w:val="both"/>
        <w:rPr>
          <w:rFonts w:ascii="Tahoma" w:eastAsia="Calibri" w:hAnsi="Tahoma" w:cs="Tahoma"/>
          <w:color w:val="000000" w:themeColor="text1"/>
          <w:kern w:val="1"/>
          <w:sz w:val="24"/>
          <w:szCs w:val="24"/>
          <w:lang w:val="en-US" w:eastAsia="zh-CN"/>
        </w:rPr>
      </w:pPr>
      <w:r w:rsidRPr="00755B4F">
        <w:rPr>
          <w:rFonts w:ascii="Tahoma" w:eastAsia="Calibri" w:hAnsi="Tahoma" w:cs="Tahoma"/>
          <w:color w:val="000000" w:themeColor="text1"/>
          <w:kern w:val="1"/>
          <w:sz w:val="24"/>
          <w:szCs w:val="24"/>
        </w:rPr>
        <w:t xml:space="preserve">Încasările din </w:t>
      </w:r>
      <w:r w:rsidRPr="00755B4F">
        <w:rPr>
          <w:rFonts w:ascii="Tahoma" w:eastAsia="Calibri" w:hAnsi="Tahoma" w:cs="Tahoma"/>
          <w:b/>
          <w:color w:val="000000" w:themeColor="text1"/>
          <w:kern w:val="1"/>
          <w:sz w:val="24"/>
          <w:szCs w:val="24"/>
        </w:rPr>
        <w:t>taxa pe valoarea adăugată</w:t>
      </w:r>
      <w:r w:rsidRPr="00755B4F">
        <w:rPr>
          <w:rFonts w:ascii="Tahoma" w:eastAsia="Calibri" w:hAnsi="Tahoma" w:cs="Tahoma"/>
          <w:color w:val="000000" w:themeColor="text1"/>
          <w:kern w:val="1"/>
          <w:sz w:val="24"/>
          <w:szCs w:val="24"/>
        </w:rPr>
        <w:t xml:space="preserve"> au fost în sumă de 22,8 miliarde lei, înregistrând o creștere a încasărilor din TVA cu 4,4% (+</w:t>
      </w:r>
      <w:r w:rsidR="00137E47">
        <w:rPr>
          <w:rFonts w:ascii="Tahoma" w:eastAsia="Calibri" w:hAnsi="Tahoma" w:cs="Tahoma"/>
          <w:color w:val="000000" w:themeColor="text1"/>
          <w:kern w:val="1"/>
          <w:sz w:val="24"/>
          <w:szCs w:val="24"/>
        </w:rPr>
        <w:t>1,0 miliard</w:t>
      </w:r>
      <w:r w:rsidRPr="00755B4F">
        <w:rPr>
          <w:rFonts w:ascii="Tahoma" w:eastAsia="Calibri" w:hAnsi="Tahoma" w:cs="Tahoma"/>
          <w:color w:val="000000" w:themeColor="text1"/>
          <w:kern w:val="1"/>
          <w:sz w:val="24"/>
          <w:szCs w:val="24"/>
        </w:rPr>
        <w:t xml:space="preserve"> lei), comparativ cu încasările aferente trimestrului II 2022, și un grad de realizare al programului trimestrial de 82,2% (-4,9 miliarde lei).</w:t>
      </w:r>
      <w:r w:rsidRPr="00755B4F">
        <w:rPr>
          <w:rFonts w:ascii="Tahoma" w:eastAsia="SimSun" w:hAnsi="Tahoma" w:cs="Tahoma"/>
          <w:color w:val="000000" w:themeColor="text1"/>
          <w:kern w:val="1"/>
          <w:sz w:val="24"/>
          <w:szCs w:val="24"/>
        </w:rPr>
        <w:t xml:space="preserve"> Decelerarea cifrei de afaceri în comerț, servicii și industrie din trimestrul II 2023 și majorarea restituirilor de taxă pe valoare adăugată au condus la nerealizarea țintei trimestriale.</w:t>
      </w:r>
    </w:p>
    <w:p w:rsidR="00755B4F" w:rsidRPr="00755B4F" w:rsidRDefault="00755B4F" w:rsidP="00755B4F">
      <w:pPr>
        <w:spacing w:after="120" w:line="276" w:lineRule="auto"/>
        <w:jc w:val="both"/>
        <w:rPr>
          <w:rFonts w:ascii="Tahoma" w:eastAsia="Calibri" w:hAnsi="Tahoma" w:cs="Tahoma"/>
          <w:color w:val="000000" w:themeColor="text1"/>
          <w:kern w:val="1"/>
          <w:sz w:val="24"/>
          <w:szCs w:val="24"/>
          <w:lang w:val="en-US" w:eastAsia="zh-CN"/>
        </w:rPr>
      </w:pPr>
      <w:r w:rsidRPr="00755B4F">
        <w:rPr>
          <w:rFonts w:ascii="Tahoma" w:eastAsia="SimSun" w:hAnsi="Tahoma" w:cs="Tahoma"/>
          <w:color w:val="000000" w:themeColor="text1"/>
          <w:kern w:val="1"/>
          <w:sz w:val="24"/>
          <w:szCs w:val="24"/>
        </w:rPr>
        <w:t>În structură, TVA încasată</w:t>
      </w:r>
      <w:r w:rsidRPr="00755B4F">
        <w:rPr>
          <w:rFonts w:ascii="Tahoma" w:eastAsia="SimSun" w:hAnsi="Tahoma" w:cs="Tahoma"/>
          <w:color w:val="000000" w:themeColor="text1"/>
          <w:kern w:val="24"/>
          <w:sz w:val="24"/>
          <w:szCs w:val="24"/>
          <w:vertAlign w:val="superscript"/>
        </w:rPr>
        <w:footnoteReference w:id="5"/>
      </w:r>
      <w:r w:rsidRPr="00755B4F">
        <w:rPr>
          <w:rFonts w:ascii="Tahoma" w:eastAsia="SimSun" w:hAnsi="Tahoma" w:cs="Tahoma"/>
          <w:color w:val="000000" w:themeColor="text1"/>
          <w:kern w:val="24"/>
          <w:sz w:val="24"/>
          <w:szCs w:val="24"/>
          <w:vertAlign w:val="superscript"/>
        </w:rPr>
        <w:t xml:space="preserve"> </w:t>
      </w:r>
      <w:r w:rsidRPr="00755B4F">
        <w:rPr>
          <w:rFonts w:ascii="Tahoma" w:eastAsia="SimSun" w:hAnsi="Tahoma" w:cs="Tahoma"/>
          <w:color w:val="000000" w:themeColor="text1"/>
          <w:kern w:val="1"/>
          <w:sz w:val="24"/>
          <w:szCs w:val="24"/>
        </w:rPr>
        <w:t>s-a majorat cu 6,9% (+2,1 miliarde lei) față de trimestrul II al anului 2022</w:t>
      </w:r>
      <w:r w:rsidRPr="00755B4F">
        <w:rPr>
          <w:rFonts w:ascii="Tahoma" w:eastAsia="SimSun" w:hAnsi="Tahoma" w:cs="Tahoma"/>
          <w:color w:val="000000" w:themeColor="text1"/>
          <w:kern w:val="24"/>
          <w:sz w:val="24"/>
          <w:szCs w:val="24"/>
          <w:vertAlign w:val="superscript"/>
        </w:rPr>
        <w:footnoteReference w:id="6"/>
      </w:r>
      <w:r w:rsidRPr="00755B4F">
        <w:rPr>
          <w:rFonts w:ascii="Tahoma" w:eastAsia="SimSun" w:hAnsi="Tahoma" w:cs="Tahoma"/>
          <w:color w:val="000000" w:themeColor="text1"/>
          <w:kern w:val="1"/>
          <w:sz w:val="24"/>
          <w:szCs w:val="24"/>
        </w:rPr>
        <w:t>, iar valoarea restituirilor de taxă pe valoare adăugată a înregistrat o majorare cu 14,6% (</w:t>
      </w:r>
      <w:r w:rsidR="00137E47">
        <w:rPr>
          <w:rFonts w:ascii="Tahoma" w:eastAsia="SimSun" w:hAnsi="Tahoma" w:cs="Tahoma"/>
          <w:color w:val="000000" w:themeColor="text1"/>
          <w:kern w:val="1"/>
          <w:sz w:val="24"/>
          <w:szCs w:val="24"/>
        </w:rPr>
        <w:t>+</w:t>
      </w:r>
      <w:r w:rsidRPr="00755B4F">
        <w:rPr>
          <w:rFonts w:ascii="Tahoma" w:eastAsia="SimSun" w:hAnsi="Tahoma" w:cs="Tahoma"/>
          <w:color w:val="000000" w:themeColor="text1"/>
          <w:kern w:val="1"/>
          <w:sz w:val="24"/>
          <w:szCs w:val="24"/>
        </w:rPr>
        <w:t xml:space="preserve">1,2 miliarde lei). </w:t>
      </w:r>
      <w:proofErr w:type="spellStart"/>
      <w:r w:rsidRPr="00755B4F">
        <w:rPr>
          <w:rFonts w:ascii="Tahoma" w:eastAsia="Calibri" w:hAnsi="Tahoma" w:cs="Tahoma"/>
          <w:color w:val="000000" w:themeColor="text1"/>
          <w:kern w:val="1"/>
          <w:sz w:val="24"/>
          <w:szCs w:val="24"/>
          <w:lang w:val="en-US" w:eastAsia="zh-CN"/>
        </w:rPr>
        <w:t>În</w:t>
      </w:r>
      <w:proofErr w:type="spellEnd"/>
      <w:r w:rsidRPr="00755B4F">
        <w:rPr>
          <w:rFonts w:ascii="Tahoma" w:eastAsia="Calibri" w:hAnsi="Tahoma" w:cs="Tahoma"/>
          <w:color w:val="000000" w:themeColor="text1"/>
          <w:kern w:val="1"/>
          <w:sz w:val="24"/>
          <w:szCs w:val="24"/>
          <w:lang w:val="en-US" w:eastAsia="zh-CN"/>
        </w:rPr>
        <w:t xml:space="preserve"> </w:t>
      </w:r>
      <w:proofErr w:type="spellStart"/>
      <w:r w:rsidRPr="00755B4F">
        <w:rPr>
          <w:rFonts w:ascii="Tahoma" w:eastAsia="Calibri" w:hAnsi="Tahoma" w:cs="Tahoma"/>
          <w:color w:val="000000" w:themeColor="text1"/>
          <w:kern w:val="1"/>
          <w:sz w:val="24"/>
          <w:szCs w:val="24"/>
          <w:lang w:val="en-US" w:eastAsia="zh-CN"/>
        </w:rPr>
        <w:t>perioada</w:t>
      </w:r>
      <w:proofErr w:type="spellEnd"/>
      <w:r w:rsidRPr="00755B4F">
        <w:rPr>
          <w:rFonts w:ascii="Tahoma" w:eastAsia="Calibri" w:hAnsi="Tahoma" w:cs="Tahoma"/>
          <w:color w:val="000000" w:themeColor="text1"/>
          <w:kern w:val="1"/>
          <w:sz w:val="24"/>
          <w:szCs w:val="24"/>
          <w:lang w:val="en-US" w:eastAsia="zh-CN"/>
        </w:rPr>
        <w:t xml:space="preserve"> </w:t>
      </w:r>
      <w:proofErr w:type="spellStart"/>
      <w:r w:rsidRPr="00755B4F">
        <w:rPr>
          <w:rFonts w:ascii="Tahoma" w:eastAsia="Calibri" w:hAnsi="Tahoma" w:cs="Tahoma"/>
          <w:color w:val="000000" w:themeColor="text1"/>
          <w:kern w:val="1"/>
          <w:sz w:val="24"/>
          <w:szCs w:val="24"/>
          <w:lang w:val="en-US" w:eastAsia="zh-CN"/>
        </w:rPr>
        <w:t>analizată</w:t>
      </w:r>
      <w:proofErr w:type="spellEnd"/>
      <w:r w:rsidRPr="00755B4F">
        <w:rPr>
          <w:rFonts w:ascii="Tahoma" w:eastAsia="Calibri" w:hAnsi="Tahoma" w:cs="Tahoma"/>
          <w:color w:val="000000" w:themeColor="text1"/>
          <w:kern w:val="1"/>
          <w:sz w:val="24"/>
          <w:szCs w:val="24"/>
          <w:lang w:val="en-US" w:eastAsia="zh-CN"/>
        </w:rPr>
        <w:t xml:space="preserve"> media </w:t>
      </w:r>
      <w:proofErr w:type="spellStart"/>
      <w:r w:rsidRPr="00755B4F">
        <w:rPr>
          <w:rFonts w:ascii="Tahoma" w:eastAsia="Calibri" w:hAnsi="Tahoma" w:cs="Tahoma"/>
          <w:color w:val="000000" w:themeColor="text1"/>
          <w:kern w:val="1"/>
          <w:sz w:val="24"/>
          <w:szCs w:val="24"/>
          <w:lang w:val="en-US" w:eastAsia="zh-CN"/>
        </w:rPr>
        <w:t>lunară</w:t>
      </w:r>
      <w:proofErr w:type="spellEnd"/>
      <w:r w:rsidRPr="00755B4F">
        <w:rPr>
          <w:rFonts w:ascii="Tahoma" w:eastAsia="Calibri" w:hAnsi="Tahoma" w:cs="Tahoma"/>
          <w:color w:val="000000" w:themeColor="text1"/>
          <w:kern w:val="1"/>
          <w:sz w:val="24"/>
          <w:szCs w:val="24"/>
          <w:lang w:val="en-US" w:eastAsia="zh-CN"/>
        </w:rPr>
        <w:t xml:space="preserve"> de TVA </w:t>
      </w:r>
      <w:proofErr w:type="spellStart"/>
      <w:r w:rsidRPr="00755B4F">
        <w:rPr>
          <w:rFonts w:ascii="Tahoma" w:eastAsia="Calibri" w:hAnsi="Tahoma" w:cs="Tahoma"/>
          <w:color w:val="000000" w:themeColor="text1"/>
          <w:kern w:val="1"/>
          <w:sz w:val="24"/>
          <w:szCs w:val="24"/>
          <w:lang w:val="en-US" w:eastAsia="zh-CN"/>
        </w:rPr>
        <w:t>restituită</w:t>
      </w:r>
      <w:proofErr w:type="spellEnd"/>
      <w:r w:rsidRPr="00755B4F">
        <w:rPr>
          <w:rFonts w:ascii="Tahoma" w:eastAsia="Calibri" w:hAnsi="Tahoma" w:cs="Tahoma"/>
          <w:color w:val="000000" w:themeColor="text1"/>
          <w:kern w:val="1"/>
          <w:sz w:val="24"/>
          <w:szCs w:val="24"/>
          <w:lang w:val="en-US" w:eastAsia="zh-CN"/>
        </w:rPr>
        <w:t xml:space="preserve"> a </w:t>
      </w:r>
      <w:proofErr w:type="spellStart"/>
      <w:r w:rsidRPr="00755B4F">
        <w:rPr>
          <w:rFonts w:ascii="Tahoma" w:eastAsia="Calibri" w:hAnsi="Tahoma" w:cs="Tahoma"/>
          <w:color w:val="000000" w:themeColor="text1"/>
          <w:kern w:val="1"/>
          <w:sz w:val="24"/>
          <w:szCs w:val="24"/>
          <w:lang w:val="en-US" w:eastAsia="zh-CN"/>
        </w:rPr>
        <w:t>fost</w:t>
      </w:r>
      <w:proofErr w:type="spellEnd"/>
      <w:r w:rsidRPr="00755B4F">
        <w:rPr>
          <w:rFonts w:ascii="Tahoma" w:eastAsia="Calibri" w:hAnsi="Tahoma" w:cs="Tahoma"/>
          <w:color w:val="000000" w:themeColor="text1"/>
          <w:kern w:val="1"/>
          <w:sz w:val="24"/>
          <w:szCs w:val="24"/>
          <w:lang w:val="en-US" w:eastAsia="zh-CN"/>
        </w:rPr>
        <w:t xml:space="preserve"> de 3,0 </w:t>
      </w:r>
      <w:proofErr w:type="spellStart"/>
      <w:r w:rsidRPr="00755B4F">
        <w:rPr>
          <w:rFonts w:ascii="Tahoma" w:eastAsia="Calibri" w:hAnsi="Tahoma" w:cs="Tahoma"/>
          <w:color w:val="000000" w:themeColor="text1"/>
          <w:kern w:val="1"/>
          <w:sz w:val="24"/>
          <w:szCs w:val="24"/>
          <w:lang w:val="en-US" w:eastAsia="zh-CN"/>
        </w:rPr>
        <w:t>miliarde</w:t>
      </w:r>
      <w:proofErr w:type="spellEnd"/>
      <w:r w:rsidRPr="00755B4F">
        <w:rPr>
          <w:rFonts w:ascii="Tahoma" w:eastAsia="Calibri" w:hAnsi="Tahoma" w:cs="Tahoma"/>
          <w:color w:val="000000" w:themeColor="text1"/>
          <w:kern w:val="1"/>
          <w:sz w:val="24"/>
          <w:szCs w:val="24"/>
          <w:lang w:val="en-US" w:eastAsia="zh-CN"/>
        </w:rPr>
        <w:t xml:space="preserve"> lei, </w:t>
      </w:r>
      <w:proofErr w:type="spellStart"/>
      <w:r w:rsidRPr="00755B4F">
        <w:rPr>
          <w:rFonts w:ascii="Tahoma" w:eastAsia="Calibri" w:hAnsi="Tahoma" w:cs="Tahoma"/>
          <w:color w:val="000000" w:themeColor="text1"/>
          <w:kern w:val="1"/>
          <w:sz w:val="24"/>
          <w:szCs w:val="24"/>
          <w:lang w:val="en-US" w:eastAsia="zh-CN"/>
        </w:rPr>
        <w:t>situându</w:t>
      </w:r>
      <w:proofErr w:type="spellEnd"/>
      <w:r w:rsidRPr="00755B4F">
        <w:rPr>
          <w:rFonts w:ascii="Tahoma" w:eastAsia="Calibri" w:hAnsi="Tahoma" w:cs="Tahoma"/>
          <w:color w:val="000000" w:themeColor="text1"/>
          <w:kern w:val="1"/>
          <w:sz w:val="24"/>
          <w:szCs w:val="24"/>
          <w:lang w:val="en-US" w:eastAsia="zh-CN"/>
        </w:rPr>
        <w:t xml:space="preserve">-se </w:t>
      </w:r>
      <w:proofErr w:type="spellStart"/>
      <w:r w:rsidRPr="00755B4F">
        <w:rPr>
          <w:rFonts w:ascii="Tahoma" w:eastAsia="Calibri" w:hAnsi="Tahoma" w:cs="Tahoma"/>
          <w:color w:val="000000" w:themeColor="text1"/>
          <w:kern w:val="1"/>
          <w:sz w:val="24"/>
          <w:szCs w:val="24"/>
          <w:lang w:val="en-US" w:eastAsia="zh-CN"/>
        </w:rPr>
        <w:t>peste</w:t>
      </w:r>
      <w:proofErr w:type="spellEnd"/>
      <w:r w:rsidRPr="00755B4F">
        <w:rPr>
          <w:rFonts w:ascii="Tahoma" w:eastAsia="Calibri" w:hAnsi="Tahoma" w:cs="Tahoma"/>
          <w:color w:val="000000" w:themeColor="text1"/>
          <w:kern w:val="1"/>
          <w:sz w:val="24"/>
          <w:szCs w:val="24"/>
          <w:lang w:val="en-US" w:eastAsia="zh-CN"/>
        </w:rPr>
        <w:t xml:space="preserve"> media de 2,6 </w:t>
      </w:r>
      <w:proofErr w:type="spellStart"/>
      <w:r w:rsidRPr="00755B4F">
        <w:rPr>
          <w:rFonts w:ascii="Tahoma" w:eastAsia="Calibri" w:hAnsi="Tahoma" w:cs="Tahoma"/>
          <w:color w:val="000000" w:themeColor="text1"/>
          <w:kern w:val="1"/>
          <w:sz w:val="24"/>
          <w:szCs w:val="24"/>
          <w:lang w:val="en-US" w:eastAsia="zh-CN"/>
        </w:rPr>
        <w:t>miliarde</w:t>
      </w:r>
      <w:proofErr w:type="spellEnd"/>
      <w:r w:rsidRPr="00755B4F">
        <w:rPr>
          <w:rFonts w:ascii="Tahoma" w:eastAsia="Calibri" w:hAnsi="Tahoma" w:cs="Tahoma"/>
          <w:color w:val="000000" w:themeColor="text1"/>
          <w:kern w:val="1"/>
          <w:sz w:val="24"/>
          <w:szCs w:val="24"/>
          <w:lang w:val="en-US" w:eastAsia="zh-CN"/>
        </w:rPr>
        <w:t xml:space="preserve"> lei </w:t>
      </w:r>
      <w:proofErr w:type="spellStart"/>
      <w:r w:rsidRPr="00755B4F">
        <w:rPr>
          <w:rFonts w:ascii="Tahoma" w:eastAsia="Calibri" w:hAnsi="Tahoma" w:cs="Tahoma"/>
          <w:color w:val="000000" w:themeColor="text1"/>
          <w:kern w:val="1"/>
          <w:sz w:val="24"/>
          <w:szCs w:val="24"/>
          <w:lang w:val="en-US" w:eastAsia="zh-CN"/>
        </w:rPr>
        <w:t>înregistrată</w:t>
      </w:r>
      <w:proofErr w:type="spellEnd"/>
      <w:r w:rsidRPr="00755B4F">
        <w:rPr>
          <w:rFonts w:ascii="Tahoma" w:eastAsia="Calibri" w:hAnsi="Tahoma" w:cs="Tahoma"/>
          <w:color w:val="000000" w:themeColor="text1"/>
          <w:kern w:val="1"/>
          <w:sz w:val="24"/>
          <w:szCs w:val="24"/>
          <w:lang w:val="en-US" w:eastAsia="zh-CN"/>
        </w:rPr>
        <w:t xml:space="preserve"> </w:t>
      </w:r>
      <w:proofErr w:type="spellStart"/>
      <w:r w:rsidRPr="00755B4F">
        <w:rPr>
          <w:rFonts w:ascii="Tahoma" w:eastAsia="Calibri" w:hAnsi="Tahoma" w:cs="Tahoma"/>
          <w:color w:val="000000" w:themeColor="text1"/>
          <w:kern w:val="1"/>
          <w:sz w:val="24"/>
          <w:szCs w:val="24"/>
          <w:lang w:val="en-US" w:eastAsia="zh-CN"/>
        </w:rPr>
        <w:t>în</w:t>
      </w:r>
      <w:proofErr w:type="spellEnd"/>
      <w:r w:rsidRPr="00755B4F">
        <w:rPr>
          <w:rFonts w:ascii="Tahoma" w:eastAsia="Calibri" w:hAnsi="Tahoma" w:cs="Tahoma"/>
          <w:color w:val="000000" w:themeColor="text1"/>
          <w:kern w:val="1"/>
          <w:sz w:val="24"/>
          <w:szCs w:val="24"/>
          <w:lang w:val="en-US" w:eastAsia="zh-CN"/>
        </w:rPr>
        <w:t xml:space="preserve"> </w:t>
      </w:r>
      <w:proofErr w:type="spellStart"/>
      <w:r w:rsidRPr="00755B4F">
        <w:rPr>
          <w:rFonts w:ascii="Tahoma" w:eastAsia="Calibri" w:hAnsi="Tahoma" w:cs="Tahoma"/>
          <w:color w:val="000000" w:themeColor="text1"/>
          <w:kern w:val="1"/>
          <w:sz w:val="24"/>
          <w:szCs w:val="24"/>
          <w:lang w:val="en-US" w:eastAsia="zh-CN"/>
        </w:rPr>
        <w:t>perioada</w:t>
      </w:r>
      <w:proofErr w:type="spellEnd"/>
      <w:r w:rsidRPr="00755B4F">
        <w:rPr>
          <w:rFonts w:ascii="Tahoma" w:eastAsia="Calibri" w:hAnsi="Tahoma" w:cs="Tahoma"/>
          <w:color w:val="000000" w:themeColor="text1"/>
          <w:kern w:val="1"/>
          <w:sz w:val="24"/>
          <w:szCs w:val="24"/>
          <w:lang w:val="en-US" w:eastAsia="zh-CN"/>
        </w:rPr>
        <w:t xml:space="preserve"> </w:t>
      </w:r>
      <w:proofErr w:type="spellStart"/>
      <w:r w:rsidRPr="00755B4F">
        <w:rPr>
          <w:rFonts w:ascii="Tahoma" w:eastAsia="Calibri" w:hAnsi="Tahoma" w:cs="Tahoma"/>
          <w:color w:val="000000" w:themeColor="text1"/>
          <w:kern w:val="1"/>
          <w:sz w:val="24"/>
          <w:szCs w:val="24"/>
          <w:lang w:val="en-US" w:eastAsia="zh-CN"/>
        </w:rPr>
        <w:t>similară</w:t>
      </w:r>
      <w:proofErr w:type="spellEnd"/>
      <w:r w:rsidRPr="00755B4F">
        <w:rPr>
          <w:rFonts w:ascii="Tahoma" w:eastAsia="Calibri" w:hAnsi="Tahoma" w:cs="Tahoma"/>
          <w:color w:val="000000" w:themeColor="text1"/>
          <w:kern w:val="1"/>
          <w:sz w:val="24"/>
          <w:szCs w:val="24"/>
          <w:lang w:val="en-US" w:eastAsia="zh-CN"/>
        </w:rPr>
        <w:t xml:space="preserve"> a </w:t>
      </w:r>
      <w:proofErr w:type="spellStart"/>
      <w:r w:rsidRPr="00755B4F">
        <w:rPr>
          <w:rFonts w:ascii="Tahoma" w:eastAsia="Calibri" w:hAnsi="Tahoma" w:cs="Tahoma"/>
          <w:color w:val="000000" w:themeColor="text1"/>
          <w:kern w:val="1"/>
          <w:sz w:val="24"/>
          <w:szCs w:val="24"/>
          <w:lang w:val="en-US" w:eastAsia="zh-CN"/>
        </w:rPr>
        <w:t>anului</w:t>
      </w:r>
      <w:proofErr w:type="spellEnd"/>
      <w:r w:rsidRPr="00755B4F">
        <w:rPr>
          <w:rFonts w:ascii="Tahoma" w:eastAsia="Calibri" w:hAnsi="Tahoma" w:cs="Tahoma"/>
          <w:color w:val="000000" w:themeColor="text1"/>
          <w:kern w:val="1"/>
          <w:sz w:val="24"/>
          <w:szCs w:val="24"/>
          <w:lang w:val="en-US" w:eastAsia="zh-CN"/>
        </w:rPr>
        <w:t xml:space="preserve"> precedent. </w:t>
      </w:r>
      <w:r w:rsidRPr="00755B4F">
        <w:rPr>
          <w:rFonts w:ascii="Tahoma" w:eastAsia="SimSun" w:hAnsi="Tahoma" w:cs="Tahoma"/>
          <w:color w:val="000000" w:themeColor="text1"/>
          <w:kern w:val="1"/>
          <w:sz w:val="24"/>
          <w:szCs w:val="24"/>
        </w:rPr>
        <w:t>În trimestrul II al perioadei analizate, se remarcă o încetinire a evoluției veniturilor aferente TVA încasată de 6,9% față de 10,5%</w:t>
      </w:r>
      <w:r w:rsidRPr="00755B4F">
        <w:rPr>
          <w:rFonts w:ascii="Tahoma" w:eastAsia="SimSun" w:hAnsi="Tahoma" w:cs="Tahoma"/>
          <w:color w:val="000000" w:themeColor="text1"/>
          <w:kern w:val="1"/>
          <w:sz w:val="24"/>
          <w:szCs w:val="24"/>
          <w:vertAlign w:val="superscript"/>
        </w:rPr>
        <w:footnoteReference w:id="7"/>
      </w:r>
      <w:r w:rsidRPr="00755B4F">
        <w:rPr>
          <w:rFonts w:ascii="Tahoma" w:eastAsia="SimSun" w:hAnsi="Tahoma" w:cs="Tahoma"/>
          <w:color w:val="000000" w:themeColor="text1"/>
          <w:kern w:val="1"/>
          <w:sz w:val="24"/>
          <w:szCs w:val="24"/>
        </w:rPr>
        <w:t xml:space="preserve"> în trimestrul II 2022, în linie cu decelerarea dinamicii cifrei de afaceri în comerț, servicii și industrie de 11,8%</w:t>
      </w:r>
      <w:r w:rsidRPr="00755B4F">
        <w:rPr>
          <w:rFonts w:ascii="Tahoma" w:eastAsia="SimSun" w:hAnsi="Tahoma" w:cs="Tahoma"/>
          <w:color w:val="000000" w:themeColor="text1"/>
          <w:kern w:val="1"/>
          <w:sz w:val="24"/>
          <w:szCs w:val="24"/>
          <w:vertAlign w:val="superscript"/>
        </w:rPr>
        <w:footnoteReference w:id="8"/>
      </w:r>
      <w:r w:rsidRPr="00755B4F">
        <w:rPr>
          <w:rFonts w:ascii="Tahoma" w:eastAsia="SimSun" w:hAnsi="Tahoma" w:cs="Tahoma"/>
          <w:color w:val="000000" w:themeColor="text1"/>
          <w:kern w:val="1"/>
          <w:sz w:val="24"/>
          <w:szCs w:val="24"/>
        </w:rPr>
        <w:t xml:space="preserve"> față de 31,8%</w:t>
      </w:r>
      <w:r w:rsidRPr="00755B4F">
        <w:rPr>
          <w:rFonts w:ascii="Tahoma" w:eastAsia="SimSun" w:hAnsi="Tahoma" w:cs="Tahoma"/>
          <w:color w:val="000000" w:themeColor="text1"/>
          <w:kern w:val="1"/>
          <w:sz w:val="24"/>
          <w:szCs w:val="24"/>
          <w:vertAlign w:val="superscript"/>
        </w:rPr>
        <w:footnoteReference w:id="9"/>
      </w:r>
      <w:r w:rsidRPr="00755B4F">
        <w:rPr>
          <w:rFonts w:ascii="Tahoma" w:eastAsia="SimSun" w:hAnsi="Tahoma" w:cs="Tahoma"/>
          <w:color w:val="000000" w:themeColor="text1"/>
          <w:kern w:val="1"/>
          <w:sz w:val="24"/>
          <w:szCs w:val="24"/>
        </w:rPr>
        <w:t>.</w:t>
      </w:r>
    </w:p>
    <w:p w:rsidR="00755B4F" w:rsidRPr="00755B4F" w:rsidRDefault="00755B4F" w:rsidP="00755B4F">
      <w:pPr>
        <w:suppressAutoHyphens/>
        <w:autoSpaceDE w:val="0"/>
        <w:autoSpaceDN w:val="0"/>
        <w:adjustRightInd w:val="0"/>
        <w:spacing w:after="120" w:line="276" w:lineRule="auto"/>
        <w:jc w:val="both"/>
        <w:rPr>
          <w:rFonts w:ascii="Tahoma" w:eastAsia="SimSun" w:hAnsi="Tahoma" w:cs="Tahoma"/>
          <w:color w:val="000000" w:themeColor="text1"/>
          <w:kern w:val="1"/>
          <w:sz w:val="24"/>
          <w:szCs w:val="24"/>
        </w:rPr>
      </w:pPr>
      <w:r w:rsidRPr="00755B4F">
        <w:rPr>
          <w:rFonts w:ascii="Tahoma" w:eastAsia="SimSun" w:hAnsi="Tahoma" w:cs="Tahoma"/>
          <w:color w:val="000000" w:themeColor="text1"/>
          <w:kern w:val="1"/>
          <w:sz w:val="24"/>
          <w:szCs w:val="24"/>
        </w:rPr>
        <w:lastRenderedPageBreak/>
        <w:t>Evoluția volumului cifrei de afaceri din comerțul cu amănuntul</w:t>
      </w:r>
      <w:r w:rsidRPr="00755B4F">
        <w:rPr>
          <w:rFonts w:ascii="Tahoma" w:eastAsia="SimSun" w:hAnsi="Tahoma" w:cs="Tahoma"/>
          <w:color w:val="000000" w:themeColor="text1"/>
          <w:kern w:val="24"/>
          <w:sz w:val="24"/>
          <w:szCs w:val="24"/>
          <w:vertAlign w:val="superscript"/>
        </w:rPr>
        <w:footnoteReference w:id="10"/>
      </w:r>
      <w:r w:rsidRPr="00755B4F">
        <w:rPr>
          <w:rFonts w:ascii="Tahoma" w:eastAsia="SimSun" w:hAnsi="Tahoma" w:cs="Tahoma"/>
          <w:color w:val="000000" w:themeColor="text1"/>
          <w:kern w:val="24"/>
          <w:sz w:val="24"/>
          <w:szCs w:val="24"/>
          <w:vertAlign w:val="superscript"/>
        </w:rPr>
        <w:t xml:space="preserve"> </w:t>
      </w:r>
      <w:r w:rsidRPr="00755B4F">
        <w:rPr>
          <w:rFonts w:ascii="Tahoma" w:eastAsia="SimSun" w:hAnsi="Tahoma" w:cs="Tahoma"/>
          <w:color w:val="000000" w:themeColor="text1"/>
          <w:kern w:val="1"/>
          <w:sz w:val="24"/>
          <w:szCs w:val="24"/>
        </w:rPr>
        <w:t xml:space="preserve">(cu excepția comerțului cu autovehicule și motociclete), serie brută, în perioada 1.I-31.V.2023, comparativ cu perioada 1.I-31.V.2022, a înregistrat o creștere pe ansamblu, cu 3,3%, datorită </w:t>
      </w:r>
      <w:proofErr w:type="spellStart"/>
      <w:r w:rsidRPr="00755B4F">
        <w:rPr>
          <w:rFonts w:ascii="Tahoma" w:eastAsia="SimSun" w:hAnsi="Tahoma" w:cs="Tahoma"/>
          <w:color w:val="000000" w:themeColor="text1"/>
          <w:kern w:val="1"/>
          <w:sz w:val="24"/>
          <w:szCs w:val="24"/>
        </w:rPr>
        <w:t>creşterii</w:t>
      </w:r>
      <w:proofErr w:type="spellEnd"/>
      <w:r w:rsidRPr="00755B4F">
        <w:rPr>
          <w:rFonts w:ascii="Tahoma" w:eastAsia="SimSun" w:hAnsi="Tahoma" w:cs="Tahoma"/>
          <w:color w:val="000000" w:themeColor="text1"/>
          <w:kern w:val="1"/>
          <w:sz w:val="24"/>
          <w:szCs w:val="24"/>
        </w:rPr>
        <w:t xml:space="preserve"> vânzărilor de produse nealimentare (+4,0%) </w:t>
      </w:r>
      <w:proofErr w:type="spellStart"/>
      <w:r w:rsidRPr="00755B4F">
        <w:rPr>
          <w:rFonts w:ascii="Tahoma" w:eastAsia="SimSun" w:hAnsi="Tahoma" w:cs="Tahoma"/>
          <w:color w:val="000000" w:themeColor="text1"/>
          <w:kern w:val="1"/>
          <w:sz w:val="24"/>
          <w:szCs w:val="24"/>
        </w:rPr>
        <w:t>şi</w:t>
      </w:r>
      <w:proofErr w:type="spellEnd"/>
      <w:r w:rsidRPr="00755B4F">
        <w:rPr>
          <w:rFonts w:ascii="Tahoma" w:eastAsia="SimSun" w:hAnsi="Tahoma" w:cs="Tahoma"/>
          <w:color w:val="000000" w:themeColor="text1"/>
          <w:kern w:val="1"/>
          <w:sz w:val="24"/>
          <w:szCs w:val="24"/>
        </w:rPr>
        <w:t xml:space="preserve"> a vânzărilor de produse alimentare, băuturi </w:t>
      </w:r>
      <w:proofErr w:type="spellStart"/>
      <w:r w:rsidRPr="00755B4F">
        <w:rPr>
          <w:rFonts w:ascii="Tahoma" w:eastAsia="SimSun" w:hAnsi="Tahoma" w:cs="Tahoma"/>
          <w:color w:val="000000" w:themeColor="text1"/>
          <w:kern w:val="1"/>
          <w:sz w:val="24"/>
          <w:szCs w:val="24"/>
        </w:rPr>
        <w:t>şi</w:t>
      </w:r>
      <w:proofErr w:type="spellEnd"/>
      <w:r w:rsidRPr="00755B4F">
        <w:rPr>
          <w:rFonts w:ascii="Tahoma" w:eastAsia="SimSun" w:hAnsi="Tahoma" w:cs="Tahoma"/>
          <w:color w:val="000000" w:themeColor="text1"/>
          <w:kern w:val="1"/>
          <w:sz w:val="24"/>
          <w:szCs w:val="24"/>
        </w:rPr>
        <w:t xml:space="preserve"> tutun (+5,1%). </w:t>
      </w:r>
      <w:proofErr w:type="spellStart"/>
      <w:r w:rsidRPr="00755B4F">
        <w:rPr>
          <w:rFonts w:ascii="Tahoma" w:eastAsia="SimSun" w:hAnsi="Tahoma" w:cs="Tahoma"/>
          <w:color w:val="000000" w:themeColor="text1"/>
          <w:kern w:val="1"/>
          <w:sz w:val="24"/>
          <w:szCs w:val="24"/>
        </w:rPr>
        <w:t>Comerţul</w:t>
      </w:r>
      <w:proofErr w:type="spellEnd"/>
      <w:r w:rsidRPr="00755B4F">
        <w:rPr>
          <w:rFonts w:ascii="Tahoma" w:eastAsia="SimSun" w:hAnsi="Tahoma" w:cs="Tahoma"/>
          <w:color w:val="000000" w:themeColor="text1"/>
          <w:kern w:val="1"/>
          <w:sz w:val="24"/>
          <w:szCs w:val="24"/>
        </w:rPr>
        <w:t xml:space="preserve"> cu amănuntul al </w:t>
      </w:r>
      <w:proofErr w:type="spellStart"/>
      <w:r w:rsidRPr="00755B4F">
        <w:rPr>
          <w:rFonts w:ascii="Tahoma" w:eastAsia="SimSun" w:hAnsi="Tahoma" w:cs="Tahoma"/>
          <w:color w:val="000000" w:themeColor="text1"/>
          <w:kern w:val="1"/>
          <w:sz w:val="24"/>
          <w:szCs w:val="24"/>
        </w:rPr>
        <w:t>carburanţilor</w:t>
      </w:r>
      <w:proofErr w:type="spellEnd"/>
      <w:r w:rsidRPr="00755B4F">
        <w:rPr>
          <w:rFonts w:ascii="Tahoma" w:eastAsia="SimSun" w:hAnsi="Tahoma" w:cs="Tahoma"/>
          <w:color w:val="000000" w:themeColor="text1"/>
          <w:kern w:val="1"/>
          <w:sz w:val="24"/>
          <w:szCs w:val="24"/>
        </w:rPr>
        <w:t xml:space="preserve"> pentru autovehicule în magazine specializate a scăzut cu 1,0%. Valoarea schimburilor extra comunitare de bunuri </w:t>
      </w:r>
      <w:r w:rsidRPr="00755B4F">
        <w:rPr>
          <w:rFonts w:ascii="Tahoma" w:eastAsia="SimSun" w:hAnsi="Tahoma" w:cs="Tahoma"/>
          <w:color w:val="000000" w:themeColor="text1"/>
          <w:kern w:val="24"/>
          <w:sz w:val="24"/>
          <w:szCs w:val="24"/>
          <w:vertAlign w:val="superscript"/>
        </w:rPr>
        <w:footnoteReference w:id="11"/>
      </w:r>
      <w:r w:rsidRPr="00755B4F">
        <w:rPr>
          <w:rFonts w:ascii="Tahoma" w:eastAsia="SimSun" w:hAnsi="Tahoma" w:cs="Tahoma"/>
          <w:color w:val="000000" w:themeColor="text1"/>
          <w:kern w:val="24"/>
          <w:sz w:val="24"/>
          <w:szCs w:val="24"/>
          <w:vertAlign w:val="superscript"/>
        </w:rPr>
        <w:t xml:space="preserve"> </w:t>
      </w:r>
      <w:r w:rsidRPr="00755B4F">
        <w:rPr>
          <w:rFonts w:ascii="Tahoma" w:eastAsia="SimSun" w:hAnsi="Tahoma" w:cs="Tahoma"/>
          <w:color w:val="000000" w:themeColor="text1"/>
          <w:kern w:val="1"/>
          <w:sz w:val="24"/>
          <w:szCs w:val="24"/>
        </w:rPr>
        <w:t xml:space="preserve">(Extra-UE27) </w:t>
      </w:r>
      <w:r w:rsidR="00C258C4" w:rsidRPr="00C258C4">
        <w:rPr>
          <w:rFonts w:ascii="Tahoma" w:eastAsia="SimSun" w:hAnsi="Tahoma" w:cs="Tahoma"/>
          <w:color w:val="000000" w:themeColor="text1"/>
          <w:kern w:val="1"/>
          <w:sz w:val="24"/>
          <w:szCs w:val="24"/>
        </w:rPr>
        <w:t>a sc</w:t>
      </w:r>
      <w:r w:rsidR="002C56E8">
        <w:rPr>
          <w:rFonts w:ascii="Tahoma" w:eastAsia="SimSun" w:hAnsi="Tahoma" w:cs="Tahoma"/>
          <w:color w:val="000000" w:themeColor="text1"/>
          <w:kern w:val="1"/>
          <w:sz w:val="24"/>
          <w:szCs w:val="24"/>
        </w:rPr>
        <w:t>ă</w:t>
      </w:r>
      <w:r w:rsidR="00C258C4" w:rsidRPr="00C258C4">
        <w:rPr>
          <w:rFonts w:ascii="Tahoma" w:eastAsia="SimSun" w:hAnsi="Tahoma" w:cs="Tahoma"/>
          <w:color w:val="000000" w:themeColor="text1"/>
          <w:kern w:val="1"/>
          <w:sz w:val="24"/>
          <w:szCs w:val="24"/>
        </w:rPr>
        <w:t xml:space="preserve">zut cu 5,7% </w:t>
      </w:r>
      <w:r w:rsidRPr="00755B4F">
        <w:rPr>
          <w:rFonts w:ascii="Tahoma" w:eastAsia="SimSun" w:hAnsi="Tahoma" w:cs="Tahoma"/>
          <w:color w:val="000000" w:themeColor="text1"/>
          <w:kern w:val="1"/>
          <w:sz w:val="24"/>
          <w:szCs w:val="24"/>
        </w:rPr>
        <w:t xml:space="preserve">la importuri și </w:t>
      </w:r>
      <w:r w:rsidR="00C258C4" w:rsidRPr="00C258C4">
        <w:rPr>
          <w:rFonts w:ascii="Tahoma" w:eastAsia="SimSun" w:hAnsi="Tahoma" w:cs="Tahoma"/>
          <w:color w:val="000000" w:themeColor="text1"/>
          <w:kern w:val="1"/>
          <w:sz w:val="24"/>
          <w:szCs w:val="24"/>
        </w:rPr>
        <w:t>a crescut cu 8,4%</w:t>
      </w:r>
      <w:r w:rsidR="00C258C4">
        <w:rPr>
          <w:rFonts w:ascii="Tahoma" w:eastAsia="SimSun" w:hAnsi="Tahoma" w:cs="Tahoma"/>
          <w:color w:val="000000" w:themeColor="text1"/>
          <w:kern w:val="1"/>
          <w:sz w:val="24"/>
          <w:szCs w:val="24"/>
        </w:rPr>
        <w:t xml:space="preserve"> </w:t>
      </w:r>
      <w:r w:rsidRPr="00755B4F">
        <w:rPr>
          <w:rFonts w:ascii="Tahoma" w:eastAsia="SimSun" w:hAnsi="Tahoma" w:cs="Tahoma"/>
          <w:color w:val="000000" w:themeColor="text1"/>
          <w:kern w:val="1"/>
          <w:sz w:val="24"/>
          <w:szCs w:val="24"/>
        </w:rPr>
        <w:t xml:space="preserve">la exporturi (la valori exprimate în lei) în primele 5 luni ale anului 2023 comparativ cu perioada similară a anului precedent. </w:t>
      </w:r>
    </w:p>
    <w:p w:rsidR="00755B4F" w:rsidRPr="00755B4F" w:rsidRDefault="00755B4F" w:rsidP="00755B4F">
      <w:pPr>
        <w:autoSpaceDE w:val="0"/>
        <w:autoSpaceDN w:val="0"/>
        <w:adjustRightInd w:val="0"/>
        <w:spacing w:after="120" w:line="276" w:lineRule="auto"/>
        <w:jc w:val="both"/>
        <w:rPr>
          <w:rFonts w:ascii="Tahoma" w:eastAsia="Calibri" w:hAnsi="Tahoma" w:cs="Tahoma"/>
          <w:sz w:val="24"/>
          <w:szCs w:val="24"/>
        </w:rPr>
      </w:pPr>
      <w:r w:rsidRPr="00755B4F">
        <w:rPr>
          <w:rFonts w:ascii="Tahoma" w:eastAsia="Calibri" w:hAnsi="Tahoma" w:cs="Tahoma"/>
          <w:sz w:val="24"/>
          <w:szCs w:val="24"/>
        </w:rPr>
        <w:t xml:space="preserve">Veniturile din </w:t>
      </w:r>
      <w:r w:rsidRPr="00755B4F">
        <w:rPr>
          <w:rFonts w:ascii="Tahoma" w:eastAsia="Calibri" w:hAnsi="Tahoma" w:cs="Tahoma"/>
          <w:b/>
          <w:sz w:val="24"/>
          <w:szCs w:val="24"/>
        </w:rPr>
        <w:t>accize</w:t>
      </w:r>
      <w:r w:rsidRPr="00755B4F">
        <w:rPr>
          <w:rFonts w:ascii="Tahoma" w:eastAsia="Calibri" w:hAnsi="Tahoma" w:cs="Tahoma"/>
          <w:sz w:val="24"/>
          <w:szCs w:val="24"/>
        </w:rPr>
        <w:t xml:space="preserve"> au însumat 9,5 miliarde lei, sunt în creștere cu 15,2% (+1,3 miliarde lei), comparativ cu aceeași perioadă a anului pre</w:t>
      </w:r>
      <w:bookmarkStart w:id="0" w:name="_GoBack"/>
      <w:bookmarkEnd w:id="0"/>
      <w:r w:rsidRPr="00755B4F">
        <w:rPr>
          <w:rFonts w:ascii="Tahoma" w:eastAsia="Calibri" w:hAnsi="Tahoma" w:cs="Tahoma"/>
          <w:sz w:val="24"/>
          <w:szCs w:val="24"/>
        </w:rPr>
        <w:t>cedent, influențată de creșterea încasărilor la accizele pentru produsele din tutun de 30,4% (+1,1 miliarde lei), pe fondul unui nivel majorat al accizei la țigarete cu 5,2 % de la 1 aprilie 2023.</w:t>
      </w:r>
    </w:p>
    <w:p w:rsidR="00755B4F" w:rsidRPr="00755B4F" w:rsidRDefault="00755B4F" w:rsidP="00755B4F">
      <w:pPr>
        <w:autoSpaceDE w:val="0"/>
        <w:autoSpaceDN w:val="0"/>
        <w:adjustRightInd w:val="0"/>
        <w:spacing w:after="120" w:line="276" w:lineRule="auto"/>
        <w:jc w:val="both"/>
        <w:rPr>
          <w:rFonts w:ascii="Tahoma" w:eastAsia="Calibri" w:hAnsi="Tahoma" w:cs="Tahoma"/>
          <w:b/>
          <w:bCs/>
          <w:sz w:val="24"/>
          <w:szCs w:val="24"/>
        </w:rPr>
      </w:pPr>
      <w:r w:rsidRPr="00755B4F">
        <w:rPr>
          <w:rFonts w:ascii="Tahoma" w:eastAsia="Calibri" w:hAnsi="Tahoma" w:cs="Tahoma"/>
          <w:sz w:val="24"/>
          <w:szCs w:val="24"/>
        </w:rPr>
        <w:t>Veniturile aferente accizelor încasate din vânzarea produselor energetice înregistreaz</w:t>
      </w:r>
      <w:r w:rsidR="00025F7D">
        <w:rPr>
          <w:rFonts w:ascii="Tahoma" w:eastAsia="Calibri" w:hAnsi="Tahoma" w:cs="Tahoma"/>
          <w:sz w:val="24"/>
          <w:szCs w:val="24"/>
        </w:rPr>
        <w:t>ă</w:t>
      </w:r>
      <w:r w:rsidRPr="00755B4F">
        <w:rPr>
          <w:rFonts w:ascii="Tahoma" w:eastAsia="Calibri" w:hAnsi="Tahoma" w:cs="Tahoma"/>
          <w:sz w:val="24"/>
          <w:szCs w:val="24"/>
        </w:rPr>
        <w:t xml:space="preserve"> în perioada analizată o creștere cu 2,3% (+0,1 miliarde lei).</w:t>
      </w:r>
      <w:r w:rsidR="00025F7D">
        <w:rPr>
          <w:rFonts w:ascii="Tahoma" w:eastAsia="Calibri" w:hAnsi="Tahoma" w:cs="Tahoma"/>
          <w:sz w:val="24"/>
          <w:szCs w:val="24"/>
        </w:rPr>
        <w:t xml:space="preserve"> </w:t>
      </w:r>
      <w:r w:rsidRPr="00755B4F">
        <w:rPr>
          <w:rFonts w:ascii="Tahoma" w:eastAsia="Calibri" w:hAnsi="Tahoma" w:cs="Tahoma"/>
          <w:sz w:val="24"/>
          <w:szCs w:val="24"/>
        </w:rPr>
        <w:t xml:space="preserve">Gradul de realizare </w:t>
      </w:r>
      <w:r w:rsidR="00025F7D">
        <w:rPr>
          <w:rFonts w:ascii="Tahoma" w:eastAsia="Calibri" w:hAnsi="Tahoma" w:cs="Tahoma"/>
          <w:sz w:val="24"/>
          <w:szCs w:val="24"/>
        </w:rPr>
        <w:t>al</w:t>
      </w:r>
      <w:r w:rsidRPr="00755B4F">
        <w:rPr>
          <w:rFonts w:ascii="Tahoma" w:eastAsia="Calibri" w:hAnsi="Tahoma" w:cs="Tahoma"/>
          <w:sz w:val="24"/>
          <w:szCs w:val="24"/>
        </w:rPr>
        <w:t xml:space="preserve"> programul</w:t>
      </w:r>
      <w:r w:rsidR="00025F7D">
        <w:rPr>
          <w:rFonts w:ascii="Tahoma" w:eastAsia="Calibri" w:hAnsi="Tahoma" w:cs="Tahoma"/>
          <w:sz w:val="24"/>
          <w:szCs w:val="24"/>
        </w:rPr>
        <w:t>ui</w:t>
      </w:r>
      <w:r w:rsidRPr="00755B4F">
        <w:rPr>
          <w:rFonts w:ascii="Tahoma" w:eastAsia="Calibri" w:hAnsi="Tahoma" w:cs="Tahoma"/>
          <w:sz w:val="24"/>
          <w:szCs w:val="24"/>
        </w:rPr>
        <w:t xml:space="preserve"> </w:t>
      </w:r>
      <w:r w:rsidR="00025F7D">
        <w:rPr>
          <w:rFonts w:ascii="Tahoma" w:eastAsia="Calibri" w:hAnsi="Tahoma" w:cs="Tahoma"/>
          <w:sz w:val="24"/>
          <w:szCs w:val="24"/>
        </w:rPr>
        <w:t>trimestrial</w:t>
      </w:r>
      <w:r w:rsidRPr="00755B4F">
        <w:rPr>
          <w:rFonts w:ascii="Tahoma" w:eastAsia="Calibri" w:hAnsi="Tahoma" w:cs="Tahoma"/>
          <w:sz w:val="24"/>
          <w:szCs w:val="24"/>
        </w:rPr>
        <w:t xml:space="preserve"> este de 101,1% (+0,1 miliarde lei).</w:t>
      </w:r>
    </w:p>
    <w:p w:rsidR="009670AA" w:rsidRPr="00807147" w:rsidRDefault="009670AA"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Încasările din categoria</w:t>
      </w:r>
      <w:r w:rsidRPr="00807147">
        <w:rPr>
          <w:rFonts w:ascii="Tahoma" w:hAnsi="Tahoma" w:cs="Tahoma"/>
          <w:b/>
          <w:bCs/>
          <w:sz w:val="24"/>
          <w:szCs w:val="24"/>
        </w:rPr>
        <w:t xml:space="preserve"> alte impozite și taxe generale pe bunuri și servicii</w:t>
      </w:r>
      <w:r w:rsidR="00025F7D">
        <w:rPr>
          <w:rFonts w:ascii="Tahoma" w:hAnsi="Tahoma" w:cs="Tahoma"/>
          <w:bCs/>
          <w:sz w:val="24"/>
          <w:szCs w:val="24"/>
        </w:rPr>
        <w:t xml:space="preserve"> </w:t>
      </w:r>
      <w:r w:rsidRPr="00807147">
        <w:rPr>
          <w:rFonts w:ascii="Tahoma" w:hAnsi="Tahoma" w:cs="Tahoma"/>
          <w:bCs/>
          <w:sz w:val="24"/>
          <w:szCs w:val="24"/>
        </w:rPr>
        <w:t xml:space="preserve">au fost în sumă de </w:t>
      </w:r>
      <w:r w:rsidR="00755B4F">
        <w:rPr>
          <w:rFonts w:ascii="Tahoma" w:hAnsi="Tahoma" w:cs="Tahoma"/>
          <w:bCs/>
          <w:sz w:val="24"/>
          <w:szCs w:val="24"/>
        </w:rPr>
        <w:t>3,</w:t>
      </w:r>
      <w:r w:rsidR="00025F7D">
        <w:rPr>
          <w:rFonts w:ascii="Tahoma" w:hAnsi="Tahoma" w:cs="Tahoma"/>
          <w:bCs/>
          <w:sz w:val="24"/>
          <w:szCs w:val="24"/>
        </w:rPr>
        <w:t>9</w:t>
      </w:r>
      <w:r w:rsidR="008E4687" w:rsidRPr="00807147">
        <w:rPr>
          <w:rFonts w:ascii="Tahoma" w:hAnsi="Tahoma" w:cs="Tahoma"/>
          <w:bCs/>
          <w:sz w:val="24"/>
          <w:szCs w:val="24"/>
        </w:rPr>
        <w:t xml:space="preserve"> </w:t>
      </w:r>
      <w:r w:rsidRPr="00807147">
        <w:rPr>
          <w:rFonts w:ascii="Tahoma" w:hAnsi="Tahoma" w:cs="Tahoma"/>
          <w:bCs/>
          <w:sz w:val="24"/>
          <w:szCs w:val="24"/>
        </w:rPr>
        <w:t>miliarde lei (0,</w:t>
      </w:r>
      <w:r w:rsidR="00E22D0F">
        <w:rPr>
          <w:rFonts w:ascii="Tahoma" w:hAnsi="Tahoma" w:cs="Tahoma"/>
          <w:bCs/>
          <w:sz w:val="24"/>
          <w:szCs w:val="24"/>
        </w:rPr>
        <w:t>2</w:t>
      </w:r>
      <w:r w:rsidRPr="00807147">
        <w:rPr>
          <w:rFonts w:ascii="Tahoma" w:hAnsi="Tahoma" w:cs="Tahoma"/>
          <w:bCs/>
          <w:sz w:val="24"/>
          <w:szCs w:val="24"/>
        </w:rPr>
        <w:t xml:space="preserve">% din PIB), </w:t>
      </w:r>
      <w:r w:rsidR="008E4687" w:rsidRPr="00807147">
        <w:rPr>
          <w:rFonts w:ascii="Tahoma" w:hAnsi="Tahoma" w:cs="Tahoma"/>
          <w:bCs/>
          <w:sz w:val="24"/>
          <w:szCs w:val="24"/>
        </w:rPr>
        <w:t xml:space="preserve">gradul de realizare al </w:t>
      </w:r>
      <w:r w:rsidRPr="00807147">
        <w:rPr>
          <w:rFonts w:ascii="Tahoma" w:hAnsi="Tahoma" w:cs="Tahoma"/>
          <w:bCs/>
          <w:sz w:val="24"/>
          <w:szCs w:val="24"/>
        </w:rPr>
        <w:t>programul</w:t>
      </w:r>
      <w:r w:rsidR="008E4687" w:rsidRPr="00807147">
        <w:rPr>
          <w:rFonts w:ascii="Tahoma" w:hAnsi="Tahoma" w:cs="Tahoma"/>
          <w:bCs/>
          <w:sz w:val="24"/>
          <w:szCs w:val="24"/>
        </w:rPr>
        <w:t>ui</w:t>
      </w:r>
      <w:r w:rsidRPr="00807147">
        <w:rPr>
          <w:rFonts w:ascii="Tahoma" w:hAnsi="Tahoma" w:cs="Tahoma"/>
          <w:bCs/>
          <w:sz w:val="24"/>
          <w:szCs w:val="24"/>
        </w:rPr>
        <w:t xml:space="preserve"> trimestrial</w:t>
      </w:r>
      <w:r w:rsidR="008E4687" w:rsidRPr="00807147">
        <w:rPr>
          <w:rFonts w:ascii="Tahoma" w:hAnsi="Tahoma" w:cs="Tahoma"/>
          <w:bCs/>
          <w:sz w:val="24"/>
          <w:szCs w:val="24"/>
        </w:rPr>
        <w:t xml:space="preserve"> fiind de </w:t>
      </w:r>
      <w:r w:rsidR="00E22D0F">
        <w:rPr>
          <w:rFonts w:ascii="Tahoma" w:hAnsi="Tahoma" w:cs="Tahoma"/>
          <w:bCs/>
          <w:sz w:val="24"/>
          <w:szCs w:val="24"/>
        </w:rPr>
        <w:t>74,4</w:t>
      </w:r>
      <w:r w:rsidR="008E4687" w:rsidRPr="00807147">
        <w:rPr>
          <w:rFonts w:ascii="Tahoma" w:hAnsi="Tahoma" w:cs="Tahoma"/>
          <w:bCs/>
          <w:sz w:val="24"/>
          <w:szCs w:val="24"/>
        </w:rPr>
        <w:t xml:space="preserve">%, iar comparativ cu anul anterior au scăzut cu </w:t>
      </w:r>
      <w:r w:rsidR="00E22D0F">
        <w:rPr>
          <w:rFonts w:ascii="Tahoma" w:hAnsi="Tahoma" w:cs="Tahoma"/>
          <w:bCs/>
          <w:sz w:val="24"/>
          <w:szCs w:val="24"/>
        </w:rPr>
        <w:t>13,1</w:t>
      </w:r>
      <w:r w:rsidR="008E4687" w:rsidRPr="00807147">
        <w:rPr>
          <w:rFonts w:ascii="Tahoma" w:hAnsi="Tahoma" w:cs="Tahoma"/>
          <w:bCs/>
          <w:sz w:val="24"/>
          <w:szCs w:val="24"/>
        </w:rPr>
        <w:t>%</w:t>
      </w:r>
      <w:r w:rsidRPr="00807147">
        <w:rPr>
          <w:rFonts w:ascii="Tahoma" w:hAnsi="Tahoma" w:cs="Tahoma"/>
          <w:bCs/>
          <w:sz w:val="24"/>
          <w:szCs w:val="24"/>
        </w:rPr>
        <w:t>.</w:t>
      </w:r>
      <w:r w:rsidR="00AF0A9B" w:rsidRPr="00807147">
        <w:rPr>
          <w:rFonts w:ascii="Tahoma" w:hAnsi="Tahoma" w:cs="Tahoma"/>
          <w:bCs/>
          <w:sz w:val="24"/>
          <w:szCs w:val="24"/>
        </w:rPr>
        <w:t xml:space="preserve"> </w:t>
      </w:r>
    </w:p>
    <w:p w:rsidR="008E4687" w:rsidRPr="00807147" w:rsidRDefault="00AF0A9B"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Evoluția încasărilor</w:t>
      </w:r>
      <w:r w:rsidR="00346296">
        <w:rPr>
          <w:rFonts w:ascii="Tahoma" w:hAnsi="Tahoma" w:cs="Tahoma"/>
          <w:bCs/>
          <w:sz w:val="24"/>
          <w:szCs w:val="24"/>
        </w:rPr>
        <w:t>,</w:t>
      </w:r>
      <w:r w:rsidRPr="00807147">
        <w:rPr>
          <w:rFonts w:ascii="Tahoma" w:hAnsi="Tahoma" w:cs="Tahoma"/>
          <w:bCs/>
          <w:sz w:val="24"/>
          <w:szCs w:val="24"/>
        </w:rPr>
        <w:t xml:space="preserve"> atât față de programul trimestrial</w:t>
      </w:r>
      <w:r w:rsidR="00346296">
        <w:rPr>
          <w:rFonts w:ascii="Tahoma" w:hAnsi="Tahoma" w:cs="Tahoma"/>
          <w:bCs/>
          <w:sz w:val="24"/>
          <w:szCs w:val="24"/>
        </w:rPr>
        <w:t>,</w:t>
      </w:r>
      <w:r w:rsidRPr="00807147">
        <w:rPr>
          <w:rFonts w:ascii="Tahoma" w:hAnsi="Tahoma" w:cs="Tahoma"/>
          <w:bCs/>
          <w:sz w:val="24"/>
          <w:szCs w:val="24"/>
        </w:rPr>
        <w:t xml:space="preserve"> cât și față de încasările din perioada similară a anului precedent s-a datorat încasărilor înregistrate la bugetul de stat </w:t>
      </w:r>
      <w:r w:rsidR="008E4687" w:rsidRPr="00807147">
        <w:rPr>
          <w:rFonts w:ascii="Tahoma" w:hAnsi="Tahoma" w:cs="Tahoma"/>
          <w:bCs/>
          <w:sz w:val="24"/>
          <w:szCs w:val="24"/>
        </w:rPr>
        <w:t>pe fondul modificărilor legislative privind impozitarea operatorilor economici ce își desfășoară activitatea în domeniul energiei electrice și a gazelor naturale</w:t>
      </w:r>
      <w:r w:rsidR="008E4687" w:rsidRPr="00807147">
        <w:rPr>
          <w:rFonts w:ascii="Tahoma" w:hAnsi="Tahoma" w:cs="Tahoma"/>
          <w:bCs/>
          <w:sz w:val="24"/>
          <w:szCs w:val="24"/>
          <w:vertAlign w:val="superscript"/>
        </w:rPr>
        <w:t xml:space="preserve"> </w:t>
      </w:r>
      <w:r w:rsidR="008E4687" w:rsidRPr="00807147">
        <w:rPr>
          <w:rFonts w:ascii="Tahoma" w:hAnsi="Tahoma" w:cs="Tahoma"/>
          <w:bCs/>
          <w:sz w:val="24"/>
          <w:szCs w:val="24"/>
        </w:rPr>
        <w:t xml:space="preserve">aprobate în cursul anului 2022. Modificări în impozitare și în structură ale acestui capitol au avut loc prin O.U.G. nr. 119/2022, începând cu 1 septembrie 2022, prin abrogarea impozitului pe venitul suplimentar realizat de producătorii de energie electrică (instituit prin Legea nr. 259/2021) și introducerea contribuției la Fondul de tranziție energetică datorată de producătorii de energie electrică, </w:t>
      </w:r>
      <w:r w:rsidR="00346296" w:rsidRPr="00807147">
        <w:rPr>
          <w:rFonts w:ascii="Tahoma" w:hAnsi="Tahoma" w:cs="Tahoma"/>
          <w:bCs/>
          <w:sz w:val="24"/>
          <w:szCs w:val="24"/>
        </w:rPr>
        <w:t>entitățile</w:t>
      </w:r>
      <w:r w:rsidR="008E4687" w:rsidRPr="00807147">
        <w:rPr>
          <w:rFonts w:ascii="Tahoma" w:hAnsi="Tahoma" w:cs="Tahoma"/>
          <w:bCs/>
          <w:sz w:val="24"/>
          <w:szCs w:val="24"/>
        </w:rPr>
        <w:t xml:space="preserve"> agregate de producere a energiei electrice, </w:t>
      </w:r>
      <w:proofErr w:type="spellStart"/>
      <w:r w:rsidR="008E4687" w:rsidRPr="00807147">
        <w:rPr>
          <w:rFonts w:ascii="Tahoma" w:hAnsi="Tahoma" w:cs="Tahoma"/>
          <w:bCs/>
          <w:sz w:val="24"/>
          <w:szCs w:val="24"/>
        </w:rPr>
        <w:t>traderii</w:t>
      </w:r>
      <w:proofErr w:type="spellEnd"/>
      <w:r w:rsidR="008E4687" w:rsidRPr="00807147">
        <w:rPr>
          <w:rFonts w:ascii="Tahoma" w:hAnsi="Tahoma" w:cs="Tahoma"/>
          <w:bCs/>
          <w:sz w:val="24"/>
          <w:szCs w:val="24"/>
        </w:rPr>
        <w:t xml:space="preserve">, furnizorii care </w:t>
      </w:r>
      <w:r w:rsidR="00346296" w:rsidRPr="00807147">
        <w:rPr>
          <w:rFonts w:ascii="Tahoma" w:hAnsi="Tahoma" w:cs="Tahoma"/>
          <w:bCs/>
          <w:sz w:val="24"/>
          <w:szCs w:val="24"/>
        </w:rPr>
        <w:t>desfășoară</w:t>
      </w:r>
      <w:r w:rsidR="008E4687" w:rsidRPr="00807147">
        <w:rPr>
          <w:rFonts w:ascii="Tahoma" w:hAnsi="Tahoma" w:cs="Tahoma"/>
          <w:bCs/>
          <w:sz w:val="24"/>
          <w:szCs w:val="24"/>
        </w:rPr>
        <w:t xml:space="preserve"> activitatea de </w:t>
      </w:r>
      <w:proofErr w:type="spellStart"/>
      <w:r w:rsidR="008E4687" w:rsidRPr="00807147">
        <w:rPr>
          <w:rFonts w:ascii="Tahoma" w:hAnsi="Tahoma" w:cs="Tahoma"/>
          <w:bCs/>
          <w:sz w:val="24"/>
          <w:szCs w:val="24"/>
        </w:rPr>
        <w:t>trading</w:t>
      </w:r>
      <w:proofErr w:type="spellEnd"/>
      <w:r w:rsidR="008E4687" w:rsidRPr="00807147">
        <w:rPr>
          <w:rFonts w:ascii="Tahoma" w:hAnsi="Tahoma" w:cs="Tahoma"/>
          <w:bCs/>
          <w:sz w:val="24"/>
          <w:szCs w:val="24"/>
        </w:rPr>
        <w:t xml:space="preserve"> </w:t>
      </w:r>
      <w:proofErr w:type="spellStart"/>
      <w:r w:rsidR="008E4687" w:rsidRPr="00807147">
        <w:rPr>
          <w:rFonts w:ascii="Tahoma" w:hAnsi="Tahoma" w:cs="Tahoma"/>
          <w:bCs/>
          <w:sz w:val="24"/>
          <w:szCs w:val="24"/>
        </w:rPr>
        <w:t>şi</w:t>
      </w:r>
      <w:proofErr w:type="spellEnd"/>
      <w:r w:rsidR="008E4687" w:rsidRPr="00807147">
        <w:rPr>
          <w:rFonts w:ascii="Tahoma" w:hAnsi="Tahoma" w:cs="Tahoma"/>
          <w:bCs/>
          <w:sz w:val="24"/>
          <w:szCs w:val="24"/>
        </w:rPr>
        <w:t xml:space="preserve"> agregatorii care </w:t>
      </w:r>
      <w:r w:rsidR="00346296" w:rsidRPr="00807147">
        <w:rPr>
          <w:rFonts w:ascii="Tahoma" w:hAnsi="Tahoma" w:cs="Tahoma"/>
          <w:bCs/>
          <w:sz w:val="24"/>
          <w:szCs w:val="24"/>
        </w:rPr>
        <w:t>tranzacționează</w:t>
      </w:r>
      <w:r w:rsidR="008E4687" w:rsidRPr="00807147">
        <w:rPr>
          <w:rFonts w:ascii="Tahoma" w:hAnsi="Tahoma" w:cs="Tahoma"/>
          <w:bCs/>
          <w:sz w:val="24"/>
          <w:szCs w:val="24"/>
        </w:rPr>
        <w:t xml:space="preserve"> </w:t>
      </w:r>
      <w:r w:rsidR="00346296" w:rsidRPr="00807147">
        <w:rPr>
          <w:rFonts w:ascii="Tahoma" w:hAnsi="Tahoma" w:cs="Tahoma"/>
          <w:bCs/>
          <w:sz w:val="24"/>
          <w:szCs w:val="24"/>
        </w:rPr>
        <w:t>cantități</w:t>
      </w:r>
      <w:r w:rsidR="008E4687" w:rsidRPr="00807147">
        <w:rPr>
          <w:rFonts w:ascii="Tahoma" w:hAnsi="Tahoma" w:cs="Tahoma"/>
          <w:bCs/>
          <w:sz w:val="24"/>
          <w:szCs w:val="24"/>
        </w:rPr>
        <w:t xml:space="preserve"> de energie electrică </w:t>
      </w:r>
      <w:proofErr w:type="spellStart"/>
      <w:r w:rsidR="008E4687" w:rsidRPr="00807147">
        <w:rPr>
          <w:rFonts w:ascii="Tahoma" w:hAnsi="Tahoma" w:cs="Tahoma"/>
          <w:bCs/>
          <w:sz w:val="24"/>
          <w:szCs w:val="24"/>
        </w:rPr>
        <w:t>şi</w:t>
      </w:r>
      <w:proofErr w:type="spellEnd"/>
      <w:r w:rsidR="008E4687" w:rsidRPr="00807147">
        <w:rPr>
          <w:rFonts w:ascii="Tahoma" w:hAnsi="Tahoma" w:cs="Tahoma"/>
          <w:bCs/>
          <w:sz w:val="24"/>
          <w:szCs w:val="24"/>
        </w:rPr>
        <w:t xml:space="preserve">/sau gaze naturale pe </w:t>
      </w:r>
      <w:r w:rsidR="00346296" w:rsidRPr="00807147">
        <w:rPr>
          <w:rFonts w:ascii="Tahoma" w:hAnsi="Tahoma" w:cs="Tahoma"/>
          <w:bCs/>
          <w:sz w:val="24"/>
          <w:szCs w:val="24"/>
        </w:rPr>
        <w:t>piața</w:t>
      </w:r>
      <w:r w:rsidR="008E4687" w:rsidRPr="00807147">
        <w:rPr>
          <w:rFonts w:ascii="Tahoma" w:hAnsi="Tahoma" w:cs="Tahoma"/>
          <w:bCs/>
          <w:sz w:val="24"/>
          <w:szCs w:val="24"/>
        </w:rPr>
        <w:t xml:space="preserve"> angro, precum </w:t>
      </w:r>
      <w:r w:rsidR="00346296" w:rsidRPr="00807147">
        <w:rPr>
          <w:rFonts w:ascii="Tahoma" w:hAnsi="Tahoma" w:cs="Tahoma"/>
          <w:bCs/>
          <w:sz w:val="24"/>
          <w:szCs w:val="24"/>
        </w:rPr>
        <w:t>și</w:t>
      </w:r>
      <w:r w:rsidR="008E4687" w:rsidRPr="00807147">
        <w:rPr>
          <w:rFonts w:ascii="Tahoma" w:hAnsi="Tahoma" w:cs="Tahoma"/>
          <w:bCs/>
          <w:sz w:val="24"/>
          <w:szCs w:val="24"/>
        </w:rPr>
        <w:t xml:space="preserve"> partenerii din contractele financiare de asigurare a riscurilor (contracte de </w:t>
      </w:r>
      <w:proofErr w:type="spellStart"/>
      <w:r w:rsidR="008E4687" w:rsidRPr="00807147">
        <w:rPr>
          <w:rFonts w:ascii="Tahoma" w:hAnsi="Tahoma" w:cs="Tahoma"/>
          <w:bCs/>
          <w:sz w:val="24"/>
          <w:szCs w:val="24"/>
        </w:rPr>
        <w:t>hedging</w:t>
      </w:r>
      <w:proofErr w:type="spellEnd"/>
      <w:r w:rsidR="008E4687" w:rsidRPr="00807147">
        <w:rPr>
          <w:rFonts w:ascii="Tahoma" w:hAnsi="Tahoma" w:cs="Tahoma"/>
          <w:bCs/>
          <w:sz w:val="24"/>
          <w:szCs w:val="24"/>
        </w:rPr>
        <w:t xml:space="preserve">). </w:t>
      </w:r>
    </w:p>
    <w:p w:rsidR="00240604" w:rsidRPr="00807147" w:rsidRDefault="008E4687"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 xml:space="preserve">Nerealizarea </w:t>
      </w:r>
      <w:r w:rsidR="00240604" w:rsidRPr="00807147">
        <w:rPr>
          <w:rFonts w:ascii="Tahoma" w:hAnsi="Tahoma" w:cs="Tahoma"/>
          <w:bCs/>
          <w:sz w:val="24"/>
          <w:szCs w:val="24"/>
        </w:rPr>
        <w:t>programului trimestrial s-a</w:t>
      </w:r>
      <w:r w:rsidRPr="00807147">
        <w:rPr>
          <w:rFonts w:ascii="Tahoma" w:hAnsi="Tahoma" w:cs="Tahoma"/>
          <w:bCs/>
          <w:sz w:val="24"/>
          <w:szCs w:val="24"/>
        </w:rPr>
        <w:t xml:space="preserve"> dator</w:t>
      </w:r>
      <w:r w:rsidR="00240604" w:rsidRPr="00807147">
        <w:rPr>
          <w:rFonts w:ascii="Tahoma" w:hAnsi="Tahoma" w:cs="Tahoma"/>
          <w:bCs/>
          <w:sz w:val="24"/>
          <w:szCs w:val="24"/>
        </w:rPr>
        <w:t>at</w:t>
      </w:r>
      <w:r w:rsidRPr="00807147">
        <w:rPr>
          <w:rFonts w:ascii="Tahoma" w:hAnsi="Tahoma" w:cs="Tahoma"/>
          <w:bCs/>
          <w:sz w:val="24"/>
          <w:szCs w:val="24"/>
        </w:rPr>
        <w:t xml:space="preserve"> în principal </w:t>
      </w:r>
      <w:r w:rsidR="002C3474" w:rsidRPr="00807147">
        <w:rPr>
          <w:rFonts w:ascii="Tahoma" w:hAnsi="Tahoma" w:cs="Tahoma"/>
          <w:bCs/>
          <w:sz w:val="24"/>
          <w:szCs w:val="24"/>
        </w:rPr>
        <w:t xml:space="preserve">veniturilor din </w:t>
      </w:r>
      <w:r w:rsidRPr="00807147">
        <w:rPr>
          <w:rFonts w:ascii="Tahoma" w:hAnsi="Tahoma" w:cs="Tahoma"/>
          <w:bCs/>
          <w:sz w:val="24"/>
          <w:szCs w:val="24"/>
        </w:rPr>
        <w:t xml:space="preserve">impozitul pe veniturile suplimentare obținute ca urmare a </w:t>
      </w:r>
      <w:proofErr w:type="spellStart"/>
      <w:r w:rsidRPr="00807147">
        <w:rPr>
          <w:rFonts w:ascii="Tahoma" w:hAnsi="Tahoma" w:cs="Tahoma"/>
          <w:bCs/>
          <w:sz w:val="24"/>
          <w:szCs w:val="24"/>
        </w:rPr>
        <w:t>dereglementării</w:t>
      </w:r>
      <w:proofErr w:type="spellEnd"/>
      <w:r w:rsidRPr="00807147">
        <w:rPr>
          <w:rFonts w:ascii="Tahoma" w:hAnsi="Tahoma" w:cs="Tahoma"/>
          <w:bCs/>
          <w:sz w:val="24"/>
          <w:szCs w:val="24"/>
        </w:rPr>
        <w:t xml:space="preserve"> prețurilor din sectorul gazelor naturale, pe fondul modificărilor legislative ale O.U.G. nr. 27/2022 modificată și completată prin O.U.G. nr. 119/2022.</w:t>
      </w:r>
    </w:p>
    <w:p w:rsidR="009D126E" w:rsidRPr="00807147" w:rsidRDefault="00DD52A5" w:rsidP="007A0021">
      <w:pPr>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lastRenderedPageBreak/>
        <w:t xml:space="preserve">Încasările din </w:t>
      </w:r>
      <w:r w:rsidRPr="00807147">
        <w:rPr>
          <w:rFonts w:ascii="Tahoma" w:hAnsi="Tahoma" w:cs="Tahoma"/>
          <w:b/>
          <w:sz w:val="24"/>
          <w:szCs w:val="24"/>
        </w:rPr>
        <w:t>taxele pe utilizarea bunurilor</w:t>
      </w:r>
      <w:r w:rsidR="002C3B7D" w:rsidRPr="00807147">
        <w:rPr>
          <w:rFonts w:ascii="Tahoma" w:hAnsi="Tahoma" w:cs="Tahoma"/>
          <w:b/>
          <w:i/>
          <w:sz w:val="24"/>
          <w:szCs w:val="24"/>
        </w:rPr>
        <w:t xml:space="preserve"> </w:t>
      </w:r>
      <w:r w:rsidR="00502B73" w:rsidRPr="00807147">
        <w:rPr>
          <w:rFonts w:ascii="Tahoma" w:hAnsi="Tahoma" w:cs="Tahoma"/>
          <w:sz w:val="24"/>
          <w:szCs w:val="24"/>
        </w:rPr>
        <w:t xml:space="preserve">au fost în sumă de </w:t>
      </w:r>
      <w:r w:rsidR="00E22D0F">
        <w:rPr>
          <w:rFonts w:ascii="Tahoma" w:hAnsi="Tahoma" w:cs="Tahoma"/>
          <w:sz w:val="24"/>
          <w:szCs w:val="24"/>
        </w:rPr>
        <w:t>1,7</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w:t>
      </w:r>
      <w:r w:rsidR="004840C3" w:rsidRPr="00807147">
        <w:rPr>
          <w:rFonts w:ascii="Tahoma" w:hAnsi="Tahoma" w:cs="Tahoma"/>
          <w:sz w:val="24"/>
          <w:szCs w:val="24"/>
        </w:rPr>
        <w:t xml:space="preserve">cu </w:t>
      </w:r>
      <w:r w:rsidR="00E22D0F">
        <w:rPr>
          <w:rFonts w:ascii="Tahoma" w:hAnsi="Tahoma" w:cs="Tahoma"/>
          <w:sz w:val="24"/>
          <w:szCs w:val="24"/>
        </w:rPr>
        <w:t>31,0</w:t>
      </w:r>
      <w:r w:rsidR="004840C3" w:rsidRPr="00807147">
        <w:rPr>
          <w:rFonts w:ascii="Tahoma" w:hAnsi="Tahoma" w:cs="Tahoma"/>
          <w:sz w:val="24"/>
          <w:szCs w:val="24"/>
        </w:rPr>
        <w:t xml:space="preserve">% mai </w:t>
      </w:r>
      <w:r w:rsidR="00AF0A9B" w:rsidRPr="00807147">
        <w:rPr>
          <w:rFonts w:ascii="Tahoma" w:hAnsi="Tahoma" w:cs="Tahoma"/>
          <w:sz w:val="24"/>
          <w:szCs w:val="24"/>
        </w:rPr>
        <w:t>mari</w:t>
      </w:r>
      <w:r w:rsidR="004840C3" w:rsidRPr="00807147">
        <w:rPr>
          <w:rFonts w:ascii="Tahoma" w:hAnsi="Tahoma" w:cs="Tahoma"/>
          <w:sz w:val="24"/>
          <w:szCs w:val="24"/>
        </w:rPr>
        <w:t xml:space="preserve"> </w:t>
      </w:r>
      <w:r w:rsidR="00565196" w:rsidRPr="00807147">
        <w:rPr>
          <w:rFonts w:ascii="Tahoma" w:hAnsi="Tahoma" w:cs="Tahoma"/>
          <w:sz w:val="24"/>
          <w:szCs w:val="24"/>
        </w:rPr>
        <w:t xml:space="preserve">comparativ </w:t>
      </w:r>
      <w:r w:rsidR="00E22D0F">
        <w:rPr>
          <w:rFonts w:ascii="Tahoma" w:hAnsi="Tahoma" w:cs="Tahoma"/>
          <w:sz w:val="24"/>
          <w:szCs w:val="24"/>
        </w:rPr>
        <w:t>cu trimestrul II</w:t>
      </w:r>
      <w:r w:rsidR="00565196" w:rsidRPr="00807147">
        <w:rPr>
          <w:rFonts w:ascii="Tahoma" w:hAnsi="Tahoma" w:cs="Tahoma"/>
          <w:sz w:val="24"/>
          <w:szCs w:val="24"/>
        </w:rPr>
        <w:t xml:space="preserve"> 20</w:t>
      </w:r>
      <w:r w:rsidR="004840C3" w:rsidRPr="00807147">
        <w:rPr>
          <w:rFonts w:ascii="Tahoma" w:hAnsi="Tahoma" w:cs="Tahoma"/>
          <w:sz w:val="24"/>
          <w:szCs w:val="24"/>
        </w:rPr>
        <w:t>2</w:t>
      </w:r>
      <w:r w:rsidR="00240604" w:rsidRPr="00807147">
        <w:rPr>
          <w:rFonts w:ascii="Tahoma" w:hAnsi="Tahoma" w:cs="Tahoma"/>
          <w:sz w:val="24"/>
          <w:szCs w:val="24"/>
        </w:rPr>
        <w:t>2</w:t>
      </w:r>
      <w:r w:rsidR="00565196" w:rsidRPr="00807147">
        <w:rPr>
          <w:rFonts w:ascii="Tahoma" w:hAnsi="Tahoma" w:cs="Tahoma"/>
          <w:sz w:val="24"/>
          <w:szCs w:val="24"/>
        </w:rPr>
        <w:t xml:space="preserve">, în principal ca urmare a </w:t>
      </w:r>
      <w:r w:rsidR="009D126E" w:rsidRPr="00807147">
        <w:rPr>
          <w:rFonts w:ascii="Tahoma" w:hAnsi="Tahoma" w:cs="Tahoma"/>
          <w:sz w:val="24"/>
          <w:szCs w:val="24"/>
        </w:rPr>
        <w:t>evoluției pozitive înregistrate atât l</w:t>
      </w:r>
      <w:r w:rsidR="00005DE0" w:rsidRPr="00807147">
        <w:rPr>
          <w:rFonts w:ascii="Tahoma" w:hAnsi="Tahoma" w:cs="Tahoma"/>
          <w:sz w:val="24"/>
          <w:szCs w:val="24"/>
        </w:rPr>
        <w:t>a</w:t>
      </w:r>
      <w:r w:rsidR="009D126E" w:rsidRPr="00807147">
        <w:rPr>
          <w:rFonts w:ascii="Tahoma" w:hAnsi="Tahoma" w:cs="Tahoma"/>
          <w:sz w:val="24"/>
          <w:szCs w:val="24"/>
        </w:rPr>
        <w:t xml:space="preserve"> bugetul de stat (+</w:t>
      </w:r>
      <w:r w:rsidR="00240604" w:rsidRPr="00807147">
        <w:rPr>
          <w:rFonts w:ascii="Tahoma" w:hAnsi="Tahoma" w:cs="Tahoma"/>
          <w:sz w:val="24"/>
          <w:szCs w:val="24"/>
        </w:rPr>
        <w:t>20,7</w:t>
      </w:r>
      <w:r w:rsidR="009D126E" w:rsidRPr="00807147">
        <w:rPr>
          <w:rFonts w:ascii="Tahoma" w:hAnsi="Tahoma" w:cs="Tahoma"/>
          <w:sz w:val="24"/>
          <w:szCs w:val="24"/>
        </w:rPr>
        <w:t>%) cât și la bugetele locale (+</w:t>
      </w:r>
      <w:r w:rsidR="00240604" w:rsidRPr="00807147">
        <w:rPr>
          <w:rFonts w:ascii="Tahoma" w:hAnsi="Tahoma" w:cs="Tahoma"/>
          <w:sz w:val="24"/>
          <w:szCs w:val="24"/>
        </w:rPr>
        <w:t>8,0</w:t>
      </w:r>
      <w:r w:rsidR="009D126E" w:rsidRPr="00807147">
        <w:rPr>
          <w:rFonts w:ascii="Tahoma" w:hAnsi="Tahoma" w:cs="Tahoma"/>
          <w:sz w:val="24"/>
          <w:szCs w:val="24"/>
        </w:rPr>
        <w:t>%).</w:t>
      </w:r>
    </w:p>
    <w:p w:rsidR="009D126E" w:rsidRPr="00807147" w:rsidRDefault="009D126E"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La bugetul de stat creșterea în</w:t>
      </w:r>
      <w:r w:rsidR="00240604" w:rsidRPr="00807147">
        <w:rPr>
          <w:rFonts w:ascii="Tahoma" w:eastAsia="Calibri" w:hAnsi="Tahoma" w:cs="Tahoma"/>
          <w:sz w:val="24"/>
          <w:szCs w:val="24"/>
        </w:rPr>
        <w:t>casărilor a fost determinată de evoluția î</w:t>
      </w:r>
      <w:r w:rsidR="00240604" w:rsidRPr="00807147">
        <w:rPr>
          <w:rFonts w:ascii="Tahoma" w:eastAsia="Calibri" w:hAnsi="Tahoma" w:cs="Tahoma"/>
          <w:bCs/>
          <w:sz w:val="24"/>
          <w:szCs w:val="24"/>
        </w:rPr>
        <w:t>ncasărilor din taxele pentru jocurile de noroc</w:t>
      </w:r>
      <w:r w:rsidR="00240604" w:rsidRPr="00807147">
        <w:rPr>
          <w:rFonts w:ascii="Tahoma" w:eastAsia="Calibri" w:hAnsi="Tahoma" w:cs="Tahoma"/>
          <w:bCs/>
          <w:sz w:val="24"/>
          <w:szCs w:val="24"/>
          <w:vertAlign w:val="superscript"/>
        </w:rPr>
        <w:footnoteReference w:id="12"/>
      </w:r>
      <w:r w:rsidR="00240604" w:rsidRPr="00807147">
        <w:rPr>
          <w:rFonts w:ascii="Tahoma" w:eastAsia="Calibri" w:hAnsi="Tahoma" w:cs="Tahoma"/>
          <w:bCs/>
          <w:sz w:val="24"/>
          <w:szCs w:val="24"/>
        </w:rPr>
        <w:t xml:space="preserve"> </w:t>
      </w:r>
      <w:r w:rsidR="00240604" w:rsidRPr="00807147">
        <w:rPr>
          <w:rFonts w:ascii="Tahoma" w:eastAsia="Calibri" w:hAnsi="Tahoma" w:cs="Tahoma"/>
          <w:sz w:val="24"/>
          <w:szCs w:val="24"/>
        </w:rPr>
        <w:t>înregistrează față de aceeași perioadă a anului 2022 o dinamică de</w:t>
      </w:r>
      <w:r w:rsidR="00240604" w:rsidRPr="00807147">
        <w:rPr>
          <w:rFonts w:ascii="Tahoma" w:eastAsia="Calibri" w:hAnsi="Tahoma" w:cs="Tahoma"/>
          <w:bCs/>
          <w:sz w:val="24"/>
          <w:szCs w:val="24"/>
        </w:rPr>
        <w:t xml:space="preserve"> </w:t>
      </w:r>
      <w:r w:rsidR="00E22D0F">
        <w:rPr>
          <w:rFonts w:ascii="Tahoma" w:eastAsia="Calibri" w:hAnsi="Tahoma" w:cs="Tahoma"/>
          <w:bCs/>
          <w:sz w:val="24"/>
          <w:szCs w:val="24"/>
        </w:rPr>
        <w:t>40,7</w:t>
      </w:r>
      <w:r w:rsidR="00240604" w:rsidRPr="00807147">
        <w:rPr>
          <w:rFonts w:ascii="Tahoma" w:eastAsia="Calibri" w:hAnsi="Tahoma" w:cs="Tahoma"/>
          <w:bCs/>
          <w:sz w:val="24"/>
          <w:szCs w:val="24"/>
        </w:rPr>
        <w:t>% (+0,</w:t>
      </w:r>
      <w:r w:rsidR="00E22D0F">
        <w:rPr>
          <w:rFonts w:ascii="Tahoma" w:eastAsia="Calibri" w:hAnsi="Tahoma" w:cs="Tahoma"/>
          <w:bCs/>
          <w:sz w:val="24"/>
          <w:szCs w:val="24"/>
        </w:rPr>
        <w:t>3</w:t>
      </w:r>
      <w:r w:rsidR="00240604" w:rsidRPr="00807147">
        <w:rPr>
          <w:rFonts w:ascii="Tahoma" w:eastAsia="Calibri" w:hAnsi="Tahoma" w:cs="Tahoma"/>
          <w:bCs/>
          <w:sz w:val="24"/>
          <w:szCs w:val="24"/>
        </w:rPr>
        <w:t xml:space="preserve"> miliarde lei), în condițiile unor majorări de taxe aprobate prin O.G nr. 15/2022</w:t>
      </w:r>
      <w:r w:rsidR="00240604" w:rsidRPr="00807147">
        <w:rPr>
          <w:rFonts w:ascii="Tahoma" w:eastAsia="Calibri" w:hAnsi="Tahoma" w:cs="Tahoma"/>
          <w:bCs/>
          <w:sz w:val="24"/>
          <w:szCs w:val="24"/>
          <w:vertAlign w:val="superscript"/>
        </w:rPr>
        <w:footnoteReference w:id="13"/>
      </w:r>
      <w:r w:rsidR="00240604" w:rsidRPr="00807147">
        <w:rPr>
          <w:rFonts w:ascii="Tahoma" w:eastAsia="Calibri" w:hAnsi="Tahoma" w:cs="Tahoma"/>
          <w:bCs/>
          <w:sz w:val="24"/>
          <w:szCs w:val="24"/>
        </w:rPr>
        <w:t xml:space="preserve">. </w:t>
      </w:r>
    </w:p>
    <w:p w:rsidR="00334D05" w:rsidRPr="00807147" w:rsidRDefault="00D64FFE" w:rsidP="007A0021">
      <w:pPr>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Gradul de realizare al programului de încasări pentru perioada analizată este de </w:t>
      </w:r>
      <w:r w:rsidR="00E22D0F">
        <w:rPr>
          <w:rFonts w:ascii="Tahoma" w:hAnsi="Tahoma" w:cs="Tahoma"/>
          <w:sz w:val="24"/>
          <w:szCs w:val="24"/>
        </w:rPr>
        <w:t>108,2</w:t>
      </w:r>
      <w:r w:rsidRPr="00807147">
        <w:rPr>
          <w:rFonts w:ascii="Tahoma" w:hAnsi="Tahoma" w:cs="Tahoma"/>
          <w:sz w:val="24"/>
          <w:szCs w:val="24"/>
        </w:rPr>
        <w:t xml:space="preserve">%, această evoluție fiind susținută în principal de creșterea peste nivelul programat al </w:t>
      </w:r>
      <w:r w:rsidR="009D126E" w:rsidRPr="00807147">
        <w:rPr>
          <w:rFonts w:ascii="Tahoma" w:hAnsi="Tahoma" w:cs="Tahoma"/>
          <w:sz w:val="24"/>
          <w:szCs w:val="24"/>
        </w:rPr>
        <w:t>încasărilor la buget</w:t>
      </w:r>
      <w:r w:rsidR="00E22D0F">
        <w:rPr>
          <w:rFonts w:ascii="Tahoma" w:hAnsi="Tahoma" w:cs="Tahoma"/>
          <w:sz w:val="24"/>
          <w:szCs w:val="24"/>
        </w:rPr>
        <w:t>ul de stat</w:t>
      </w:r>
      <w:r w:rsidR="00240604" w:rsidRPr="00807147">
        <w:rPr>
          <w:rFonts w:ascii="Tahoma" w:hAnsi="Tahoma" w:cs="Tahoma"/>
          <w:sz w:val="24"/>
          <w:szCs w:val="24"/>
        </w:rPr>
        <w:t xml:space="preserve"> </w:t>
      </w:r>
      <w:r w:rsidR="009D126E" w:rsidRPr="00807147">
        <w:rPr>
          <w:rFonts w:ascii="Tahoma" w:hAnsi="Tahoma" w:cs="Tahoma"/>
          <w:sz w:val="24"/>
          <w:szCs w:val="24"/>
        </w:rPr>
        <w:t xml:space="preserve">unde gradul de realizare a fost de </w:t>
      </w:r>
      <w:r w:rsidR="00E22D0F">
        <w:rPr>
          <w:rFonts w:ascii="Tahoma" w:hAnsi="Tahoma" w:cs="Tahoma"/>
          <w:sz w:val="24"/>
          <w:szCs w:val="24"/>
        </w:rPr>
        <w:t>111,9</w:t>
      </w:r>
      <w:r w:rsidR="009D126E" w:rsidRPr="00807147">
        <w:rPr>
          <w:rFonts w:ascii="Tahoma" w:hAnsi="Tahoma" w:cs="Tahoma"/>
          <w:sz w:val="24"/>
          <w:szCs w:val="24"/>
        </w:rPr>
        <w:t>%</w:t>
      </w:r>
      <w:r w:rsidR="00346296">
        <w:rPr>
          <w:rFonts w:ascii="Tahoma" w:hAnsi="Tahoma" w:cs="Tahoma"/>
          <w:sz w:val="24"/>
          <w:szCs w:val="24"/>
        </w:rPr>
        <w:t xml:space="preserve"> </w:t>
      </w:r>
      <w:r w:rsidR="009D126E" w:rsidRPr="00807147">
        <w:rPr>
          <w:rFonts w:ascii="Tahoma" w:eastAsia="Calibri" w:hAnsi="Tahoma" w:cs="Tahoma"/>
          <w:sz w:val="24"/>
          <w:szCs w:val="24"/>
        </w:rPr>
        <w:t>(+0,</w:t>
      </w:r>
      <w:r w:rsidR="00E22D0F">
        <w:rPr>
          <w:rFonts w:ascii="Tahoma" w:eastAsia="Calibri" w:hAnsi="Tahoma" w:cs="Tahoma"/>
          <w:sz w:val="24"/>
          <w:szCs w:val="24"/>
        </w:rPr>
        <w:t>1</w:t>
      </w:r>
      <w:r w:rsidR="009D126E" w:rsidRPr="00807147">
        <w:rPr>
          <w:rFonts w:ascii="Tahoma" w:eastAsia="Calibri" w:hAnsi="Tahoma" w:cs="Tahoma"/>
          <w:sz w:val="24"/>
          <w:szCs w:val="24"/>
        </w:rPr>
        <w:t xml:space="preserve"> miliarde lei)</w:t>
      </w:r>
      <w:r w:rsidR="00E22D0F">
        <w:rPr>
          <w:rFonts w:ascii="Tahoma" w:eastAsia="Calibri" w:hAnsi="Tahoma" w:cs="Tahoma"/>
          <w:sz w:val="24"/>
          <w:szCs w:val="24"/>
        </w:rPr>
        <w:t>.</w:t>
      </w:r>
      <w:r w:rsidR="009D126E" w:rsidRPr="00807147">
        <w:rPr>
          <w:rFonts w:ascii="Tahoma" w:eastAsia="Calibri" w:hAnsi="Tahoma" w:cs="Tahoma"/>
          <w:sz w:val="24"/>
          <w:szCs w:val="24"/>
        </w:rPr>
        <w:t xml:space="preserve"> </w:t>
      </w:r>
    </w:p>
    <w:p w:rsidR="00B802A4" w:rsidRPr="00807147" w:rsidRDefault="00DD52A5" w:rsidP="007A0021">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807147">
        <w:rPr>
          <w:rFonts w:ascii="Tahoma" w:hAnsi="Tahoma" w:cs="Tahoma"/>
          <w:sz w:val="24"/>
          <w:szCs w:val="24"/>
        </w:rPr>
        <w:t>Încasările din</w:t>
      </w:r>
      <w:r w:rsidRPr="00807147">
        <w:rPr>
          <w:rFonts w:ascii="Tahoma" w:hAnsi="Tahoma" w:cs="Tahoma"/>
          <w:b/>
          <w:bCs/>
          <w:sz w:val="24"/>
          <w:szCs w:val="24"/>
        </w:rPr>
        <w:t xml:space="preserve"> impozitul pe comerț exterior </w:t>
      </w:r>
      <w:r w:rsidR="00640FBB" w:rsidRPr="00807147">
        <w:rPr>
          <w:rFonts w:ascii="Tahoma" w:hAnsi="Tahoma" w:cs="Tahoma"/>
          <w:b/>
          <w:bCs/>
          <w:sz w:val="24"/>
          <w:szCs w:val="24"/>
        </w:rPr>
        <w:t>și</w:t>
      </w:r>
      <w:r w:rsidRPr="00807147">
        <w:rPr>
          <w:rFonts w:ascii="Tahoma" w:hAnsi="Tahoma" w:cs="Tahoma"/>
          <w:b/>
          <w:bCs/>
          <w:sz w:val="24"/>
          <w:szCs w:val="24"/>
        </w:rPr>
        <w:t xml:space="preserve"> tranzacțiile internaționale</w:t>
      </w:r>
      <w:r w:rsidRPr="00807147">
        <w:rPr>
          <w:rFonts w:ascii="Tahoma" w:hAnsi="Tahoma" w:cs="Tahoma"/>
          <w:sz w:val="24"/>
          <w:szCs w:val="24"/>
        </w:rPr>
        <w:t xml:space="preserve"> s-au realizat în proporție de </w:t>
      </w:r>
      <w:r w:rsidR="00E22D0F">
        <w:rPr>
          <w:rFonts w:ascii="Tahoma" w:hAnsi="Tahoma" w:cs="Tahoma"/>
          <w:sz w:val="24"/>
          <w:szCs w:val="24"/>
        </w:rPr>
        <w:t>80,6</w:t>
      </w:r>
      <w:r w:rsidRPr="00807147">
        <w:rPr>
          <w:rFonts w:ascii="Tahoma" w:hAnsi="Tahoma" w:cs="Tahoma"/>
          <w:sz w:val="24"/>
          <w:szCs w:val="24"/>
        </w:rPr>
        <w:t xml:space="preserve">%, </w:t>
      </w:r>
      <w:r w:rsidR="00B802A4" w:rsidRPr="00807147">
        <w:rPr>
          <w:rFonts w:ascii="Tahoma" w:hAnsi="Tahoma" w:cs="Tahoma"/>
          <w:bCs/>
          <w:sz w:val="24"/>
          <w:szCs w:val="24"/>
        </w:rPr>
        <w:t xml:space="preserve">în condițiile unei </w:t>
      </w:r>
      <w:r w:rsidR="00257F24">
        <w:rPr>
          <w:rFonts w:ascii="Tahoma" w:hAnsi="Tahoma" w:cs="Tahoma"/>
          <w:bCs/>
          <w:sz w:val="24"/>
          <w:szCs w:val="24"/>
        </w:rPr>
        <w:t>scăderi</w:t>
      </w:r>
      <w:r w:rsidR="00B802A4" w:rsidRPr="00807147">
        <w:rPr>
          <w:rFonts w:ascii="Tahoma" w:hAnsi="Tahoma" w:cs="Tahoma"/>
          <w:sz w:val="24"/>
          <w:szCs w:val="24"/>
        </w:rPr>
        <w:t xml:space="preserve"> a importurilor (Extra-UE27)</w:t>
      </w:r>
      <w:r w:rsidR="00B802A4" w:rsidRPr="00807147">
        <w:rPr>
          <w:rFonts w:ascii="Tahoma" w:hAnsi="Tahoma" w:cs="Tahoma"/>
          <w:bCs/>
          <w:sz w:val="24"/>
          <w:szCs w:val="24"/>
        </w:rPr>
        <w:t xml:space="preserve"> </w:t>
      </w:r>
      <w:r w:rsidR="00B802A4" w:rsidRPr="00807147">
        <w:rPr>
          <w:rFonts w:ascii="Tahoma" w:hAnsi="Tahoma" w:cs="Tahoma"/>
          <w:sz w:val="24"/>
          <w:szCs w:val="24"/>
        </w:rPr>
        <w:t xml:space="preserve">cu </w:t>
      </w:r>
      <w:r w:rsidR="00257F24">
        <w:rPr>
          <w:rFonts w:ascii="Tahoma" w:hAnsi="Tahoma" w:cs="Tahoma"/>
          <w:sz w:val="24"/>
          <w:szCs w:val="24"/>
        </w:rPr>
        <w:t>5,7</w:t>
      </w:r>
      <w:r w:rsidR="00B802A4" w:rsidRPr="00807147">
        <w:rPr>
          <w:rFonts w:ascii="Tahoma" w:hAnsi="Tahoma" w:cs="Tahoma"/>
          <w:sz w:val="24"/>
          <w:szCs w:val="24"/>
        </w:rPr>
        <w:t>%</w:t>
      </w:r>
      <w:r w:rsidR="00B802A4" w:rsidRPr="00807147">
        <w:rPr>
          <w:rFonts w:ascii="Tahoma" w:hAnsi="Tahoma" w:cs="Tahoma"/>
          <w:sz w:val="24"/>
          <w:szCs w:val="24"/>
          <w:vertAlign w:val="superscript"/>
        </w:rPr>
        <w:footnoteReference w:id="14"/>
      </w:r>
      <w:r w:rsidR="00B802A4" w:rsidRPr="00807147">
        <w:rPr>
          <w:rFonts w:ascii="Tahoma" w:hAnsi="Tahoma" w:cs="Tahoma"/>
          <w:sz w:val="24"/>
          <w:szCs w:val="24"/>
        </w:rPr>
        <w:t>.</w:t>
      </w:r>
    </w:p>
    <w:p w:rsidR="004F33F6" w:rsidRPr="00807147" w:rsidRDefault="00025F7D" w:rsidP="000C03D2">
      <w:pPr>
        <w:shd w:val="clear" w:color="auto" w:fill="FFFFFF"/>
        <w:tabs>
          <w:tab w:val="left" w:pos="810"/>
          <w:tab w:val="left" w:pos="1710"/>
        </w:tabs>
        <w:suppressAutoHyphens/>
        <w:autoSpaceDE w:val="0"/>
        <w:autoSpaceDN w:val="0"/>
        <w:adjustRightInd w:val="0"/>
        <w:spacing w:before="120" w:after="360" w:line="276" w:lineRule="auto"/>
        <w:jc w:val="both"/>
        <w:rPr>
          <w:rFonts w:ascii="Tahoma" w:hAnsi="Tahoma" w:cs="Tahoma"/>
          <w:noProof/>
          <w:sz w:val="24"/>
          <w:szCs w:val="24"/>
        </w:rPr>
      </w:pPr>
      <w:r>
        <w:rPr>
          <w:rFonts w:ascii="Tahoma" w:hAnsi="Tahoma" w:cs="Tahoma"/>
          <w:noProof/>
          <w:sz w:val="24"/>
          <w:szCs w:val="24"/>
        </w:rPr>
        <w:object w:dxaOrig="11430" w:dyaOrig="5160">
          <v:shape id="_x0000_i1027" type="#_x0000_t75" style="width:495pt;height:258pt" o:ole="">
            <v:imagedata r:id="rId12" o:title=""/>
          </v:shape>
          <o:OLEObject Type="Link" ProgID="Excel.Sheet.12" ShapeID="_x0000_i1027" DrawAspect="Content" r:id="rId13" UpdateMode="Always">
            <o:LinkType>EnhancedMetaFile</o:LinkType>
            <o:LockedField>false</o:LockedField>
          </o:OLEObject>
        </w:object>
      </w:r>
    </w:p>
    <w:p w:rsidR="000C03D2" w:rsidRPr="000C03D2" w:rsidRDefault="000C03D2" w:rsidP="000C03D2">
      <w:pPr>
        <w:autoSpaceDE w:val="0"/>
        <w:autoSpaceDN w:val="0"/>
        <w:adjustRightInd w:val="0"/>
        <w:spacing w:after="120" w:line="276" w:lineRule="auto"/>
        <w:jc w:val="both"/>
        <w:rPr>
          <w:rFonts w:ascii="Tahoma" w:eastAsia="Calibri" w:hAnsi="Tahoma" w:cs="Tahoma"/>
          <w:kern w:val="1"/>
          <w:sz w:val="24"/>
          <w:szCs w:val="24"/>
        </w:rPr>
      </w:pPr>
      <w:r w:rsidRPr="000C03D2">
        <w:rPr>
          <w:rFonts w:ascii="Tahoma" w:eastAsia="Calibri" w:hAnsi="Tahoma" w:cs="Tahoma"/>
          <w:b/>
          <w:kern w:val="1"/>
          <w:sz w:val="24"/>
          <w:szCs w:val="24"/>
        </w:rPr>
        <w:t>Contribuțiile sociale</w:t>
      </w:r>
      <w:r w:rsidRPr="000C03D2">
        <w:rPr>
          <w:rFonts w:ascii="Tahoma" w:eastAsia="Calibri" w:hAnsi="Tahoma" w:cs="Tahoma"/>
          <w:kern w:val="1"/>
          <w:sz w:val="24"/>
          <w:szCs w:val="24"/>
        </w:rPr>
        <w:t xml:space="preserve"> încasate în trimestrul II al anului 2023 în sumă de 39,</w:t>
      </w:r>
      <w:r>
        <w:rPr>
          <w:rFonts w:ascii="Tahoma" w:eastAsia="Calibri" w:hAnsi="Tahoma" w:cs="Tahoma"/>
          <w:kern w:val="1"/>
          <w:sz w:val="24"/>
          <w:szCs w:val="24"/>
        </w:rPr>
        <w:t>8</w:t>
      </w:r>
      <w:r w:rsidRPr="000C03D2">
        <w:rPr>
          <w:rFonts w:ascii="Tahoma" w:eastAsia="Calibri" w:hAnsi="Tahoma" w:cs="Tahoma"/>
          <w:kern w:val="1"/>
          <w:sz w:val="24"/>
          <w:szCs w:val="24"/>
        </w:rPr>
        <w:t xml:space="preserve"> miliarde lei, înregistrează, comparativ cu aceeași perioadă a anului precedent, o creștere de 13,3% (+4,7 miliarde lei), iar gradul de realizare a programului fiind de 97,1 % (-1,2 miliarde lei).</w:t>
      </w:r>
    </w:p>
    <w:p w:rsidR="000C03D2" w:rsidRPr="000C03D2" w:rsidRDefault="000C03D2" w:rsidP="000C03D2">
      <w:pPr>
        <w:autoSpaceDE w:val="0"/>
        <w:autoSpaceDN w:val="0"/>
        <w:adjustRightInd w:val="0"/>
        <w:spacing w:after="120" w:line="276" w:lineRule="auto"/>
        <w:jc w:val="both"/>
        <w:rPr>
          <w:rFonts w:ascii="Tahoma" w:eastAsia="Calibri" w:hAnsi="Tahoma" w:cs="Tahoma"/>
          <w:kern w:val="1"/>
          <w:sz w:val="24"/>
          <w:szCs w:val="24"/>
        </w:rPr>
      </w:pPr>
      <w:r w:rsidRPr="000C03D2">
        <w:rPr>
          <w:rFonts w:ascii="Tahoma" w:eastAsia="Calibri" w:hAnsi="Tahoma" w:cs="Tahoma"/>
          <w:kern w:val="1"/>
          <w:sz w:val="24"/>
          <w:szCs w:val="24"/>
        </w:rPr>
        <w:t xml:space="preserve">Nerealizarea programului trimestrial a fost influențată de evoluția încasărilor din contribuții sociale situată cu 2,0% sub evoluția fondului brut de salarii la nivel de economie de 15,3%, atât pe fondul măsurilor de extindere a facilităților fiscale aprobate prin Legea nr. 135/2022 și </w:t>
      </w:r>
      <w:r w:rsidRPr="000C03D2">
        <w:rPr>
          <w:rFonts w:ascii="Tahoma" w:eastAsia="Calibri" w:hAnsi="Tahoma" w:cs="Tahoma"/>
          <w:kern w:val="1"/>
          <w:sz w:val="24"/>
          <w:szCs w:val="24"/>
        </w:rPr>
        <w:lastRenderedPageBreak/>
        <w:t>O.U.G. nr. 168/2022 cât și din instituirea măsurii privind încetarea la plată a CASS pentru veniturile din pensii, inclusiv a restituirilor de sume reținute cu titlul de CASS din veniturile din pensii (măsură instituită ulterior aprobării prin legi  bugetare anuale</w:t>
      </w:r>
      <w:r w:rsidRPr="000C03D2">
        <w:rPr>
          <w:rFonts w:ascii="Tahoma" w:eastAsia="Calibri" w:hAnsi="Tahoma" w:cs="Tahoma"/>
          <w:kern w:val="1"/>
          <w:sz w:val="24"/>
          <w:szCs w:val="24"/>
          <w:vertAlign w:val="superscript"/>
        </w:rPr>
        <w:footnoteReference w:id="15"/>
      </w:r>
      <w:r w:rsidRPr="000C03D2">
        <w:rPr>
          <w:rFonts w:ascii="Tahoma" w:eastAsia="Calibri" w:hAnsi="Tahoma" w:cs="Tahoma"/>
          <w:kern w:val="1"/>
          <w:sz w:val="24"/>
          <w:szCs w:val="24"/>
        </w:rPr>
        <w:t xml:space="preserve"> a programului de venituri).</w:t>
      </w:r>
    </w:p>
    <w:p w:rsidR="000C03D2" w:rsidRPr="000C03D2" w:rsidRDefault="000C03D2" w:rsidP="000C03D2">
      <w:pPr>
        <w:tabs>
          <w:tab w:val="left" w:pos="284"/>
        </w:tabs>
        <w:suppressAutoHyphens/>
        <w:autoSpaceDE w:val="0"/>
        <w:autoSpaceDN w:val="0"/>
        <w:adjustRightInd w:val="0"/>
        <w:spacing w:after="120" w:line="276" w:lineRule="auto"/>
        <w:jc w:val="both"/>
        <w:rPr>
          <w:rFonts w:ascii="Tahoma" w:eastAsia="Calibri" w:hAnsi="Tahoma" w:cs="Tahoma"/>
          <w:kern w:val="1"/>
          <w:sz w:val="24"/>
          <w:szCs w:val="24"/>
        </w:rPr>
      </w:pPr>
      <w:r w:rsidRPr="000C03D2">
        <w:rPr>
          <w:rFonts w:ascii="Tahoma" w:eastAsia="Calibri" w:hAnsi="Tahoma" w:cs="Tahoma"/>
          <w:kern w:val="1"/>
          <w:sz w:val="24"/>
          <w:szCs w:val="24"/>
        </w:rPr>
        <w:t>Evoluția încasărilor din contribuții sociale în perioada analizată se situează sub evoluția fondului brut de salarii la nivel de economie de 15,3%, ca urmare a efectelor de măsurile privind extinderea facilităților fiscale acordate în sectorul agricol și industrie alimentară (Legea nr. 135/2022</w:t>
      </w:r>
      <w:r w:rsidRPr="000C03D2">
        <w:rPr>
          <w:rFonts w:ascii="Tahoma" w:eastAsia="Calibri" w:hAnsi="Tahoma" w:cs="Tahoma"/>
          <w:kern w:val="1"/>
          <w:sz w:val="24"/>
          <w:szCs w:val="24"/>
          <w:vertAlign w:val="superscript"/>
        </w:rPr>
        <w:footnoteReference w:id="16"/>
      </w:r>
      <w:r w:rsidRPr="000C03D2">
        <w:rPr>
          <w:rFonts w:ascii="Tahoma" w:eastAsia="Calibri" w:hAnsi="Tahoma" w:cs="Tahoma"/>
          <w:sz w:val="24"/>
          <w:szCs w:val="24"/>
          <w:lang w:eastAsia="zh-CN"/>
        </w:rPr>
        <w:t xml:space="preserve">, </w:t>
      </w:r>
      <w:r w:rsidRPr="000C03D2">
        <w:rPr>
          <w:rFonts w:ascii="Tahoma" w:eastAsia="Calibri" w:hAnsi="Tahoma" w:cs="Tahoma"/>
          <w:kern w:val="1"/>
          <w:sz w:val="24"/>
          <w:szCs w:val="24"/>
        </w:rPr>
        <w:t xml:space="preserve">cu modificările și completările ulterioare), neincluderea în baza lunară de calcul a contribuțiilor sociale obligatorii a sumei de 200 lei/lună, reprezentând venituri din salarii și asimilate salariilor (pentru salariații cu nivelul salariului de bază brut lunar egal cu nivelul salariului minim brut pe </w:t>
      </w:r>
      <w:proofErr w:type="spellStart"/>
      <w:r w:rsidRPr="000C03D2">
        <w:rPr>
          <w:rFonts w:ascii="Tahoma" w:eastAsia="Calibri" w:hAnsi="Tahoma" w:cs="Tahoma"/>
          <w:kern w:val="1"/>
          <w:sz w:val="24"/>
          <w:szCs w:val="24"/>
        </w:rPr>
        <w:t>ţară</w:t>
      </w:r>
      <w:proofErr w:type="spellEnd"/>
      <w:r w:rsidRPr="000C03D2">
        <w:rPr>
          <w:rFonts w:ascii="Tahoma" w:eastAsia="Calibri" w:hAnsi="Tahoma" w:cs="Tahoma"/>
          <w:kern w:val="1"/>
          <w:sz w:val="24"/>
          <w:szCs w:val="24"/>
        </w:rPr>
        <w:t xml:space="preserve"> garantat în plată și venitul brut realizat din salarii </w:t>
      </w:r>
      <w:proofErr w:type="spellStart"/>
      <w:r w:rsidRPr="000C03D2">
        <w:rPr>
          <w:rFonts w:ascii="Tahoma" w:eastAsia="Calibri" w:hAnsi="Tahoma" w:cs="Tahoma"/>
          <w:kern w:val="1"/>
          <w:sz w:val="24"/>
          <w:szCs w:val="24"/>
        </w:rPr>
        <w:t>şi</w:t>
      </w:r>
      <w:proofErr w:type="spellEnd"/>
      <w:r w:rsidRPr="000C03D2">
        <w:rPr>
          <w:rFonts w:ascii="Tahoma" w:eastAsia="Calibri" w:hAnsi="Tahoma" w:cs="Tahoma"/>
          <w:kern w:val="1"/>
          <w:sz w:val="24"/>
          <w:szCs w:val="24"/>
        </w:rPr>
        <w:t xml:space="preserve"> asimilate salariilor ce nu </w:t>
      </w:r>
      <w:proofErr w:type="spellStart"/>
      <w:r w:rsidRPr="000C03D2">
        <w:rPr>
          <w:rFonts w:ascii="Tahoma" w:eastAsia="Calibri" w:hAnsi="Tahoma" w:cs="Tahoma"/>
          <w:kern w:val="1"/>
          <w:sz w:val="24"/>
          <w:szCs w:val="24"/>
        </w:rPr>
        <w:t>depăşeşte</w:t>
      </w:r>
      <w:proofErr w:type="spellEnd"/>
      <w:r w:rsidRPr="000C03D2">
        <w:rPr>
          <w:rFonts w:ascii="Tahoma" w:eastAsia="Calibri" w:hAnsi="Tahoma" w:cs="Tahoma"/>
          <w:kern w:val="1"/>
          <w:sz w:val="24"/>
          <w:szCs w:val="24"/>
        </w:rPr>
        <w:t xml:space="preserve"> nivelul de 4.000 lei inclusiv, conform O.U.G. nr. 168/2022), încetarea de la plată a CASS pentru veniturile din pensii mai mari de 4.000 lei (Decizia CCR nr. 650/15.12.2022 privind neconstituționalitatea dispozițiilor O.U.G. nr. 130/2021</w:t>
      </w:r>
      <w:r w:rsidRPr="000C03D2">
        <w:rPr>
          <w:rFonts w:ascii="Tahoma" w:eastAsia="Calibri" w:hAnsi="Tahoma" w:cs="Tahoma"/>
          <w:kern w:val="1"/>
          <w:sz w:val="24"/>
          <w:szCs w:val="24"/>
          <w:vertAlign w:val="superscript"/>
        </w:rPr>
        <w:footnoteReference w:id="17"/>
      </w:r>
      <w:r w:rsidRPr="000C03D2">
        <w:rPr>
          <w:rFonts w:ascii="Tahoma" w:eastAsia="Calibri" w:hAnsi="Tahoma" w:cs="Tahoma"/>
          <w:kern w:val="1"/>
          <w:sz w:val="24"/>
          <w:szCs w:val="24"/>
        </w:rPr>
        <w:t>) și restituirea</w:t>
      </w:r>
      <w:r w:rsidRPr="000C03D2">
        <w:rPr>
          <w:rFonts w:ascii="Tahoma" w:eastAsia="Calibri" w:hAnsi="Tahoma" w:cs="Tahoma"/>
          <w:kern w:val="1"/>
          <w:sz w:val="24"/>
          <w:szCs w:val="24"/>
          <w:vertAlign w:val="superscript"/>
        </w:rPr>
        <w:footnoteReference w:id="18"/>
      </w:r>
      <w:r w:rsidRPr="000C03D2">
        <w:rPr>
          <w:rFonts w:ascii="Tahoma" w:eastAsia="Calibri" w:hAnsi="Tahoma" w:cs="Tahoma"/>
          <w:kern w:val="1"/>
          <w:sz w:val="24"/>
          <w:szCs w:val="24"/>
        </w:rPr>
        <w:t xml:space="preserve"> sumei </w:t>
      </w:r>
      <w:proofErr w:type="spellStart"/>
      <w:r w:rsidRPr="000C03D2">
        <w:rPr>
          <w:rFonts w:ascii="Tahoma" w:eastAsia="Calibri" w:hAnsi="Tahoma" w:cs="Tahoma"/>
          <w:kern w:val="1"/>
          <w:sz w:val="24"/>
          <w:szCs w:val="24"/>
        </w:rPr>
        <w:t>reţinute</w:t>
      </w:r>
      <w:proofErr w:type="spellEnd"/>
      <w:r w:rsidRPr="000C03D2">
        <w:rPr>
          <w:rFonts w:ascii="Tahoma" w:eastAsia="Calibri" w:hAnsi="Tahoma" w:cs="Tahoma"/>
          <w:kern w:val="1"/>
          <w:sz w:val="24"/>
          <w:szCs w:val="24"/>
        </w:rPr>
        <w:t xml:space="preserve"> cu titlul de CASS din veniturile din pensii (O.U.G. nr.  4/2023</w:t>
      </w:r>
      <w:r w:rsidRPr="000C03D2">
        <w:rPr>
          <w:rFonts w:ascii="Tahoma" w:eastAsia="Calibri" w:hAnsi="Tahoma" w:cs="Tahoma"/>
          <w:kern w:val="1"/>
          <w:sz w:val="24"/>
          <w:szCs w:val="24"/>
          <w:vertAlign w:val="superscript"/>
        </w:rPr>
        <w:footnoteReference w:id="19"/>
      </w:r>
      <w:r w:rsidRPr="000C03D2">
        <w:rPr>
          <w:rFonts w:ascii="Tahoma" w:eastAsia="Calibri" w:hAnsi="Tahoma" w:cs="Tahoma"/>
          <w:kern w:val="1"/>
          <w:sz w:val="24"/>
          <w:szCs w:val="24"/>
        </w:rPr>
        <w:t xml:space="preserve">). </w:t>
      </w:r>
    </w:p>
    <w:p w:rsidR="000C03D2" w:rsidRPr="000C03D2" w:rsidRDefault="000C03D2" w:rsidP="000C03D2">
      <w:pPr>
        <w:shd w:val="clear" w:color="auto" w:fill="FFFFFF" w:themeFill="background1"/>
        <w:suppressAutoHyphens/>
        <w:autoSpaceDE w:val="0"/>
        <w:autoSpaceDN w:val="0"/>
        <w:adjustRightInd w:val="0"/>
        <w:spacing w:after="120" w:line="276" w:lineRule="auto"/>
        <w:jc w:val="both"/>
        <w:rPr>
          <w:rFonts w:ascii="Tahoma" w:eastAsia="Calibri" w:hAnsi="Tahoma" w:cs="Tahoma"/>
          <w:kern w:val="1"/>
          <w:sz w:val="24"/>
          <w:szCs w:val="24"/>
        </w:rPr>
      </w:pPr>
      <w:r w:rsidRPr="000C03D2">
        <w:rPr>
          <w:rFonts w:ascii="Tahoma" w:eastAsia="Calibri" w:hAnsi="Tahoma" w:cs="Tahoma"/>
          <w:kern w:val="1"/>
          <w:sz w:val="24"/>
          <w:szCs w:val="24"/>
        </w:rPr>
        <w:t xml:space="preserve">Pe bugete, gradul de realizare a programului de încasări stabilit pentru trimestrul II al anului 2023, se prezintă astfel: bugetul asigurărilor sociale de stat (98,6%), bugetul fondului național unic de asigurări sociale de sănătate (95,4%), bugetul de stat (95,1%) și bugetul asigurărilor pentru șomaj (86,0%). </w:t>
      </w:r>
    </w:p>
    <w:p w:rsidR="000C03D2" w:rsidRPr="000C03D2" w:rsidRDefault="000C03D2" w:rsidP="000C03D2">
      <w:pPr>
        <w:shd w:val="clear" w:color="auto" w:fill="FFFFFF" w:themeFill="background1"/>
        <w:suppressAutoHyphens/>
        <w:autoSpaceDE w:val="0"/>
        <w:autoSpaceDN w:val="0"/>
        <w:adjustRightInd w:val="0"/>
        <w:spacing w:after="120" w:line="276" w:lineRule="auto"/>
        <w:jc w:val="both"/>
        <w:rPr>
          <w:rFonts w:ascii="Tahoma" w:eastAsia="Calibri" w:hAnsi="Tahoma" w:cs="Tahoma"/>
          <w:kern w:val="1"/>
          <w:sz w:val="24"/>
          <w:szCs w:val="24"/>
        </w:rPr>
      </w:pPr>
      <w:r w:rsidRPr="000C03D2">
        <w:rPr>
          <w:rFonts w:ascii="Tahoma" w:eastAsia="Calibri" w:hAnsi="Tahoma" w:cs="Tahoma"/>
          <w:kern w:val="1"/>
          <w:sz w:val="24"/>
          <w:szCs w:val="24"/>
        </w:rPr>
        <w:t>Comparativ cu aceeași perioadă a anului precedent, evoluția veniturilor din contribuții sociale, pe bugete componente, se prezintă astfel: bugetul asigurărilor sociale de stat (+15,7%), bugetul de stat (+12,5%), bugetul Fondului național unic de asigurări sociale de sănătate (+9,7%) și o scădere la bugetul asigurărilor pentru șomaj (-1,5%).</w:t>
      </w:r>
    </w:p>
    <w:p w:rsidR="00025F7D" w:rsidRDefault="00DD52A5" w:rsidP="00025F7D">
      <w:pPr>
        <w:pStyle w:val="ListParagraph"/>
        <w:spacing w:before="120" w:after="120" w:line="276" w:lineRule="auto"/>
        <w:ind w:left="0"/>
        <w:contextualSpacing w:val="0"/>
        <w:jc w:val="both"/>
        <w:rPr>
          <w:rFonts w:ascii="Tahoma" w:hAnsi="Tahoma" w:cs="Tahoma"/>
          <w:sz w:val="24"/>
          <w:szCs w:val="24"/>
        </w:rPr>
      </w:pPr>
      <w:r w:rsidRPr="00807147">
        <w:rPr>
          <w:rFonts w:ascii="Tahoma" w:hAnsi="Tahoma" w:cs="Tahoma"/>
          <w:b/>
          <w:sz w:val="24"/>
          <w:szCs w:val="24"/>
        </w:rPr>
        <w:t>Veniturile nefiscale</w:t>
      </w:r>
      <w:r w:rsidRPr="00807147">
        <w:rPr>
          <w:rFonts w:ascii="Tahoma" w:hAnsi="Tahoma" w:cs="Tahoma"/>
          <w:sz w:val="24"/>
          <w:szCs w:val="24"/>
        </w:rPr>
        <w:t xml:space="preserve"> au fost în sumă de </w:t>
      </w:r>
      <w:r w:rsidR="000C03D2">
        <w:rPr>
          <w:rFonts w:ascii="Tahoma" w:hAnsi="Tahoma" w:cs="Tahoma"/>
          <w:bCs/>
          <w:sz w:val="24"/>
          <w:szCs w:val="24"/>
        </w:rPr>
        <w:t>12,4</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Pr="00807147">
        <w:rPr>
          <w:rFonts w:ascii="Tahoma" w:hAnsi="Tahoma" w:cs="Tahoma"/>
          <w:sz w:val="24"/>
          <w:szCs w:val="24"/>
        </w:rPr>
        <w:t>(</w:t>
      </w:r>
      <w:r w:rsidR="006D1425" w:rsidRPr="00807147">
        <w:rPr>
          <w:rFonts w:ascii="Tahoma" w:hAnsi="Tahoma" w:cs="Tahoma"/>
          <w:sz w:val="24"/>
          <w:szCs w:val="24"/>
        </w:rPr>
        <w:t>0,</w:t>
      </w:r>
      <w:r w:rsidR="000C03D2">
        <w:rPr>
          <w:rFonts w:ascii="Tahoma" w:hAnsi="Tahoma" w:cs="Tahoma"/>
          <w:sz w:val="24"/>
          <w:szCs w:val="24"/>
        </w:rPr>
        <w:t>8</w:t>
      </w:r>
      <w:r w:rsidRPr="00807147">
        <w:rPr>
          <w:rFonts w:ascii="Tahoma" w:hAnsi="Tahoma" w:cs="Tahoma"/>
          <w:sz w:val="24"/>
          <w:szCs w:val="24"/>
        </w:rPr>
        <w:t>%</w:t>
      </w:r>
      <w:r w:rsidRPr="00807147">
        <w:rPr>
          <w:rFonts w:ascii="Tahoma" w:hAnsi="Tahoma" w:cs="Tahoma"/>
          <w:b/>
          <w:bCs/>
          <w:sz w:val="24"/>
          <w:szCs w:val="24"/>
        </w:rPr>
        <w:t xml:space="preserve"> </w:t>
      </w:r>
      <w:r w:rsidRPr="00807147">
        <w:rPr>
          <w:rFonts w:ascii="Tahoma" w:hAnsi="Tahoma" w:cs="Tahoma"/>
          <w:sz w:val="24"/>
          <w:szCs w:val="24"/>
        </w:rPr>
        <w:t xml:space="preserve">din PIB), gradul de realizare al programului trimestrial fiind de </w:t>
      </w:r>
      <w:r w:rsidR="000C03D2">
        <w:rPr>
          <w:rFonts w:ascii="Tahoma" w:hAnsi="Tahoma" w:cs="Tahoma"/>
          <w:sz w:val="24"/>
          <w:szCs w:val="24"/>
        </w:rPr>
        <w:t>87,7</w:t>
      </w:r>
      <w:r w:rsidRPr="00807147">
        <w:rPr>
          <w:rFonts w:ascii="Tahoma" w:hAnsi="Tahoma" w:cs="Tahoma"/>
          <w:sz w:val="24"/>
          <w:szCs w:val="24"/>
        </w:rPr>
        <w:t>%.</w:t>
      </w:r>
      <w:r w:rsidR="00006CCB" w:rsidRPr="00807147">
        <w:rPr>
          <w:rFonts w:ascii="Tahoma" w:hAnsi="Tahoma" w:cs="Tahoma"/>
          <w:sz w:val="24"/>
          <w:szCs w:val="24"/>
        </w:rPr>
        <w:t xml:space="preserve"> </w:t>
      </w:r>
    </w:p>
    <w:p w:rsidR="00F42FA1" w:rsidRPr="00F42FA1" w:rsidRDefault="00006CCB" w:rsidP="00F42FA1">
      <w:pPr>
        <w:pStyle w:val="ListParagraph"/>
        <w:spacing w:before="240" w:after="120" w:line="276" w:lineRule="auto"/>
        <w:ind w:left="0"/>
        <w:jc w:val="both"/>
        <w:rPr>
          <w:rFonts w:ascii="Tahoma" w:hAnsi="Tahoma" w:cs="Tahoma"/>
          <w:bCs/>
          <w:sz w:val="24"/>
          <w:szCs w:val="24"/>
        </w:rPr>
      </w:pPr>
      <w:r w:rsidRPr="00807147">
        <w:rPr>
          <w:rFonts w:ascii="Tahoma" w:hAnsi="Tahoma" w:cs="Tahoma"/>
          <w:sz w:val="24"/>
          <w:szCs w:val="24"/>
        </w:rPr>
        <w:t xml:space="preserve">Încasările la bugetul de stat au fost în sumă de </w:t>
      </w:r>
      <w:r w:rsidR="00F42FA1">
        <w:rPr>
          <w:rFonts w:ascii="Tahoma" w:hAnsi="Tahoma" w:cs="Tahoma"/>
          <w:sz w:val="24"/>
          <w:szCs w:val="24"/>
        </w:rPr>
        <w:t>7,7</w:t>
      </w:r>
      <w:r w:rsidRPr="00807147">
        <w:rPr>
          <w:rFonts w:ascii="Tahoma" w:hAnsi="Tahoma" w:cs="Tahoma"/>
          <w:sz w:val="24"/>
          <w:szCs w:val="24"/>
        </w:rPr>
        <w:t xml:space="preserve"> miliarde lei, </w:t>
      </w:r>
      <w:r w:rsidR="00F42FA1">
        <w:rPr>
          <w:rFonts w:ascii="Tahoma" w:hAnsi="Tahoma" w:cs="Tahoma"/>
          <w:bCs/>
          <w:sz w:val="24"/>
          <w:szCs w:val="24"/>
        </w:rPr>
        <w:t>ceea ce a determinat o</w:t>
      </w:r>
      <w:r w:rsidR="00F42FA1" w:rsidRPr="00F42FA1">
        <w:rPr>
          <w:rFonts w:ascii="Tahoma" w:hAnsi="Tahoma" w:cs="Tahoma"/>
          <w:bCs/>
          <w:sz w:val="24"/>
          <w:szCs w:val="24"/>
        </w:rPr>
        <w:t xml:space="preserve"> creștere a încasărilor în perioada analizată de 16,8% (+1,1 miliarde lei), comparativ cu aceeași perioadă a anului precedent</w:t>
      </w:r>
      <w:r w:rsidRPr="00807147">
        <w:rPr>
          <w:rFonts w:ascii="Tahoma" w:hAnsi="Tahoma" w:cs="Tahoma"/>
          <w:sz w:val="24"/>
          <w:szCs w:val="24"/>
        </w:rPr>
        <w:t>.</w:t>
      </w:r>
      <w:r w:rsidR="00F42FA1" w:rsidRPr="00F42FA1">
        <w:rPr>
          <w:rFonts w:eastAsia="SimSun" w:cstheme="minorHAnsi"/>
          <w:bCs/>
          <w:kern w:val="1"/>
          <w:sz w:val="24"/>
          <w:szCs w:val="24"/>
          <w:lang w:eastAsia="zh-CN"/>
        </w:rPr>
        <w:t xml:space="preserve"> </w:t>
      </w:r>
      <w:r w:rsidR="00F42FA1" w:rsidRPr="00F42FA1">
        <w:rPr>
          <w:rFonts w:ascii="Tahoma" w:hAnsi="Tahoma" w:cs="Tahoma"/>
          <w:bCs/>
          <w:sz w:val="24"/>
          <w:szCs w:val="24"/>
        </w:rPr>
        <w:t xml:space="preserve">În structură, vărsămintele din veniturile nete ale B.N.R. scad față de aceeași perioadă a anului precedent cu 0,7 miliarde lei, pe seama compensării vărsămintelor obligațiilor curente cu vărsămintele efectuate în anul 2022, ca urmare a scăderii rezultatelor financiare înregistrate la sfârșitul anului 2022. Veniturile din concesiuni și închirieri au scăzut cu 63,4% (-0,7 miliarde lei) în perioada analizată ca urmare a diminuării încasărilor </w:t>
      </w:r>
      <w:r w:rsidR="00F42FA1" w:rsidRPr="00F42FA1">
        <w:rPr>
          <w:rFonts w:ascii="Tahoma" w:hAnsi="Tahoma" w:cs="Tahoma"/>
          <w:bCs/>
          <w:sz w:val="24"/>
          <w:szCs w:val="24"/>
        </w:rPr>
        <w:lastRenderedPageBreak/>
        <w:t xml:space="preserve">din redevențe petroliere și miniere. Veniturile din dividende s-au majorat cu 29,2% (+1,1 miliarde lei) față de aceeași perioadă a anului precedent, iar gradul de realizare a programului semestrial este de 88,2% (-0,6 miliarde lei). </w:t>
      </w:r>
    </w:p>
    <w:p w:rsidR="00D870FD" w:rsidRPr="00807147" w:rsidRDefault="004E25FC" w:rsidP="007A0021">
      <w:pPr>
        <w:shd w:val="clear" w:color="auto" w:fill="FFFFFF"/>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Comparativ cu anul anterior încasările din venituri nefiscale </w:t>
      </w:r>
      <w:r w:rsidR="00006CCB" w:rsidRPr="00807147">
        <w:rPr>
          <w:rFonts w:ascii="Tahoma" w:hAnsi="Tahoma" w:cs="Tahoma"/>
          <w:sz w:val="24"/>
          <w:szCs w:val="24"/>
        </w:rPr>
        <w:t xml:space="preserve">au </w:t>
      </w:r>
      <w:r w:rsidR="000C03D2">
        <w:rPr>
          <w:rFonts w:ascii="Tahoma" w:hAnsi="Tahoma" w:cs="Tahoma"/>
          <w:sz w:val="24"/>
          <w:szCs w:val="24"/>
        </w:rPr>
        <w:t>scăzut</w:t>
      </w:r>
      <w:r w:rsidR="00006CCB" w:rsidRPr="00807147">
        <w:rPr>
          <w:rFonts w:ascii="Tahoma" w:hAnsi="Tahoma" w:cs="Tahoma"/>
          <w:sz w:val="24"/>
          <w:szCs w:val="24"/>
        </w:rPr>
        <w:t xml:space="preserve"> cu </w:t>
      </w:r>
      <w:r w:rsidR="000C03D2">
        <w:rPr>
          <w:rFonts w:ascii="Tahoma" w:hAnsi="Tahoma" w:cs="Tahoma"/>
          <w:sz w:val="24"/>
          <w:szCs w:val="24"/>
        </w:rPr>
        <w:t>2,8</w:t>
      </w:r>
      <w:r w:rsidR="00006CCB" w:rsidRPr="00807147">
        <w:rPr>
          <w:rFonts w:ascii="Tahoma" w:hAnsi="Tahoma" w:cs="Tahoma"/>
          <w:sz w:val="24"/>
          <w:szCs w:val="24"/>
        </w:rPr>
        <w:t>%</w:t>
      </w:r>
      <w:r w:rsidR="00C71C51">
        <w:rPr>
          <w:rFonts w:ascii="Tahoma" w:hAnsi="Tahoma" w:cs="Tahoma"/>
          <w:sz w:val="24"/>
          <w:szCs w:val="24"/>
        </w:rPr>
        <w:t xml:space="preserve"> </w:t>
      </w:r>
      <w:r w:rsidR="00006CCB" w:rsidRPr="00807147">
        <w:rPr>
          <w:rFonts w:ascii="Tahoma" w:hAnsi="Tahoma" w:cs="Tahoma"/>
          <w:sz w:val="24"/>
          <w:szCs w:val="24"/>
        </w:rPr>
        <w:t xml:space="preserve">în principal ca urmare a </w:t>
      </w:r>
      <w:r w:rsidR="00DD52A5" w:rsidRPr="00807147">
        <w:rPr>
          <w:rFonts w:ascii="Tahoma" w:hAnsi="Tahoma" w:cs="Tahoma"/>
          <w:sz w:val="24"/>
          <w:szCs w:val="24"/>
        </w:rPr>
        <w:t xml:space="preserve">evoluției încasărilor la </w:t>
      </w:r>
      <w:r w:rsidR="00006CCB" w:rsidRPr="00807147">
        <w:rPr>
          <w:rFonts w:ascii="Tahoma" w:hAnsi="Tahoma" w:cs="Tahoma"/>
          <w:sz w:val="24"/>
          <w:szCs w:val="24"/>
        </w:rPr>
        <w:t>bugetele instituțiilor/activităților finanțate integral sa</w:t>
      </w:r>
      <w:r w:rsidR="00F42FA1">
        <w:rPr>
          <w:rFonts w:ascii="Tahoma" w:hAnsi="Tahoma" w:cs="Tahoma"/>
          <w:sz w:val="24"/>
          <w:szCs w:val="24"/>
        </w:rPr>
        <w:t>u parțial din venituri proprii(-32,8</w:t>
      </w:r>
      <w:r w:rsidR="00006CCB" w:rsidRPr="00807147">
        <w:rPr>
          <w:rFonts w:ascii="Tahoma" w:hAnsi="Tahoma" w:cs="Tahoma"/>
          <w:sz w:val="24"/>
          <w:szCs w:val="24"/>
        </w:rPr>
        <w:t>%)</w:t>
      </w:r>
      <w:r w:rsidR="00C77B5C" w:rsidRPr="00807147">
        <w:rPr>
          <w:rFonts w:ascii="Tahoma" w:hAnsi="Tahoma" w:cs="Tahoma"/>
          <w:sz w:val="24"/>
          <w:szCs w:val="24"/>
        </w:rPr>
        <w:t>.</w:t>
      </w:r>
    </w:p>
    <w:p w:rsidR="00E15D34" w:rsidRPr="00807147" w:rsidRDefault="00DD52A5" w:rsidP="007A0021">
      <w:pPr>
        <w:pStyle w:val="NormalWeb"/>
        <w:spacing w:before="120" w:after="120"/>
        <w:ind w:firstLine="0"/>
        <w:rPr>
          <w:rFonts w:ascii="Tahoma" w:hAnsi="Tahoma" w:cs="Tahoma"/>
          <w:lang w:val="ro-RO" w:eastAsia="ro-RO"/>
        </w:rPr>
      </w:pPr>
      <w:r w:rsidRPr="00807147">
        <w:rPr>
          <w:rFonts w:ascii="Tahoma" w:hAnsi="Tahoma" w:cs="Tahoma"/>
          <w:b/>
          <w:bCs/>
          <w:lang w:val="ro-RO" w:eastAsia="ro-RO"/>
        </w:rPr>
        <w:t>Sumele primite de la Uniunea Europeană</w:t>
      </w:r>
      <w:r w:rsidRPr="00807147">
        <w:rPr>
          <w:rFonts w:ascii="Tahoma" w:hAnsi="Tahoma" w:cs="Tahoma"/>
          <w:lang w:val="ro-RO" w:eastAsia="ro-RO"/>
        </w:rPr>
        <w:t xml:space="preserve"> aferente proiectelor finanțate atât din cadrul financiar 2007-2013, din cadru financiar 2014-2020</w:t>
      </w:r>
      <w:r w:rsidR="00025F7D">
        <w:rPr>
          <w:rFonts w:ascii="Tahoma" w:hAnsi="Tahoma" w:cs="Tahoma"/>
          <w:lang w:val="ro-RO" w:eastAsia="ro-RO"/>
        </w:rPr>
        <w:t xml:space="preserve">, </w:t>
      </w:r>
      <w:r w:rsidR="00102D79" w:rsidRPr="00807147">
        <w:rPr>
          <w:rFonts w:ascii="Tahoma" w:hAnsi="Tahoma" w:cs="Tahoma"/>
          <w:lang w:val="ro-RO" w:eastAsia="ro-RO"/>
        </w:rPr>
        <w:t>sumele aferente</w:t>
      </w:r>
      <w:r w:rsidR="00102D79" w:rsidRPr="00807147">
        <w:rPr>
          <w:rFonts w:ascii="Tahoma" w:hAnsi="Tahoma" w:cs="Tahoma"/>
          <w:b/>
          <w:bCs/>
          <w:lang w:val="ro-RO" w:eastAsia="ro-RO"/>
        </w:rPr>
        <w:t xml:space="preserve"> </w:t>
      </w:r>
      <w:r w:rsidR="00102D79" w:rsidRPr="00807147">
        <w:rPr>
          <w:rFonts w:ascii="Tahoma" w:hAnsi="Tahoma" w:cs="Tahoma"/>
          <w:bCs/>
          <w:lang w:val="ro-RO" w:eastAsia="ro-RO"/>
        </w:rPr>
        <w:t>perioadei de programare a Uniunii Europene 2021-2027</w:t>
      </w:r>
      <w:r w:rsidRPr="00807147">
        <w:rPr>
          <w:rFonts w:ascii="Tahoma" w:hAnsi="Tahoma" w:cs="Tahoma"/>
          <w:lang w:val="ro-RO" w:eastAsia="ro-RO"/>
        </w:rPr>
        <w:t>,</w:t>
      </w:r>
      <w:r w:rsidR="00D870FD" w:rsidRPr="00807147">
        <w:rPr>
          <w:rFonts w:ascii="Tahoma" w:hAnsi="Tahoma" w:cs="Tahoma"/>
          <w:lang w:val="ro-RO" w:eastAsia="ro-RO"/>
        </w:rPr>
        <w:t xml:space="preserve"> </w:t>
      </w:r>
      <w:r w:rsidR="00006CCB" w:rsidRPr="00807147">
        <w:rPr>
          <w:rFonts w:ascii="Tahoma" w:hAnsi="Tahoma" w:cs="Tahoma"/>
          <w:lang w:val="ro-RO" w:eastAsia="ro-RO"/>
        </w:rPr>
        <w:t xml:space="preserve">cât și </w:t>
      </w:r>
      <w:r w:rsidR="00705D89" w:rsidRPr="00807147">
        <w:rPr>
          <w:rFonts w:ascii="Tahoma" w:hAnsi="Tahoma" w:cs="Tahoma"/>
          <w:lang w:val="ro-RO" w:eastAsia="ro-RO"/>
        </w:rPr>
        <w:t xml:space="preserve">cele </w:t>
      </w:r>
      <w:r w:rsidR="00006CCB" w:rsidRPr="00807147">
        <w:rPr>
          <w:rFonts w:ascii="Tahoma" w:hAnsi="Tahoma" w:cs="Tahoma"/>
          <w:lang w:val="ro-RO" w:eastAsia="ro-RO"/>
        </w:rPr>
        <w:t xml:space="preserve">aferente asistenței financiare nerambursabile alocate PNRR </w:t>
      </w:r>
      <w:r w:rsidRPr="00807147">
        <w:rPr>
          <w:rFonts w:ascii="Tahoma" w:hAnsi="Tahoma" w:cs="Tahoma"/>
          <w:lang w:val="ro-RO" w:eastAsia="ro-RO"/>
        </w:rPr>
        <w:t>încasate în primul trimestru al anului 202</w:t>
      </w:r>
      <w:r w:rsidR="00006CCB" w:rsidRPr="00807147">
        <w:rPr>
          <w:rFonts w:ascii="Tahoma" w:hAnsi="Tahoma" w:cs="Tahoma"/>
          <w:lang w:val="ro-RO" w:eastAsia="ro-RO"/>
        </w:rPr>
        <w:t>3</w:t>
      </w:r>
      <w:r w:rsidRPr="00807147">
        <w:rPr>
          <w:rFonts w:ascii="Tahoma" w:hAnsi="Tahoma" w:cs="Tahoma"/>
          <w:lang w:val="ro-RO" w:eastAsia="ro-RO"/>
        </w:rPr>
        <w:t xml:space="preserve">, au </w:t>
      </w:r>
      <w:r w:rsidR="00006CCB" w:rsidRPr="00807147">
        <w:rPr>
          <w:rFonts w:ascii="Tahoma" w:hAnsi="Tahoma" w:cs="Tahoma"/>
          <w:lang w:val="ro-RO" w:eastAsia="ro-RO"/>
        </w:rPr>
        <w:t xml:space="preserve">fost în sumă de </w:t>
      </w:r>
      <w:r w:rsidR="00025F7D">
        <w:rPr>
          <w:rFonts w:ascii="Tahoma" w:hAnsi="Tahoma" w:cs="Tahoma"/>
          <w:lang w:val="ro-RO" w:eastAsia="ro-RO"/>
        </w:rPr>
        <w:t>12,3</w:t>
      </w:r>
      <w:r w:rsidR="00006CCB" w:rsidRPr="00807147">
        <w:rPr>
          <w:rFonts w:ascii="Tahoma" w:hAnsi="Tahoma" w:cs="Tahoma"/>
          <w:lang w:val="ro-RO" w:eastAsia="ro-RO"/>
        </w:rPr>
        <w:t xml:space="preserve"> miliarde lei (</w:t>
      </w:r>
      <w:r w:rsidRPr="00807147">
        <w:rPr>
          <w:rFonts w:ascii="Tahoma" w:hAnsi="Tahoma" w:cs="Tahoma"/>
          <w:lang w:val="ro-RO" w:eastAsia="ro-RO"/>
        </w:rPr>
        <w:t>0,</w:t>
      </w:r>
      <w:r w:rsidR="00025F7D">
        <w:rPr>
          <w:rFonts w:ascii="Tahoma" w:hAnsi="Tahoma" w:cs="Tahoma"/>
          <w:lang w:val="ro-RO" w:eastAsia="ro-RO"/>
        </w:rPr>
        <w:t>8</w:t>
      </w:r>
      <w:r w:rsidRPr="00807147">
        <w:rPr>
          <w:rFonts w:ascii="Tahoma" w:hAnsi="Tahoma" w:cs="Tahoma"/>
          <w:lang w:val="ro-RO" w:eastAsia="ro-RO"/>
        </w:rPr>
        <w:t>% din PIB</w:t>
      </w:r>
      <w:r w:rsidR="00006CCB" w:rsidRPr="00807147">
        <w:rPr>
          <w:rFonts w:ascii="Tahoma" w:hAnsi="Tahoma" w:cs="Tahoma"/>
          <w:lang w:val="ro-RO" w:eastAsia="ro-RO"/>
        </w:rPr>
        <w:t>)</w:t>
      </w:r>
      <w:r w:rsidR="0097352C" w:rsidRPr="00807147">
        <w:rPr>
          <w:rFonts w:ascii="Tahoma" w:hAnsi="Tahoma" w:cs="Tahoma"/>
          <w:lang w:val="ro-RO" w:eastAsia="ro-RO"/>
        </w:rPr>
        <w:t>, corespunzător</w:t>
      </w:r>
      <w:r w:rsidRPr="00807147">
        <w:rPr>
          <w:rFonts w:ascii="Tahoma" w:hAnsi="Tahoma" w:cs="Tahoma"/>
          <w:lang w:val="ro-RO" w:eastAsia="ro-RO"/>
        </w:rPr>
        <w:t xml:space="preserve"> un</w:t>
      </w:r>
      <w:r w:rsidR="0097352C" w:rsidRPr="00807147">
        <w:rPr>
          <w:rFonts w:ascii="Tahoma" w:hAnsi="Tahoma" w:cs="Tahoma"/>
          <w:lang w:val="ro-RO" w:eastAsia="ro-RO"/>
        </w:rPr>
        <w:t>ui</w:t>
      </w:r>
      <w:r w:rsidRPr="00807147">
        <w:rPr>
          <w:rFonts w:ascii="Tahoma" w:hAnsi="Tahoma" w:cs="Tahoma"/>
          <w:lang w:val="ro-RO" w:eastAsia="ro-RO"/>
        </w:rPr>
        <w:t xml:space="preserve"> grad de realizare</w:t>
      </w:r>
      <w:r w:rsidR="00E001D0" w:rsidRPr="00807147">
        <w:rPr>
          <w:rFonts w:ascii="Tahoma" w:hAnsi="Tahoma" w:cs="Tahoma"/>
          <w:lang w:val="ro-RO" w:eastAsia="ro-RO"/>
        </w:rPr>
        <w:t xml:space="preserve"> de </w:t>
      </w:r>
      <w:r w:rsidR="00025F7D">
        <w:rPr>
          <w:rFonts w:ascii="Tahoma" w:hAnsi="Tahoma" w:cs="Tahoma"/>
          <w:lang w:val="ro-RO" w:eastAsia="ro-RO"/>
        </w:rPr>
        <w:t>73,8</w:t>
      </w:r>
      <w:r w:rsidR="00E001D0" w:rsidRPr="00807147">
        <w:rPr>
          <w:rFonts w:ascii="Tahoma" w:hAnsi="Tahoma" w:cs="Tahoma"/>
          <w:lang w:val="ro-RO" w:eastAsia="ro-RO"/>
        </w:rPr>
        <w:t>%</w:t>
      </w:r>
      <w:r w:rsidRPr="00807147">
        <w:rPr>
          <w:rFonts w:ascii="Tahoma" w:hAnsi="Tahoma" w:cs="Tahoma"/>
          <w:lang w:val="ro-RO" w:eastAsia="ro-RO"/>
        </w:rPr>
        <w:t xml:space="preserve"> </w:t>
      </w:r>
      <w:r w:rsidR="0079445D" w:rsidRPr="00807147">
        <w:rPr>
          <w:rFonts w:ascii="Tahoma" w:hAnsi="Tahoma" w:cs="Tahoma"/>
          <w:lang w:val="ro-RO" w:eastAsia="ro-RO"/>
        </w:rPr>
        <w:t>a</w:t>
      </w:r>
      <w:r w:rsidRPr="00807147">
        <w:rPr>
          <w:rFonts w:ascii="Tahoma" w:hAnsi="Tahoma" w:cs="Tahoma"/>
          <w:lang w:val="ro-RO" w:eastAsia="ro-RO"/>
        </w:rPr>
        <w:t xml:space="preserve"> programului trimestrial</w:t>
      </w:r>
      <w:r w:rsidR="00E001D0" w:rsidRPr="00807147">
        <w:rPr>
          <w:rFonts w:ascii="Tahoma" w:hAnsi="Tahoma" w:cs="Tahoma"/>
          <w:lang w:val="ro-RO" w:eastAsia="ro-RO"/>
        </w:rPr>
        <w:t>.</w:t>
      </w:r>
      <w:r w:rsidR="00102D79" w:rsidRPr="00807147">
        <w:rPr>
          <w:rFonts w:ascii="Tahoma" w:hAnsi="Tahoma" w:cs="Tahoma"/>
          <w:lang w:val="ro-RO" w:eastAsia="ro-RO"/>
        </w:rPr>
        <w:t xml:space="preserve"> </w:t>
      </w:r>
    </w:p>
    <w:p w:rsidR="009270AB" w:rsidRPr="00807147" w:rsidRDefault="009270AB" w:rsidP="007A0021">
      <w:pPr>
        <w:spacing w:after="120" w:line="276" w:lineRule="auto"/>
        <w:jc w:val="both"/>
        <w:rPr>
          <w:rFonts w:ascii="Tahoma" w:hAnsi="Tahoma" w:cs="Tahoma"/>
          <w:sz w:val="24"/>
          <w:szCs w:val="24"/>
          <w:lang w:eastAsia="ro-RO"/>
        </w:rPr>
      </w:pPr>
      <w:r w:rsidRPr="00807147">
        <w:rPr>
          <w:rFonts w:ascii="Tahoma" w:hAnsi="Tahoma" w:cs="Tahoma"/>
          <w:sz w:val="24"/>
          <w:szCs w:val="24"/>
          <w:lang w:eastAsia="ro-RO"/>
        </w:rPr>
        <w:t xml:space="preserve">Comparativ cu trimestrul </w:t>
      </w:r>
      <w:r w:rsidR="0062653C">
        <w:rPr>
          <w:rFonts w:ascii="Tahoma" w:hAnsi="Tahoma" w:cs="Tahoma"/>
          <w:sz w:val="24"/>
          <w:szCs w:val="24"/>
          <w:lang w:eastAsia="ro-RO"/>
        </w:rPr>
        <w:t xml:space="preserve">II </w:t>
      </w:r>
      <w:r w:rsidRPr="00807147">
        <w:rPr>
          <w:rFonts w:ascii="Tahoma" w:hAnsi="Tahoma" w:cs="Tahoma"/>
          <w:sz w:val="24"/>
          <w:szCs w:val="24"/>
          <w:lang w:eastAsia="ro-RO"/>
        </w:rPr>
        <w:t xml:space="preserve">al anului precedent sumele nerambursabile primite de la </w:t>
      </w:r>
      <w:r w:rsidRPr="00807147">
        <w:rPr>
          <w:rFonts w:ascii="Tahoma" w:hAnsi="Tahoma" w:cs="Tahoma"/>
          <w:bCs/>
          <w:sz w:val="24"/>
          <w:szCs w:val="24"/>
          <w:lang w:eastAsia="ro-RO"/>
        </w:rPr>
        <w:t>Uniunea Europeană</w:t>
      </w:r>
      <w:r w:rsidRPr="00807147">
        <w:rPr>
          <w:rFonts w:ascii="Tahoma" w:hAnsi="Tahoma" w:cs="Tahoma"/>
          <w:sz w:val="24"/>
          <w:szCs w:val="24"/>
          <w:lang w:eastAsia="ro-RO"/>
        </w:rPr>
        <w:t xml:space="preserve"> au înregistrat o creștere cu </w:t>
      </w:r>
      <w:r w:rsidR="00025F7D">
        <w:rPr>
          <w:rFonts w:ascii="Tahoma" w:hAnsi="Tahoma" w:cs="Tahoma"/>
          <w:sz w:val="24"/>
          <w:szCs w:val="24"/>
          <w:lang w:eastAsia="ro-RO"/>
        </w:rPr>
        <w:t>90,0</w:t>
      </w:r>
      <w:r w:rsidR="002B0928" w:rsidRPr="00807147">
        <w:rPr>
          <w:rFonts w:ascii="Tahoma" w:hAnsi="Tahoma" w:cs="Tahoma"/>
          <w:sz w:val="24"/>
          <w:szCs w:val="24"/>
          <w:lang w:eastAsia="ro-RO"/>
        </w:rPr>
        <w:t>%</w:t>
      </w:r>
      <w:r w:rsidRPr="00807147">
        <w:rPr>
          <w:rFonts w:ascii="Tahoma" w:hAnsi="Tahoma" w:cs="Tahoma"/>
          <w:sz w:val="24"/>
          <w:szCs w:val="24"/>
          <w:lang w:eastAsia="ro-RO"/>
        </w:rPr>
        <w:t xml:space="preserve"> (+</w:t>
      </w:r>
      <w:r w:rsidR="0062653C">
        <w:rPr>
          <w:rFonts w:ascii="Tahoma" w:hAnsi="Tahoma" w:cs="Tahoma"/>
          <w:sz w:val="24"/>
          <w:szCs w:val="24"/>
          <w:lang w:eastAsia="ro-RO"/>
        </w:rPr>
        <w:t>5,8</w:t>
      </w:r>
      <w:r w:rsidR="002B0928" w:rsidRPr="00807147">
        <w:rPr>
          <w:rFonts w:ascii="Tahoma" w:hAnsi="Tahoma" w:cs="Tahoma"/>
          <w:sz w:val="24"/>
          <w:szCs w:val="24"/>
          <w:lang w:eastAsia="ro-RO"/>
        </w:rPr>
        <w:t xml:space="preserve"> miliarde lei</w:t>
      </w:r>
      <w:r w:rsidRPr="00807147">
        <w:rPr>
          <w:rFonts w:ascii="Tahoma" w:hAnsi="Tahoma" w:cs="Tahoma"/>
          <w:sz w:val="24"/>
          <w:szCs w:val="24"/>
          <w:lang w:eastAsia="ro-RO"/>
        </w:rPr>
        <w:t>)</w:t>
      </w:r>
      <w:r w:rsidR="002B0928" w:rsidRPr="00807147">
        <w:rPr>
          <w:rFonts w:ascii="Tahoma" w:hAnsi="Tahoma" w:cs="Tahoma"/>
          <w:sz w:val="24"/>
          <w:szCs w:val="24"/>
          <w:lang w:eastAsia="ro-RO"/>
        </w:rPr>
        <w:t>.</w:t>
      </w:r>
      <w:r w:rsidRPr="00807147">
        <w:rPr>
          <w:rFonts w:ascii="Tahoma" w:hAnsi="Tahoma" w:cs="Tahoma"/>
          <w:sz w:val="24"/>
          <w:szCs w:val="24"/>
          <w:lang w:eastAsia="ro-RO"/>
        </w:rPr>
        <w:t xml:space="preserve"> </w:t>
      </w:r>
    </w:p>
    <w:p w:rsidR="00E15D34" w:rsidRPr="00807147" w:rsidRDefault="00E15D34">
      <w:pPr>
        <w:rPr>
          <w:rFonts w:ascii="Tahoma" w:eastAsia="Times New Roman" w:hAnsi="Tahoma" w:cs="Tahoma"/>
          <w:color w:val="000000"/>
          <w:sz w:val="24"/>
          <w:szCs w:val="24"/>
          <w:lang w:eastAsia="ro-RO"/>
        </w:rPr>
      </w:pPr>
      <w:r w:rsidRPr="00807147">
        <w:rPr>
          <w:rFonts w:ascii="Tahoma" w:hAnsi="Tahoma" w:cs="Tahoma"/>
          <w:lang w:eastAsia="ro-RO"/>
        </w:rPr>
        <w:br w:type="page"/>
      </w:r>
    </w:p>
    <w:p w:rsidR="007D0985" w:rsidRPr="00807147"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CHELTUIELILE bugetului general consolidat</w:t>
      </w:r>
    </w:p>
    <w:p w:rsidR="007D0985" w:rsidRPr="00807147" w:rsidRDefault="00950B7A" w:rsidP="00660150">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Cheltuielile bugetului general consolidat</w:t>
      </w:r>
      <w:r w:rsidR="003C4703" w:rsidRPr="00807147">
        <w:rPr>
          <w:rFonts w:ascii="Tahoma" w:hAnsi="Tahoma" w:cs="Tahoma"/>
          <w:sz w:val="24"/>
          <w:szCs w:val="24"/>
        </w:rPr>
        <w:t xml:space="preserve"> </w:t>
      </w:r>
      <w:r w:rsidR="000913C6" w:rsidRPr="00807147">
        <w:rPr>
          <w:rFonts w:ascii="Tahoma" w:hAnsi="Tahoma" w:cs="Tahoma"/>
          <w:sz w:val="24"/>
          <w:szCs w:val="24"/>
        </w:rPr>
        <w:t xml:space="preserve">în perioada analizată </w:t>
      </w:r>
      <w:r w:rsidR="003C4703" w:rsidRPr="00807147">
        <w:rPr>
          <w:rFonts w:ascii="Tahoma" w:hAnsi="Tahoma" w:cs="Tahoma"/>
          <w:sz w:val="24"/>
          <w:szCs w:val="24"/>
        </w:rPr>
        <w:t xml:space="preserve">au fost în sumă de </w:t>
      </w:r>
      <w:r w:rsidR="00EA5277">
        <w:rPr>
          <w:rFonts w:ascii="Tahoma" w:hAnsi="Tahoma" w:cs="Tahoma"/>
          <w:sz w:val="24"/>
          <w:szCs w:val="24"/>
        </w:rPr>
        <w:t>143,04</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au reprezentat </w:t>
      </w:r>
      <w:r w:rsidR="00EA5277">
        <w:rPr>
          <w:rFonts w:ascii="Tahoma" w:hAnsi="Tahoma" w:cs="Tahoma"/>
          <w:sz w:val="24"/>
          <w:szCs w:val="24"/>
        </w:rPr>
        <w:t>9,0</w:t>
      </w:r>
      <w:r w:rsidRPr="00807147">
        <w:rPr>
          <w:rFonts w:ascii="Tahoma" w:hAnsi="Tahoma" w:cs="Tahoma"/>
          <w:sz w:val="24"/>
          <w:szCs w:val="24"/>
        </w:rPr>
        <w:t xml:space="preserve">% ca pondere în PIB și s-au efectuat în proporție de </w:t>
      </w:r>
      <w:r w:rsidR="00EA5277">
        <w:rPr>
          <w:rFonts w:ascii="Tahoma" w:hAnsi="Tahoma" w:cs="Tahoma"/>
          <w:sz w:val="24"/>
          <w:szCs w:val="24"/>
        </w:rPr>
        <w:t>92,8</w:t>
      </w:r>
      <w:r w:rsidRPr="00807147">
        <w:rPr>
          <w:rFonts w:ascii="Tahoma" w:hAnsi="Tahoma" w:cs="Tahoma"/>
          <w:sz w:val="24"/>
          <w:szCs w:val="24"/>
        </w:rPr>
        <w:t>% comparativ cu programul pentru trimestrul I</w:t>
      </w:r>
      <w:r w:rsidR="00EA5277">
        <w:rPr>
          <w:rFonts w:ascii="Tahoma" w:hAnsi="Tahoma" w:cs="Tahoma"/>
          <w:sz w:val="24"/>
          <w:szCs w:val="24"/>
        </w:rPr>
        <w:t>I</w:t>
      </w:r>
      <w:r w:rsidRPr="00807147">
        <w:rPr>
          <w:rFonts w:ascii="Tahoma" w:hAnsi="Tahoma" w:cs="Tahoma"/>
          <w:sz w:val="24"/>
          <w:szCs w:val="24"/>
        </w:rPr>
        <w:t xml:space="preserve"> 202</w:t>
      </w:r>
      <w:r w:rsidR="000913C6" w:rsidRPr="00807147">
        <w:rPr>
          <w:rFonts w:ascii="Tahoma" w:hAnsi="Tahoma" w:cs="Tahoma"/>
          <w:sz w:val="24"/>
          <w:szCs w:val="24"/>
        </w:rPr>
        <w:t>3</w:t>
      </w:r>
      <w:r w:rsidRPr="00807147">
        <w:rPr>
          <w:rFonts w:ascii="Tahoma" w:hAnsi="Tahoma" w:cs="Tahoma"/>
          <w:sz w:val="24"/>
          <w:szCs w:val="24"/>
        </w:rPr>
        <w:t>.</w:t>
      </w:r>
    </w:p>
    <w:p w:rsidR="00B10206" w:rsidRPr="00807147" w:rsidRDefault="00B10206" w:rsidP="00660150">
      <w:pPr>
        <w:tabs>
          <w:tab w:val="left" w:pos="567"/>
        </w:tabs>
        <w:spacing w:after="0" w:line="276" w:lineRule="auto"/>
        <w:ind w:right="6"/>
        <w:jc w:val="both"/>
        <w:rPr>
          <w:rFonts w:ascii="Tahoma" w:hAnsi="Tahoma" w:cs="Tahoma"/>
          <w:sz w:val="24"/>
          <w:szCs w:val="24"/>
        </w:rPr>
      </w:pPr>
      <w:r w:rsidRPr="00807147">
        <w:rPr>
          <w:rFonts w:ascii="Tahoma" w:hAnsi="Tahoma" w:cs="Tahoma"/>
          <w:sz w:val="24"/>
          <w:szCs w:val="24"/>
        </w:rPr>
        <w:t xml:space="preserve">Față de nivelul înregistrat în </w:t>
      </w:r>
      <w:r w:rsidR="002841AF">
        <w:rPr>
          <w:rFonts w:ascii="Tahoma" w:hAnsi="Tahoma" w:cs="Tahoma"/>
          <w:sz w:val="24"/>
          <w:szCs w:val="24"/>
        </w:rPr>
        <w:t>al doilea</w:t>
      </w:r>
      <w:r w:rsidRPr="00807147">
        <w:rPr>
          <w:rFonts w:ascii="Tahoma" w:hAnsi="Tahoma" w:cs="Tahoma"/>
          <w:sz w:val="24"/>
          <w:szCs w:val="24"/>
        </w:rPr>
        <w:t xml:space="preserve"> trimestru al anului 20</w:t>
      </w:r>
      <w:r w:rsidR="004F33F6" w:rsidRPr="00807147">
        <w:rPr>
          <w:rFonts w:ascii="Tahoma" w:hAnsi="Tahoma" w:cs="Tahoma"/>
          <w:sz w:val="24"/>
          <w:szCs w:val="24"/>
        </w:rPr>
        <w:t>2</w:t>
      </w:r>
      <w:r w:rsidR="000913C6" w:rsidRPr="00807147">
        <w:rPr>
          <w:rFonts w:ascii="Tahoma" w:hAnsi="Tahoma" w:cs="Tahoma"/>
          <w:sz w:val="24"/>
          <w:szCs w:val="24"/>
        </w:rPr>
        <w:t>2</w:t>
      </w:r>
      <w:r w:rsidRPr="00807147">
        <w:rPr>
          <w:rFonts w:ascii="Tahoma" w:hAnsi="Tahoma" w:cs="Tahoma"/>
          <w:sz w:val="24"/>
          <w:szCs w:val="24"/>
        </w:rPr>
        <w:t xml:space="preserve">, cheltuielile bugetare au fost mai mari cu </w:t>
      </w:r>
      <w:r w:rsidR="002841AF">
        <w:rPr>
          <w:rFonts w:ascii="Tahoma" w:hAnsi="Tahoma" w:cs="Tahoma"/>
          <w:sz w:val="24"/>
          <w:szCs w:val="24"/>
        </w:rPr>
        <w:t>18,8</w:t>
      </w:r>
      <w:r w:rsidRPr="00807147">
        <w:rPr>
          <w:rFonts w:ascii="Tahoma" w:hAnsi="Tahoma" w:cs="Tahoma"/>
          <w:sz w:val="24"/>
          <w:szCs w:val="24"/>
        </w:rPr>
        <w:t>%.</w:t>
      </w:r>
    </w:p>
    <w:p w:rsidR="00B10206" w:rsidRPr="00807147" w:rsidRDefault="00B10206" w:rsidP="00B10206">
      <w:pPr>
        <w:tabs>
          <w:tab w:val="left" w:pos="567"/>
        </w:tabs>
        <w:spacing w:after="0"/>
        <w:ind w:right="6" w:firstLine="567"/>
        <w:jc w:val="both"/>
        <w:rPr>
          <w:rFonts w:ascii="Tahoma" w:hAnsi="Tahoma" w:cs="Tahoma"/>
          <w:sz w:val="24"/>
          <w:szCs w:val="24"/>
        </w:rPr>
      </w:pPr>
    </w:p>
    <w:p w:rsidR="00B10206" w:rsidRPr="00807147" w:rsidRDefault="002841AF" w:rsidP="00B10206">
      <w:pPr>
        <w:tabs>
          <w:tab w:val="left" w:pos="567"/>
        </w:tabs>
        <w:ind w:right="6"/>
        <w:jc w:val="both"/>
        <w:rPr>
          <w:rFonts w:ascii="Tahoma" w:hAnsi="Tahoma" w:cs="Tahoma"/>
          <w:sz w:val="24"/>
          <w:szCs w:val="24"/>
        </w:rPr>
      </w:pPr>
      <w:r>
        <w:rPr>
          <w:rFonts w:ascii="Tahoma" w:hAnsi="Tahoma" w:cs="Tahoma"/>
          <w:noProof/>
          <w:sz w:val="24"/>
          <w:szCs w:val="24"/>
        </w:rPr>
        <w:object w:dxaOrig="9360" w:dyaOrig="5265">
          <v:shape id="_x0000_i1028" type="#_x0000_t75" style="width:495pt;height:239.25pt" o:ole="">
            <v:imagedata r:id="rId14" o:title=""/>
          </v:shape>
          <o:OLEObject Type="Link" ProgID="Excel.Sheet.12" ShapeID="_x0000_i1028" DrawAspect="Content" r:id="rId15" UpdateMode="Always">
            <o:LinkType>EnhancedMetaFile</o:LinkType>
            <o:LockedField>false</o:LockedField>
          </o:OLEObject>
        </w:object>
      </w:r>
    </w:p>
    <w:p w:rsidR="00BA678C" w:rsidRPr="00807147" w:rsidRDefault="00BA678C" w:rsidP="00620B19">
      <w:pPr>
        <w:spacing w:after="0"/>
        <w:jc w:val="both"/>
        <w:rPr>
          <w:rFonts w:ascii="Tahoma" w:hAnsi="Tahoma" w:cs="Tahoma"/>
          <w:b/>
          <w:i/>
          <w:sz w:val="24"/>
          <w:szCs w:val="24"/>
        </w:rPr>
      </w:pPr>
    </w:p>
    <w:p w:rsidR="00024773" w:rsidRPr="00807147" w:rsidRDefault="00B10206" w:rsidP="00753D9F">
      <w:pPr>
        <w:spacing w:after="120" w:line="276" w:lineRule="auto"/>
        <w:jc w:val="both"/>
        <w:rPr>
          <w:rFonts w:ascii="Tahoma" w:hAnsi="Tahoma" w:cs="Tahoma"/>
          <w:sz w:val="24"/>
          <w:szCs w:val="24"/>
        </w:rPr>
      </w:pPr>
      <w:r w:rsidRPr="00807147">
        <w:rPr>
          <w:rFonts w:ascii="Tahoma" w:hAnsi="Tahoma" w:cs="Tahoma"/>
          <w:b/>
          <w:sz w:val="24"/>
          <w:szCs w:val="24"/>
        </w:rPr>
        <w:t>Cheltuielile de personal</w:t>
      </w:r>
      <w:r w:rsidRPr="00807147">
        <w:rPr>
          <w:rFonts w:ascii="Tahoma" w:hAnsi="Tahoma" w:cs="Tahoma"/>
          <w:sz w:val="24"/>
          <w:szCs w:val="24"/>
        </w:rPr>
        <w:t>,</w:t>
      </w:r>
      <w:r w:rsidRPr="00807147">
        <w:rPr>
          <w:rFonts w:ascii="Tahoma" w:hAnsi="Tahoma" w:cs="Tahoma"/>
          <w:color w:val="C00000"/>
          <w:sz w:val="24"/>
          <w:szCs w:val="24"/>
        </w:rPr>
        <w:t xml:space="preserve"> </w:t>
      </w:r>
      <w:r w:rsidRPr="00807147">
        <w:rPr>
          <w:rFonts w:ascii="Tahoma" w:hAnsi="Tahoma" w:cs="Tahoma"/>
          <w:sz w:val="24"/>
          <w:szCs w:val="24"/>
        </w:rPr>
        <w:t>prezentate detaliat în Anexele n</w:t>
      </w:r>
      <w:r w:rsidR="003C4703" w:rsidRPr="00807147">
        <w:rPr>
          <w:rFonts w:ascii="Tahoma" w:hAnsi="Tahoma" w:cs="Tahoma"/>
          <w:sz w:val="24"/>
          <w:szCs w:val="24"/>
        </w:rPr>
        <w:t xml:space="preserve">r.3 </w:t>
      </w:r>
      <w:r w:rsidR="005B36B4" w:rsidRPr="00807147">
        <w:rPr>
          <w:rFonts w:ascii="Tahoma" w:hAnsi="Tahoma" w:cs="Tahoma"/>
          <w:sz w:val="24"/>
          <w:szCs w:val="24"/>
        </w:rPr>
        <w:t>și</w:t>
      </w:r>
      <w:r w:rsidR="003C4703" w:rsidRPr="00807147">
        <w:rPr>
          <w:rFonts w:ascii="Tahoma" w:hAnsi="Tahoma" w:cs="Tahoma"/>
          <w:sz w:val="24"/>
          <w:szCs w:val="24"/>
        </w:rPr>
        <w:t xml:space="preserve"> 4 au fost în sumă de </w:t>
      </w:r>
      <w:r w:rsidR="002841AF">
        <w:rPr>
          <w:rFonts w:ascii="Tahoma" w:hAnsi="Tahoma" w:cs="Tahoma"/>
          <w:sz w:val="24"/>
          <w:szCs w:val="24"/>
        </w:rPr>
        <w:t>32</w:t>
      </w:r>
      <w:r w:rsidR="0062653C">
        <w:rPr>
          <w:rFonts w:ascii="Tahoma" w:hAnsi="Tahoma" w:cs="Tahoma"/>
          <w:sz w:val="24"/>
          <w:szCs w:val="24"/>
        </w:rPr>
        <w:t>,5</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și s-au efectuat în proporție de </w:t>
      </w:r>
      <w:r w:rsidR="002841AF">
        <w:rPr>
          <w:rFonts w:ascii="Tahoma" w:hAnsi="Tahoma" w:cs="Tahoma"/>
          <w:sz w:val="24"/>
          <w:szCs w:val="24"/>
        </w:rPr>
        <w:t>97,1</w:t>
      </w:r>
      <w:r w:rsidRPr="00807147">
        <w:rPr>
          <w:rFonts w:ascii="Tahoma" w:hAnsi="Tahoma" w:cs="Tahoma"/>
          <w:sz w:val="24"/>
          <w:szCs w:val="24"/>
        </w:rPr>
        <w:t>% față de nivelul estimat a se efectua în trimestrul I</w:t>
      </w:r>
      <w:r w:rsidR="002841AF">
        <w:rPr>
          <w:rFonts w:ascii="Tahoma" w:hAnsi="Tahoma" w:cs="Tahoma"/>
          <w:sz w:val="24"/>
          <w:szCs w:val="24"/>
        </w:rPr>
        <w:t>I</w:t>
      </w:r>
      <w:r w:rsidRPr="00807147">
        <w:rPr>
          <w:rFonts w:ascii="Tahoma" w:hAnsi="Tahoma" w:cs="Tahoma"/>
          <w:sz w:val="24"/>
          <w:szCs w:val="24"/>
        </w:rPr>
        <w:t xml:space="preserve"> 202</w:t>
      </w:r>
      <w:r w:rsidR="000913C6" w:rsidRPr="00807147">
        <w:rPr>
          <w:rFonts w:ascii="Tahoma" w:hAnsi="Tahoma" w:cs="Tahoma"/>
          <w:sz w:val="24"/>
          <w:szCs w:val="24"/>
        </w:rPr>
        <w:t>3</w:t>
      </w:r>
      <w:r w:rsidRPr="00807147">
        <w:rPr>
          <w:rFonts w:ascii="Tahoma" w:hAnsi="Tahoma" w:cs="Tahoma"/>
          <w:sz w:val="24"/>
          <w:szCs w:val="24"/>
        </w:rPr>
        <w:t xml:space="preserve">. </w:t>
      </w:r>
      <w:r w:rsidR="00024773" w:rsidRPr="00807147">
        <w:rPr>
          <w:rFonts w:ascii="Tahoma" w:hAnsi="Tahoma" w:cs="Tahoma"/>
          <w:sz w:val="24"/>
          <w:szCs w:val="24"/>
        </w:rPr>
        <w:t xml:space="preserve">Exprimate ca pondere în PIB, cheltuielile de personal reprezintă un nivel de </w:t>
      </w:r>
      <w:r w:rsidR="002841AF">
        <w:rPr>
          <w:rFonts w:ascii="Tahoma" w:hAnsi="Tahoma" w:cs="Tahoma"/>
          <w:sz w:val="24"/>
          <w:szCs w:val="24"/>
        </w:rPr>
        <w:t>2,0</w:t>
      </w:r>
      <w:r w:rsidR="00024773" w:rsidRPr="00807147">
        <w:rPr>
          <w:rFonts w:ascii="Tahoma" w:hAnsi="Tahoma" w:cs="Tahoma"/>
          <w:sz w:val="24"/>
          <w:szCs w:val="24"/>
        </w:rPr>
        <w:t xml:space="preserve">% din PIB, cu 0,1 puncte procentuale mai puțin față de aceeași perioadă a anului anterior. </w:t>
      </w:r>
    </w:p>
    <w:p w:rsidR="00482979" w:rsidRPr="00807147" w:rsidRDefault="00B10206" w:rsidP="00753D9F">
      <w:pPr>
        <w:spacing w:before="120" w:after="120" w:line="276" w:lineRule="auto"/>
        <w:jc w:val="both"/>
        <w:rPr>
          <w:rFonts w:ascii="Tahoma" w:hAnsi="Tahoma" w:cs="Tahoma"/>
          <w:bCs/>
          <w:sz w:val="24"/>
          <w:szCs w:val="24"/>
        </w:rPr>
      </w:pPr>
      <w:r w:rsidRPr="00807147">
        <w:rPr>
          <w:rFonts w:ascii="Tahoma" w:hAnsi="Tahoma" w:cs="Tahoma"/>
          <w:bCs/>
          <w:sz w:val="24"/>
          <w:szCs w:val="24"/>
        </w:rPr>
        <w:t xml:space="preserve">Cheltuielile de personal au </w:t>
      </w:r>
      <w:r w:rsidR="00E37855" w:rsidRPr="00807147">
        <w:rPr>
          <w:rFonts w:ascii="Tahoma" w:hAnsi="Tahoma" w:cs="Tahoma"/>
          <w:bCs/>
          <w:sz w:val="24"/>
          <w:szCs w:val="24"/>
        </w:rPr>
        <w:t xml:space="preserve">crescut cu </w:t>
      </w:r>
      <w:r w:rsidR="002841AF">
        <w:rPr>
          <w:rFonts w:ascii="Tahoma" w:hAnsi="Tahoma" w:cs="Tahoma"/>
          <w:bCs/>
          <w:sz w:val="24"/>
          <w:szCs w:val="24"/>
        </w:rPr>
        <w:t>8,5</w:t>
      </w:r>
      <w:r w:rsidR="00E37855" w:rsidRPr="00807147">
        <w:rPr>
          <w:rFonts w:ascii="Tahoma" w:hAnsi="Tahoma" w:cs="Tahoma"/>
          <w:bCs/>
          <w:sz w:val="24"/>
          <w:szCs w:val="24"/>
        </w:rPr>
        <w:t>% comparativ cu trimestrul I</w:t>
      </w:r>
      <w:r w:rsidR="002841AF">
        <w:rPr>
          <w:rFonts w:ascii="Tahoma" w:hAnsi="Tahoma" w:cs="Tahoma"/>
          <w:bCs/>
          <w:sz w:val="24"/>
          <w:szCs w:val="24"/>
        </w:rPr>
        <w:t>I</w:t>
      </w:r>
      <w:r w:rsidR="00E37855" w:rsidRPr="00807147">
        <w:rPr>
          <w:rFonts w:ascii="Tahoma" w:hAnsi="Tahoma" w:cs="Tahoma"/>
          <w:bCs/>
          <w:sz w:val="24"/>
          <w:szCs w:val="24"/>
        </w:rPr>
        <w:t xml:space="preserve"> 202</w:t>
      </w:r>
      <w:r w:rsidR="000913C6" w:rsidRPr="00807147">
        <w:rPr>
          <w:rFonts w:ascii="Tahoma" w:hAnsi="Tahoma" w:cs="Tahoma"/>
          <w:bCs/>
          <w:sz w:val="24"/>
          <w:szCs w:val="24"/>
        </w:rPr>
        <w:t>2</w:t>
      </w:r>
      <w:r w:rsidR="00E37855" w:rsidRPr="00807147">
        <w:rPr>
          <w:rFonts w:ascii="Tahoma" w:hAnsi="Tahoma" w:cs="Tahoma"/>
          <w:bCs/>
          <w:sz w:val="24"/>
          <w:szCs w:val="24"/>
        </w:rPr>
        <w:t xml:space="preserve">, </w:t>
      </w:r>
      <w:r w:rsidR="00883B23" w:rsidRPr="00807147">
        <w:rPr>
          <w:rFonts w:ascii="Tahoma" w:hAnsi="Tahoma" w:cs="Tahoma"/>
          <w:bCs/>
          <w:sz w:val="24"/>
          <w:szCs w:val="24"/>
        </w:rPr>
        <w:t>pe fondul creșterilor salariale din sectorul bugetar acordate începând cu 1 ianuarie 2023</w:t>
      </w:r>
      <w:r w:rsidR="00AB3FB4" w:rsidRPr="00807147">
        <w:rPr>
          <w:rFonts w:ascii="Tahoma" w:hAnsi="Tahoma" w:cs="Tahoma"/>
          <w:bCs/>
          <w:sz w:val="24"/>
          <w:szCs w:val="24"/>
        </w:rPr>
        <w:t>.</w:t>
      </w:r>
    </w:p>
    <w:p w:rsidR="0062653C" w:rsidRDefault="00B10206" w:rsidP="0062653C">
      <w:pPr>
        <w:spacing w:before="120" w:after="120" w:line="276" w:lineRule="auto"/>
        <w:jc w:val="both"/>
        <w:rPr>
          <w:rFonts w:ascii="Tahoma" w:hAnsi="Tahoma" w:cs="Tahoma"/>
          <w:sz w:val="24"/>
          <w:szCs w:val="24"/>
        </w:rPr>
      </w:pPr>
      <w:r w:rsidRPr="00807147">
        <w:rPr>
          <w:rFonts w:ascii="Tahoma" w:hAnsi="Tahoma" w:cs="Tahoma"/>
          <w:b/>
          <w:bCs/>
          <w:sz w:val="24"/>
          <w:szCs w:val="24"/>
        </w:rPr>
        <w:t>Cheltuielile cu bunuri și servicii</w:t>
      </w:r>
      <w:r w:rsidR="00AB3FB4" w:rsidRPr="00807147">
        <w:rPr>
          <w:rFonts w:ascii="Tahoma" w:hAnsi="Tahoma" w:cs="Tahoma"/>
          <w:b/>
          <w:bCs/>
          <w:sz w:val="24"/>
          <w:szCs w:val="24"/>
        </w:rPr>
        <w:t xml:space="preserve"> </w:t>
      </w:r>
      <w:r w:rsidR="003C4703" w:rsidRPr="00807147">
        <w:rPr>
          <w:rFonts w:ascii="Tahoma" w:hAnsi="Tahoma" w:cs="Tahoma"/>
          <w:sz w:val="24"/>
          <w:szCs w:val="24"/>
        </w:rPr>
        <w:t xml:space="preserve">au însumat </w:t>
      </w:r>
      <w:r w:rsidR="002841AF">
        <w:rPr>
          <w:rFonts w:ascii="Tahoma" w:hAnsi="Tahoma" w:cs="Tahoma"/>
          <w:sz w:val="24"/>
          <w:szCs w:val="24"/>
        </w:rPr>
        <w:t>18,</w:t>
      </w:r>
      <w:r w:rsidR="0062653C">
        <w:rPr>
          <w:rFonts w:ascii="Tahoma" w:hAnsi="Tahoma" w:cs="Tahoma"/>
          <w:sz w:val="24"/>
          <w:szCs w:val="24"/>
        </w:rPr>
        <w:t>6</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(1,</w:t>
      </w:r>
      <w:r w:rsidR="002841AF">
        <w:rPr>
          <w:rFonts w:ascii="Tahoma" w:hAnsi="Tahoma" w:cs="Tahoma"/>
          <w:sz w:val="24"/>
          <w:szCs w:val="24"/>
        </w:rPr>
        <w:t>2</w:t>
      </w:r>
      <w:r w:rsidRPr="00807147">
        <w:rPr>
          <w:rFonts w:ascii="Tahoma" w:hAnsi="Tahoma" w:cs="Tahoma"/>
          <w:sz w:val="24"/>
          <w:szCs w:val="24"/>
        </w:rPr>
        <w:t xml:space="preserve">% din PIB) și s-au efectuat în proporție de </w:t>
      </w:r>
      <w:r w:rsidR="002841AF">
        <w:rPr>
          <w:rFonts w:ascii="Tahoma" w:hAnsi="Tahoma" w:cs="Tahoma"/>
          <w:sz w:val="24"/>
          <w:szCs w:val="24"/>
        </w:rPr>
        <w:t>104,2</w:t>
      </w:r>
      <w:r w:rsidRPr="00807147">
        <w:rPr>
          <w:rFonts w:ascii="Tahoma" w:hAnsi="Tahoma" w:cs="Tahoma"/>
          <w:sz w:val="24"/>
          <w:szCs w:val="24"/>
        </w:rPr>
        <w:t xml:space="preserve">% comparativ cu programul trimestrial. </w:t>
      </w:r>
      <w:r w:rsidR="001B1117" w:rsidRPr="00807147">
        <w:rPr>
          <w:rFonts w:ascii="Tahoma" w:hAnsi="Tahoma" w:cs="Tahoma"/>
          <w:sz w:val="24"/>
          <w:szCs w:val="24"/>
        </w:rPr>
        <w:t>Comparativ cu trimestrul I</w:t>
      </w:r>
      <w:r w:rsidR="002841AF">
        <w:rPr>
          <w:rFonts w:ascii="Tahoma" w:hAnsi="Tahoma" w:cs="Tahoma"/>
          <w:sz w:val="24"/>
          <w:szCs w:val="24"/>
        </w:rPr>
        <w:t>I</w:t>
      </w:r>
      <w:r w:rsidR="001B1117" w:rsidRPr="00807147">
        <w:rPr>
          <w:rFonts w:ascii="Tahoma" w:hAnsi="Tahoma" w:cs="Tahoma"/>
          <w:sz w:val="24"/>
          <w:szCs w:val="24"/>
        </w:rPr>
        <w:t xml:space="preserve"> 202</w:t>
      </w:r>
      <w:r w:rsidR="00883B23" w:rsidRPr="00807147">
        <w:rPr>
          <w:rFonts w:ascii="Tahoma" w:hAnsi="Tahoma" w:cs="Tahoma"/>
          <w:sz w:val="24"/>
          <w:szCs w:val="24"/>
        </w:rPr>
        <w:t>2</w:t>
      </w:r>
      <w:r w:rsidR="001B1117" w:rsidRPr="00807147">
        <w:rPr>
          <w:rFonts w:ascii="Tahoma" w:hAnsi="Tahoma" w:cs="Tahoma"/>
          <w:sz w:val="24"/>
          <w:szCs w:val="24"/>
        </w:rPr>
        <w:t xml:space="preserve"> cheltuielile cu bunuri și servicii au crescut cu </w:t>
      </w:r>
      <w:r w:rsidR="002841AF">
        <w:rPr>
          <w:rFonts w:ascii="Tahoma" w:hAnsi="Tahoma" w:cs="Tahoma"/>
          <w:sz w:val="24"/>
          <w:szCs w:val="24"/>
        </w:rPr>
        <w:t>9</w:t>
      </w:r>
      <w:r w:rsidR="00883B23" w:rsidRPr="00807147">
        <w:rPr>
          <w:rFonts w:ascii="Tahoma" w:hAnsi="Tahoma" w:cs="Tahoma"/>
          <w:sz w:val="24"/>
          <w:szCs w:val="24"/>
        </w:rPr>
        <w:t>,</w:t>
      </w:r>
      <w:r w:rsidR="002841AF">
        <w:rPr>
          <w:rFonts w:ascii="Tahoma" w:hAnsi="Tahoma" w:cs="Tahoma"/>
          <w:sz w:val="24"/>
          <w:szCs w:val="24"/>
        </w:rPr>
        <w:t>0</w:t>
      </w:r>
      <w:r w:rsidR="001B1117" w:rsidRPr="00807147">
        <w:rPr>
          <w:rFonts w:ascii="Tahoma" w:hAnsi="Tahoma" w:cs="Tahoma"/>
          <w:sz w:val="24"/>
          <w:szCs w:val="24"/>
        </w:rPr>
        <w:t xml:space="preserve">% </w:t>
      </w:r>
      <w:r w:rsidR="001B1117" w:rsidRPr="00BD3DE4">
        <w:rPr>
          <w:rFonts w:ascii="Tahoma" w:hAnsi="Tahoma" w:cs="Tahoma"/>
          <w:sz w:val="24"/>
          <w:szCs w:val="24"/>
        </w:rPr>
        <w:t xml:space="preserve">în special ca urmare a evoluției acestora la nivelul </w:t>
      </w:r>
      <w:r w:rsidR="00AB3FB4" w:rsidRPr="00BD3DE4">
        <w:rPr>
          <w:rFonts w:ascii="Tahoma" w:hAnsi="Tahoma" w:cs="Tahoma"/>
          <w:sz w:val="24"/>
          <w:szCs w:val="24"/>
        </w:rPr>
        <w:t>bugetelor locale</w:t>
      </w:r>
      <w:r w:rsidR="006E39B6" w:rsidRPr="00BD3DE4">
        <w:rPr>
          <w:rFonts w:ascii="Tahoma" w:hAnsi="Tahoma" w:cs="Tahoma"/>
          <w:sz w:val="24"/>
          <w:szCs w:val="24"/>
        </w:rPr>
        <w:t xml:space="preserve">, bugetului </w:t>
      </w:r>
      <w:r w:rsidR="00111330" w:rsidRPr="00BD3DE4">
        <w:rPr>
          <w:rFonts w:ascii="Tahoma" w:hAnsi="Tahoma" w:cs="Tahoma"/>
          <w:sz w:val="24"/>
          <w:szCs w:val="24"/>
        </w:rPr>
        <w:t>instituțiilor</w:t>
      </w:r>
      <w:r w:rsidR="006E39B6" w:rsidRPr="00BD3DE4">
        <w:rPr>
          <w:rFonts w:ascii="Tahoma" w:hAnsi="Tahoma" w:cs="Tahoma"/>
          <w:sz w:val="24"/>
          <w:szCs w:val="24"/>
        </w:rPr>
        <w:t xml:space="preserve"> publice </w:t>
      </w:r>
      <w:r w:rsidR="00111330" w:rsidRPr="00BD3DE4">
        <w:rPr>
          <w:rFonts w:ascii="Tahoma" w:hAnsi="Tahoma" w:cs="Tahoma"/>
          <w:sz w:val="24"/>
          <w:szCs w:val="24"/>
        </w:rPr>
        <w:t>finanțate</w:t>
      </w:r>
      <w:r w:rsidR="006E39B6" w:rsidRPr="00BD3DE4">
        <w:rPr>
          <w:rFonts w:ascii="Tahoma" w:hAnsi="Tahoma" w:cs="Tahoma"/>
          <w:sz w:val="24"/>
          <w:szCs w:val="24"/>
        </w:rPr>
        <w:t xml:space="preserve"> integral sau </w:t>
      </w:r>
      <w:r w:rsidR="00111330" w:rsidRPr="00BD3DE4">
        <w:rPr>
          <w:rFonts w:ascii="Tahoma" w:hAnsi="Tahoma" w:cs="Tahoma"/>
          <w:sz w:val="24"/>
          <w:szCs w:val="24"/>
        </w:rPr>
        <w:t>parțial</w:t>
      </w:r>
      <w:r w:rsidR="006E39B6" w:rsidRPr="00BD3DE4">
        <w:rPr>
          <w:rFonts w:ascii="Tahoma" w:hAnsi="Tahoma" w:cs="Tahoma"/>
          <w:sz w:val="24"/>
          <w:szCs w:val="24"/>
        </w:rPr>
        <w:t xml:space="preserve"> din venituri proprii</w:t>
      </w:r>
      <w:r w:rsidR="00AB3FB4" w:rsidRPr="00BD3DE4">
        <w:rPr>
          <w:rFonts w:ascii="Tahoma" w:hAnsi="Tahoma" w:cs="Tahoma"/>
          <w:sz w:val="24"/>
          <w:szCs w:val="24"/>
        </w:rPr>
        <w:t xml:space="preserve"> </w:t>
      </w:r>
      <w:r w:rsidR="00362EA3" w:rsidRPr="00BD3DE4">
        <w:rPr>
          <w:rFonts w:ascii="Tahoma" w:hAnsi="Tahoma" w:cs="Tahoma"/>
          <w:sz w:val="24"/>
          <w:szCs w:val="24"/>
        </w:rPr>
        <w:t>și bugetul</w:t>
      </w:r>
      <w:r w:rsidR="006B6A3A" w:rsidRPr="00BD3DE4">
        <w:rPr>
          <w:rFonts w:ascii="Tahoma" w:hAnsi="Tahoma" w:cs="Tahoma"/>
          <w:sz w:val="24"/>
          <w:szCs w:val="24"/>
        </w:rPr>
        <w:t>ui</w:t>
      </w:r>
      <w:r w:rsidR="00362EA3" w:rsidRPr="00BD3DE4">
        <w:rPr>
          <w:rFonts w:ascii="Tahoma" w:hAnsi="Tahoma" w:cs="Tahoma"/>
          <w:sz w:val="24"/>
          <w:szCs w:val="24"/>
        </w:rPr>
        <w:t xml:space="preserve"> Fondului național unic de asigurări sociale de sănătate</w:t>
      </w:r>
      <w:r w:rsidR="00F81DCA" w:rsidRPr="00BD3DE4">
        <w:rPr>
          <w:rFonts w:ascii="Tahoma" w:hAnsi="Tahoma" w:cs="Tahoma"/>
          <w:sz w:val="24"/>
          <w:szCs w:val="24"/>
        </w:rPr>
        <w:t>.</w:t>
      </w:r>
    </w:p>
    <w:p w:rsidR="00F81DCA" w:rsidRPr="00807147" w:rsidRDefault="00B10206" w:rsidP="0062653C">
      <w:pPr>
        <w:spacing w:before="120" w:after="120" w:line="276" w:lineRule="auto"/>
        <w:jc w:val="both"/>
        <w:rPr>
          <w:rFonts w:ascii="Tahoma" w:hAnsi="Tahoma" w:cs="Tahoma"/>
          <w:sz w:val="24"/>
          <w:szCs w:val="24"/>
        </w:rPr>
      </w:pPr>
      <w:r w:rsidRPr="00807147">
        <w:rPr>
          <w:rFonts w:ascii="Tahoma" w:hAnsi="Tahoma" w:cs="Tahoma"/>
          <w:b/>
          <w:bCs/>
          <w:sz w:val="24"/>
          <w:szCs w:val="24"/>
        </w:rPr>
        <w:lastRenderedPageBreak/>
        <w:t>Cheltuielile cu dobânzile</w:t>
      </w:r>
      <w:r w:rsidRPr="00807147">
        <w:rPr>
          <w:rFonts w:ascii="Tahoma" w:hAnsi="Tahoma" w:cs="Tahoma"/>
          <w:sz w:val="24"/>
          <w:szCs w:val="24"/>
        </w:rPr>
        <w:t xml:space="preserve"> a</w:t>
      </w:r>
      <w:r w:rsidR="003C4703" w:rsidRPr="00807147">
        <w:rPr>
          <w:rFonts w:ascii="Tahoma" w:hAnsi="Tahoma" w:cs="Tahoma"/>
          <w:sz w:val="24"/>
          <w:szCs w:val="24"/>
        </w:rPr>
        <w:t xml:space="preserve">u fost în termeni nominali de </w:t>
      </w:r>
      <w:r w:rsidR="002841AF">
        <w:rPr>
          <w:rFonts w:ascii="Tahoma" w:hAnsi="Tahoma" w:cs="Tahoma"/>
          <w:sz w:val="24"/>
          <w:szCs w:val="24"/>
        </w:rPr>
        <w:t>6,8</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(0,</w:t>
      </w:r>
      <w:r w:rsidR="002841AF">
        <w:rPr>
          <w:rFonts w:ascii="Tahoma" w:hAnsi="Tahoma" w:cs="Tahoma"/>
          <w:sz w:val="24"/>
          <w:szCs w:val="24"/>
        </w:rPr>
        <w:t>4</w:t>
      </w:r>
      <w:r w:rsidRPr="00807147">
        <w:rPr>
          <w:rFonts w:ascii="Tahoma" w:hAnsi="Tahoma" w:cs="Tahoma"/>
          <w:sz w:val="24"/>
          <w:szCs w:val="24"/>
        </w:rPr>
        <w:t xml:space="preserve">% din PIB) și s-au efectuat în proporție de </w:t>
      </w:r>
      <w:r w:rsidR="002841AF">
        <w:rPr>
          <w:rFonts w:ascii="Tahoma" w:hAnsi="Tahoma" w:cs="Tahoma"/>
          <w:sz w:val="24"/>
          <w:szCs w:val="24"/>
        </w:rPr>
        <w:t>88,8</w:t>
      </w:r>
      <w:r w:rsidRPr="00807147">
        <w:rPr>
          <w:rFonts w:ascii="Tahoma" w:hAnsi="Tahoma" w:cs="Tahoma"/>
          <w:sz w:val="24"/>
          <w:szCs w:val="24"/>
        </w:rPr>
        <w:t xml:space="preserve">% din programul trimestrial. </w:t>
      </w:r>
      <w:r w:rsidR="006E39B6" w:rsidRPr="00807147">
        <w:rPr>
          <w:rFonts w:ascii="Tahoma" w:hAnsi="Tahoma" w:cs="Tahoma"/>
          <w:sz w:val="24"/>
          <w:szCs w:val="24"/>
        </w:rPr>
        <w:t>Comparativ cu aceeași perioadă a anului precedent</w:t>
      </w:r>
      <w:r w:rsidR="000D5A57" w:rsidRPr="00807147">
        <w:rPr>
          <w:rFonts w:ascii="Tahoma" w:hAnsi="Tahoma" w:cs="Tahoma"/>
          <w:sz w:val="24"/>
          <w:szCs w:val="24"/>
        </w:rPr>
        <w:t>,</w:t>
      </w:r>
      <w:r w:rsidR="006E39B6" w:rsidRPr="00807147">
        <w:rPr>
          <w:rFonts w:ascii="Tahoma" w:hAnsi="Tahoma" w:cs="Tahoma"/>
          <w:sz w:val="24"/>
          <w:szCs w:val="24"/>
        </w:rPr>
        <w:t xml:space="preserve"> plățile de dobânzi s-au </w:t>
      </w:r>
      <w:r w:rsidR="002841AF">
        <w:rPr>
          <w:rFonts w:ascii="Tahoma" w:hAnsi="Tahoma" w:cs="Tahoma"/>
          <w:sz w:val="24"/>
          <w:szCs w:val="24"/>
        </w:rPr>
        <w:t>diminuat</w:t>
      </w:r>
      <w:r w:rsidR="006E39B6" w:rsidRPr="00807147">
        <w:rPr>
          <w:rFonts w:ascii="Tahoma" w:hAnsi="Tahoma" w:cs="Tahoma"/>
          <w:sz w:val="24"/>
          <w:szCs w:val="24"/>
        </w:rPr>
        <w:t xml:space="preserve"> cu </w:t>
      </w:r>
      <w:r w:rsidR="002841AF">
        <w:rPr>
          <w:rFonts w:ascii="Tahoma" w:hAnsi="Tahoma" w:cs="Tahoma"/>
          <w:sz w:val="24"/>
          <w:szCs w:val="24"/>
        </w:rPr>
        <w:t>7,2</w:t>
      </w:r>
      <w:r w:rsidR="006E39B6" w:rsidRPr="00807147">
        <w:rPr>
          <w:rFonts w:ascii="Tahoma" w:hAnsi="Tahoma" w:cs="Tahoma"/>
          <w:sz w:val="24"/>
          <w:szCs w:val="24"/>
        </w:rPr>
        <w:t>%</w:t>
      </w:r>
      <w:r w:rsidR="001C5D69">
        <w:rPr>
          <w:rFonts w:ascii="Tahoma" w:hAnsi="Tahoma" w:cs="Tahoma"/>
          <w:sz w:val="24"/>
          <w:szCs w:val="24"/>
        </w:rPr>
        <w:t xml:space="preserve"> </w:t>
      </w:r>
      <w:r w:rsidR="006E39B6" w:rsidRPr="00807147">
        <w:rPr>
          <w:rFonts w:ascii="Tahoma" w:hAnsi="Tahoma" w:cs="Tahoma"/>
          <w:sz w:val="24"/>
          <w:szCs w:val="24"/>
        </w:rPr>
        <w:t>(</w:t>
      </w:r>
      <w:r w:rsidR="002841AF">
        <w:rPr>
          <w:rFonts w:ascii="Tahoma" w:hAnsi="Tahoma" w:cs="Tahoma"/>
          <w:sz w:val="24"/>
          <w:szCs w:val="24"/>
        </w:rPr>
        <w:t>-0,5</w:t>
      </w:r>
      <w:r w:rsidR="006E39B6" w:rsidRPr="00807147">
        <w:rPr>
          <w:rFonts w:ascii="Tahoma" w:hAnsi="Tahoma" w:cs="Tahoma"/>
          <w:sz w:val="24"/>
          <w:szCs w:val="24"/>
        </w:rPr>
        <w:t xml:space="preserve"> </w:t>
      </w:r>
      <w:r w:rsidR="00602503" w:rsidRPr="00807147">
        <w:rPr>
          <w:rFonts w:ascii="Tahoma" w:hAnsi="Tahoma" w:cs="Tahoma"/>
          <w:sz w:val="24"/>
          <w:szCs w:val="24"/>
        </w:rPr>
        <w:t>miliarde</w:t>
      </w:r>
      <w:r w:rsidR="006E39B6" w:rsidRPr="00807147">
        <w:rPr>
          <w:rFonts w:ascii="Tahoma" w:hAnsi="Tahoma" w:cs="Tahoma"/>
          <w:sz w:val="24"/>
          <w:szCs w:val="24"/>
        </w:rPr>
        <w:t xml:space="preserve"> lei)</w:t>
      </w:r>
      <w:r w:rsidR="00BD3DE4">
        <w:rPr>
          <w:rFonts w:ascii="Tahoma" w:hAnsi="Tahoma" w:cs="Tahoma"/>
          <w:sz w:val="24"/>
          <w:szCs w:val="24"/>
        </w:rPr>
        <w:t>.</w:t>
      </w:r>
      <w:r w:rsidR="006E39B6" w:rsidRPr="00807147">
        <w:rPr>
          <w:rFonts w:ascii="Tahoma" w:hAnsi="Tahoma" w:cs="Tahoma"/>
          <w:sz w:val="24"/>
          <w:szCs w:val="24"/>
        </w:rPr>
        <w:t xml:space="preserve"> </w:t>
      </w:r>
    </w:p>
    <w:p w:rsidR="00F81DCA" w:rsidRPr="00BD3DE4" w:rsidRDefault="00B10206" w:rsidP="005F4DF1">
      <w:pPr>
        <w:spacing w:before="120" w:after="120" w:line="276" w:lineRule="auto"/>
        <w:jc w:val="both"/>
        <w:rPr>
          <w:rFonts w:ascii="Tahoma" w:eastAsia="Calibri" w:hAnsi="Tahoma" w:cs="Tahoma"/>
          <w:sz w:val="24"/>
          <w:szCs w:val="24"/>
        </w:rPr>
      </w:pPr>
      <w:r w:rsidRPr="00807147">
        <w:rPr>
          <w:rFonts w:ascii="Tahoma" w:hAnsi="Tahoma" w:cs="Tahoma"/>
          <w:b/>
          <w:bCs/>
          <w:sz w:val="24"/>
          <w:szCs w:val="24"/>
        </w:rPr>
        <w:t>Cheltuielile cu subvențiile</w:t>
      </w:r>
      <w:r w:rsidR="003C4703" w:rsidRPr="00807147">
        <w:rPr>
          <w:rFonts w:ascii="Tahoma" w:hAnsi="Tahoma" w:cs="Tahoma"/>
          <w:bCs/>
          <w:sz w:val="24"/>
          <w:szCs w:val="24"/>
        </w:rPr>
        <w:t xml:space="preserve"> au fost în sumă de </w:t>
      </w:r>
      <w:r w:rsidR="002841AF">
        <w:rPr>
          <w:rFonts w:ascii="Tahoma" w:hAnsi="Tahoma" w:cs="Tahoma"/>
          <w:bCs/>
          <w:sz w:val="24"/>
          <w:szCs w:val="24"/>
        </w:rPr>
        <w:t>3,9</w:t>
      </w:r>
      <w:r w:rsidR="003C4703" w:rsidRPr="00807147">
        <w:rPr>
          <w:rFonts w:ascii="Tahoma" w:hAnsi="Tahoma" w:cs="Tahoma"/>
          <w:bCs/>
          <w:sz w:val="24"/>
          <w:szCs w:val="24"/>
        </w:rPr>
        <w:t xml:space="preserve"> </w:t>
      </w:r>
      <w:r w:rsidR="00602503" w:rsidRPr="00807147">
        <w:rPr>
          <w:rFonts w:ascii="Tahoma" w:hAnsi="Tahoma" w:cs="Tahoma"/>
          <w:bCs/>
          <w:sz w:val="24"/>
          <w:szCs w:val="24"/>
        </w:rPr>
        <w:t>miliarde</w:t>
      </w:r>
      <w:r w:rsidR="001B1117" w:rsidRPr="00807147">
        <w:rPr>
          <w:rFonts w:ascii="Tahoma" w:hAnsi="Tahoma" w:cs="Tahoma"/>
          <w:bCs/>
          <w:sz w:val="24"/>
          <w:szCs w:val="24"/>
        </w:rPr>
        <w:t xml:space="preserve"> lei, au reprezentat 0,</w:t>
      </w:r>
      <w:r w:rsidR="002841AF">
        <w:rPr>
          <w:rFonts w:ascii="Tahoma" w:hAnsi="Tahoma" w:cs="Tahoma"/>
          <w:bCs/>
          <w:sz w:val="24"/>
          <w:szCs w:val="24"/>
        </w:rPr>
        <w:t>2</w:t>
      </w:r>
      <w:r w:rsidRPr="00807147">
        <w:rPr>
          <w:rFonts w:ascii="Tahoma" w:hAnsi="Tahoma" w:cs="Tahoma"/>
          <w:bCs/>
          <w:sz w:val="24"/>
          <w:szCs w:val="24"/>
        </w:rPr>
        <w:t xml:space="preserve">% din PIB și s-au efectuat în proporție de </w:t>
      </w:r>
      <w:r w:rsidR="002841AF">
        <w:rPr>
          <w:rFonts w:ascii="Tahoma" w:hAnsi="Tahoma" w:cs="Tahoma"/>
          <w:bCs/>
          <w:sz w:val="24"/>
          <w:szCs w:val="24"/>
        </w:rPr>
        <w:t>87,7</w:t>
      </w:r>
      <w:r w:rsidRPr="00807147">
        <w:rPr>
          <w:rFonts w:ascii="Tahoma" w:hAnsi="Tahoma" w:cs="Tahoma"/>
          <w:bCs/>
          <w:sz w:val="24"/>
          <w:szCs w:val="24"/>
        </w:rPr>
        <w:t>% comparativ cu programul trimestrial</w:t>
      </w:r>
      <w:r w:rsidR="00925E6D" w:rsidRPr="00807147">
        <w:rPr>
          <w:rFonts w:ascii="Tahoma" w:hAnsi="Tahoma" w:cs="Tahoma"/>
          <w:bCs/>
          <w:sz w:val="24"/>
          <w:szCs w:val="24"/>
        </w:rPr>
        <w:t xml:space="preserve">. </w:t>
      </w:r>
      <w:r w:rsidR="00F81DCA" w:rsidRPr="00807147">
        <w:rPr>
          <w:rFonts w:ascii="Tahoma" w:hAnsi="Tahoma" w:cs="Tahoma"/>
          <w:bCs/>
          <w:sz w:val="24"/>
          <w:szCs w:val="24"/>
        </w:rPr>
        <w:t xml:space="preserve">Cheltuielile efectuate </w:t>
      </w:r>
      <w:r w:rsidR="00F81DCA" w:rsidRPr="00807147">
        <w:rPr>
          <w:rFonts w:ascii="Tahoma" w:eastAsia="Calibri" w:hAnsi="Tahoma" w:cs="Tahoma"/>
          <w:sz w:val="24"/>
          <w:szCs w:val="24"/>
        </w:rPr>
        <w:t xml:space="preserve">reprezintă subvenții pentru transportul de călători, pentru sprijinirea producătorilor agricoli, precum și pentru schema de compensare pentru consumul de energie electrică și gaze naturale al consumatorilor </w:t>
      </w:r>
      <w:proofErr w:type="spellStart"/>
      <w:r w:rsidR="00F81DCA" w:rsidRPr="00807147">
        <w:rPr>
          <w:rFonts w:ascii="Tahoma" w:eastAsia="Calibri" w:hAnsi="Tahoma" w:cs="Tahoma"/>
          <w:sz w:val="24"/>
          <w:szCs w:val="24"/>
        </w:rPr>
        <w:t>noncasnici</w:t>
      </w:r>
      <w:proofErr w:type="spellEnd"/>
      <w:r w:rsidR="00F81DCA" w:rsidRPr="00807147">
        <w:rPr>
          <w:rFonts w:ascii="Tahoma" w:eastAsia="Calibri" w:hAnsi="Tahoma" w:cs="Tahoma"/>
          <w:sz w:val="24"/>
          <w:szCs w:val="24"/>
        </w:rPr>
        <w:t xml:space="preserve"> </w:t>
      </w:r>
      <w:r w:rsidR="00F81DCA" w:rsidRPr="00601B02">
        <w:rPr>
          <w:rFonts w:ascii="Tahoma" w:eastAsia="Calibri" w:hAnsi="Tahoma" w:cs="Tahoma"/>
          <w:sz w:val="24"/>
          <w:szCs w:val="24"/>
        </w:rPr>
        <w:t>(1,</w:t>
      </w:r>
      <w:r w:rsidR="00601B02" w:rsidRPr="00601B02">
        <w:rPr>
          <w:rFonts w:ascii="Tahoma" w:eastAsia="Calibri" w:hAnsi="Tahoma" w:cs="Tahoma"/>
          <w:sz w:val="24"/>
          <w:szCs w:val="24"/>
        </w:rPr>
        <w:t>09</w:t>
      </w:r>
      <w:r w:rsidR="00F81DCA" w:rsidRPr="00601B02">
        <w:rPr>
          <w:rFonts w:ascii="Tahoma" w:eastAsia="Calibri" w:hAnsi="Tahoma" w:cs="Tahoma"/>
          <w:sz w:val="24"/>
          <w:szCs w:val="24"/>
        </w:rPr>
        <w:t xml:space="preserve"> </w:t>
      </w:r>
      <w:r w:rsidR="00D12554" w:rsidRPr="00601B02">
        <w:rPr>
          <w:rFonts w:ascii="Tahoma" w:eastAsia="Calibri" w:hAnsi="Tahoma" w:cs="Tahoma"/>
          <w:sz w:val="24"/>
          <w:szCs w:val="24"/>
        </w:rPr>
        <w:t>miliarde</w:t>
      </w:r>
      <w:r w:rsidR="00F81DCA" w:rsidRPr="00601B02">
        <w:rPr>
          <w:rFonts w:ascii="Tahoma" w:eastAsia="Calibri" w:hAnsi="Tahoma" w:cs="Tahoma"/>
          <w:sz w:val="24"/>
          <w:szCs w:val="24"/>
        </w:rPr>
        <w:t xml:space="preserve"> lei) </w:t>
      </w:r>
      <w:r w:rsidR="00F81DCA" w:rsidRPr="00BD3DE4">
        <w:rPr>
          <w:rFonts w:ascii="Tahoma" w:eastAsia="Calibri" w:hAnsi="Tahoma" w:cs="Tahoma"/>
          <w:sz w:val="24"/>
          <w:szCs w:val="24"/>
        </w:rPr>
        <w:t xml:space="preserve">care reprezintă </w:t>
      </w:r>
      <w:r w:rsidR="00BD3DE4" w:rsidRPr="00BD3DE4">
        <w:rPr>
          <w:rFonts w:ascii="Tahoma" w:eastAsia="Calibri" w:hAnsi="Tahoma" w:cs="Tahoma"/>
          <w:sz w:val="24"/>
          <w:szCs w:val="24"/>
        </w:rPr>
        <w:t>27,7</w:t>
      </w:r>
      <w:r w:rsidR="00F81DCA" w:rsidRPr="00BD3DE4">
        <w:rPr>
          <w:rFonts w:ascii="Tahoma" w:eastAsia="Calibri" w:hAnsi="Tahoma" w:cs="Tahoma"/>
          <w:sz w:val="24"/>
          <w:szCs w:val="24"/>
        </w:rPr>
        <w:t>% din total subvenții.</w:t>
      </w:r>
    </w:p>
    <w:p w:rsidR="00E044D0" w:rsidRPr="00807147" w:rsidRDefault="00E044D0" w:rsidP="005F4DF1">
      <w:pPr>
        <w:spacing w:before="120"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Comparativ cu aceeași perioada a anului anterior cheltuielile cu subvențiile s-au majorat cu </w:t>
      </w:r>
      <w:r w:rsidR="002841AF">
        <w:rPr>
          <w:rFonts w:ascii="Tahoma" w:eastAsia="Calibri" w:hAnsi="Tahoma" w:cs="Tahoma"/>
          <w:sz w:val="24"/>
          <w:szCs w:val="24"/>
        </w:rPr>
        <w:t>4</w:t>
      </w:r>
      <w:r w:rsidR="00D12554" w:rsidRPr="00807147">
        <w:rPr>
          <w:rFonts w:ascii="Tahoma" w:eastAsia="Calibri" w:hAnsi="Tahoma" w:cs="Tahoma"/>
          <w:sz w:val="24"/>
          <w:szCs w:val="24"/>
        </w:rPr>
        <w:t>8%</w:t>
      </w:r>
      <w:r w:rsidR="001C5D69">
        <w:rPr>
          <w:rFonts w:ascii="Tahoma" w:eastAsia="Calibri" w:hAnsi="Tahoma" w:cs="Tahoma"/>
          <w:sz w:val="24"/>
          <w:szCs w:val="24"/>
        </w:rPr>
        <w:t xml:space="preserve"> </w:t>
      </w:r>
      <w:r w:rsidR="00D12554" w:rsidRPr="00807147">
        <w:rPr>
          <w:rFonts w:ascii="Tahoma" w:eastAsia="Calibri" w:hAnsi="Tahoma" w:cs="Tahoma"/>
          <w:sz w:val="24"/>
          <w:szCs w:val="24"/>
        </w:rPr>
        <w:t>(+</w:t>
      </w:r>
      <w:r w:rsidR="002841AF">
        <w:rPr>
          <w:rFonts w:ascii="Tahoma" w:eastAsia="Calibri" w:hAnsi="Tahoma" w:cs="Tahoma"/>
          <w:sz w:val="24"/>
          <w:szCs w:val="24"/>
        </w:rPr>
        <w:t>1,27</w:t>
      </w:r>
      <w:r w:rsidR="00D12554" w:rsidRPr="00807147">
        <w:rPr>
          <w:rFonts w:ascii="Tahoma" w:eastAsia="Calibri" w:hAnsi="Tahoma" w:cs="Tahoma"/>
          <w:sz w:val="24"/>
          <w:szCs w:val="24"/>
        </w:rPr>
        <w:t xml:space="preserve"> miliarde lei).</w:t>
      </w:r>
    </w:p>
    <w:p w:rsidR="00F81DCA" w:rsidRPr="00807147" w:rsidRDefault="00B10206" w:rsidP="00753D9F">
      <w:pPr>
        <w:spacing w:after="120" w:line="276" w:lineRule="auto"/>
        <w:jc w:val="both"/>
        <w:rPr>
          <w:rFonts w:ascii="Tahoma" w:hAnsi="Tahoma" w:cs="Tahoma"/>
          <w:bCs/>
          <w:sz w:val="24"/>
          <w:szCs w:val="24"/>
        </w:rPr>
      </w:pPr>
      <w:r w:rsidRPr="00807147">
        <w:rPr>
          <w:rFonts w:ascii="Tahoma" w:hAnsi="Tahoma" w:cs="Tahoma"/>
          <w:b/>
          <w:bCs/>
          <w:sz w:val="24"/>
          <w:szCs w:val="24"/>
        </w:rPr>
        <w:t>Cheltuielile cu asistența socială</w:t>
      </w:r>
      <w:r w:rsidR="003C4703" w:rsidRPr="00807147">
        <w:rPr>
          <w:rFonts w:ascii="Tahoma" w:hAnsi="Tahoma" w:cs="Tahoma"/>
          <w:sz w:val="24"/>
          <w:szCs w:val="24"/>
        </w:rPr>
        <w:t xml:space="preserve"> au fost în sumă de </w:t>
      </w:r>
      <w:r w:rsidR="003531D4">
        <w:rPr>
          <w:rFonts w:ascii="Tahoma" w:hAnsi="Tahoma" w:cs="Tahoma"/>
          <w:sz w:val="24"/>
          <w:szCs w:val="24"/>
        </w:rPr>
        <w:t>47,2</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au reprezentat 3,</w:t>
      </w:r>
      <w:r w:rsidR="003531D4">
        <w:rPr>
          <w:rFonts w:ascii="Tahoma" w:hAnsi="Tahoma" w:cs="Tahoma"/>
          <w:sz w:val="24"/>
          <w:szCs w:val="24"/>
        </w:rPr>
        <w:t>0</w:t>
      </w:r>
      <w:r w:rsidRPr="00807147">
        <w:rPr>
          <w:rFonts w:ascii="Tahoma" w:hAnsi="Tahoma" w:cs="Tahoma"/>
          <w:sz w:val="24"/>
          <w:szCs w:val="24"/>
        </w:rPr>
        <w:t xml:space="preserve">% din PIB </w:t>
      </w:r>
      <w:r w:rsidR="00C145D7" w:rsidRPr="00807147">
        <w:rPr>
          <w:rFonts w:ascii="Tahoma" w:hAnsi="Tahoma" w:cs="Tahoma"/>
          <w:sz w:val="24"/>
          <w:szCs w:val="24"/>
        </w:rPr>
        <w:t>și</w:t>
      </w:r>
      <w:r w:rsidRPr="00807147">
        <w:rPr>
          <w:rFonts w:ascii="Tahoma" w:hAnsi="Tahoma" w:cs="Tahoma"/>
          <w:sz w:val="24"/>
          <w:szCs w:val="24"/>
        </w:rPr>
        <w:t xml:space="preserve"> s-au efectuat în proporție de </w:t>
      </w:r>
      <w:r w:rsidR="003531D4">
        <w:rPr>
          <w:rFonts w:ascii="Tahoma" w:hAnsi="Tahoma" w:cs="Tahoma"/>
          <w:sz w:val="24"/>
          <w:szCs w:val="24"/>
        </w:rPr>
        <w:t>100,1</w:t>
      </w:r>
      <w:r w:rsidRPr="00807147">
        <w:rPr>
          <w:rFonts w:ascii="Tahoma" w:hAnsi="Tahoma" w:cs="Tahoma"/>
          <w:sz w:val="24"/>
          <w:szCs w:val="24"/>
        </w:rPr>
        <w:t>% față de programul trimestrial.</w:t>
      </w:r>
      <w:r w:rsidR="006737B0" w:rsidRPr="00807147">
        <w:rPr>
          <w:rFonts w:ascii="Tahoma" w:hAnsi="Tahoma" w:cs="Tahoma"/>
          <w:sz w:val="24"/>
          <w:szCs w:val="24"/>
        </w:rPr>
        <w:t xml:space="preserve"> </w:t>
      </w:r>
      <w:r w:rsidR="00EA6101" w:rsidRPr="00807147">
        <w:rPr>
          <w:rFonts w:ascii="Tahoma" w:hAnsi="Tahoma" w:cs="Tahoma"/>
          <w:sz w:val="24"/>
          <w:szCs w:val="24"/>
        </w:rPr>
        <w:t xml:space="preserve">Cheltuielile cu </w:t>
      </w:r>
      <w:r w:rsidR="00C145D7" w:rsidRPr="00807147">
        <w:rPr>
          <w:rFonts w:ascii="Tahoma" w:hAnsi="Tahoma" w:cs="Tahoma"/>
          <w:sz w:val="24"/>
          <w:szCs w:val="24"/>
        </w:rPr>
        <w:t>asistența</w:t>
      </w:r>
      <w:r w:rsidR="00EA6101" w:rsidRPr="00807147">
        <w:rPr>
          <w:rFonts w:ascii="Tahoma" w:hAnsi="Tahoma" w:cs="Tahoma"/>
          <w:sz w:val="24"/>
          <w:szCs w:val="24"/>
        </w:rPr>
        <w:t xml:space="preserve"> socială au crescut comparati</w:t>
      </w:r>
      <w:r w:rsidR="00567D77" w:rsidRPr="00807147">
        <w:rPr>
          <w:rFonts w:ascii="Tahoma" w:hAnsi="Tahoma" w:cs="Tahoma"/>
          <w:sz w:val="24"/>
          <w:szCs w:val="24"/>
        </w:rPr>
        <w:t>v</w:t>
      </w:r>
      <w:r w:rsidR="00EA6101" w:rsidRPr="00807147">
        <w:rPr>
          <w:rFonts w:ascii="Tahoma" w:hAnsi="Tahoma" w:cs="Tahoma"/>
          <w:sz w:val="24"/>
          <w:szCs w:val="24"/>
        </w:rPr>
        <w:t xml:space="preserve"> cu trimestr</w:t>
      </w:r>
      <w:r w:rsidR="00567D77" w:rsidRPr="00807147">
        <w:rPr>
          <w:rFonts w:ascii="Tahoma" w:hAnsi="Tahoma" w:cs="Tahoma"/>
          <w:sz w:val="24"/>
          <w:szCs w:val="24"/>
        </w:rPr>
        <w:t>u</w:t>
      </w:r>
      <w:r w:rsidR="00EA6101" w:rsidRPr="00807147">
        <w:rPr>
          <w:rFonts w:ascii="Tahoma" w:hAnsi="Tahoma" w:cs="Tahoma"/>
          <w:sz w:val="24"/>
          <w:szCs w:val="24"/>
        </w:rPr>
        <w:t>l I</w:t>
      </w:r>
      <w:r w:rsidR="003531D4">
        <w:rPr>
          <w:rFonts w:ascii="Tahoma" w:hAnsi="Tahoma" w:cs="Tahoma"/>
          <w:sz w:val="24"/>
          <w:szCs w:val="24"/>
        </w:rPr>
        <w:t>I</w:t>
      </w:r>
      <w:r w:rsidR="00EA6101" w:rsidRPr="00807147">
        <w:rPr>
          <w:rFonts w:ascii="Tahoma" w:hAnsi="Tahoma" w:cs="Tahoma"/>
          <w:sz w:val="24"/>
          <w:szCs w:val="24"/>
        </w:rPr>
        <w:t xml:space="preserve"> 202</w:t>
      </w:r>
      <w:r w:rsidR="00F81DCA" w:rsidRPr="00807147">
        <w:rPr>
          <w:rFonts w:ascii="Tahoma" w:hAnsi="Tahoma" w:cs="Tahoma"/>
          <w:sz w:val="24"/>
          <w:szCs w:val="24"/>
        </w:rPr>
        <w:t>2</w:t>
      </w:r>
      <w:r w:rsidR="00EA6101" w:rsidRPr="00807147">
        <w:rPr>
          <w:rFonts w:ascii="Tahoma" w:hAnsi="Tahoma" w:cs="Tahoma"/>
          <w:sz w:val="24"/>
          <w:szCs w:val="24"/>
        </w:rPr>
        <w:t xml:space="preserve"> cu </w:t>
      </w:r>
      <w:r w:rsidR="003531D4">
        <w:rPr>
          <w:rFonts w:ascii="Tahoma" w:hAnsi="Tahoma" w:cs="Tahoma"/>
          <w:sz w:val="24"/>
          <w:szCs w:val="24"/>
        </w:rPr>
        <w:t>13,2</w:t>
      </w:r>
      <w:r w:rsidR="00EA6101" w:rsidRPr="00807147">
        <w:rPr>
          <w:rFonts w:ascii="Tahoma" w:hAnsi="Tahoma" w:cs="Tahoma"/>
          <w:sz w:val="24"/>
          <w:szCs w:val="24"/>
        </w:rPr>
        <w:t>%</w:t>
      </w:r>
      <w:r w:rsidR="003531D4">
        <w:rPr>
          <w:rFonts w:ascii="Tahoma" w:hAnsi="Tahoma" w:cs="Tahoma"/>
          <w:sz w:val="24"/>
          <w:szCs w:val="24"/>
        </w:rPr>
        <w:t>(+5,52 miliarde lei)</w:t>
      </w:r>
      <w:r w:rsidR="00EA6101" w:rsidRPr="00807147">
        <w:rPr>
          <w:rFonts w:ascii="Tahoma" w:hAnsi="Tahoma" w:cs="Tahoma"/>
          <w:sz w:val="24"/>
          <w:szCs w:val="24"/>
        </w:rPr>
        <w:t xml:space="preserve">. </w:t>
      </w:r>
      <w:r w:rsidR="006737B0" w:rsidRPr="00807147">
        <w:rPr>
          <w:rFonts w:ascii="Tahoma" w:hAnsi="Tahoma" w:cs="Tahoma"/>
          <w:sz w:val="24"/>
          <w:szCs w:val="24"/>
        </w:rPr>
        <w:t xml:space="preserve">Evoluția cheltuielilor cu asistența socială a fost influențată, în principal, </w:t>
      </w:r>
      <w:r w:rsidR="00F81DCA" w:rsidRPr="00807147">
        <w:rPr>
          <w:rFonts w:ascii="Tahoma" w:hAnsi="Tahoma" w:cs="Tahoma"/>
          <w:bCs/>
          <w:sz w:val="24"/>
          <w:szCs w:val="24"/>
        </w:rPr>
        <w:t>de majorarea de la 1 ianuarie 2023, a punctului de pensie cu 12,5%</w:t>
      </w:r>
      <w:r w:rsidR="00D12554" w:rsidRPr="00807147">
        <w:rPr>
          <w:rStyle w:val="FootnoteReference"/>
          <w:rFonts w:ascii="Tahoma" w:hAnsi="Tahoma" w:cs="Tahoma"/>
          <w:bCs/>
          <w:sz w:val="24"/>
          <w:szCs w:val="24"/>
        </w:rPr>
        <w:footnoteReference w:id="20"/>
      </w:r>
      <w:r w:rsidR="00F81DCA" w:rsidRPr="00807147">
        <w:rPr>
          <w:rFonts w:ascii="Tahoma" w:hAnsi="Tahoma" w:cs="Tahoma"/>
          <w:bCs/>
          <w:sz w:val="24"/>
          <w:szCs w:val="24"/>
        </w:rPr>
        <w:t xml:space="preserve">, respectiv de la 1.586 lei la 1.785 lei, a nivelului îndemnizației sociale pentru pensionari (pensia minimă) de la 1.000 lei la 1.125 lei, de acordarea unui ajutor financiar pensionarilor sistemului public de pensii, pensionarilor din sistemul pensiilor militare de stat </w:t>
      </w:r>
      <w:proofErr w:type="spellStart"/>
      <w:r w:rsidR="00F81DCA" w:rsidRPr="00807147">
        <w:rPr>
          <w:rFonts w:ascii="Tahoma" w:hAnsi="Tahoma" w:cs="Tahoma"/>
          <w:bCs/>
          <w:sz w:val="24"/>
          <w:szCs w:val="24"/>
        </w:rPr>
        <w:t>şi</w:t>
      </w:r>
      <w:proofErr w:type="spellEnd"/>
      <w:r w:rsidR="00F81DCA" w:rsidRPr="00807147">
        <w:rPr>
          <w:rFonts w:ascii="Tahoma" w:hAnsi="Tahoma" w:cs="Tahoma"/>
          <w:bCs/>
          <w:sz w:val="24"/>
          <w:szCs w:val="24"/>
        </w:rPr>
        <w:t xml:space="preserve"> beneficiarilor de drepturi prevăzute de legi cu caracter special plătite de casele teritoriale de pensii/casele de pensii sectoriale ale căror venituri lunare sunt mai mici sau egale cu 3.000 lei, precum și de acordarea celei de-a 13-a </w:t>
      </w:r>
      <w:r w:rsidR="001C5D69">
        <w:rPr>
          <w:rFonts w:ascii="Tahoma" w:hAnsi="Tahoma" w:cs="Tahoma"/>
          <w:bCs/>
          <w:sz w:val="24"/>
          <w:szCs w:val="24"/>
        </w:rPr>
        <w:t>i</w:t>
      </w:r>
      <w:r w:rsidR="001C5D69" w:rsidRPr="00807147">
        <w:rPr>
          <w:rFonts w:ascii="Tahoma" w:hAnsi="Tahoma" w:cs="Tahoma"/>
          <w:bCs/>
          <w:sz w:val="24"/>
          <w:szCs w:val="24"/>
        </w:rPr>
        <w:t>ndemnizații</w:t>
      </w:r>
      <w:r w:rsidR="00F81DCA" w:rsidRPr="00807147">
        <w:rPr>
          <w:rFonts w:ascii="Tahoma" w:hAnsi="Tahoma" w:cs="Tahoma"/>
          <w:bCs/>
          <w:sz w:val="24"/>
          <w:szCs w:val="24"/>
        </w:rPr>
        <w:t xml:space="preserve"> pentru persoanele cu </w:t>
      </w:r>
      <w:r w:rsidR="001C5D69" w:rsidRPr="00807147">
        <w:rPr>
          <w:rFonts w:ascii="Tahoma" w:hAnsi="Tahoma" w:cs="Tahoma"/>
          <w:bCs/>
          <w:sz w:val="24"/>
          <w:szCs w:val="24"/>
        </w:rPr>
        <w:t>dizabilități</w:t>
      </w:r>
      <w:r w:rsidR="00F81DCA" w:rsidRPr="00807147">
        <w:rPr>
          <w:rFonts w:ascii="Tahoma" w:hAnsi="Tahoma" w:cs="Tahoma"/>
          <w:bCs/>
          <w:sz w:val="24"/>
          <w:szCs w:val="24"/>
        </w:rPr>
        <w:t xml:space="preserve"> sub forma unei </w:t>
      </w:r>
      <w:r w:rsidR="001C5D69" w:rsidRPr="00807147">
        <w:rPr>
          <w:rFonts w:ascii="Tahoma" w:hAnsi="Tahoma" w:cs="Tahoma"/>
          <w:bCs/>
          <w:sz w:val="24"/>
          <w:szCs w:val="24"/>
        </w:rPr>
        <w:t>indemnizații</w:t>
      </w:r>
      <w:r w:rsidR="00F81DCA" w:rsidRPr="00807147">
        <w:rPr>
          <w:rFonts w:ascii="Tahoma" w:hAnsi="Tahoma" w:cs="Tahoma"/>
          <w:bCs/>
          <w:sz w:val="24"/>
          <w:szCs w:val="24"/>
        </w:rPr>
        <w:t xml:space="preserve"> compensatorii. </w:t>
      </w:r>
    </w:p>
    <w:p w:rsidR="00F81DCA" w:rsidRPr="00601B02" w:rsidRDefault="00F81DCA" w:rsidP="00753D9F">
      <w:pPr>
        <w:spacing w:after="120" w:line="276" w:lineRule="auto"/>
        <w:jc w:val="both"/>
        <w:rPr>
          <w:rFonts w:ascii="Tahoma" w:hAnsi="Tahoma" w:cs="Tahoma"/>
          <w:bCs/>
          <w:sz w:val="24"/>
          <w:szCs w:val="24"/>
        </w:rPr>
      </w:pPr>
      <w:r w:rsidRPr="00601B02">
        <w:rPr>
          <w:rFonts w:ascii="Tahoma" w:hAnsi="Tahoma" w:cs="Tahoma"/>
          <w:bCs/>
          <w:sz w:val="24"/>
          <w:szCs w:val="24"/>
        </w:rPr>
        <w:t>Cheltuielile cu asistența socială au fost influențate și de plățile suportate de la bugetul de stat pentru compensarea facturilor aferente consumului de energie electrică și gaze naturale,</w:t>
      </w:r>
      <w:r w:rsidR="005F4DF1" w:rsidRPr="00601B02">
        <w:rPr>
          <w:rFonts w:ascii="Tahoma" w:hAnsi="Tahoma" w:cs="Tahoma"/>
          <w:bCs/>
          <w:sz w:val="24"/>
          <w:szCs w:val="24"/>
        </w:rPr>
        <w:t xml:space="preserve"> </w:t>
      </w:r>
      <w:r w:rsidR="00D12554" w:rsidRPr="00601B02">
        <w:rPr>
          <w:rFonts w:ascii="Tahoma" w:hAnsi="Tahoma" w:cs="Tahoma"/>
          <w:bCs/>
          <w:sz w:val="24"/>
          <w:szCs w:val="24"/>
        </w:rPr>
        <w:t xml:space="preserve">care în perioada analizată </w:t>
      </w:r>
      <w:r w:rsidRPr="00601B02">
        <w:rPr>
          <w:rFonts w:ascii="Tahoma" w:hAnsi="Tahoma" w:cs="Tahoma"/>
          <w:bCs/>
          <w:sz w:val="24"/>
          <w:szCs w:val="24"/>
        </w:rPr>
        <w:t>au fost în sumă de 1,1</w:t>
      </w:r>
      <w:r w:rsidR="00601B02" w:rsidRPr="00601B02">
        <w:rPr>
          <w:rFonts w:ascii="Tahoma" w:hAnsi="Tahoma" w:cs="Tahoma"/>
          <w:bCs/>
          <w:sz w:val="24"/>
          <w:szCs w:val="24"/>
        </w:rPr>
        <w:t>1</w:t>
      </w:r>
      <w:r w:rsidRPr="00601B02">
        <w:rPr>
          <w:rFonts w:ascii="Tahoma" w:hAnsi="Tahoma" w:cs="Tahoma"/>
          <w:bCs/>
          <w:sz w:val="24"/>
          <w:szCs w:val="24"/>
        </w:rPr>
        <w:t xml:space="preserve"> mld lei, precum și de majorarea alocațiilor de stat pentru copii începând cu 1 ianuarie 2023.</w:t>
      </w:r>
    </w:p>
    <w:p w:rsidR="006737B0" w:rsidRPr="00807147" w:rsidRDefault="006737B0" w:rsidP="00753D9F">
      <w:pPr>
        <w:spacing w:after="120" w:line="276" w:lineRule="auto"/>
        <w:jc w:val="both"/>
        <w:rPr>
          <w:rFonts w:ascii="Tahoma" w:hAnsi="Tahoma" w:cs="Tahoma"/>
          <w:bCs/>
          <w:sz w:val="24"/>
          <w:szCs w:val="24"/>
        </w:rPr>
      </w:pPr>
      <w:r w:rsidRPr="00807147">
        <w:rPr>
          <w:rFonts w:ascii="Tahoma" w:hAnsi="Tahoma" w:cs="Tahoma"/>
          <w:b/>
          <w:bCs/>
          <w:sz w:val="24"/>
          <w:szCs w:val="24"/>
        </w:rPr>
        <w:t>Alte cheltuieli</w:t>
      </w:r>
      <w:r w:rsidRPr="00807147">
        <w:rPr>
          <w:rFonts w:ascii="Tahoma" w:hAnsi="Tahoma" w:cs="Tahoma"/>
          <w:bCs/>
          <w:sz w:val="24"/>
          <w:szCs w:val="24"/>
        </w:rPr>
        <w:t xml:space="preserve"> reprezentând, în principal, </w:t>
      </w:r>
      <w:r w:rsidR="00BA3242" w:rsidRPr="00807147">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807147">
        <w:rPr>
          <w:rFonts w:ascii="Tahoma" w:hAnsi="Tahoma" w:cs="Tahoma"/>
          <w:bCs/>
          <w:sz w:val="24"/>
          <w:szCs w:val="24"/>
        </w:rPr>
        <w:t xml:space="preserve">, au însumat </w:t>
      </w:r>
      <w:r w:rsidR="003531D4">
        <w:rPr>
          <w:rFonts w:ascii="Tahoma" w:hAnsi="Tahoma" w:cs="Tahoma"/>
          <w:bCs/>
          <w:sz w:val="24"/>
          <w:szCs w:val="24"/>
        </w:rPr>
        <w:t>2,76</w:t>
      </w:r>
      <w:r w:rsidRPr="00807147">
        <w:rPr>
          <w:rFonts w:ascii="Tahoma" w:hAnsi="Tahoma" w:cs="Tahoma"/>
          <w:bCs/>
          <w:sz w:val="24"/>
          <w:szCs w:val="24"/>
        </w:rPr>
        <w:t xml:space="preserve"> </w:t>
      </w:r>
      <w:r w:rsidR="00602503" w:rsidRPr="00807147">
        <w:rPr>
          <w:rFonts w:ascii="Tahoma" w:hAnsi="Tahoma" w:cs="Tahoma"/>
          <w:bCs/>
          <w:sz w:val="24"/>
          <w:szCs w:val="24"/>
        </w:rPr>
        <w:t>miliarde</w:t>
      </w:r>
      <w:r w:rsidRPr="00807147">
        <w:rPr>
          <w:rFonts w:ascii="Tahoma" w:hAnsi="Tahoma" w:cs="Tahoma"/>
          <w:bCs/>
          <w:sz w:val="24"/>
          <w:szCs w:val="24"/>
        </w:rPr>
        <w:t xml:space="preserve"> lei</w:t>
      </w:r>
      <w:r w:rsidR="004260FF" w:rsidRPr="00807147">
        <w:rPr>
          <w:rFonts w:ascii="Tahoma" w:hAnsi="Tahoma" w:cs="Tahoma"/>
          <w:bCs/>
          <w:sz w:val="24"/>
          <w:szCs w:val="24"/>
        </w:rPr>
        <w:t xml:space="preserve">, reprezentând </w:t>
      </w:r>
      <w:r w:rsidR="003531D4">
        <w:rPr>
          <w:rFonts w:ascii="Tahoma" w:hAnsi="Tahoma" w:cs="Tahoma"/>
          <w:bCs/>
          <w:sz w:val="24"/>
          <w:szCs w:val="24"/>
        </w:rPr>
        <w:t>107,8</w:t>
      </w:r>
      <w:r w:rsidRPr="00807147">
        <w:rPr>
          <w:rFonts w:ascii="Tahoma" w:hAnsi="Tahoma" w:cs="Tahoma"/>
          <w:bCs/>
          <w:sz w:val="24"/>
          <w:szCs w:val="24"/>
        </w:rPr>
        <w:t>% din programul estimat pe</w:t>
      </w:r>
      <w:r w:rsidR="00CC56B5" w:rsidRPr="00807147">
        <w:rPr>
          <w:rFonts w:ascii="Tahoma" w:hAnsi="Tahoma" w:cs="Tahoma"/>
          <w:bCs/>
          <w:sz w:val="24"/>
          <w:szCs w:val="24"/>
        </w:rPr>
        <w:t>ntru</w:t>
      </w:r>
      <w:r w:rsidR="00DB3A55" w:rsidRPr="00807147">
        <w:rPr>
          <w:rFonts w:ascii="Tahoma" w:hAnsi="Tahoma" w:cs="Tahoma"/>
          <w:bCs/>
          <w:sz w:val="24"/>
          <w:szCs w:val="24"/>
        </w:rPr>
        <w:t xml:space="preserve"> </w:t>
      </w:r>
      <w:r w:rsidR="003531D4">
        <w:rPr>
          <w:rFonts w:ascii="Tahoma" w:hAnsi="Tahoma" w:cs="Tahoma"/>
          <w:bCs/>
          <w:sz w:val="24"/>
          <w:szCs w:val="24"/>
        </w:rPr>
        <w:t>al doilea</w:t>
      </w:r>
      <w:r w:rsidR="00DB3A55" w:rsidRPr="00807147">
        <w:rPr>
          <w:rFonts w:ascii="Tahoma" w:hAnsi="Tahoma" w:cs="Tahoma"/>
          <w:bCs/>
          <w:sz w:val="24"/>
          <w:szCs w:val="24"/>
        </w:rPr>
        <w:t xml:space="preserve"> trimestru a</w:t>
      </w:r>
      <w:r w:rsidR="00BA3242" w:rsidRPr="00807147">
        <w:rPr>
          <w:rFonts w:ascii="Tahoma" w:hAnsi="Tahoma" w:cs="Tahoma"/>
          <w:bCs/>
          <w:sz w:val="24"/>
          <w:szCs w:val="24"/>
        </w:rPr>
        <w:t>l</w:t>
      </w:r>
      <w:r w:rsidR="00DB3A55" w:rsidRPr="00807147">
        <w:rPr>
          <w:rFonts w:ascii="Tahoma" w:hAnsi="Tahoma" w:cs="Tahoma"/>
          <w:bCs/>
          <w:sz w:val="24"/>
          <w:szCs w:val="24"/>
        </w:rPr>
        <w:t xml:space="preserve"> anului 202</w:t>
      </w:r>
      <w:r w:rsidR="00F81DCA" w:rsidRPr="00807147">
        <w:rPr>
          <w:rFonts w:ascii="Tahoma" w:hAnsi="Tahoma" w:cs="Tahoma"/>
          <w:bCs/>
          <w:sz w:val="24"/>
          <w:szCs w:val="24"/>
        </w:rPr>
        <w:t>3</w:t>
      </w:r>
      <w:r w:rsidR="003531D4">
        <w:rPr>
          <w:rFonts w:ascii="Tahoma" w:hAnsi="Tahoma" w:cs="Tahoma"/>
          <w:bCs/>
          <w:sz w:val="24"/>
          <w:szCs w:val="24"/>
        </w:rPr>
        <w:t xml:space="preserve"> recuperând astfel nerealizarea din primul trimestru</w:t>
      </w:r>
      <w:r w:rsidRPr="00807147">
        <w:rPr>
          <w:rFonts w:ascii="Tahoma" w:hAnsi="Tahoma" w:cs="Tahoma"/>
          <w:bCs/>
          <w:sz w:val="24"/>
          <w:szCs w:val="24"/>
        </w:rPr>
        <w:t>.</w:t>
      </w:r>
    </w:p>
    <w:p w:rsidR="0087489E" w:rsidRPr="00807147" w:rsidRDefault="00B10206" w:rsidP="0087489E">
      <w:pPr>
        <w:spacing w:before="120" w:after="120" w:line="276" w:lineRule="auto"/>
        <w:jc w:val="both"/>
        <w:rPr>
          <w:rFonts w:ascii="Tahoma" w:hAnsi="Tahoma" w:cs="Tahoma"/>
          <w:sz w:val="24"/>
          <w:szCs w:val="24"/>
        </w:rPr>
      </w:pPr>
      <w:r w:rsidRPr="00807147">
        <w:rPr>
          <w:rFonts w:ascii="Tahoma" w:hAnsi="Tahoma" w:cs="Tahoma"/>
          <w:b/>
          <w:bCs/>
          <w:sz w:val="24"/>
          <w:szCs w:val="24"/>
        </w:rPr>
        <w:lastRenderedPageBreak/>
        <w:t>Plățile pentru proiectele cu finanțare din fonduri UE</w:t>
      </w:r>
      <w:r w:rsidR="001C5D69">
        <w:rPr>
          <w:rFonts w:ascii="Tahoma" w:hAnsi="Tahoma" w:cs="Tahoma"/>
          <w:b/>
          <w:bCs/>
          <w:sz w:val="24"/>
          <w:szCs w:val="24"/>
        </w:rPr>
        <w:t xml:space="preserve"> </w:t>
      </w:r>
      <w:r w:rsidR="00AE2267" w:rsidRPr="00807147">
        <w:rPr>
          <w:rFonts w:ascii="Tahoma" w:hAnsi="Tahoma" w:cs="Tahoma"/>
          <w:bCs/>
          <w:sz w:val="24"/>
          <w:szCs w:val="24"/>
        </w:rPr>
        <w:t>(inclusiv cele finanțate din asistența financiară nerambursabilă aferentă PNRR)</w:t>
      </w:r>
      <w:r w:rsidR="00AE2267" w:rsidRPr="00807147">
        <w:rPr>
          <w:rFonts w:ascii="Tahoma" w:hAnsi="Tahoma" w:cs="Tahoma"/>
          <w:b/>
          <w:bCs/>
          <w:sz w:val="24"/>
          <w:szCs w:val="24"/>
        </w:rPr>
        <w:t xml:space="preserve"> </w:t>
      </w:r>
      <w:r w:rsidRPr="00807147">
        <w:rPr>
          <w:rFonts w:ascii="Tahoma" w:hAnsi="Tahoma" w:cs="Tahoma"/>
          <w:sz w:val="24"/>
          <w:szCs w:val="24"/>
        </w:rPr>
        <w:t>au reprezentat 0,</w:t>
      </w:r>
      <w:r w:rsidR="0062653C">
        <w:rPr>
          <w:rFonts w:ascii="Tahoma" w:hAnsi="Tahoma" w:cs="Tahoma"/>
          <w:sz w:val="24"/>
          <w:szCs w:val="24"/>
        </w:rPr>
        <w:t>9</w:t>
      </w:r>
      <w:r w:rsidRPr="00807147">
        <w:rPr>
          <w:rFonts w:ascii="Tahoma" w:hAnsi="Tahoma" w:cs="Tahoma"/>
          <w:sz w:val="24"/>
          <w:szCs w:val="24"/>
        </w:rPr>
        <w:t xml:space="preserve">% din PIB </w:t>
      </w:r>
      <w:r w:rsidR="00030BC0" w:rsidRPr="00807147">
        <w:rPr>
          <w:rFonts w:ascii="Tahoma" w:hAnsi="Tahoma" w:cs="Tahoma"/>
          <w:sz w:val="24"/>
          <w:szCs w:val="24"/>
        </w:rPr>
        <w:t>și</w:t>
      </w:r>
      <w:r w:rsidRPr="00807147">
        <w:rPr>
          <w:rFonts w:ascii="Tahoma" w:hAnsi="Tahoma" w:cs="Tahoma"/>
          <w:sz w:val="24"/>
          <w:szCs w:val="24"/>
        </w:rPr>
        <w:t xml:space="preserve"> </w:t>
      </w:r>
      <w:r w:rsidR="00030BC0" w:rsidRPr="00807147">
        <w:rPr>
          <w:rFonts w:ascii="Tahoma" w:hAnsi="Tahoma" w:cs="Tahoma"/>
          <w:sz w:val="24"/>
          <w:szCs w:val="24"/>
        </w:rPr>
        <w:t>s-</w:t>
      </w:r>
      <w:r w:rsidRPr="00807147">
        <w:rPr>
          <w:rFonts w:ascii="Tahoma" w:hAnsi="Tahoma" w:cs="Tahoma"/>
          <w:sz w:val="24"/>
          <w:szCs w:val="24"/>
        </w:rPr>
        <w:t xml:space="preserve">au efectuat în proporție de </w:t>
      </w:r>
      <w:r w:rsidR="003531D4">
        <w:rPr>
          <w:rFonts w:ascii="Tahoma" w:hAnsi="Tahoma" w:cs="Tahoma"/>
          <w:sz w:val="24"/>
          <w:szCs w:val="24"/>
        </w:rPr>
        <w:t>73,</w:t>
      </w:r>
      <w:r w:rsidR="0062653C">
        <w:rPr>
          <w:rFonts w:ascii="Tahoma" w:hAnsi="Tahoma" w:cs="Tahoma"/>
          <w:sz w:val="24"/>
          <w:szCs w:val="24"/>
        </w:rPr>
        <w:t>1</w:t>
      </w:r>
      <w:r w:rsidRPr="00807147">
        <w:rPr>
          <w:rFonts w:ascii="Tahoma" w:hAnsi="Tahoma" w:cs="Tahoma"/>
          <w:sz w:val="24"/>
          <w:szCs w:val="24"/>
        </w:rPr>
        <w:t>%</w:t>
      </w:r>
      <w:r w:rsidR="00102D79" w:rsidRPr="00807147">
        <w:rPr>
          <w:rFonts w:ascii="Tahoma" w:hAnsi="Tahoma" w:cs="Tahoma"/>
          <w:sz w:val="24"/>
          <w:szCs w:val="24"/>
        </w:rPr>
        <w:t xml:space="preserve"> din plățile prog</w:t>
      </w:r>
      <w:r w:rsidR="00AD3A0B" w:rsidRPr="00807147">
        <w:rPr>
          <w:rFonts w:ascii="Tahoma" w:hAnsi="Tahoma" w:cs="Tahoma"/>
          <w:sz w:val="24"/>
          <w:szCs w:val="24"/>
        </w:rPr>
        <w:t xml:space="preserve">ramate pentru perioada analizată. </w:t>
      </w:r>
    </w:p>
    <w:p w:rsidR="00AD3A0B" w:rsidRPr="00BD3DE4" w:rsidRDefault="00BA3242" w:rsidP="00AD3A0B">
      <w:pPr>
        <w:spacing w:before="120" w:after="120" w:line="276" w:lineRule="auto"/>
        <w:ind w:right="6"/>
        <w:jc w:val="both"/>
        <w:rPr>
          <w:rFonts w:ascii="Tahoma" w:hAnsi="Tahoma" w:cs="Tahoma"/>
          <w:sz w:val="24"/>
          <w:szCs w:val="24"/>
        </w:rPr>
      </w:pPr>
      <w:r w:rsidRPr="00807147">
        <w:rPr>
          <w:rFonts w:ascii="Tahoma" w:hAnsi="Tahoma" w:cs="Tahoma"/>
          <w:sz w:val="24"/>
          <w:szCs w:val="24"/>
        </w:rPr>
        <w:t>Comparativ cu trimestrul I</w:t>
      </w:r>
      <w:r w:rsidR="003531D4">
        <w:rPr>
          <w:rFonts w:ascii="Tahoma" w:hAnsi="Tahoma" w:cs="Tahoma"/>
          <w:sz w:val="24"/>
          <w:szCs w:val="24"/>
        </w:rPr>
        <w:t>I</w:t>
      </w:r>
      <w:r w:rsidRPr="00807147">
        <w:rPr>
          <w:rFonts w:ascii="Tahoma" w:hAnsi="Tahoma" w:cs="Tahoma"/>
          <w:sz w:val="24"/>
          <w:szCs w:val="24"/>
        </w:rPr>
        <w:t xml:space="preserve"> 202</w:t>
      </w:r>
      <w:r w:rsidR="00D60A49" w:rsidRPr="00807147">
        <w:rPr>
          <w:rFonts w:ascii="Tahoma" w:hAnsi="Tahoma" w:cs="Tahoma"/>
          <w:sz w:val="24"/>
          <w:szCs w:val="24"/>
        </w:rPr>
        <w:t>2</w:t>
      </w:r>
      <w:r w:rsidRPr="00807147">
        <w:rPr>
          <w:rFonts w:ascii="Tahoma" w:hAnsi="Tahoma" w:cs="Tahoma"/>
          <w:sz w:val="24"/>
          <w:szCs w:val="24"/>
        </w:rPr>
        <w:t xml:space="preserve"> plățile pentru proiectele cu finanțare din fonduri externe nerambursabile </w:t>
      </w:r>
      <w:r w:rsidR="003531D4">
        <w:rPr>
          <w:rFonts w:ascii="Tahoma" w:hAnsi="Tahoma" w:cs="Tahoma"/>
          <w:sz w:val="24"/>
          <w:szCs w:val="24"/>
        </w:rPr>
        <w:t>s-</w:t>
      </w:r>
      <w:r w:rsidRPr="00807147">
        <w:rPr>
          <w:rFonts w:ascii="Tahoma" w:hAnsi="Tahoma" w:cs="Tahoma"/>
          <w:sz w:val="24"/>
          <w:szCs w:val="24"/>
        </w:rPr>
        <w:t xml:space="preserve">au </w:t>
      </w:r>
      <w:r w:rsidR="003531D4">
        <w:rPr>
          <w:rFonts w:ascii="Tahoma" w:hAnsi="Tahoma" w:cs="Tahoma"/>
          <w:sz w:val="24"/>
          <w:szCs w:val="24"/>
        </w:rPr>
        <w:t>dublat (+7,44 miliarde lei)</w:t>
      </w:r>
      <w:r w:rsidR="00030BC0" w:rsidRPr="00807147">
        <w:rPr>
          <w:rFonts w:ascii="Tahoma" w:hAnsi="Tahoma" w:cs="Tahoma"/>
          <w:sz w:val="24"/>
          <w:szCs w:val="24"/>
        </w:rPr>
        <w:t>,</w:t>
      </w:r>
      <w:r w:rsidRPr="00807147">
        <w:rPr>
          <w:rFonts w:ascii="Tahoma" w:hAnsi="Tahoma" w:cs="Tahoma"/>
          <w:sz w:val="24"/>
          <w:szCs w:val="24"/>
        </w:rPr>
        <w:t xml:space="preserve"> iar ca procent în PIB </w:t>
      </w:r>
      <w:r w:rsidR="003531D4">
        <w:rPr>
          <w:rFonts w:ascii="Tahoma" w:hAnsi="Tahoma" w:cs="Tahoma"/>
          <w:sz w:val="24"/>
          <w:szCs w:val="24"/>
        </w:rPr>
        <w:t>și-au crescut valoarea cu 0,</w:t>
      </w:r>
      <w:r w:rsidR="0062653C">
        <w:rPr>
          <w:rFonts w:ascii="Tahoma" w:hAnsi="Tahoma" w:cs="Tahoma"/>
          <w:sz w:val="24"/>
          <w:szCs w:val="24"/>
        </w:rPr>
        <w:t xml:space="preserve">4 </w:t>
      </w:r>
      <w:r w:rsidR="003531D4">
        <w:rPr>
          <w:rFonts w:ascii="Tahoma" w:hAnsi="Tahoma" w:cs="Tahoma"/>
          <w:sz w:val="24"/>
          <w:szCs w:val="24"/>
        </w:rPr>
        <w:t xml:space="preserve">puncte procentuale de la 0,5% din PIB în </w:t>
      </w:r>
      <w:r w:rsidR="00BD3DE4">
        <w:rPr>
          <w:rFonts w:ascii="Tahoma" w:hAnsi="Tahoma" w:cs="Tahoma"/>
          <w:sz w:val="24"/>
          <w:szCs w:val="24"/>
        </w:rPr>
        <w:t>t</w:t>
      </w:r>
      <w:r w:rsidR="003531D4">
        <w:rPr>
          <w:rFonts w:ascii="Tahoma" w:hAnsi="Tahoma" w:cs="Tahoma"/>
          <w:sz w:val="24"/>
          <w:szCs w:val="24"/>
        </w:rPr>
        <w:t>rimestrul II 2022</w:t>
      </w:r>
      <w:r w:rsidR="001C5D69">
        <w:rPr>
          <w:rFonts w:ascii="Tahoma" w:hAnsi="Tahoma" w:cs="Tahoma"/>
          <w:sz w:val="24"/>
          <w:szCs w:val="24"/>
        </w:rPr>
        <w:t xml:space="preserve"> </w:t>
      </w:r>
      <w:r w:rsidR="003531D4">
        <w:rPr>
          <w:rFonts w:ascii="Tahoma" w:hAnsi="Tahoma" w:cs="Tahoma"/>
          <w:sz w:val="24"/>
          <w:szCs w:val="24"/>
        </w:rPr>
        <w:t>la 0,</w:t>
      </w:r>
      <w:r w:rsidR="0062653C">
        <w:rPr>
          <w:rFonts w:ascii="Tahoma" w:hAnsi="Tahoma" w:cs="Tahoma"/>
          <w:sz w:val="24"/>
          <w:szCs w:val="24"/>
        </w:rPr>
        <w:t>9</w:t>
      </w:r>
      <w:r w:rsidR="003531D4">
        <w:rPr>
          <w:rFonts w:ascii="Tahoma" w:hAnsi="Tahoma" w:cs="Tahoma"/>
          <w:sz w:val="24"/>
          <w:szCs w:val="24"/>
        </w:rPr>
        <w:t>% din PIB în perioada analizată.</w:t>
      </w:r>
      <w:r w:rsidRPr="00807147">
        <w:rPr>
          <w:rFonts w:ascii="Tahoma" w:hAnsi="Tahoma" w:cs="Tahoma"/>
          <w:sz w:val="24"/>
          <w:szCs w:val="24"/>
        </w:rPr>
        <w:t xml:space="preserve"> </w:t>
      </w:r>
      <w:r w:rsidR="00AD3A0B" w:rsidRPr="00BD3DE4">
        <w:rPr>
          <w:rFonts w:ascii="Tahoma" w:hAnsi="Tahoma" w:cs="Tahoma"/>
          <w:sz w:val="24"/>
          <w:szCs w:val="24"/>
        </w:rPr>
        <w:t xml:space="preserve">În comparație cu </w:t>
      </w:r>
      <w:r w:rsidR="0062653C">
        <w:rPr>
          <w:rFonts w:ascii="Tahoma" w:hAnsi="Tahoma" w:cs="Tahoma"/>
          <w:sz w:val="24"/>
          <w:szCs w:val="24"/>
        </w:rPr>
        <w:t>al doilea</w:t>
      </w:r>
      <w:r w:rsidR="00AD3A0B" w:rsidRPr="00BD3DE4">
        <w:rPr>
          <w:rFonts w:ascii="Tahoma" w:hAnsi="Tahoma" w:cs="Tahoma"/>
          <w:sz w:val="24"/>
          <w:szCs w:val="24"/>
        </w:rPr>
        <w:t xml:space="preserve"> trimestru al anului 2022 în perioada analizată au fost înregistrate plăți aferente proiectelor finanțate din fonduri externe nerambursabile aferente noului cadru financiar 2021-2027 cât și aferente proiectelor cu finanțare din sumele reprezentând asistența financiară nerambursabilă aferentă PNRR ceea ce reprezintă o influență de +</w:t>
      </w:r>
      <w:r w:rsidR="00750523" w:rsidRPr="00BD3DE4">
        <w:rPr>
          <w:rFonts w:ascii="Tahoma" w:hAnsi="Tahoma" w:cs="Tahoma"/>
          <w:sz w:val="24"/>
          <w:szCs w:val="24"/>
        </w:rPr>
        <w:t>1,</w:t>
      </w:r>
      <w:r w:rsidR="00BD3DE4" w:rsidRPr="00BD3DE4">
        <w:rPr>
          <w:rFonts w:ascii="Tahoma" w:hAnsi="Tahoma" w:cs="Tahoma"/>
          <w:sz w:val="24"/>
          <w:szCs w:val="24"/>
        </w:rPr>
        <w:t>75</w:t>
      </w:r>
      <w:r w:rsidR="00750523" w:rsidRPr="00BD3DE4">
        <w:rPr>
          <w:rFonts w:ascii="Tahoma" w:hAnsi="Tahoma" w:cs="Tahoma"/>
          <w:sz w:val="24"/>
          <w:szCs w:val="24"/>
        </w:rPr>
        <w:t xml:space="preserve"> miliarde lei</w:t>
      </w:r>
      <w:r w:rsidR="00AD3A0B" w:rsidRPr="00BD3DE4">
        <w:rPr>
          <w:rFonts w:ascii="Tahoma" w:hAnsi="Tahoma" w:cs="Tahoma"/>
          <w:sz w:val="24"/>
          <w:szCs w:val="24"/>
        </w:rPr>
        <w:t>.</w:t>
      </w:r>
      <w:r w:rsidR="00BD3DE4">
        <w:rPr>
          <w:rFonts w:ascii="Tahoma" w:hAnsi="Tahoma" w:cs="Tahoma"/>
          <w:sz w:val="24"/>
          <w:szCs w:val="24"/>
        </w:rPr>
        <w:t xml:space="preserve"> Totodată se constată o accelerare a plăților pentru proiectele finanțate din fondurile externe nerambursabile aferente cadrului financiar 2014-2020 creșterea comparativ cu trimestrul II 2022 fiind de 90,2%.</w:t>
      </w:r>
    </w:p>
    <w:p w:rsidR="00BD3DE4" w:rsidRDefault="00B10206" w:rsidP="00BD3DE4">
      <w:pPr>
        <w:spacing w:before="120" w:after="120" w:line="276" w:lineRule="auto"/>
        <w:ind w:right="6"/>
        <w:jc w:val="both"/>
        <w:rPr>
          <w:rFonts w:ascii="Tahoma" w:hAnsi="Tahoma" w:cs="Tahoma"/>
          <w:bCs/>
          <w:sz w:val="24"/>
          <w:szCs w:val="24"/>
        </w:rPr>
      </w:pPr>
      <w:r w:rsidRPr="00807147">
        <w:rPr>
          <w:rFonts w:ascii="Tahoma" w:hAnsi="Tahoma" w:cs="Tahoma"/>
          <w:b/>
          <w:sz w:val="24"/>
          <w:szCs w:val="24"/>
        </w:rPr>
        <w:t xml:space="preserve">Cheltuielile de capital </w:t>
      </w:r>
      <w:r w:rsidRPr="00807147">
        <w:rPr>
          <w:rFonts w:ascii="Tahoma" w:hAnsi="Tahoma" w:cs="Tahoma"/>
          <w:sz w:val="24"/>
          <w:szCs w:val="24"/>
        </w:rPr>
        <w:t>au reprezentat 0,</w:t>
      </w:r>
      <w:r w:rsidR="003531D4">
        <w:rPr>
          <w:rFonts w:ascii="Tahoma" w:hAnsi="Tahoma" w:cs="Tahoma"/>
          <w:sz w:val="24"/>
          <w:szCs w:val="24"/>
        </w:rPr>
        <w:t>6</w:t>
      </w:r>
      <w:r w:rsidRPr="00807147">
        <w:rPr>
          <w:rFonts w:ascii="Tahoma" w:hAnsi="Tahoma" w:cs="Tahoma"/>
          <w:sz w:val="24"/>
          <w:szCs w:val="24"/>
        </w:rPr>
        <w:t xml:space="preserve">% din PIB și s-au efectuat în proporție de </w:t>
      </w:r>
      <w:r w:rsidR="003531D4">
        <w:rPr>
          <w:rFonts w:ascii="Tahoma" w:hAnsi="Tahoma" w:cs="Tahoma"/>
          <w:sz w:val="24"/>
          <w:szCs w:val="24"/>
        </w:rPr>
        <w:t>92,2</w:t>
      </w:r>
      <w:r w:rsidRPr="00807147">
        <w:rPr>
          <w:rFonts w:ascii="Tahoma" w:hAnsi="Tahoma" w:cs="Tahoma"/>
          <w:sz w:val="24"/>
          <w:szCs w:val="24"/>
        </w:rPr>
        <w:t>% comparativ cu programul trimestrial.</w:t>
      </w:r>
      <w:r w:rsidR="000D317D" w:rsidRPr="00807147">
        <w:rPr>
          <w:rFonts w:ascii="Tahoma" w:hAnsi="Tahoma" w:cs="Tahoma"/>
          <w:sz w:val="24"/>
          <w:szCs w:val="24"/>
        </w:rPr>
        <w:t xml:space="preserve"> </w:t>
      </w:r>
      <w:r w:rsidR="004D41CA" w:rsidRPr="00807147">
        <w:rPr>
          <w:rFonts w:ascii="Tahoma" w:hAnsi="Tahoma" w:cs="Tahoma"/>
          <w:bCs/>
          <w:sz w:val="24"/>
          <w:szCs w:val="24"/>
        </w:rPr>
        <w:t>Comparativ cu aceeași perioadă a anului 202</w:t>
      </w:r>
      <w:r w:rsidR="00D60A49" w:rsidRPr="00807147">
        <w:rPr>
          <w:rFonts w:ascii="Tahoma" w:hAnsi="Tahoma" w:cs="Tahoma"/>
          <w:bCs/>
          <w:sz w:val="24"/>
          <w:szCs w:val="24"/>
        </w:rPr>
        <w:t>2</w:t>
      </w:r>
      <w:r w:rsidR="004D41CA" w:rsidRPr="00807147">
        <w:rPr>
          <w:rFonts w:ascii="Tahoma" w:hAnsi="Tahoma" w:cs="Tahoma"/>
          <w:bCs/>
          <w:sz w:val="24"/>
          <w:szCs w:val="24"/>
        </w:rPr>
        <w:t xml:space="preserve"> cheltuielile de capital </w:t>
      </w:r>
      <w:r w:rsidR="00D60A49" w:rsidRPr="00807147">
        <w:rPr>
          <w:rFonts w:ascii="Tahoma" w:hAnsi="Tahoma" w:cs="Tahoma"/>
          <w:bCs/>
          <w:sz w:val="24"/>
          <w:szCs w:val="24"/>
        </w:rPr>
        <w:t>au crescut</w:t>
      </w:r>
      <w:r w:rsidR="004D41CA" w:rsidRPr="00807147">
        <w:rPr>
          <w:rFonts w:ascii="Tahoma" w:hAnsi="Tahoma" w:cs="Tahoma"/>
          <w:bCs/>
          <w:sz w:val="24"/>
          <w:szCs w:val="24"/>
        </w:rPr>
        <w:t xml:space="preserve"> în termeni nominali cu </w:t>
      </w:r>
      <w:r w:rsidR="003531D4">
        <w:rPr>
          <w:rFonts w:ascii="Tahoma" w:hAnsi="Tahoma" w:cs="Tahoma"/>
          <w:bCs/>
          <w:sz w:val="24"/>
          <w:szCs w:val="24"/>
        </w:rPr>
        <w:t>37,9</w:t>
      </w:r>
      <w:r w:rsidR="004D41CA" w:rsidRPr="00807147">
        <w:rPr>
          <w:rFonts w:ascii="Tahoma" w:hAnsi="Tahoma" w:cs="Tahoma"/>
          <w:bCs/>
          <w:sz w:val="24"/>
          <w:szCs w:val="24"/>
        </w:rPr>
        <w:t>%</w:t>
      </w:r>
      <w:r w:rsidR="00030BC0" w:rsidRPr="00807147">
        <w:rPr>
          <w:rFonts w:ascii="Tahoma" w:hAnsi="Tahoma" w:cs="Tahoma"/>
          <w:bCs/>
          <w:sz w:val="24"/>
          <w:szCs w:val="24"/>
        </w:rPr>
        <w:t>,</w:t>
      </w:r>
      <w:r w:rsidR="004D41CA" w:rsidRPr="00807147">
        <w:rPr>
          <w:rFonts w:ascii="Tahoma" w:hAnsi="Tahoma" w:cs="Tahoma"/>
          <w:bCs/>
          <w:sz w:val="24"/>
          <w:szCs w:val="24"/>
        </w:rPr>
        <w:t xml:space="preserve"> iar ca pondere în PIB </w:t>
      </w:r>
      <w:r w:rsidR="0062653C">
        <w:rPr>
          <w:rFonts w:ascii="Tahoma" w:hAnsi="Tahoma" w:cs="Tahoma"/>
          <w:bCs/>
          <w:sz w:val="24"/>
          <w:szCs w:val="24"/>
        </w:rPr>
        <w:t>au crescut cu 0,1 punct</w:t>
      </w:r>
      <w:r w:rsidR="0086241A">
        <w:rPr>
          <w:rFonts w:ascii="Tahoma" w:hAnsi="Tahoma" w:cs="Tahoma"/>
          <w:bCs/>
          <w:sz w:val="24"/>
          <w:szCs w:val="24"/>
        </w:rPr>
        <w:t>e procentuale de la 0,5% din PIB în trimestrul II 2022 la 0,6% din PIB în trimestrul II 2023.</w:t>
      </w:r>
      <w:r w:rsidR="004D41CA" w:rsidRPr="00807147">
        <w:rPr>
          <w:rFonts w:ascii="Tahoma" w:hAnsi="Tahoma" w:cs="Tahoma"/>
          <w:bCs/>
          <w:sz w:val="24"/>
          <w:szCs w:val="24"/>
        </w:rPr>
        <w:t xml:space="preserve"> </w:t>
      </w:r>
    </w:p>
    <w:p w:rsidR="00CB7882" w:rsidRPr="00807147" w:rsidRDefault="00B10206" w:rsidP="00BD3DE4">
      <w:pPr>
        <w:spacing w:before="120" w:after="120" w:line="276" w:lineRule="auto"/>
        <w:ind w:right="6"/>
        <w:jc w:val="both"/>
        <w:rPr>
          <w:rFonts w:ascii="Tahoma" w:eastAsia="Calibri" w:hAnsi="Tahoma" w:cs="Tahoma"/>
          <w:sz w:val="24"/>
          <w:szCs w:val="24"/>
        </w:rPr>
      </w:pPr>
      <w:r w:rsidRPr="00807147">
        <w:rPr>
          <w:rFonts w:ascii="Tahoma" w:hAnsi="Tahoma" w:cs="Tahoma"/>
          <w:b/>
          <w:sz w:val="24"/>
          <w:szCs w:val="24"/>
        </w:rPr>
        <w:t>Cheltuielile pentru investiții</w:t>
      </w:r>
      <w:r w:rsidRPr="00807147">
        <w:rPr>
          <w:rFonts w:ascii="Tahoma" w:hAnsi="Tahoma" w:cs="Tahoma"/>
          <w:sz w:val="24"/>
          <w:szCs w:val="24"/>
        </w:rPr>
        <w:t xml:space="preserve"> (includ cheltuielile de capital, precum </w:t>
      </w:r>
      <w:r w:rsidR="00030BC0" w:rsidRPr="00807147">
        <w:rPr>
          <w:rFonts w:ascii="Tahoma" w:hAnsi="Tahoma" w:cs="Tahoma"/>
          <w:sz w:val="24"/>
          <w:szCs w:val="24"/>
        </w:rPr>
        <w:t>și</w:t>
      </w:r>
      <w:r w:rsidRPr="00807147">
        <w:rPr>
          <w:rFonts w:ascii="Tahoma" w:hAnsi="Tahoma" w:cs="Tahoma"/>
          <w:sz w:val="24"/>
          <w:szCs w:val="24"/>
        </w:rPr>
        <w:t xml:space="preserve"> cele aferente programelor de dezvoltare finanțate din surse interne </w:t>
      </w:r>
      <w:r w:rsidR="00030BC0" w:rsidRPr="00807147">
        <w:rPr>
          <w:rFonts w:ascii="Tahoma" w:hAnsi="Tahoma" w:cs="Tahoma"/>
          <w:sz w:val="24"/>
          <w:szCs w:val="24"/>
        </w:rPr>
        <w:t>și</w:t>
      </w:r>
      <w:r w:rsidRPr="00807147">
        <w:rPr>
          <w:rFonts w:ascii="Tahoma" w:hAnsi="Tahoma" w:cs="Tahoma"/>
          <w:sz w:val="24"/>
          <w:szCs w:val="24"/>
        </w:rPr>
        <w:t xml:space="preserve"> externe) în </w:t>
      </w:r>
      <w:r w:rsidR="0086241A">
        <w:rPr>
          <w:rFonts w:ascii="Tahoma" w:hAnsi="Tahoma" w:cs="Tahoma"/>
          <w:sz w:val="24"/>
          <w:szCs w:val="24"/>
        </w:rPr>
        <w:t xml:space="preserve">al doilea </w:t>
      </w:r>
      <w:r w:rsidRPr="00807147">
        <w:rPr>
          <w:rFonts w:ascii="Tahoma" w:hAnsi="Tahoma" w:cs="Tahoma"/>
          <w:sz w:val="24"/>
          <w:szCs w:val="24"/>
        </w:rPr>
        <w:t>trimestru al anului 202</w:t>
      </w:r>
      <w:r w:rsidR="001E19BB" w:rsidRPr="00807147">
        <w:rPr>
          <w:rFonts w:ascii="Tahoma" w:hAnsi="Tahoma" w:cs="Tahoma"/>
          <w:sz w:val="24"/>
          <w:szCs w:val="24"/>
        </w:rPr>
        <w:t>3</w:t>
      </w:r>
      <w:r w:rsidRPr="00807147">
        <w:rPr>
          <w:rFonts w:ascii="Tahoma" w:hAnsi="Tahoma" w:cs="Tahoma"/>
          <w:sz w:val="24"/>
          <w:szCs w:val="24"/>
        </w:rPr>
        <w:t xml:space="preserve"> au totalizat</w:t>
      </w:r>
      <w:r w:rsidR="0062653C">
        <w:rPr>
          <w:rFonts w:ascii="Tahoma" w:hAnsi="Tahoma" w:cs="Tahoma"/>
          <w:sz w:val="24"/>
          <w:szCs w:val="24"/>
        </w:rPr>
        <w:t>,</w:t>
      </w:r>
      <w:r w:rsidRPr="00807147">
        <w:rPr>
          <w:rFonts w:ascii="Tahoma" w:hAnsi="Tahoma" w:cs="Tahoma"/>
          <w:sz w:val="24"/>
          <w:szCs w:val="24"/>
        </w:rPr>
        <w:t xml:space="preserve"> în termeni nominali</w:t>
      </w:r>
      <w:r w:rsidR="0062653C">
        <w:rPr>
          <w:rFonts w:ascii="Tahoma" w:hAnsi="Tahoma" w:cs="Tahoma"/>
          <w:sz w:val="24"/>
          <w:szCs w:val="24"/>
        </w:rPr>
        <w:t>,</w:t>
      </w:r>
      <w:r w:rsidRPr="00807147">
        <w:rPr>
          <w:rFonts w:ascii="Tahoma" w:hAnsi="Tahoma" w:cs="Tahoma"/>
          <w:sz w:val="24"/>
          <w:szCs w:val="24"/>
        </w:rPr>
        <w:t xml:space="preserve"> </w:t>
      </w:r>
      <w:r w:rsidR="007C0355">
        <w:rPr>
          <w:rFonts w:ascii="Tahoma" w:hAnsi="Tahoma" w:cs="Tahoma"/>
          <w:bCs/>
          <w:sz w:val="24"/>
          <w:szCs w:val="24"/>
        </w:rPr>
        <w:t>19,64</w:t>
      </w:r>
      <w:r w:rsidR="004D41CA" w:rsidRPr="00807147">
        <w:rPr>
          <w:rFonts w:ascii="Tahoma" w:hAnsi="Tahoma" w:cs="Tahoma"/>
          <w:b/>
          <w:bCs/>
          <w:sz w:val="24"/>
          <w:szCs w:val="24"/>
        </w:rPr>
        <w:t xml:space="preserve"> </w:t>
      </w:r>
      <w:r w:rsidR="00602503" w:rsidRPr="00807147">
        <w:rPr>
          <w:rFonts w:ascii="Tahoma" w:hAnsi="Tahoma" w:cs="Tahoma"/>
          <w:bCs/>
          <w:sz w:val="24"/>
          <w:szCs w:val="24"/>
        </w:rPr>
        <w:t>miliarde</w:t>
      </w:r>
      <w:r w:rsidR="004D41CA" w:rsidRPr="00807147">
        <w:rPr>
          <w:rFonts w:ascii="Tahoma" w:hAnsi="Tahoma" w:cs="Tahoma"/>
          <w:bCs/>
          <w:sz w:val="24"/>
          <w:szCs w:val="24"/>
        </w:rPr>
        <w:t xml:space="preserve"> lei (</w:t>
      </w:r>
      <w:r w:rsidR="007C0355">
        <w:rPr>
          <w:rFonts w:ascii="Tahoma" w:hAnsi="Tahoma" w:cs="Tahoma"/>
          <w:bCs/>
          <w:sz w:val="24"/>
          <w:szCs w:val="24"/>
        </w:rPr>
        <w:t>1,2</w:t>
      </w:r>
      <w:r w:rsidR="004D41CA" w:rsidRPr="00807147">
        <w:rPr>
          <w:rFonts w:ascii="Tahoma" w:hAnsi="Tahoma" w:cs="Tahoma"/>
          <w:bCs/>
          <w:sz w:val="24"/>
          <w:szCs w:val="24"/>
        </w:rPr>
        <w:t xml:space="preserve"> % din PIB)</w:t>
      </w:r>
      <w:r w:rsidR="004D41CA" w:rsidRPr="00807147">
        <w:rPr>
          <w:rFonts w:ascii="Tahoma" w:eastAsia="Calibri" w:hAnsi="Tahoma" w:cs="Tahoma"/>
          <w:sz w:val="24"/>
          <w:szCs w:val="24"/>
        </w:rPr>
        <w:t xml:space="preserve"> în creștere cu </w:t>
      </w:r>
      <w:r w:rsidR="007C0355">
        <w:rPr>
          <w:rFonts w:ascii="Tahoma" w:eastAsia="Calibri" w:hAnsi="Tahoma" w:cs="Tahoma"/>
          <w:sz w:val="24"/>
          <w:szCs w:val="24"/>
        </w:rPr>
        <w:t>55,89</w:t>
      </w:r>
      <w:r w:rsidR="004D41CA" w:rsidRPr="00807147">
        <w:rPr>
          <w:rFonts w:ascii="Tahoma" w:eastAsia="Calibri" w:hAnsi="Tahoma" w:cs="Tahoma"/>
          <w:sz w:val="24"/>
          <w:szCs w:val="24"/>
        </w:rPr>
        <w:t>% comparativ cu aceeași perioadă a anului precedent</w:t>
      </w:r>
      <w:r w:rsidR="003774BA" w:rsidRPr="00807147">
        <w:rPr>
          <w:rFonts w:ascii="Tahoma" w:eastAsia="Calibri" w:hAnsi="Tahoma" w:cs="Tahoma"/>
          <w:sz w:val="24"/>
          <w:szCs w:val="24"/>
        </w:rPr>
        <w:t>.</w:t>
      </w:r>
      <w:r w:rsidR="004D41CA" w:rsidRPr="00807147">
        <w:rPr>
          <w:rFonts w:ascii="Tahoma" w:eastAsia="Calibri" w:hAnsi="Tahoma" w:cs="Tahoma"/>
          <w:sz w:val="24"/>
          <w:szCs w:val="24"/>
        </w:rPr>
        <w:t xml:space="preserve"> </w:t>
      </w:r>
    </w:p>
    <w:p w:rsidR="003774BA" w:rsidRPr="00807147" w:rsidRDefault="003774BA" w:rsidP="00753D9F">
      <w:pPr>
        <w:spacing w:after="120" w:line="276" w:lineRule="auto"/>
        <w:jc w:val="both"/>
        <w:rPr>
          <w:rFonts w:ascii="Tahoma" w:eastAsia="Calibri" w:hAnsi="Tahoma" w:cs="Tahoma"/>
          <w:sz w:val="24"/>
          <w:szCs w:val="24"/>
        </w:rPr>
      </w:pPr>
    </w:p>
    <w:p w:rsidR="00753D9F" w:rsidRPr="00807147" w:rsidRDefault="00753D9F">
      <w:pPr>
        <w:rPr>
          <w:rFonts w:ascii="Tahoma" w:hAnsi="Tahoma" w:cs="Tahoma"/>
          <w:bCs/>
          <w:sz w:val="24"/>
          <w:szCs w:val="24"/>
        </w:rPr>
      </w:pPr>
      <w:r w:rsidRPr="00807147">
        <w:rPr>
          <w:rFonts w:ascii="Tahoma" w:hAnsi="Tahoma" w:cs="Tahoma"/>
          <w:bCs/>
          <w:sz w:val="24"/>
          <w:szCs w:val="24"/>
        </w:rPr>
        <w:br w:type="page"/>
      </w:r>
    </w:p>
    <w:p w:rsidR="00373FDE" w:rsidRPr="00807147"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CONCLUZII</w:t>
      </w:r>
    </w:p>
    <w:p w:rsidR="00415B7E" w:rsidRPr="00807147" w:rsidRDefault="00415B7E"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Având în vedere evoluția veniturilor</w:t>
      </w:r>
      <w:r w:rsidR="00315666" w:rsidRPr="00807147">
        <w:rPr>
          <w:rFonts w:ascii="Tahoma" w:hAnsi="Tahoma" w:cs="Tahoma"/>
          <w:bCs/>
          <w:sz w:val="24"/>
          <w:szCs w:val="24"/>
        </w:rPr>
        <w:t xml:space="preserve"> și cheltuielilor</w:t>
      </w:r>
      <w:r w:rsidRPr="00807147">
        <w:rPr>
          <w:rFonts w:ascii="Tahoma" w:hAnsi="Tahoma" w:cs="Tahoma"/>
          <w:bCs/>
          <w:sz w:val="24"/>
          <w:szCs w:val="24"/>
        </w:rPr>
        <w:t xml:space="preserve"> bugetare, soldul bugetar </w:t>
      </w:r>
      <w:r w:rsidR="00315666" w:rsidRPr="00807147">
        <w:rPr>
          <w:rFonts w:ascii="Tahoma" w:hAnsi="Tahoma" w:cs="Tahoma"/>
          <w:bCs/>
          <w:sz w:val="24"/>
          <w:szCs w:val="24"/>
        </w:rPr>
        <w:t>aferent</w:t>
      </w:r>
      <w:r w:rsidRPr="00807147">
        <w:rPr>
          <w:rFonts w:ascii="Tahoma" w:hAnsi="Tahoma" w:cs="Tahoma"/>
          <w:bCs/>
          <w:sz w:val="24"/>
          <w:szCs w:val="24"/>
        </w:rPr>
        <w:t xml:space="preserve"> </w:t>
      </w:r>
      <w:r w:rsidR="00DF46B2">
        <w:rPr>
          <w:rFonts w:ascii="Tahoma" w:hAnsi="Tahoma" w:cs="Tahoma"/>
          <w:bCs/>
          <w:sz w:val="24"/>
          <w:szCs w:val="24"/>
        </w:rPr>
        <w:t xml:space="preserve">trimestrului II al anului 2023 </w:t>
      </w:r>
      <w:r w:rsidR="00485E21">
        <w:rPr>
          <w:rFonts w:ascii="Tahoma" w:hAnsi="Tahoma" w:cs="Tahoma"/>
          <w:bCs/>
          <w:sz w:val="24"/>
          <w:szCs w:val="24"/>
        </w:rPr>
        <w:t>s-</w:t>
      </w:r>
      <w:r w:rsidR="00DF46B2">
        <w:rPr>
          <w:rFonts w:ascii="Tahoma" w:hAnsi="Tahoma" w:cs="Tahoma"/>
          <w:bCs/>
          <w:sz w:val="24"/>
          <w:szCs w:val="24"/>
        </w:rPr>
        <w:t xml:space="preserve">a </w:t>
      </w:r>
      <w:r w:rsidR="00485E21">
        <w:rPr>
          <w:rFonts w:ascii="Tahoma" w:hAnsi="Tahoma" w:cs="Tahoma"/>
          <w:bCs/>
          <w:sz w:val="24"/>
          <w:szCs w:val="24"/>
        </w:rPr>
        <w:t>situat peste</w:t>
      </w:r>
      <w:r w:rsidR="00DF46B2">
        <w:rPr>
          <w:rFonts w:ascii="Tahoma" w:hAnsi="Tahoma" w:cs="Tahoma"/>
          <w:bCs/>
          <w:sz w:val="24"/>
          <w:szCs w:val="24"/>
        </w:rPr>
        <w:t xml:space="preserve"> ținta trimestrială. Totuși această depășire a fost acoperită în totalitate de economiile înregistrate în primul trimestru ceea ce a condus la încadrarea în ținta stabilită pentru primul semestru al anului 2023.</w:t>
      </w:r>
    </w:p>
    <w:p w:rsidR="00D750B6" w:rsidRPr="00807147" w:rsidRDefault="001E19BB" w:rsidP="00662448">
      <w:pPr>
        <w:spacing w:after="120"/>
        <w:ind w:right="6"/>
        <w:jc w:val="both"/>
        <w:rPr>
          <w:rFonts w:ascii="Tahoma" w:hAnsi="Tahoma" w:cs="Tahoma"/>
          <w:bCs/>
          <w:sz w:val="24"/>
          <w:szCs w:val="24"/>
        </w:rPr>
      </w:pPr>
      <w:r w:rsidRPr="00807147">
        <w:rPr>
          <w:rFonts w:ascii="Tahoma" w:hAnsi="Tahoma" w:cs="Tahoma"/>
          <w:bCs/>
          <w:sz w:val="24"/>
          <w:szCs w:val="24"/>
        </w:rPr>
        <w:t>În perioada analizată</w:t>
      </w:r>
      <w:r w:rsidR="008849D9" w:rsidRPr="00807147">
        <w:rPr>
          <w:rFonts w:ascii="Tahoma" w:hAnsi="Tahoma" w:cs="Tahoma"/>
          <w:bCs/>
          <w:sz w:val="24"/>
          <w:szCs w:val="24"/>
        </w:rPr>
        <w:t xml:space="preserve"> </w:t>
      </w:r>
      <w:r w:rsidRPr="00807147">
        <w:rPr>
          <w:rFonts w:ascii="Tahoma" w:hAnsi="Tahoma" w:cs="Tahoma"/>
          <w:bCs/>
          <w:sz w:val="24"/>
          <w:szCs w:val="24"/>
        </w:rPr>
        <w:t xml:space="preserve">veniturile bugetului general consolidat nu au reușit să atingă nivelul programat atât pe fondul nerealizării </w:t>
      </w:r>
      <w:r w:rsidR="002D0E08" w:rsidRPr="00807147">
        <w:rPr>
          <w:rFonts w:ascii="Tahoma" w:hAnsi="Tahoma" w:cs="Tahoma"/>
          <w:bCs/>
          <w:sz w:val="24"/>
          <w:szCs w:val="24"/>
        </w:rPr>
        <w:t>v</w:t>
      </w:r>
      <w:r w:rsidR="005E607E" w:rsidRPr="00807147">
        <w:rPr>
          <w:rFonts w:ascii="Tahoma" w:hAnsi="Tahoma" w:cs="Tahoma"/>
          <w:bCs/>
          <w:sz w:val="24"/>
          <w:szCs w:val="24"/>
        </w:rPr>
        <w:t>enituril</w:t>
      </w:r>
      <w:r w:rsidR="00021BE4" w:rsidRPr="00807147">
        <w:rPr>
          <w:rFonts w:ascii="Tahoma" w:hAnsi="Tahoma" w:cs="Tahoma"/>
          <w:bCs/>
          <w:sz w:val="24"/>
          <w:szCs w:val="24"/>
        </w:rPr>
        <w:t>or</w:t>
      </w:r>
      <w:r w:rsidR="005E607E" w:rsidRPr="00807147">
        <w:rPr>
          <w:rFonts w:ascii="Tahoma" w:hAnsi="Tahoma" w:cs="Tahoma"/>
          <w:bCs/>
          <w:sz w:val="24"/>
          <w:szCs w:val="24"/>
        </w:rPr>
        <w:t xml:space="preserve"> programate a fi încasate din economia internă</w:t>
      </w:r>
      <w:r w:rsidR="00D750B6" w:rsidRPr="00807147">
        <w:rPr>
          <w:rFonts w:ascii="Tahoma" w:hAnsi="Tahoma" w:cs="Tahoma"/>
          <w:bCs/>
          <w:sz w:val="24"/>
          <w:szCs w:val="24"/>
        </w:rPr>
        <w:t xml:space="preserve">, dar </w:t>
      </w:r>
      <w:r w:rsidR="00021BE4" w:rsidRPr="00807147">
        <w:rPr>
          <w:rFonts w:ascii="Tahoma" w:hAnsi="Tahoma" w:cs="Tahoma"/>
          <w:bCs/>
          <w:sz w:val="24"/>
          <w:szCs w:val="24"/>
        </w:rPr>
        <w:t xml:space="preserve">mai ales pe fondul nerealizării veniturilor programate a fi atrase din fondurile externe nerambursabile. </w:t>
      </w:r>
      <w:r w:rsidR="00D750B6" w:rsidRPr="00807147">
        <w:rPr>
          <w:rFonts w:ascii="Tahoma" w:hAnsi="Tahoma" w:cs="Tahoma"/>
          <w:bCs/>
          <w:sz w:val="24"/>
          <w:szCs w:val="24"/>
        </w:rPr>
        <w:t xml:space="preserve">În </w:t>
      </w:r>
      <w:r w:rsidR="00DF46B2">
        <w:rPr>
          <w:rFonts w:ascii="Tahoma" w:hAnsi="Tahoma" w:cs="Tahoma"/>
          <w:bCs/>
          <w:sz w:val="24"/>
          <w:szCs w:val="24"/>
        </w:rPr>
        <w:t>al doilea</w:t>
      </w:r>
      <w:r w:rsidR="00D750B6" w:rsidRPr="00807147">
        <w:rPr>
          <w:rFonts w:ascii="Tahoma" w:hAnsi="Tahoma" w:cs="Tahoma"/>
          <w:bCs/>
          <w:sz w:val="24"/>
          <w:szCs w:val="24"/>
        </w:rPr>
        <w:t xml:space="preserve"> trimestru al anului 202</w:t>
      </w:r>
      <w:r w:rsidR="00DF46B2">
        <w:rPr>
          <w:rFonts w:ascii="Tahoma" w:hAnsi="Tahoma" w:cs="Tahoma"/>
          <w:bCs/>
          <w:sz w:val="24"/>
          <w:szCs w:val="24"/>
        </w:rPr>
        <w:t>3</w:t>
      </w:r>
      <w:r w:rsidR="00D750B6" w:rsidRPr="00807147">
        <w:rPr>
          <w:rFonts w:ascii="Tahoma" w:hAnsi="Tahoma" w:cs="Tahoma"/>
          <w:bCs/>
          <w:sz w:val="24"/>
          <w:szCs w:val="24"/>
        </w:rPr>
        <w:t xml:space="preserve"> venituril</w:t>
      </w:r>
      <w:r w:rsidR="00DF46B2">
        <w:rPr>
          <w:rFonts w:ascii="Tahoma" w:hAnsi="Tahoma" w:cs="Tahoma"/>
          <w:bCs/>
          <w:sz w:val="24"/>
          <w:szCs w:val="24"/>
        </w:rPr>
        <w:t>e</w:t>
      </w:r>
      <w:r w:rsidR="00D750B6" w:rsidRPr="00807147">
        <w:rPr>
          <w:rFonts w:ascii="Tahoma" w:hAnsi="Tahoma" w:cs="Tahoma"/>
          <w:bCs/>
          <w:sz w:val="24"/>
          <w:szCs w:val="24"/>
        </w:rPr>
        <w:t xml:space="preserve"> aferente asistenței financiare nerambursabile alocate PNRR al căror nivel este corelat cu propunerile ordonatorilor principali de credite privind prevederile bugetare pentru proiectele</w:t>
      </w:r>
      <w:r w:rsidR="00D750B6" w:rsidRPr="00807147">
        <w:rPr>
          <w:sz w:val="24"/>
          <w:szCs w:val="24"/>
        </w:rPr>
        <w:t xml:space="preserve"> </w:t>
      </w:r>
      <w:r w:rsidR="00D750B6" w:rsidRPr="00807147">
        <w:rPr>
          <w:rFonts w:ascii="Tahoma" w:hAnsi="Tahoma" w:cs="Tahoma"/>
          <w:bCs/>
          <w:sz w:val="24"/>
          <w:szCs w:val="24"/>
        </w:rPr>
        <w:t>finanțate din fonduri externe nerambursabile sunt mult sub nivelul programat.</w:t>
      </w:r>
    </w:p>
    <w:p w:rsidR="003C6E28" w:rsidRPr="00807147" w:rsidRDefault="00FC0CA1"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Cheltuielile</w:t>
      </w:r>
      <w:r w:rsidR="00BA3E99" w:rsidRPr="00807147">
        <w:rPr>
          <w:rFonts w:ascii="Tahoma" w:hAnsi="Tahoma" w:cs="Tahoma"/>
          <w:bCs/>
          <w:sz w:val="24"/>
          <w:szCs w:val="24"/>
        </w:rPr>
        <w:t xml:space="preserve"> bugetului general consolidat</w:t>
      </w:r>
      <w:r w:rsidRPr="00807147">
        <w:rPr>
          <w:rFonts w:ascii="Tahoma" w:hAnsi="Tahoma" w:cs="Tahoma"/>
          <w:bCs/>
          <w:sz w:val="24"/>
          <w:szCs w:val="24"/>
        </w:rPr>
        <w:t xml:space="preserve"> </w:t>
      </w:r>
      <w:r w:rsidR="00BA3E99" w:rsidRPr="00807147">
        <w:rPr>
          <w:rFonts w:ascii="Tahoma" w:hAnsi="Tahoma" w:cs="Tahoma"/>
          <w:bCs/>
          <w:sz w:val="24"/>
          <w:szCs w:val="24"/>
        </w:rPr>
        <w:t>e</w:t>
      </w:r>
      <w:r w:rsidRPr="00807147">
        <w:rPr>
          <w:rFonts w:ascii="Tahoma" w:hAnsi="Tahoma" w:cs="Tahoma"/>
          <w:bCs/>
          <w:sz w:val="24"/>
          <w:szCs w:val="24"/>
        </w:rPr>
        <w:t xml:space="preserve">fectuate </w:t>
      </w:r>
      <w:r w:rsidR="00DF46B2">
        <w:rPr>
          <w:rFonts w:ascii="Tahoma" w:hAnsi="Tahoma" w:cs="Tahoma"/>
          <w:bCs/>
          <w:sz w:val="24"/>
          <w:szCs w:val="24"/>
        </w:rPr>
        <w:t>în perioada analizată</w:t>
      </w:r>
      <w:r w:rsidRPr="00807147">
        <w:rPr>
          <w:rFonts w:ascii="Tahoma" w:hAnsi="Tahoma" w:cs="Tahoma"/>
          <w:bCs/>
          <w:sz w:val="24"/>
          <w:szCs w:val="24"/>
        </w:rPr>
        <w:t xml:space="preserve"> s-au situat sub nivelul programat </w:t>
      </w:r>
      <w:r w:rsidR="00DF46B2">
        <w:rPr>
          <w:rFonts w:ascii="Tahoma" w:hAnsi="Tahoma" w:cs="Tahoma"/>
          <w:bCs/>
          <w:sz w:val="24"/>
          <w:szCs w:val="24"/>
        </w:rPr>
        <w:t xml:space="preserve">în cazul majorității </w:t>
      </w:r>
      <w:r w:rsidRPr="00807147">
        <w:rPr>
          <w:rFonts w:ascii="Tahoma" w:hAnsi="Tahoma" w:cs="Tahoma"/>
          <w:bCs/>
          <w:sz w:val="24"/>
          <w:szCs w:val="24"/>
        </w:rPr>
        <w:t>titluril</w:t>
      </w:r>
      <w:r w:rsidR="00DF46B2">
        <w:rPr>
          <w:rFonts w:ascii="Tahoma" w:hAnsi="Tahoma" w:cs="Tahoma"/>
          <w:bCs/>
          <w:sz w:val="24"/>
          <w:szCs w:val="24"/>
        </w:rPr>
        <w:t>or</w:t>
      </w:r>
      <w:r w:rsidRPr="00807147">
        <w:rPr>
          <w:rFonts w:ascii="Tahoma" w:hAnsi="Tahoma" w:cs="Tahoma"/>
          <w:bCs/>
          <w:sz w:val="24"/>
          <w:szCs w:val="24"/>
        </w:rPr>
        <w:t xml:space="preserve"> de cheltuieli, niveluri </w:t>
      </w:r>
      <w:r w:rsidR="00D81272" w:rsidRPr="00807147">
        <w:rPr>
          <w:rFonts w:ascii="Tahoma" w:hAnsi="Tahoma" w:cs="Tahoma"/>
          <w:bCs/>
          <w:sz w:val="24"/>
          <w:szCs w:val="24"/>
        </w:rPr>
        <w:t xml:space="preserve">mult </w:t>
      </w:r>
      <w:r w:rsidRPr="00807147">
        <w:rPr>
          <w:rFonts w:ascii="Tahoma" w:hAnsi="Tahoma" w:cs="Tahoma"/>
          <w:bCs/>
          <w:sz w:val="24"/>
          <w:szCs w:val="24"/>
        </w:rPr>
        <w:t xml:space="preserve">diminuate fiind înregistrate în cazul cheltuielilor </w:t>
      </w:r>
      <w:r w:rsidR="00334629">
        <w:rPr>
          <w:rFonts w:ascii="Tahoma" w:hAnsi="Tahoma" w:cs="Tahoma"/>
          <w:bCs/>
          <w:sz w:val="24"/>
          <w:szCs w:val="24"/>
        </w:rPr>
        <w:t xml:space="preserve">aferente proiectelor finanțate din PNRR și cheltuielilor aferente programelor cu finanțare rambursabilă. </w:t>
      </w:r>
    </w:p>
    <w:p w:rsidR="00D750B6" w:rsidRPr="00807147" w:rsidRDefault="00334629" w:rsidP="00662448">
      <w:pPr>
        <w:spacing w:after="120" w:line="276" w:lineRule="auto"/>
        <w:ind w:right="6"/>
        <w:jc w:val="both"/>
        <w:rPr>
          <w:rFonts w:ascii="Tahoma" w:hAnsi="Tahoma" w:cs="Tahoma"/>
          <w:bCs/>
          <w:sz w:val="24"/>
          <w:szCs w:val="24"/>
        </w:rPr>
      </w:pPr>
      <w:r>
        <w:rPr>
          <w:rFonts w:ascii="Tahoma" w:hAnsi="Tahoma" w:cs="Tahoma"/>
          <w:bCs/>
          <w:sz w:val="24"/>
          <w:szCs w:val="24"/>
        </w:rPr>
        <w:t>Se remarcă o accelerare a cheltuielilor de capital</w:t>
      </w:r>
      <w:r w:rsidR="00485E21">
        <w:rPr>
          <w:rFonts w:ascii="Tahoma" w:hAnsi="Tahoma" w:cs="Tahoma"/>
          <w:bCs/>
          <w:sz w:val="24"/>
          <w:szCs w:val="24"/>
        </w:rPr>
        <w:t>,</w:t>
      </w:r>
      <w:r>
        <w:rPr>
          <w:rFonts w:ascii="Tahoma" w:hAnsi="Tahoma" w:cs="Tahoma"/>
          <w:bCs/>
          <w:sz w:val="24"/>
          <w:szCs w:val="24"/>
        </w:rPr>
        <w:t xml:space="preserve"> comparativ cu trimestrul anterior</w:t>
      </w:r>
      <w:r w:rsidR="00485E21">
        <w:rPr>
          <w:rFonts w:ascii="Tahoma" w:hAnsi="Tahoma" w:cs="Tahoma"/>
          <w:bCs/>
          <w:sz w:val="24"/>
          <w:szCs w:val="24"/>
        </w:rPr>
        <w:t>,</w:t>
      </w:r>
      <w:r>
        <w:rPr>
          <w:rFonts w:ascii="Tahoma" w:hAnsi="Tahoma" w:cs="Tahoma"/>
          <w:bCs/>
          <w:sz w:val="24"/>
          <w:szCs w:val="24"/>
        </w:rPr>
        <w:t xml:space="preserve"> plățile din perioada analizată atingând </w:t>
      </w:r>
      <w:proofErr w:type="spellStart"/>
      <w:r>
        <w:rPr>
          <w:rFonts w:ascii="Tahoma" w:hAnsi="Tahoma" w:cs="Tahoma"/>
          <w:bCs/>
          <w:sz w:val="24"/>
          <w:szCs w:val="24"/>
        </w:rPr>
        <w:t>prodentul</w:t>
      </w:r>
      <w:proofErr w:type="spellEnd"/>
      <w:r>
        <w:rPr>
          <w:rFonts w:ascii="Tahoma" w:hAnsi="Tahoma" w:cs="Tahoma"/>
          <w:bCs/>
          <w:sz w:val="24"/>
          <w:szCs w:val="24"/>
        </w:rPr>
        <w:t xml:space="preserve"> de 92,2% din nivelul programat</w:t>
      </w:r>
      <w:r w:rsidR="00485E21">
        <w:rPr>
          <w:rFonts w:ascii="Tahoma" w:hAnsi="Tahoma" w:cs="Tahoma"/>
          <w:bCs/>
          <w:sz w:val="24"/>
          <w:szCs w:val="24"/>
        </w:rPr>
        <w:t xml:space="preserve"> iar comparativ cu trimestrul II 2022 creșterea este de 37,9%(+2,5 miliarde lei)</w:t>
      </w:r>
      <w:r>
        <w:rPr>
          <w:rFonts w:ascii="Tahoma" w:hAnsi="Tahoma" w:cs="Tahoma"/>
          <w:bCs/>
          <w:sz w:val="24"/>
          <w:szCs w:val="24"/>
        </w:rPr>
        <w:t>.</w:t>
      </w:r>
    </w:p>
    <w:p w:rsidR="00394AB1" w:rsidRPr="00394AB1" w:rsidRDefault="00394AB1" w:rsidP="00394AB1">
      <w:pPr>
        <w:spacing w:after="120" w:line="276" w:lineRule="auto"/>
        <w:ind w:right="6"/>
        <w:jc w:val="both"/>
        <w:rPr>
          <w:rFonts w:ascii="Tahoma" w:hAnsi="Tahoma" w:cs="Tahoma"/>
          <w:bCs/>
          <w:sz w:val="24"/>
          <w:szCs w:val="24"/>
        </w:rPr>
      </w:pPr>
      <w:r w:rsidRPr="00394AB1">
        <w:rPr>
          <w:rFonts w:ascii="Tahoma" w:hAnsi="Tahoma" w:cs="Tahoma"/>
          <w:bCs/>
          <w:sz w:val="24"/>
          <w:szCs w:val="24"/>
        </w:rPr>
        <w:t>Totodată se constată o accelerare a plăților pentru proiectele finanțate din fondurile externe nerambursabile aferente cadrului financiar 2014-2020 creșterea comparativ cu trimestrul II 2022 fiind de 90,2%</w:t>
      </w:r>
      <w:r>
        <w:rPr>
          <w:rFonts w:ascii="Tahoma" w:hAnsi="Tahoma" w:cs="Tahoma"/>
          <w:bCs/>
          <w:sz w:val="24"/>
          <w:szCs w:val="24"/>
        </w:rPr>
        <w:t xml:space="preserve"> iar gradul de efectuare al plăților programate pentru perioada analizată a fost de 93,5%</w:t>
      </w:r>
      <w:r w:rsidRPr="00394AB1">
        <w:rPr>
          <w:rFonts w:ascii="Tahoma" w:hAnsi="Tahoma" w:cs="Tahoma"/>
          <w:bCs/>
          <w:sz w:val="24"/>
          <w:szCs w:val="24"/>
        </w:rPr>
        <w:t>.</w:t>
      </w:r>
    </w:p>
    <w:p w:rsidR="00EC6E30" w:rsidRDefault="0064606E" w:rsidP="00662448">
      <w:pPr>
        <w:spacing w:after="120" w:line="276" w:lineRule="auto"/>
        <w:ind w:right="6"/>
        <w:jc w:val="both"/>
        <w:rPr>
          <w:rFonts w:ascii="Tahoma" w:hAnsi="Tahoma" w:cs="Tahoma"/>
          <w:bCs/>
          <w:sz w:val="24"/>
          <w:szCs w:val="24"/>
        </w:rPr>
      </w:pPr>
      <w:r w:rsidRPr="001C5D69">
        <w:rPr>
          <w:rFonts w:ascii="Tahoma" w:hAnsi="Tahoma" w:cs="Tahoma"/>
          <w:bCs/>
          <w:sz w:val="24"/>
          <w:szCs w:val="24"/>
        </w:rPr>
        <w:t xml:space="preserve">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un element central al sustenabilității bugetare prin prisma strategiei investiționale și a caracterului nerambursabil al acestor fonduri. </w:t>
      </w:r>
      <w:r w:rsidR="00BA3E99" w:rsidRPr="001C5D69">
        <w:rPr>
          <w:rFonts w:ascii="Tahoma" w:hAnsi="Tahoma" w:cs="Tahoma"/>
          <w:bCs/>
          <w:sz w:val="24"/>
          <w:szCs w:val="24"/>
        </w:rPr>
        <w:t>C</w:t>
      </w:r>
      <w:r w:rsidRPr="001C5D69">
        <w:rPr>
          <w:rFonts w:ascii="Tahoma" w:hAnsi="Tahoma" w:cs="Tahoma"/>
          <w:bCs/>
          <w:sz w:val="24"/>
          <w:szCs w:val="24"/>
        </w:rPr>
        <w:t>onsiderăm că ordonatorii principali de credite trebuie să acorde o atenție deosebită și să întreprindă toate eforturile în vederea utilizării creditelor bugetare alocate cu această destinație</w:t>
      </w:r>
      <w:r w:rsidR="00BA3E99" w:rsidRPr="001C5D69">
        <w:rPr>
          <w:rFonts w:ascii="Tahoma" w:hAnsi="Tahoma" w:cs="Tahoma"/>
          <w:bCs/>
          <w:sz w:val="24"/>
          <w:szCs w:val="24"/>
        </w:rPr>
        <w:t>,</w:t>
      </w:r>
      <w:r w:rsidR="00BA3E99" w:rsidRPr="00807147">
        <w:rPr>
          <w:rFonts w:ascii="Tahoma" w:hAnsi="Tahoma" w:cs="Tahoma"/>
          <w:bCs/>
          <w:sz w:val="24"/>
          <w:szCs w:val="24"/>
        </w:rPr>
        <w:t xml:space="preserve"> să fie depuse eforturi de accelerare a implementării proiectelor astfel încât sumele atrase din fonduri externe nerambursabile cât și cele aferente proiectelor finanțate din PNRR în perioada următoare să recupereze din decalajul înregistrat în perioada analizată</w:t>
      </w:r>
      <w:r w:rsidR="00394AB1">
        <w:rPr>
          <w:rFonts w:ascii="Tahoma" w:hAnsi="Tahoma" w:cs="Tahoma"/>
          <w:bCs/>
          <w:sz w:val="24"/>
          <w:szCs w:val="24"/>
        </w:rPr>
        <w:t>.</w:t>
      </w:r>
    </w:p>
    <w:p w:rsidR="00753D9F" w:rsidRPr="00807147" w:rsidRDefault="00753D9F"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 xml:space="preserve">Totodată este necesar ca în perioada următoare să fie intensificate eforturile de colectare astfel încât să fie recuperat în proporție cât mai mare decalajul </w:t>
      </w:r>
      <w:r w:rsidR="00D81272" w:rsidRPr="00807147">
        <w:rPr>
          <w:rFonts w:ascii="Tahoma" w:hAnsi="Tahoma" w:cs="Tahoma"/>
          <w:bCs/>
          <w:sz w:val="24"/>
          <w:szCs w:val="24"/>
        </w:rPr>
        <w:t xml:space="preserve">față de nivelul programat al veniturilor din economia internă </w:t>
      </w:r>
      <w:r w:rsidRPr="00807147">
        <w:rPr>
          <w:rFonts w:ascii="Tahoma" w:hAnsi="Tahoma" w:cs="Tahoma"/>
          <w:bCs/>
          <w:sz w:val="24"/>
          <w:szCs w:val="24"/>
        </w:rPr>
        <w:t xml:space="preserve">înregistrat în </w:t>
      </w:r>
      <w:r w:rsidR="00394AB1">
        <w:rPr>
          <w:rFonts w:ascii="Tahoma" w:hAnsi="Tahoma" w:cs="Tahoma"/>
          <w:bCs/>
          <w:sz w:val="24"/>
          <w:szCs w:val="24"/>
        </w:rPr>
        <w:t>primul semestru</w:t>
      </w:r>
      <w:r w:rsidRPr="00807147">
        <w:rPr>
          <w:rFonts w:ascii="Tahoma" w:hAnsi="Tahoma" w:cs="Tahoma"/>
          <w:bCs/>
          <w:sz w:val="24"/>
          <w:szCs w:val="24"/>
        </w:rPr>
        <w:t xml:space="preserve"> al anului 2023. </w:t>
      </w:r>
    </w:p>
    <w:p w:rsidR="00EC6E30" w:rsidRDefault="001C5D69" w:rsidP="00662448">
      <w:pPr>
        <w:spacing w:after="120" w:line="276" w:lineRule="auto"/>
        <w:ind w:right="6"/>
        <w:jc w:val="both"/>
        <w:rPr>
          <w:rFonts w:ascii="Tahoma" w:hAnsi="Tahoma" w:cs="Tahoma"/>
          <w:bCs/>
          <w:sz w:val="24"/>
          <w:szCs w:val="24"/>
        </w:rPr>
      </w:pPr>
      <w:r>
        <w:rPr>
          <w:rFonts w:ascii="Tahoma" w:hAnsi="Tahoma" w:cs="Tahoma"/>
          <w:bCs/>
          <w:sz w:val="24"/>
          <w:szCs w:val="24"/>
        </w:rPr>
        <w:lastRenderedPageBreak/>
        <w:t>Î</w:t>
      </w:r>
      <w:r w:rsidR="00BA3E99" w:rsidRPr="00807147">
        <w:rPr>
          <w:rFonts w:ascii="Tahoma" w:hAnsi="Tahoma" w:cs="Tahoma"/>
          <w:bCs/>
          <w:sz w:val="24"/>
          <w:szCs w:val="24"/>
        </w:rPr>
        <w:t xml:space="preserve">n contextul </w:t>
      </w:r>
      <w:r>
        <w:rPr>
          <w:rFonts w:ascii="Tahoma" w:hAnsi="Tahoma" w:cs="Tahoma"/>
          <w:bCs/>
          <w:sz w:val="24"/>
          <w:szCs w:val="24"/>
        </w:rPr>
        <w:t>economic ș</w:t>
      </w:r>
      <w:r w:rsidR="00BA3E99" w:rsidRPr="00807147">
        <w:rPr>
          <w:rFonts w:ascii="Tahoma" w:hAnsi="Tahoma" w:cs="Tahoma"/>
          <w:bCs/>
          <w:sz w:val="24"/>
          <w:szCs w:val="24"/>
        </w:rPr>
        <w:t>i geo politic actual, e</w:t>
      </w:r>
      <w:r w:rsidR="00BA3E99" w:rsidRPr="00EC6E30">
        <w:rPr>
          <w:rFonts w:ascii="Tahoma" w:hAnsi="Tahoma" w:cs="Tahoma"/>
          <w:bCs/>
          <w:sz w:val="24"/>
          <w:szCs w:val="24"/>
        </w:rPr>
        <w:t>xtrapolând trendul veniturilor și a cheltuielilor pe baza datelor operative, precum și</w:t>
      </w:r>
      <w:r w:rsidR="00E033D1" w:rsidRPr="00EC6E30">
        <w:rPr>
          <w:rFonts w:ascii="Tahoma" w:hAnsi="Tahoma" w:cs="Tahoma"/>
          <w:bCs/>
          <w:sz w:val="24"/>
          <w:szCs w:val="24"/>
        </w:rPr>
        <w:t xml:space="preserve"> a</w:t>
      </w:r>
      <w:r w:rsidR="00BA3E99" w:rsidRPr="00EC6E30">
        <w:rPr>
          <w:rFonts w:ascii="Tahoma" w:hAnsi="Tahoma" w:cs="Tahoma"/>
          <w:bCs/>
          <w:sz w:val="24"/>
          <w:szCs w:val="24"/>
        </w:rPr>
        <w:t xml:space="preserve"> modificările survenite în planificarea trimestrială, estimăm că pentru menținerea deficitului bugetar anual în țintă inițială de </w:t>
      </w:r>
      <w:r w:rsidR="005704E0" w:rsidRPr="00EC6E30">
        <w:rPr>
          <w:rFonts w:ascii="Tahoma" w:hAnsi="Tahoma" w:cs="Tahoma"/>
          <w:bCs/>
          <w:sz w:val="24"/>
          <w:szCs w:val="24"/>
        </w:rPr>
        <w:t>4,4</w:t>
      </w:r>
      <w:r w:rsidR="00BA3E99" w:rsidRPr="00EC6E30">
        <w:rPr>
          <w:rFonts w:ascii="Tahoma" w:hAnsi="Tahoma" w:cs="Tahoma"/>
          <w:bCs/>
          <w:sz w:val="24"/>
          <w:szCs w:val="24"/>
        </w:rPr>
        <w:t>% din PIB,</w:t>
      </w:r>
      <w:r w:rsidR="00E033D1" w:rsidRPr="00EC6E30">
        <w:rPr>
          <w:rFonts w:ascii="Tahoma" w:hAnsi="Tahoma" w:cs="Tahoma"/>
          <w:bCs/>
          <w:sz w:val="24"/>
          <w:szCs w:val="24"/>
        </w:rPr>
        <w:t xml:space="preserve"> este necesar </w:t>
      </w:r>
      <w:r w:rsidR="00E033D1" w:rsidRPr="00807147">
        <w:rPr>
          <w:rFonts w:ascii="Tahoma" w:hAnsi="Tahoma" w:cs="Tahoma"/>
          <w:bCs/>
          <w:sz w:val="24"/>
          <w:szCs w:val="24"/>
        </w:rPr>
        <w:t>întreprinderea tuturor măsurilor de eficiență și control, pentru</w:t>
      </w:r>
      <w:r w:rsidR="00D750B6" w:rsidRPr="00807147">
        <w:rPr>
          <w:rFonts w:ascii="Tahoma" w:hAnsi="Tahoma" w:cs="Tahoma"/>
          <w:bCs/>
          <w:sz w:val="24"/>
          <w:szCs w:val="24"/>
        </w:rPr>
        <w:t xml:space="preserve"> colectarea veniturilor din economia internă la nivelul programat</w:t>
      </w:r>
      <w:r w:rsidR="00EC6E30">
        <w:rPr>
          <w:rFonts w:ascii="Tahoma" w:hAnsi="Tahoma" w:cs="Tahoma"/>
          <w:bCs/>
          <w:sz w:val="24"/>
          <w:szCs w:val="24"/>
        </w:rPr>
        <w:t>.</w:t>
      </w:r>
    </w:p>
    <w:p w:rsidR="00E033D1" w:rsidRPr="00807147" w:rsidRDefault="00EC6E30" w:rsidP="00662448">
      <w:pPr>
        <w:spacing w:after="120" w:line="276" w:lineRule="auto"/>
        <w:ind w:right="6"/>
        <w:jc w:val="both"/>
        <w:rPr>
          <w:rFonts w:ascii="Tahoma" w:hAnsi="Tahoma" w:cs="Tahoma"/>
          <w:bCs/>
          <w:sz w:val="24"/>
          <w:szCs w:val="24"/>
        </w:rPr>
      </w:pPr>
      <w:r>
        <w:rPr>
          <w:rFonts w:ascii="Tahoma" w:hAnsi="Tahoma" w:cs="Tahoma"/>
          <w:bCs/>
          <w:sz w:val="24"/>
          <w:szCs w:val="24"/>
        </w:rPr>
        <w:t xml:space="preserve">De asemenea, </w:t>
      </w:r>
      <w:r w:rsidR="00D750B6" w:rsidRPr="00807147">
        <w:rPr>
          <w:rFonts w:ascii="Tahoma" w:hAnsi="Tahoma" w:cs="Tahoma"/>
          <w:bCs/>
          <w:sz w:val="24"/>
          <w:szCs w:val="24"/>
        </w:rPr>
        <w:t xml:space="preserve"> în cazul ordonatorilor principali de credite </w:t>
      </w:r>
      <w:r>
        <w:rPr>
          <w:rFonts w:ascii="Tahoma" w:hAnsi="Tahoma" w:cs="Tahoma"/>
          <w:bCs/>
          <w:sz w:val="24"/>
          <w:szCs w:val="24"/>
        </w:rPr>
        <w:t xml:space="preserve">este necesară </w:t>
      </w:r>
      <w:r w:rsidR="00D750B6" w:rsidRPr="00807147">
        <w:rPr>
          <w:rFonts w:ascii="Tahoma" w:hAnsi="Tahoma" w:cs="Tahoma"/>
          <w:bCs/>
          <w:sz w:val="24"/>
          <w:szCs w:val="24"/>
        </w:rPr>
        <w:t>prudență în angajarea de noi cheltuieli și o mai mare rigurozitate în programarea cheltuielilor bugetare</w:t>
      </w:r>
      <w:r>
        <w:rPr>
          <w:rFonts w:ascii="Tahoma" w:hAnsi="Tahoma" w:cs="Tahoma"/>
          <w:bCs/>
          <w:sz w:val="24"/>
          <w:szCs w:val="24"/>
        </w:rPr>
        <w:t xml:space="preserve">, precum </w:t>
      </w:r>
      <w:r w:rsidRPr="00EC6E30">
        <w:rPr>
          <w:rFonts w:ascii="Tahoma" w:hAnsi="Tahoma" w:cs="Tahoma"/>
          <w:bCs/>
          <w:sz w:val="24"/>
          <w:szCs w:val="24"/>
        </w:rPr>
        <w:t xml:space="preserve">și </w:t>
      </w:r>
      <w:r>
        <w:rPr>
          <w:rFonts w:ascii="Tahoma" w:hAnsi="Tahoma" w:cs="Tahoma"/>
          <w:bCs/>
          <w:sz w:val="24"/>
          <w:szCs w:val="24"/>
        </w:rPr>
        <w:t>urgentarea de atragere</w:t>
      </w:r>
      <w:r w:rsidRPr="00EC6E30">
        <w:rPr>
          <w:rFonts w:ascii="Tahoma" w:hAnsi="Tahoma" w:cs="Tahoma"/>
          <w:bCs/>
          <w:sz w:val="24"/>
          <w:szCs w:val="24"/>
        </w:rPr>
        <w:t xml:space="preserve"> </w:t>
      </w:r>
      <w:r>
        <w:rPr>
          <w:rFonts w:ascii="Tahoma" w:hAnsi="Tahoma" w:cs="Tahoma"/>
          <w:bCs/>
          <w:sz w:val="24"/>
          <w:szCs w:val="24"/>
        </w:rPr>
        <w:t>a</w:t>
      </w:r>
      <w:r w:rsidRPr="00EC6E30">
        <w:rPr>
          <w:rFonts w:ascii="Tahoma" w:hAnsi="Tahoma" w:cs="Tahoma"/>
          <w:bCs/>
          <w:sz w:val="24"/>
          <w:szCs w:val="24"/>
        </w:rPr>
        <w:t xml:space="preserve"> fonduri</w:t>
      </w:r>
      <w:r>
        <w:rPr>
          <w:rFonts w:ascii="Tahoma" w:hAnsi="Tahoma" w:cs="Tahoma"/>
          <w:bCs/>
          <w:sz w:val="24"/>
          <w:szCs w:val="24"/>
        </w:rPr>
        <w:t>lor</w:t>
      </w:r>
      <w:r w:rsidRPr="00EC6E30">
        <w:rPr>
          <w:rFonts w:ascii="Tahoma" w:hAnsi="Tahoma" w:cs="Tahoma"/>
          <w:bCs/>
          <w:sz w:val="24"/>
          <w:szCs w:val="24"/>
        </w:rPr>
        <w:t xml:space="preserve"> externe nerambursabile </w:t>
      </w:r>
      <w:r>
        <w:rPr>
          <w:rFonts w:ascii="Tahoma" w:hAnsi="Tahoma" w:cs="Tahoma"/>
          <w:bCs/>
          <w:sz w:val="24"/>
          <w:szCs w:val="24"/>
        </w:rPr>
        <w:t>atât pe cadrul</w:t>
      </w:r>
      <w:r w:rsidRPr="006C08A3">
        <w:rPr>
          <w:rFonts w:ascii="Tahoma" w:hAnsi="Tahoma" w:cs="Tahoma"/>
          <w:bCs/>
          <w:sz w:val="24"/>
          <w:szCs w:val="24"/>
        </w:rPr>
        <w:t xml:space="preserve"> de</w:t>
      </w:r>
      <w:r>
        <w:rPr>
          <w:rFonts w:ascii="Tahoma" w:hAnsi="Tahoma" w:cs="Tahoma"/>
          <w:bCs/>
          <w:sz w:val="24"/>
          <w:szCs w:val="24"/>
        </w:rPr>
        <w:t xml:space="preserve"> programare financiar 2014-2020 </w:t>
      </w:r>
      <w:r w:rsidR="00394AB1">
        <w:rPr>
          <w:rFonts w:ascii="Tahoma" w:hAnsi="Tahoma" w:cs="Tahoma"/>
          <w:bCs/>
          <w:sz w:val="24"/>
          <w:szCs w:val="24"/>
        </w:rPr>
        <w:t xml:space="preserve">dar mai ales pe cadrul financiar </w:t>
      </w:r>
      <w:r>
        <w:rPr>
          <w:rFonts w:ascii="Tahoma" w:hAnsi="Tahoma" w:cs="Tahoma"/>
          <w:bCs/>
          <w:sz w:val="24"/>
          <w:szCs w:val="24"/>
        </w:rPr>
        <w:t>2021-2027 și cele aferente PNRR</w:t>
      </w:r>
      <w:r w:rsidR="00394AB1">
        <w:rPr>
          <w:rFonts w:ascii="Tahoma" w:hAnsi="Tahoma" w:cs="Tahoma"/>
          <w:bCs/>
          <w:sz w:val="24"/>
          <w:szCs w:val="24"/>
        </w:rPr>
        <w:t xml:space="preserve"> acestea din urmă înregistrând un decalaj major între nivelul programat și execuție în semestrul I 2023.</w:t>
      </w:r>
    </w:p>
    <w:p w:rsidR="00244D97" w:rsidRPr="00807147" w:rsidRDefault="00244D97" w:rsidP="003D66A9">
      <w:pPr>
        <w:spacing w:before="240" w:line="276" w:lineRule="auto"/>
        <w:ind w:right="6"/>
        <w:jc w:val="both"/>
        <w:rPr>
          <w:rFonts w:ascii="Tahoma" w:hAnsi="Tahoma" w:cs="Tahoma"/>
          <w:bCs/>
          <w:sz w:val="24"/>
          <w:szCs w:val="24"/>
        </w:rPr>
      </w:pPr>
    </w:p>
    <w:p w:rsidR="00244D97" w:rsidRPr="00807147" w:rsidRDefault="00244D97" w:rsidP="003D66A9">
      <w:pPr>
        <w:spacing w:before="240" w:line="276" w:lineRule="auto"/>
        <w:ind w:right="6"/>
        <w:jc w:val="both"/>
        <w:rPr>
          <w:rFonts w:ascii="Tahoma" w:hAnsi="Tahoma" w:cs="Tahoma"/>
          <w:sz w:val="24"/>
          <w:szCs w:val="24"/>
        </w:rPr>
      </w:pPr>
    </w:p>
    <w:sectPr w:rsidR="00244D97" w:rsidRPr="00807147" w:rsidSect="005E607E">
      <w:footerReference w:type="default" r:id="rId16"/>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33" w:rsidRDefault="00E46933" w:rsidP="006704C5">
      <w:pPr>
        <w:spacing w:after="0" w:line="240" w:lineRule="auto"/>
      </w:pPr>
      <w:r>
        <w:separator/>
      </w:r>
    </w:p>
  </w:endnote>
  <w:endnote w:type="continuationSeparator" w:id="0">
    <w:p w:rsidR="00E46933" w:rsidRDefault="00E46933"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9262D2">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9262D2">
                <w:rPr>
                  <w:rFonts w:ascii="Tahoma" w:hAnsi="Tahoma" w:cs="Tahoma"/>
                  <w:caps/>
                  <w:color w:val="808080" w:themeColor="background1" w:themeShade="80"/>
                  <w:sz w:val="18"/>
                  <w:szCs w:val="18"/>
                </w:rPr>
                <w:t>al doilea</w:t>
              </w:r>
              <w:r>
                <w:rPr>
                  <w:rFonts w:ascii="Tahoma" w:hAnsi="Tahoma" w:cs="Tahoma"/>
                  <w:caps/>
                  <w:color w:val="808080" w:themeColor="background1" w:themeShade="80"/>
                  <w:sz w:val="18"/>
                  <w:szCs w:val="18"/>
                </w:rPr>
                <w:t xml:space="preserve"> TRIMESTRU AL ANULUI 202</w:t>
              </w:r>
              <w:r w:rsidR="00DA1CBE">
                <w:rPr>
                  <w:rFonts w:ascii="Tahoma" w:hAnsi="Tahoma" w:cs="Tahoma"/>
                  <w:caps/>
                  <w:color w:val="808080" w:themeColor="background1" w:themeShade="80"/>
                  <w:sz w:val="18"/>
                  <w:szCs w:val="18"/>
                </w:rPr>
                <w:t>3</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2C56E8">
            <w:rPr>
              <w:rFonts w:ascii="Tahoma" w:hAnsi="Tahoma" w:cs="Tahoma"/>
              <w:caps/>
              <w:noProof/>
              <w:color w:val="808080" w:themeColor="background1" w:themeShade="80"/>
              <w:sz w:val="18"/>
              <w:szCs w:val="18"/>
            </w:rPr>
            <w:t>12</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33" w:rsidRDefault="00E46933" w:rsidP="006704C5">
      <w:pPr>
        <w:spacing w:after="0" w:line="240" w:lineRule="auto"/>
      </w:pPr>
      <w:r>
        <w:separator/>
      </w:r>
    </w:p>
  </w:footnote>
  <w:footnote w:type="continuationSeparator" w:id="0">
    <w:p w:rsidR="00E46933" w:rsidRDefault="00E46933" w:rsidP="006704C5">
      <w:pPr>
        <w:spacing w:after="0" w:line="240" w:lineRule="auto"/>
      </w:pPr>
      <w:r>
        <w:continuationSeparator/>
      </w:r>
    </w:p>
  </w:footnote>
  <w:footnote w:id="1">
    <w:p w:rsidR="00755B4F" w:rsidRPr="00E9242F" w:rsidRDefault="00755B4F" w:rsidP="00755B4F">
      <w:pPr>
        <w:pStyle w:val="FootnoteText"/>
        <w:rPr>
          <w:rFonts w:cstheme="minorHAnsi"/>
        </w:rPr>
      </w:pPr>
      <w:r w:rsidRPr="00E9242F">
        <w:rPr>
          <w:rStyle w:val="FootnoteReference"/>
          <w:rFonts w:cstheme="minorHAnsi"/>
        </w:rPr>
        <w:footnoteRef/>
      </w:r>
      <w:r w:rsidRPr="00E9242F">
        <w:rPr>
          <w:rFonts w:cstheme="minorHAnsi"/>
        </w:rPr>
        <w:t xml:space="preserve"> dețin o pondere de aproximativ </w:t>
      </w:r>
      <w:r>
        <w:rPr>
          <w:rFonts w:cstheme="minorHAnsi"/>
        </w:rPr>
        <w:t>59,9</w:t>
      </w:r>
      <w:r w:rsidRPr="00E9242F">
        <w:rPr>
          <w:rFonts w:cstheme="minorHAnsi"/>
        </w:rPr>
        <w:t>% în această categorie</w:t>
      </w:r>
    </w:p>
  </w:footnote>
  <w:footnote w:id="2">
    <w:p w:rsidR="00755B4F" w:rsidRPr="00E9242F" w:rsidRDefault="00755B4F" w:rsidP="00755B4F">
      <w:pPr>
        <w:pStyle w:val="FootnoteText"/>
        <w:rPr>
          <w:rFonts w:cstheme="minorHAnsi"/>
        </w:rPr>
      </w:pPr>
      <w:r w:rsidRPr="00E9242F">
        <w:rPr>
          <w:rStyle w:val="FootnoteReference"/>
          <w:rFonts w:cstheme="minorHAnsi"/>
        </w:rPr>
        <w:footnoteRef/>
      </w:r>
      <w:r w:rsidRPr="00E9242F">
        <w:rPr>
          <w:rFonts w:cstheme="minorHAnsi"/>
        </w:rPr>
        <w:t xml:space="preserve"> </w:t>
      </w:r>
      <w:r>
        <w:rPr>
          <w:rFonts w:cstheme="minorHAnsi"/>
        </w:rPr>
        <w:t>martie</w:t>
      </w:r>
      <w:r w:rsidRPr="00E9242F">
        <w:rPr>
          <w:rFonts w:cstheme="minorHAnsi"/>
        </w:rPr>
        <w:t xml:space="preserve"> 202</w:t>
      </w:r>
      <w:r>
        <w:rPr>
          <w:rFonts w:cstheme="minorHAnsi"/>
        </w:rPr>
        <w:t>3-mai 2023</w:t>
      </w:r>
      <w:r w:rsidRPr="00E9242F">
        <w:rPr>
          <w:rFonts w:cstheme="minorHAnsi"/>
        </w:rPr>
        <w:t>/</w:t>
      </w:r>
      <w:r>
        <w:rPr>
          <w:rFonts w:cstheme="minorHAnsi"/>
        </w:rPr>
        <w:t>martie</w:t>
      </w:r>
      <w:r w:rsidRPr="00E9242F">
        <w:rPr>
          <w:rFonts w:cstheme="minorHAnsi"/>
        </w:rPr>
        <w:t xml:space="preserve"> 202</w:t>
      </w:r>
      <w:r>
        <w:rPr>
          <w:rFonts w:cstheme="minorHAnsi"/>
        </w:rPr>
        <w:t>2-mai 2022</w:t>
      </w:r>
    </w:p>
  </w:footnote>
  <w:footnote w:id="3">
    <w:p w:rsidR="00755B4F" w:rsidRPr="0097277E" w:rsidRDefault="00755B4F" w:rsidP="0097277E">
      <w:pPr>
        <w:autoSpaceDE w:val="0"/>
        <w:autoSpaceDN w:val="0"/>
        <w:adjustRightInd w:val="0"/>
        <w:spacing w:after="0"/>
        <w:rPr>
          <w:rFonts w:ascii="Tahoma" w:eastAsia="Calibri" w:hAnsi="Tahoma" w:cs="Tahoma"/>
          <w:sz w:val="18"/>
          <w:szCs w:val="18"/>
        </w:rPr>
      </w:pPr>
      <w:r w:rsidRPr="0097277E">
        <w:rPr>
          <w:rStyle w:val="FootnoteReference"/>
          <w:rFonts w:ascii="Tahoma" w:hAnsi="Tahoma" w:cs="Tahoma"/>
          <w:sz w:val="18"/>
          <w:szCs w:val="18"/>
        </w:rPr>
        <w:footnoteRef/>
      </w:r>
      <w:r w:rsidRPr="0097277E">
        <w:rPr>
          <w:rFonts w:ascii="Tahoma" w:hAnsi="Tahoma" w:cs="Tahoma"/>
          <w:sz w:val="18"/>
          <w:szCs w:val="18"/>
        </w:rPr>
        <w:t xml:space="preserve"> </w:t>
      </w:r>
      <w:r w:rsidRPr="0097277E">
        <w:rPr>
          <w:rFonts w:ascii="Tahoma" w:eastAsia="Calibri" w:hAnsi="Tahoma" w:cs="Tahoma"/>
          <w:sz w:val="18"/>
          <w:szCs w:val="18"/>
        </w:rPr>
        <w:t xml:space="preserve">Legea nr. 135/2022 pentru modificarea </w:t>
      </w:r>
      <w:proofErr w:type="spellStart"/>
      <w:r w:rsidRPr="0097277E">
        <w:rPr>
          <w:rFonts w:ascii="Tahoma" w:eastAsia="Calibri" w:hAnsi="Tahoma" w:cs="Tahoma"/>
          <w:sz w:val="18"/>
          <w:szCs w:val="18"/>
        </w:rPr>
        <w:t>şi</w:t>
      </w:r>
      <w:proofErr w:type="spellEnd"/>
      <w:r w:rsidRPr="0097277E">
        <w:rPr>
          <w:rFonts w:ascii="Tahoma" w:eastAsia="Calibri" w:hAnsi="Tahoma" w:cs="Tahoma"/>
          <w:sz w:val="18"/>
          <w:szCs w:val="18"/>
        </w:rPr>
        <w:t xml:space="preserve"> completarea unor acte normative</w:t>
      </w:r>
    </w:p>
  </w:footnote>
  <w:footnote w:id="4">
    <w:p w:rsidR="00755B4F" w:rsidRPr="0097277E" w:rsidRDefault="00755B4F" w:rsidP="0097277E">
      <w:pPr>
        <w:pStyle w:val="FootnoteText"/>
        <w:jc w:val="both"/>
        <w:rPr>
          <w:rFonts w:ascii="Tahoma" w:hAnsi="Tahoma" w:cs="Tahoma"/>
          <w:sz w:val="18"/>
          <w:szCs w:val="18"/>
        </w:rPr>
      </w:pPr>
      <w:r w:rsidRPr="0097277E">
        <w:rPr>
          <w:rStyle w:val="FootnoteReference"/>
          <w:rFonts w:ascii="Tahoma" w:hAnsi="Tahoma" w:cs="Tahoma"/>
          <w:sz w:val="18"/>
          <w:szCs w:val="18"/>
        </w:rPr>
        <w:footnoteRef/>
      </w:r>
      <w:r w:rsidRPr="0097277E">
        <w:rPr>
          <w:rFonts w:ascii="Tahoma" w:hAnsi="Tahoma" w:cs="Tahoma"/>
          <w:sz w:val="18"/>
          <w:szCs w:val="18"/>
        </w:rPr>
        <w:t xml:space="preserve"> majorarea valorii punctului de pensie de la 1.586 lei la 1.785 lei, începând cu data de 1 ianuarie 2023, conform Ordonanței de urgență a Guvernului nr. 168/2022 privind unele măsuri fiscal-bugetare, prorogarea unor termene, precum </w:t>
      </w:r>
      <w:proofErr w:type="spellStart"/>
      <w:r w:rsidRPr="0097277E">
        <w:rPr>
          <w:rFonts w:ascii="Tahoma" w:hAnsi="Tahoma" w:cs="Tahoma"/>
          <w:sz w:val="18"/>
          <w:szCs w:val="18"/>
        </w:rPr>
        <w:t>şi</w:t>
      </w:r>
      <w:proofErr w:type="spellEnd"/>
      <w:r w:rsidRPr="0097277E">
        <w:rPr>
          <w:rFonts w:ascii="Tahoma" w:hAnsi="Tahoma" w:cs="Tahoma"/>
          <w:sz w:val="18"/>
          <w:szCs w:val="18"/>
        </w:rPr>
        <w:t xml:space="preserve"> pentru modificarea </w:t>
      </w:r>
      <w:proofErr w:type="spellStart"/>
      <w:r w:rsidRPr="0097277E">
        <w:rPr>
          <w:rFonts w:ascii="Tahoma" w:hAnsi="Tahoma" w:cs="Tahoma"/>
          <w:sz w:val="18"/>
          <w:szCs w:val="18"/>
        </w:rPr>
        <w:t>şi</w:t>
      </w:r>
      <w:proofErr w:type="spellEnd"/>
      <w:r w:rsidRPr="0097277E">
        <w:rPr>
          <w:rFonts w:ascii="Tahoma" w:hAnsi="Tahoma" w:cs="Tahoma"/>
          <w:sz w:val="18"/>
          <w:szCs w:val="18"/>
        </w:rPr>
        <w:t xml:space="preserve"> completarea unor acte normative</w:t>
      </w:r>
    </w:p>
  </w:footnote>
  <w:footnote w:id="5">
    <w:p w:rsidR="00755B4F" w:rsidRPr="0097277E" w:rsidRDefault="00755B4F" w:rsidP="0097277E">
      <w:pPr>
        <w:pStyle w:val="FootnoteText"/>
        <w:jc w:val="both"/>
        <w:rPr>
          <w:rFonts w:ascii="Tahoma" w:hAnsi="Tahoma" w:cs="Tahoma"/>
          <w:sz w:val="18"/>
          <w:szCs w:val="18"/>
        </w:rPr>
      </w:pPr>
      <w:r w:rsidRPr="0097277E">
        <w:rPr>
          <w:rStyle w:val="FootnoteReference"/>
          <w:rFonts w:ascii="Tahoma" w:hAnsi="Tahoma" w:cs="Tahoma"/>
          <w:sz w:val="18"/>
          <w:szCs w:val="18"/>
        </w:rPr>
        <w:footnoteRef/>
      </w:r>
      <w:r w:rsidRPr="0097277E">
        <w:rPr>
          <w:rStyle w:val="FootnoteReference"/>
          <w:rFonts w:ascii="Tahoma" w:hAnsi="Tahoma" w:cs="Tahoma"/>
          <w:sz w:val="18"/>
          <w:szCs w:val="18"/>
        </w:rPr>
        <w:t xml:space="preserve"> </w:t>
      </w:r>
      <w:r w:rsidRPr="0097277E">
        <w:rPr>
          <w:rFonts w:ascii="Tahoma" w:hAnsi="Tahoma" w:cs="Tahoma"/>
          <w:sz w:val="18"/>
          <w:szCs w:val="18"/>
        </w:rPr>
        <w:t>exclusiv restituiri și majorări de întârziere</w:t>
      </w:r>
    </w:p>
  </w:footnote>
  <w:footnote w:id="6">
    <w:p w:rsidR="00755B4F" w:rsidRPr="0097277E" w:rsidRDefault="00755B4F" w:rsidP="0097277E">
      <w:pPr>
        <w:pStyle w:val="FootnoteText"/>
        <w:jc w:val="both"/>
        <w:rPr>
          <w:rFonts w:ascii="Tahoma" w:hAnsi="Tahoma" w:cs="Tahoma"/>
          <w:sz w:val="18"/>
          <w:szCs w:val="18"/>
        </w:rPr>
      </w:pPr>
      <w:r w:rsidRPr="0097277E">
        <w:rPr>
          <w:rStyle w:val="FootnoteReference"/>
          <w:rFonts w:ascii="Tahoma" w:hAnsi="Tahoma" w:cs="Tahoma"/>
          <w:sz w:val="18"/>
          <w:szCs w:val="18"/>
        </w:rPr>
        <w:footnoteRef/>
      </w:r>
      <w:r w:rsidRPr="0097277E">
        <w:rPr>
          <w:rFonts w:ascii="Tahoma" w:hAnsi="Tahoma" w:cs="Tahoma"/>
          <w:sz w:val="18"/>
          <w:szCs w:val="18"/>
        </w:rPr>
        <w:t xml:space="preserve"> TVA din operațiuni interne au crescut cu 9,5%, iar TVA din importurile de bunuri au scăzut cu 14,9%</w:t>
      </w:r>
    </w:p>
  </w:footnote>
  <w:footnote w:id="7">
    <w:p w:rsidR="00755B4F" w:rsidRPr="0097277E" w:rsidRDefault="00755B4F" w:rsidP="0097277E">
      <w:pPr>
        <w:pStyle w:val="FootnoteText"/>
        <w:rPr>
          <w:rFonts w:ascii="Tahoma" w:hAnsi="Tahoma" w:cs="Tahoma"/>
          <w:sz w:val="18"/>
          <w:szCs w:val="18"/>
        </w:rPr>
      </w:pPr>
      <w:r w:rsidRPr="0097277E">
        <w:rPr>
          <w:rStyle w:val="FootnoteReference"/>
          <w:rFonts w:ascii="Tahoma" w:hAnsi="Tahoma" w:cs="Tahoma"/>
          <w:sz w:val="18"/>
          <w:szCs w:val="18"/>
        </w:rPr>
        <w:footnoteRef/>
      </w:r>
      <w:r w:rsidRPr="0097277E">
        <w:rPr>
          <w:rFonts w:ascii="Tahoma" w:hAnsi="Tahoma" w:cs="Tahoma"/>
          <w:sz w:val="18"/>
          <w:szCs w:val="18"/>
        </w:rPr>
        <w:t xml:space="preserve"> TVA încasată trimestrul II 2022/trimestrul II 2021</w:t>
      </w:r>
    </w:p>
  </w:footnote>
  <w:footnote w:id="8">
    <w:p w:rsidR="00755B4F" w:rsidRPr="0097277E" w:rsidRDefault="00755B4F" w:rsidP="0097277E">
      <w:pPr>
        <w:pStyle w:val="FootnoteText"/>
        <w:rPr>
          <w:rFonts w:ascii="Tahoma" w:hAnsi="Tahoma" w:cs="Tahoma"/>
          <w:sz w:val="18"/>
          <w:szCs w:val="18"/>
        </w:rPr>
      </w:pPr>
      <w:r w:rsidRPr="0097277E">
        <w:rPr>
          <w:rStyle w:val="FootnoteReference"/>
          <w:rFonts w:ascii="Tahoma" w:hAnsi="Tahoma" w:cs="Tahoma"/>
          <w:sz w:val="18"/>
          <w:szCs w:val="18"/>
        </w:rPr>
        <w:footnoteRef/>
      </w:r>
      <w:r w:rsidRPr="0097277E">
        <w:rPr>
          <w:rFonts w:ascii="Tahoma" w:hAnsi="Tahoma" w:cs="Tahoma"/>
          <w:sz w:val="18"/>
          <w:szCs w:val="18"/>
        </w:rPr>
        <w:t xml:space="preserve"> trimestrul II 2023/trimestrul II 2022</w:t>
      </w:r>
    </w:p>
  </w:footnote>
  <w:footnote w:id="9">
    <w:p w:rsidR="00755B4F" w:rsidRPr="0097277E" w:rsidRDefault="00755B4F" w:rsidP="0097277E">
      <w:pPr>
        <w:pStyle w:val="FootnoteText"/>
        <w:rPr>
          <w:rFonts w:ascii="Tahoma" w:hAnsi="Tahoma" w:cs="Tahoma"/>
          <w:sz w:val="18"/>
          <w:szCs w:val="18"/>
        </w:rPr>
      </w:pPr>
      <w:r w:rsidRPr="0097277E">
        <w:rPr>
          <w:rStyle w:val="FootnoteReference"/>
          <w:rFonts w:ascii="Tahoma" w:hAnsi="Tahoma" w:cs="Tahoma"/>
          <w:sz w:val="18"/>
          <w:szCs w:val="18"/>
        </w:rPr>
        <w:footnoteRef/>
      </w:r>
      <w:r w:rsidRPr="0097277E">
        <w:rPr>
          <w:rFonts w:ascii="Tahoma" w:hAnsi="Tahoma" w:cs="Tahoma"/>
          <w:sz w:val="18"/>
          <w:szCs w:val="18"/>
        </w:rPr>
        <w:t xml:space="preserve"> trimestrul II 2022/trimestrul II 2021</w:t>
      </w:r>
    </w:p>
  </w:footnote>
  <w:footnote w:id="10">
    <w:p w:rsidR="00755B4F" w:rsidRPr="005D3DCD" w:rsidRDefault="00755B4F" w:rsidP="00755B4F">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Pr>
          <w:rFonts w:cstheme="minorHAnsi"/>
        </w:rPr>
        <w:t>c</w:t>
      </w:r>
      <w:r w:rsidRPr="005D3DCD">
        <w:rPr>
          <w:rFonts w:cstheme="minorHAnsi"/>
        </w:rPr>
        <w:t xml:space="preserve">omunicat de presă INS nr. </w:t>
      </w:r>
      <w:r>
        <w:rPr>
          <w:rFonts w:cstheme="minorHAnsi"/>
        </w:rPr>
        <w:t>171</w:t>
      </w:r>
      <w:r w:rsidRPr="005D3DCD">
        <w:rPr>
          <w:rFonts w:cstheme="minorHAnsi"/>
        </w:rPr>
        <w:t xml:space="preserve">/06 </w:t>
      </w:r>
      <w:r>
        <w:rPr>
          <w:rFonts w:cstheme="minorHAnsi"/>
        </w:rPr>
        <w:t>iulie</w:t>
      </w:r>
      <w:r w:rsidRPr="005D3DCD">
        <w:rPr>
          <w:rFonts w:cstheme="minorHAnsi"/>
        </w:rPr>
        <w:t xml:space="preserve"> 202</w:t>
      </w:r>
      <w:r>
        <w:rPr>
          <w:rFonts w:cstheme="minorHAnsi"/>
        </w:rPr>
        <w:t>3</w:t>
      </w:r>
      <w:r w:rsidRPr="005D3DCD">
        <w:rPr>
          <w:rFonts w:cstheme="minorHAnsi"/>
        </w:rPr>
        <w:t xml:space="preserve"> -  Comerț și servicii</w:t>
      </w:r>
    </w:p>
  </w:footnote>
  <w:footnote w:id="11">
    <w:p w:rsidR="00755B4F" w:rsidRPr="005D3DCD" w:rsidRDefault="00755B4F" w:rsidP="00755B4F">
      <w:pPr>
        <w:pStyle w:val="FootnoteText"/>
        <w:jc w:val="both"/>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175</w:t>
      </w:r>
      <w:r w:rsidRPr="005D3DCD">
        <w:rPr>
          <w:rFonts w:cstheme="minorHAnsi"/>
        </w:rPr>
        <w:t>/1</w:t>
      </w:r>
      <w:r>
        <w:rPr>
          <w:rFonts w:cstheme="minorHAnsi"/>
        </w:rPr>
        <w:t xml:space="preserve">0 </w:t>
      </w:r>
      <w:r w:rsidRPr="005D3DCD">
        <w:rPr>
          <w:rFonts w:cstheme="minorHAnsi"/>
        </w:rPr>
        <w:t xml:space="preserve"> </w:t>
      </w:r>
      <w:r>
        <w:rPr>
          <w:rFonts w:cstheme="minorHAnsi"/>
        </w:rPr>
        <w:t>iulie</w:t>
      </w:r>
      <w:r w:rsidRPr="005D3DCD">
        <w:rPr>
          <w:rFonts w:cstheme="minorHAnsi"/>
        </w:rPr>
        <w:t xml:space="preserve"> 202</w:t>
      </w:r>
      <w:r>
        <w:rPr>
          <w:rFonts w:cstheme="minorHAnsi"/>
        </w:rPr>
        <w:t>3</w:t>
      </w:r>
      <w:r w:rsidRPr="005D3DCD">
        <w:rPr>
          <w:rFonts w:cstheme="minorHAnsi"/>
        </w:rPr>
        <w:t xml:space="preserve"> - Comerț internațional cu bunuri (calcule interne)</w:t>
      </w:r>
    </w:p>
  </w:footnote>
  <w:footnote w:id="12">
    <w:p w:rsidR="00240604" w:rsidRPr="008647C7" w:rsidRDefault="00240604" w:rsidP="00705D89">
      <w:pPr>
        <w:pStyle w:val="FootnoteText"/>
      </w:pPr>
      <w:r>
        <w:rPr>
          <w:rStyle w:val="FootnoteReference"/>
        </w:rPr>
        <w:footnoteRef/>
      </w:r>
      <w:r>
        <w:t xml:space="preserve"> </w:t>
      </w:r>
      <w:r w:rsidRPr="00E9242F">
        <w:rPr>
          <w:rFonts w:cstheme="minorHAnsi"/>
        </w:rPr>
        <w:t xml:space="preserve">dețin o pondere de aproximativ </w:t>
      </w:r>
      <w:r>
        <w:rPr>
          <w:rFonts w:cstheme="minorHAnsi"/>
        </w:rPr>
        <w:t>96,7</w:t>
      </w:r>
      <w:r w:rsidRPr="00E9242F">
        <w:rPr>
          <w:rFonts w:cstheme="minorHAnsi"/>
        </w:rPr>
        <w:t>% în această categorie</w:t>
      </w:r>
    </w:p>
  </w:footnote>
  <w:footnote w:id="13">
    <w:p w:rsidR="00240604" w:rsidRPr="006B7DC2" w:rsidRDefault="00240604" w:rsidP="00705D89">
      <w:pPr>
        <w:autoSpaceDE w:val="0"/>
        <w:autoSpaceDN w:val="0"/>
        <w:adjustRightInd w:val="0"/>
        <w:spacing w:after="0" w:line="240" w:lineRule="auto"/>
        <w:jc w:val="both"/>
        <w:rPr>
          <w:rFonts w:eastAsia="Calibri" w:cstheme="minorHAnsi"/>
          <w:sz w:val="20"/>
          <w:szCs w:val="20"/>
        </w:rPr>
      </w:pPr>
      <w:r w:rsidRPr="00F6774C">
        <w:rPr>
          <w:rStyle w:val="FootnoteReference"/>
          <w:rFonts w:cstheme="minorHAnsi"/>
          <w:i/>
          <w:sz w:val="16"/>
          <w:szCs w:val="16"/>
        </w:rPr>
        <w:footnoteRef/>
      </w:r>
      <w:r w:rsidRPr="00F6774C">
        <w:rPr>
          <w:rFonts w:cstheme="minorHAnsi"/>
          <w:i/>
          <w:sz w:val="16"/>
          <w:szCs w:val="16"/>
        </w:rPr>
        <w:t xml:space="preserve"> </w:t>
      </w:r>
      <w:r w:rsidRPr="006B7DC2">
        <w:rPr>
          <w:rFonts w:eastAsia="Calibri" w:cstheme="minorHAnsi"/>
          <w:sz w:val="20"/>
          <w:szCs w:val="20"/>
        </w:rPr>
        <w:t xml:space="preserve">OG nr.15/2022 pentru modificarea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completarea OUG nr.77/2009 privind Organizarea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exploatarea jocurilor de noroc</w:t>
      </w:r>
    </w:p>
  </w:footnote>
  <w:footnote w:id="14">
    <w:p w:rsidR="00B802A4" w:rsidRPr="005D3DCD" w:rsidRDefault="00B802A4" w:rsidP="00705D89">
      <w:pPr>
        <w:pStyle w:val="FootnoteText"/>
        <w:jc w:val="both"/>
        <w:rPr>
          <w:rFonts w:cstheme="minorHAnsi"/>
        </w:rPr>
      </w:pPr>
      <w:r w:rsidRPr="001D006E">
        <w:rPr>
          <w:rStyle w:val="FootnoteReference"/>
        </w:rPr>
        <w:footnoteRef/>
      </w:r>
      <w:r w:rsidRPr="00497BD8">
        <w:rPr>
          <w:rFonts w:cstheme="minorHAnsi"/>
        </w:rPr>
        <w:t xml:space="preserve"> </w:t>
      </w:r>
      <w:r w:rsidRPr="000319DC">
        <w:rPr>
          <w:rFonts w:cstheme="minorHAnsi"/>
        </w:rPr>
        <w:t>c</w:t>
      </w:r>
      <w:r w:rsidRPr="005D3DCD">
        <w:rPr>
          <w:rFonts w:cstheme="minorHAnsi"/>
        </w:rPr>
        <w:t xml:space="preserve">omunicat de presă INS nr. </w:t>
      </w:r>
      <w:r w:rsidR="000C03D2">
        <w:rPr>
          <w:rFonts w:cstheme="minorHAnsi"/>
        </w:rPr>
        <w:t>175</w:t>
      </w:r>
      <w:r w:rsidRPr="005D3DCD">
        <w:rPr>
          <w:rFonts w:cstheme="minorHAnsi"/>
        </w:rPr>
        <w:t>/</w:t>
      </w:r>
      <w:r>
        <w:rPr>
          <w:rFonts w:cstheme="minorHAnsi"/>
        </w:rPr>
        <w:t xml:space="preserve">10 </w:t>
      </w:r>
      <w:r w:rsidR="000C03D2">
        <w:rPr>
          <w:rFonts w:cstheme="minorHAnsi"/>
        </w:rPr>
        <w:t>iulie</w:t>
      </w:r>
      <w:r w:rsidRPr="005D3DCD">
        <w:rPr>
          <w:rFonts w:cstheme="minorHAnsi"/>
        </w:rPr>
        <w:t xml:space="preserve"> 202</w:t>
      </w:r>
      <w:r>
        <w:rPr>
          <w:rFonts w:cstheme="minorHAnsi"/>
        </w:rPr>
        <w:t>3</w:t>
      </w:r>
      <w:r w:rsidRPr="005D3DCD">
        <w:rPr>
          <w:rFonts w:cstheme="minorHAnsi"/>
        </w:rPr>
        <w:t xml:space="preserve"> - Comerț internațional cu bunuri (calcule interne)</w:t>
      </w:r>
    </w:p>
  </w:footnote>
  <w:footnote w:id="15">
    <w:p w:rsidR="000C03D2" w:rsidRPr="00746435" w:rsidRDefault="000C03D2" w:rsidP="0081351F">
      <w:pPr>
        <w:autoSpaceDE w:val="0"/>
        <w:autoSpaceDN w:val="0"/>
        <w:adjustRightInd w:val="0"/>
        <w:spacing w:after="0"/>
        <w:jc w:val="both"/>
      </w:pPr>
      <w:r>
        <w:rPr>
          <w:rStyle w:val="FootnoteReference"/>
        </w:rPr>
        <w:footnoteRef/>
      </w:r>
      <w:r>
        <w:t xml:space="preserve"> </w:t>
      </w:r>
      <w:r w:rsidRPr="00746435">
        <w:rPr>
          <w:rFonts w:eastAsia="Calibri" w:cstheme="minorHAnsi"/>
          <w:sz w:val="20"/>
          <w:szCs w:val="20"/>
        </w:rPr>
        <w:t>Legea nr. 368/2022 și Legea nr. 369/2022</w:t>
      </w:r>
    </w:p>
  </w:footnote>
  <w:footnote w:id="16">
    <w:p w:rsidR="000C03D2" w:rsidRPr="004C1B3A" w:rsidRDefault="000C03D2" w:rsidP="0081351F">
      <w:pPr>
        <w:autoSpaceDE w:val="0"/>
        <w:autoSpaceDN w:val="0"/>
        <w:adjustRightInd w:val="0"/>
        <w:spacing w:after="0"/>
        <w:rPr>
          <w:rFonts w:cstheme="minorHAnsi"/>
        </w:rPr>
      </w:pPr>
      <w:r>
        <w:rPr>
          <w:rStyle w:val="FootnoteReference"/>
        </w:rPr>
        <w:footnoteRef/>
      </w:r>
      <w:r>
        <w:t xml:space="preserve"> </w:t>
      </w:r>
      <w:r>
        <w:rPr>
          <w:rFonts w:eastAsia="Calibri" w:cstheme="minorHAnsi"/>
          <w:sz w:val="20"/>
          <w:szCs w:val="20"/>
        </w:rPr>
        <w:t>Legea</w:t>
      </w:r>
      <w:r w:rsidRPr="00842005">
        <w:rPr>
          <w:rFonts w:eastAsia="Calibri" w:cstheme="minorHAnsi"/>
          <w:sz w:val="20"/>
          <w:szCs w:val="20"/>
        </w:rPr>
        <w:t xml:space="preserve"> nr. 135/2022</w:t>
      </w:r>
      <w:r>
        <w:rPr>
          <w:rFonts w:eastAsia="Calibri"/>
          <w:sz w:val="24"/>
          <w:szCs w:val="24"/>
        </w:rPr>
        <w:t xml:space="preserve"> </w:t>
      </w:r>
      <w:r w:rsidRPr="004C1B3A">
        <w:rPr>
          <w:rFonts w:eastAsia="Calibri" w:cstheme="minorHAnsi"/>
          <w:sz w:val="20"/>
          <w:szCs w:val="20"/>
        </w:rPr>
        <w:t xml:space="preserve">pentru modificarea </w:t>
      </w:r>
      <w:proofErr w:type="spellStart"/>
      <w:r w:rsidRPr="004C1B3A">
        <w:rPr>
          <w:rFonts w:eastAsia="Calibri" w:cstheme="minorHAnsi"/>
          <w:sz w:val="20"/>
          <w:szCs w:val="20"/>
        </w:rPr>
        <w:t>şi</w:t>
      </w:r>
      <w:proofErr w:type="spellEnd"/>
      <w:r w:rsidRPr="004C1B3A">
        <w:rPr>
          <w:rFonts w:eastAsia="Calibri" w:cstheme="minorHAnsi"/>
          <w:sz w:val="20"/>
          <w:szCs w:val="20"/>
        </w:rPr>
        <w:t xml:space="preserve"> completarea unor acte normative</w:t>
      </w:r>
    </w:p>
  </w:footnote>
  <w:footnote w:id="17">
    <w:p w:rsidR="000C03D2" w:rsidRPr="001F4DC0" w:rsidRDefault="000C03D2" w:rsidP="0081351F">
      <w:pPr>
        <w:pStyle w:val="FootnoteText"/>
        <w:rPr>
          <w:rFonts w:cstheme="minorHAnsi"/>
        </w:rPr>
      </w:pPr>
      <w:r>
        <w:rPr>
          <w:rStyle w:val="FootnoteReference"/>
        </w:rPr>
        <w:footnoteRef/>
      </w:r>
      <w:r>
        <w:t xml:space="preserve"> </w:t>
      </w:r>
      <w:r w:rsidRPr="00842005">
        <w:rPr>
          <w:rFonts w:cstheme="minorHAnsi"/>
        </w:rPr>
        <w:t xml:space="preserve">OUG nr. 130/2021 </w:t>
      </w:r>
      <w:r w:rsidRPr="001F4DC0">
        <w:rPr>
          <w:rFonts w:cstheme="minorHAnsi"/>
        </w:rPr>
        <w:t xml:space="preserve">privind unele măsuri fiscal-bugetare, prorogarea unor termene, precum </w:t>
      </w:r>
      <w:proofErr w:type="spellStart"/>
      <w:r w:rsidRPr="001F4DC0">
        <w:rPr>
          <w:rFonts w:cstheme="minorHAnsi"/>
        </w:rPr>
        <w:t>şi</w:t>
      </w:r>
      <w:proofErr w:type="spellEnd"/>
      <w:r w:rsidRPr="001F4DC0">
        <w:rPr>
          <w:rFonts w:cstheme="minorHAnsi"/>
        </w:rPr>
        <w:t xml:space="preserve"> pentru modificarea </w:t>
      </w:r>
      <w:proofErr w:type="spellStart"/>
      <w:r w:rsidRPr="001F4DC0">
        <w:rPr>
          <w:rFonts w:cstheme="minorHAnsi"/>
        </w:rPr>
        <w:t>şi</w:t>
      </w:r>
      <w:proofErr w:type="spellEnd"/>
      <w:r w:rsidRPr="001F4DC0">
        <w:rPr>
          <w:rFonts w:cstheme="minorHAnsi"/>
        </w:rPr>
        <w:t xml:space="preserve"> completarea unor acte normative sunt neconstituționale</w:t>
      </w:r>
    </w:p>
  </w:footnote>
  <w:footnote w:id="18">
    <w:p w:rsidR="000C03D2" w:rsidRPr="003C14DA" w:rsidRDefault="000C03D2" w:rsidP="0081351F">
      <w:pPr>
        <w:pStyle w:val="FootnoteText"/>
        <w:rPr>
          <w:rFonts w:cstheme="minorHAnsi"/>
        </w:rPr>
      </w:pPr>
      <w:r>
        <w:rPr>
          <w:rStyle w:val="FootnoteReference"/>
        </w:rPr>
        <w:footnoteRef/>
      </w:r>
      <w:r>
        <w:t xml:space="preserve"> </w:t>
      </w:r>
      <w:r w:rsidRPr="003C14DA">
        <w:rPr>
          <w:rFonts w:cstheme="minorHAnsi"/>
        </w:rPr>
        <w:t>începând cu data de 1 martie 2023</w:t>
      </w:r>
    </w:p>
  </w:footnote>
  <w:footnote w:id="19">
    <w:p w:rsidR="000C03D2" w:rsidRPr="00E249B4" w:rsidRDefault="000C03D2" w:rsidP="0081351F">
      <w:pPr>
        <w:pStyle w:val="FootnoteText"/>
      </w:pPr>
      <w:r>
        <w:rPr>
          <w:rStyle w:val="FootnoteReference"/>
        </w:rPr>
        <w:footnoteRef/>
      </w:r>
      <w:r>
        <w:t xml:space="preserve"> </w:t>
      </w:r>
      <w:r w:rsidRPr="003B4BE4">
        <w:rPr>
          <w:rFonts w:cstheme="minorHAnsi"/>
        </w:rPr>
        <w:t xml:space="preserve">O.U.G. </w:t>
      </w:r>
      <w:r w:rsidRPr="00B21046">
        <w:rPr>
          <w:rFonts w:cstheme="minorHAnsi"/>
        </w:rPr>
        <w:t xml:space="preserve">privind stabilirea unor măsuri de restituire a unor </w:t>
      </w:r>
      <w:proofErr w:type="spellStart"/>
      <w:r w:rsidRPr="00B21046">
        <w:rPr>
          <w:rFonts w:cstheme="minorHAnsi"/>
        </w:rPr>
        <w:t>contribuţii</w:t>
      </w:r>
      <w:proofErr w:type="spellEnd"/>
      <w:r w:rsidRPr="00B21046">
        <w:rPr>
          <w:rFonts w:cstheme="minorHAnsi"/>
        </w:rPr>
        <w:t xml:space="preserve"> de asigurări sociale de sănătate</w:t>
      </w:r>
    </w:p>
  </w:footnote>
  <w:footnote w:id="20">
    <w:p w:rsidR="00D12554" w:rsidRPr="001C5D69" w:rsidRDefault="00D12554">
      <w:pPr>
        <w:pStyle w:val="FootnoteText"/>
        <w:rPr>
          <w:sz w:val="18"/>
          <w:szCs w:val="18"/>
        </w:rPr>
      </w:pPr>
      <w:r>
        <w:rPr>
          <w:rStyle w:val="FootnoteReference"/>
        </w:rPr>
        <w:footnoteRef/>
      </w:r>
      <w:r>
        <w:t xml:space="preserve"> </w:t>
      </w:r>
      <w:r w:rsidRPr="001C5D69">
        <w:rPr>
          <w:bCs/>
          <w:sz w:val="18"/>
          <w:szCs w:val="18"/>
        </w:rPr>
        <w:t>în conformitate cu prevederile Ordonanței de urgență a Guvernului nr.168/2022 privind unele măsuri fiscal-bugetare, prorogarea unor termene, precum și pentru modificarea și completarea unor acte normative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5"/>
  </w:num>
  <w:num w:numId="10">
    <w:abstractNumId w:val="7"/>
  </w:num>
  <w:num w:numId="11">
    <w:abstractNumId w:val="4"/>
  </w:num>
  <w:num w:numId="12">
    <w:abstractNumId w:val="5"/>
  </w:num>
  <w:num w:numId="13">
    <w:abstractNumId w:val="0"/>
  </w:num>
  <w:num w:numId="14">
    <w:abstractNumId w:val="1"/>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06CCB"/>
    <w:rsid w:val="00011138"/>
    <w:rsid w:val="00012C3B"/>
    <w:rsid w:val="000141BF"/>
    <w:rsid w:val="00016DE1"/>
    <w:rsid w:val="00016F63"/>
    <w:rsid w:val="00017361"/>
    <w:rsid w:val="00020D5F"/>
    <w:rsid w:val="00021A38"/>
    <w:rsid w:val="00021BE4"/>
    <w:rsid w:val="0002471B"/>
    <w:rsid w:val="00024773"/>
    <w:rsid w:val="000248D3"/>
    <w:rsid w:val="00024AD2"/>
    <w:rsid w:val="00025F7D"/>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66FE7"/>
    <w:rsid w:val="0008264F"/>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03D2"/>
    <w:rsid w:val="000C30DF"/>
    <w:rsid w:val="000C5478"/>
    <w:rsid w:val="000C7AF8"/>
    <w:rsid w:val="000D0F65"/>
    <w:rsid w:val="000D1820"/>
    <w:rsid w:val="000D293A"/>
    <w:rsid w:val="000D2B64"/>
    <w:rsid w:val="000D317D"/>
    <w:rsid w:val="000D5417"/>
    <w:rsid w:val="000D5A57"/>
    <w:rsid w:val="000D653B"/>
    <w:rsid w:val="000D6F9B"/>
    <w:rsid w:val="000D7561"/>
    <w:rsid w:val="000E2C2D"/>
    <w:rsid w:val="000F0A63"/>
    <w:rsid w:val="000F10A9"/>
    <w:rsid w:val="000F1E3F"/>
    <w:rsid w:val="000F48B4"/>
    <w:rsid w:val="000F62DB"/>
    <w:rsid w:val="001005D0"/>
    <w:rsid w:val="00102D79"/>
    <w:rsid w:val="00107875"/>
    <w:rsid w:val="00111330"/>
    <w:rsid w:val="001176FC"/>
    <w:rsid w:val="00121595"/>
    <w:rsid w:val="00122DF5"/>
    <w:rsid w:val="001236DE"/>
    <w:rsid w:val="00124758"/>
    <w:rsid w:val="00125818"/>
    <w:rsid w:val="00137E47"/>
    <w:rsid w:val="00141717"/>
    <w:rsid w:val="00142FC5"/>
    <w:rsid w:val="00145872"/>
    <w:rsid w:val="001506F4"/>
    <w:rsid w:val="00153418"/>
    <w:rsid w:val="001535C1"/>
    <w:rsid w:val="001546A2"/>
    <w:rsid w:val="00155AFB"/>
    <w:rsid w:val="00156388"/>
    <w:rsid w:val="00163874"/>
    <w:rsid w:val="00164710"/>
    <w:rsid w:val="001648BC"/>
    <w:rsid w:val="00170657"/>
    <w:rsid w:val="001707DC"/>
    <w:rsid w:val="00175AD6"/>
    <w:rsid w:val="0017667A"/>
    <w:rsid w:val="00177F2F"/>
    <w:rsid w:val="0018055E"/>
    <w:rsid w:val="00180AC2"/>
    <w:rsid w:val="00181707"/>
    <w:rsid w:val="00182B0D"/>
    <w:rsid w:val="00186A0B"/>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29DC"/>
    <w:rsid w:val="001D44C7"/>
    <w:rsid w:val="001D65FC"/>
    <w:rsid w:val="001D6927"/>
    <w:rsid w:val="001E19BB"/>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57F24"/>
    <w:rsid w:val="00264789"/>
    <w:rsid w:val="0026505E"/>
    <w:rsid w:val="00267D26"/>
    <w:rsid w:val="00272B9B"/>
    <w:rsid w:val="002732A1"/>
    <w:rsid w:val="00273697"/>
    <w:rsid w:val="00274B69"/>
    <w:rsid w:val="00274F7D"/>
    <w:rsid w:val="002841AF"/>
    <w:rsid w:val="00290A07"/>
    <w:rsid w:val="002914A1"/>
    <w:rsid w:val="002915B1"/>
    <w:rsid w:val="0029776C"/>
    <w:rsid w:val="002A7F1B"/>
    <w:rsid w:val="002B01DC"/>
    <w:rsid w:val="002B0928"/>
    <w:rsid w:val="002B0F64"/>
    <w:rsid w:val="002B3CC9"/>
    <w:rsid w:val="002B64BB"/>
    <w:rsid w:val="002C1755"/>
    <w:rsid w:val="002C17E1"/>
    <w:rsid w:val="002C3474"/>
    <w:rsid w:val="002C3B7D"/>
    <w:rsid w:val="002C50FD"/>
    <w:rsid w:val="002C56E8"/>
    <w:rsid w:val="002C7C10"/>
    <w:rsid w:val="002D0BFF"/>
    <w:rsid w:val="002D0E08"/>
    <w:rsid w:val="002D304B"/>
    <w:rsid w:val="002D4811"/>
    <w:rsid w:val="002E36A6"/>
    <w:rsid w:val="002E4DC6"/>
    <w:rsid w:val="002E5330"/>
    <w:rsid w:val="002E593E"/>
    <w:rsid w:val="002E613A"/>
    <w:rsid w:val="002E7628"/>
    <w:rsid w:val="002F2CFC"/>
    <w:rsid w:val="002F44EA"/>
    <w:rsid w:val="002F4790"/>
    <w:rsid w:val="00302BA3"/>
    <w:rsid w:val="00311431"/>
    <w:rsid w:val="00313230"/>
    <w:rsid w:val="00313CA3"/>
    <w:rsid w:val="00315666"/>
    <w:rsid w:val="00322A56"/>
    <w:rsid w:val="003308B1"/>
    <w:rsid w:val="0033447D"/>
    <w:rsid w:val="00334629"/>
    <w:rsid w:val="00334D05"/>
    <w:rsid w:val="00335354"/>
    <w:rsid w:val="0033573F"/>
    <w:rsid w:val="00344677"/>
    <w:rsid w:val="00346296"/>
    <w:rsid w:val="0034724E"/>
    <w:rsid w:val="003477B4"/>
    <w:rsid w:val="003531D4"/>
    <w:rsid w:val="00353276"/>
    <w:rsid w:val="003565E1"/>
    <w:rsid w:val="00356F6A"/>
    <w:rsid w:val="00360906"/>
    <w:rsid w:val="00362EA3"/>
    <w:rsid w:val="00363C11"/>
    <w:rsid w:val="003700C3"/>
    <w:rsid w:val="00370F52"/>
    <w:rsid w:val="0037130B"/>
    <w:rsid w:val="00373FDE"/>
    <w:rsid w:val="00374899"/>
    <w:rsid w:val="00376542"/>
    <w:rsid w:val="003773F4"/>
    <w:rsid w:val="003774BA"/>
    <w:rsid w:val="003836BC"/>
    <w:rsid w:val="00391CC2"/>
    <w:rsid w:val="00392457"/>
    <w:rsid w:val="00392E3D"/>
    <w:rsid w:val="00394AB1"/>
    <w:rsid w:val="0039710E"/>
    <w:rsid w:val="003A18B2"/>
    <w:rsid w:val="003A4F72"/>
    <w:rsid w:val="003A6D4C"/>
    <w:rsid w:val="003B44A7"/>
    <w:rsid w:val="003C25D1"/>
    <w:rsid w:val="003C28B1"/>
    <w:rsid w:val="003C4703"/>
    <w:rsid w:val="003C663D"/>
    <w:rsid w:val="003C6E28"/>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85E21"/>
    <w:rsid w:val="00487677"/>
    <w:rsid w:val="004901E4"/>
    <w:rsid w:val="004943F0"/>
    <w:rsid w:val="004A1E84"/>
    <w:rsid w:val="004A31C5"/>
    <w:rsid w:val="004B17F8"/>
    <w:rsid w:val="004B3151"/>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0724"/>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1823"/>
    <w:rsid w:val="005F3004"/>
    <w:rsid w:val="005F4DF1"/>
    <w:rsid w:val="00601884"/>
    <w:rsid w:val="00601B02"/>
    <w:rsid w:val="00602503"/>
    <w:rsid w:val="0060525E"/>
    <w:rsid w:val="0060609A"/>
    <w:rsid w:val="006165B6"/>
    <w:rsid w:val="00620465"/>
    <w:rsid w:val="00620B19"/>
    <w:rsid w:val="00622AC2"/>
    <w:rsid w:val="00622B86"/>
    <w:rsid w:val="00622EAC"/>
    <w:rsid w:val="00623A5E"/>
    <w:rsid w:val="00625493"/>
    <w:rsid w:val="006254C8"/>
    <w:rsid w:val="0062653C"/>
    <w:rsid w:val="006306E1"/>
    <w:rsid w:val="006326E1"/>
    <w:rsid w:val="00633E45"/>
    <w:rsid w:val="0063551B"/>
    <w:rsid w:val="0063711C"/>
    <w:rsid w:val="00640FBB"/>
    <w:rsid w:val="00643323"/>
    <w:rsid w:val="0064606E"/>
    <w:rsid w:val="006477A6"/>
    <w:rsid w:val="00647AE3"/>
    <w:rsid w:val="006523E6"/>
    <w:rsid w:val="00660150"/>
    <w:rsid w:val="00660290"/>
    <w:rsid w:val="00660554"/>
    <w:rsid w:val="00661A38"/>
    <w:rsid w:val="00661C32"/>
    <w:rsid w:val="00662448"/>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5E9B"/>
    <w:rsid w:val="00696A35"/>
    <w:rsid w:val="00696BE5"/>
    <w:rsid w:val="006A012D"/>
    <w:rsid w:val="006A0560"/>
    <w:rsid w:val="006A20D2"/>
    <w:rsid w:val="006A2C26"/>
    <w:rsid w:val="006A2FAF"/>
    <w:rsid w:val="006A3329"/>
    <w:rsid w:val="006A59D1"/>
    <w:rsid w:val="006B3457"/>
    <w:rsid w:val="006B50AB"/>
    <w:rsid w:val="006B6A3A"/>
    <w:rsid w:val="006C0750"/>
    <w:rsid w:val="006C08A3"/>
    <w:rsid w:val="006C31A6"/>
    <w:rsid w:val="006C76FA"/>
    <w:rsid w:val="006C7DA9"/>
    <w:rsid w:val="006D1425"/>
    <w:rsid w:val="006E2931"/>
    <w:rsid w:val="006E331D"/>
    <w:rsid w:val="006E39B6"/>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523"/>
    <w:rsid w:val="007507EE"/>
    <w:rsid w:val="00751B0D"/>
    <w:rsid w:val="00751BF9"/>
    <w:rsid w:val="007536F7"/>
    <w:rsid w:val="00753D9F"/>
    <w:rsid w:val="00754831"/>
    <w:rsid w:val="00755B4F"/>
    <w:rsid w:val="00771F9D"/>
    <w:rsid w:val="00780EAB"/>
    <w:rsid w:val="00782EB2"/>
    <w:rsid w:val="00790ED9"/>
    <w:rsid w:val="0079184B"/>
    <w:rsid w:val="00791FEB"/>
    <w:rsid w:val="0079445D"/>
    <w:rsid w:val="007A0021"/>
    <w:rsid w:val="007A0DDC"/>
    <w:rsid w:val="007A23F1"/>
    <w:rsid w:val="007A3AFD"/>
    <w:rsid w:val="007A5BD6"/>
    <w:rsid w:val="007B4E71"/>
    <w:rsid w:val="007B5527"/>
    <w:rsid w:val="007B5BD7"/>
    <w:rsid w:val="007C0355"/>
    <w:rsid w:val="007C1785"/>
    <w:rsid w:val="007C6A86"/>
    <w:rsid w:val="007C6F2E"/>
    <w:rsid w:val="007D0985"/>
    <w:rsid w:val="007D381A"/>
    <w:rsid w:val="007D4378"/>
    <w:rsid w:val="007D76CC"/>
    <w:rsid w:val="007D782E"/>
    <w:rsid w:val="007E2111"/>
    <w:rsid w:val="007E295A"/>
    <w:rsid w:val="007E48B7"/>
    <w:rsid w:val="007E6BCA"/>
    <w:rsid w:val="007E6CF5"/>
    <w:rsid w:val="007F440C"/>
    <w:rsid w:val="007F4FE7"/>
    <w:rsid w:val="00800AC8"/>
    <w:rsid w:val="00804263"/>
    <w:rsid w:val="008045BB"/>
    <w:rsid w:val="00807147"/>
    <w:rsid w:val="00807885"/>
    <w:rsid w:val="00811D17"/>
    <w:rsid w:val="00812166"/>
    <w:rsid w:val="00813174"/>
    <w:rsid w:val="0081351F"/>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241A"/>
    <w:rsid w:val="0086613A"/>
    <w:rsid w:val="0087489E"/>
    <w:rsid w:val="00877230"/>
    <w:rsid w:val="00883977"/>
    <w:rsid w:val="00883B23"/>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D4EFA"/>
    <w:rsid w:val="008D5E65"/>
    <w:rsid w:val="008E08AA"/>
    <w:rsid w:val="008E2FC1"/>
    <w:rsid w:val="008E39D6"/>
    <w:rsid w:val="008E4687"/>
    <w:rsid w:val="008E6500"/>
    <w:rsid w:val="008E7299"/>
    <w:rsid w:val="008F1328"/>
    <w:rsid w:val="008F4429"/>
    <w:rsid w:val="008F6106"/>
    <w:rsid w:val="008F636D"/>
    <w:rsid w:val="008F735B"/>
    <w:rsid w:val="009008DE"/>
    <w:rsid w:val="0090217B"/>
    <w:rsid w:val="0090243B"/>
    <w:rsid w:val="00906766"/>
    <w:rsid w:val="00907645"/>
    <w:rsid w:val="00910F23"/>
    <w:rsid w:val="0092174A"/>
    <w:rsid w:val="00925E6D"/>
    <w:rsid w:val="009262D2"/>
    <w:rsid w:val="009270AB"/>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670AA"/>
    <w:rsid w:val="009714B3"/>
    <w:rsid w:val="009723DE"/>
    <w:rsid w:val="0097277E"/>
    <w:rsid w:val="0097352C"/>
    <w:rsid w:val="00973651"/>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56918"/>
    <w:rsid w:val="00A725CE"/>
    <w:rsid w:val="00A73F57"/>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A0B"/>
    <w:rsid w:val="00AD433F"/>
    <w:rsid w:val="00AD5997"/>
    <w:rsid w:val="00AD661E"/>
    <w:rsid w:val="00AD74AC"/>
    <w:rsid w:val="00AE2267"/>
    <w:rsid w:val="00AE5117"/>
    <w:rsid w:val="00AE54C4"/>
    <w:rsid w:val="00AE579B"/>
    <w:rsid w:val="00AE59A3"/>
    <w:rsid w:val="00AE619D"/>
    <w:rsid w:val="00AF077A"/>
    <w:rsid w:val="00AF0A9B"/>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3C06"/>
    <w:rsid w:val="00B25F58"/>
    <w:rsid w:val="00B26476"/>
    <w:rsid w:val="00B27620"/>
    <w:rsid w:val="00B27A1D"/>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02A4"/>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C6C61"/>
    <w:rsid w:val="00BC7A5A"/>
    <w:rsid w:val="00BD3DE4"/>
    <w:rsid w:val="00BD4CA5"/>
    <w:rsid w:val="00BD76A9"/>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58C4"/>
    <w:rsid w:val="00C267BD"/>
    <w:rsid w:val="00C361BA"/>
    <w:rsid w:val="00C447E9"/>
    <w:rsid w:val="00C50AC2"/>
    <w:rsid w:val="00C51147"/>
    <w:rsid w:val="00C56676"/>
    <w:rsid w:val="00C6120B"/>
    <w:rsid w:val="00C624BA"/>
    <w:rsid w:val="00C7035B"/>
    <w:rsid w:val="00C71C51"/>
    <w:rsid w:val="00C7250A"/>
    <w:rsid w:val="00C728CC"/>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2B0B"/>
    <w:rsid w:val="00CF55E5"/>
    <w:rsid w:val="00D05158"/>
    <w:rsid w:val="00D0713D"/>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3F8B"/>
    <w:rsid w:val="00D506AC"/>
    <w:rsid w:val="00D60A49"/>
    <w:rsid w:val="00D60BC0"/>
    <w:rsid w:val="00D61C8C"/>
    <w:rsid w:val="00D630AC"/>
    <w:rsid w:val="00D64FFE"/>
    <w:rsid w:val="00D716F8"/>
    <w:rsid w:val="00D719EF"/>
    <w:rsid w:val="00D750B6"/>
    <w:rsid w:val="00D81272"/>
    <w:rsid w:val="00D86BC6"/>
    <w:rsid w:val="00D870FD"/>
    <w:rsid w:val="00D872D5"/>
    <w:rsid w:val="00D90D07"/>
    <w:rsid w:val="00D96816"/>
    <w:rsid w:val="00DA1CBE"/>
    <w:rsid w:val="00DA35E4"/>
    <w:rsid w:val="00DA4DCA"/>
    <w:rsid w:val="00DB2D92"/>
    <w:rsid w:val="00DB3A55"/>
    <w:rsid w:val="00DB67BD"/>
    <w:rsid w:val="00DC09CB"/>
    <w:rsid w:val="00DD03A2"/>
    <w:rsid w:val="00DD1C70"/>
    <w:rsid w:val="00DD3FBA"/>
    <w:rsid w:val="00DD52A5"/>
    <w:rsid w:val="00DD5C43"/>
    <w:rsid w:val="00DE15CB"/>
    <w:rsid w:val="00DE2EB1"/>
    <w:rsid w:val="00DE388E"/>
    <w:rsid w:val="00DE5601"/>
    <w:rsid w:val="00DF01F7"/>
    <w:rsid w:val="00DF46B2"/>
    <w:rsid w:val="00DF4F15"/>
    <w:rsid w:val="00DF5205"/>
    <w:rsid w:val="00DF6426"/>
    <w:rsid w:val="00DF707F"/>
    <w:rsid w:val="00DF73CB"/>
    <w:rsid w:val="00E001D0"/>
    <w:rsid w:val="00E0129F"/>
    <w:rsid w:val="00E01455"/>
    <w:rsid w:val="00E033D1"/>
    <w:rsid w:val="00E044D0"/>
    <w:rsid w:val="00E103A8"/>
    <w:rsid w:val="00E15D34"/>
    <w:rsid w:val="00E16164"/>
    <w:rsid w:val="00E16DED"/>
    <w:rsid w:val="00E21827"/>
    <w:rsid w:val="00E21979"/>
    <w:rsid w:val="00E22D0F"/>
    <w:rsid w:val="00E23BE8"/>
    <w:rsid w:val="00E25FC5"/>
    <w:rsid w:val="00E261B4"/>
    <w:rsid w:val="00E27A1E"/>
    <w:rsid w:val="00E33517"/>
    <w:rsid w:val="00E354EC"/>
    <w:rsid w:val="00E37855"/>
    <w:rsid w:val="00E42080"/>
    <w:rsid w:val="00E42AAB"/>
    <w:rsid w:val="00E42BEC"/>
    <w:rsid w:val="00E46933"/>
    <w:rsid w:val="00E47F7B"/>
    <w:rsid w:val="00E511C3"/>
    <w:rsid w:val="00E56254"/>
    <w:rsid w:val="00E62253"/>
    <w:rsid w:val="00E74759"/>
    <w:rsid w:val="00E74A8C"/>
    <w:rsid w:val="00E75196"/>
    <w:rsid w:val="00E762E4"/>
    <w:rsid w:val="00E812EF"/>
    <w:rsid w:val="00E82CC6"/>
    <w:rsid w:val="00E87431"/>
    <w:rsid w:val="00E92C88"/>
    <w:rsid w:val="00E94D84"/>
    <w:rsid w:val="00E95181"/>
    <w:rsid w:val="00EA5277"/>
    <w:rsid w:val="00EA6101"/>
    <w:rsid w:val="00EA7E68"/>
    <w:rsid w:val="00EB0ECB"/>
    <w:rsid w:val="00EB37A1"/>
    <w:rsid w:val="00EB6BD9"/>
    <w:rsid w:val="00EB7155"/>
    <w:rsid w:val="00EC0E42"/>
    <w:rsid w:val="00EC3F79"/>
    <w:rsid w:val="00EC6E30"/>
    <w:rsid w:val="00EC7BB5"/>
    <w:rsid w:val="00ED10AC"/>
    <w:rsid w:val="00ED29A0"/>
    <w:rsid w:val="00ED2E0A"/>
    <w:rsid w:val="00ED2E85"/>
    <w:rsid w:val="00ED3C31"/>
    <w:rsid w:val="00ED6201"/>
    <w:rsid w:val="00ED6635"/>
    <w:rsid w:val="00ED6AC1"/>
    <w:rsid w:val="00ED7BA6"/>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3CAF"/>
    <w:rsid w:val="00F24FA0"/>
    <w:rsid w:val="00F2551A"/>
    <w:rsid w:val="00F25BB6"/>
    <w:rsid w:val="00F263F6"/>
    <w:rsid w:val="00F27AD3"/>
    <w:rsid w:val="00F30899"/>
    <w:rsid w:val="00F34109"/>
    <w:rsid w:val="00F34894"/>
    <w:rsid w:val="00F37AB4"/>
    <w:rsid w:val="00F405DB"/>
    <w:rsid w:val="00F42E28"/>
    <w:rsid w:val="00F42FA1"/>
    <w:rsid w:val="00F438BF"/>
    <w:rsid w:val="00F46295"/>
    <w:rsid w:val="00F46722"/>
    <w:rsid w:val="00F51834"/>
    <w:rsid w:val="00F53291"/>
    <w:rsid w:val="00F5546F"/>
    <w:rsid w:val="00F5559E"/>
    <w:rsid w:val="00F578E9"/>
    <w:rsid w:val="00F62C9A"/>
    <w:rsid w:val="00F67270"/>
    <w:rsid w:val="00F71A10"/>
    <w:rsid w:val="00F7321C"/>
    <w:rsid w:val="00F7443E"/>
    <w:rsid w:val="00F8178B"/>
    <w:rsid w:val="00F81DCA"/>
    <w:rsid w:val="00F83B9B"/>
    <w:rsid w:val="00F859E9"/>
    <w:rsid w:val="00F859F4"/>
    <w:rsid w:val="00F867D6"/>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25E"/>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70FA90"/>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MFP1934\retea%20on%2010.236.1.89\Executii\Executii%202023\Rapoarte%20LRF%202023\RAPORT%20TRIM.II%202023\RAPORT%20TRIM%20II%202023%20calcule\grafice%202023.xlsx!Sheet2%20(2)!%5bgrafice%202023.xlsx%5dSheet2%20(2)%20Chart%20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MFP1934\retea%20on%2010.236.1.89\Executii\Executii%202023\Rapoarte%20LRF%202023\RAPORT%20TRIM.II%202023\RAPORT%20TRIM%20II%202023%20calcule\grafice%202023.xlsx!Sheet2%20(2)!%5bgrafice%202023.xlsx%5dSheet2%20(2)%20Chart%203-1" TargetMode="External"/><Relationship Id="rId5" Type="http://schemas.openxmlformats.org/officeDocument/2006/relationships/webSettings" Target="webSettings.xml"/><Relationship Id="rId15" Type="http://schemas.openxmlformats.org/officeDocument/2006/relationships/oleObject" Target="file:///\\MFP1934\retea%20on%2010.236.1.89\Executii\Executii%202023\Rapoarte%20LRF%202023\RAPORT%20TRIM.II%202023\RAPORT%20TRIM%20II%202023%20calcule\grafice%202023.xlsx!Sheet2%20(2)!%5bgrafice%202023.xlsx%5dSheet2%20(2)%20Chart%205"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MFP1934\retea%20on%2010.236.1.89\Executii\Executii%202023\Rapoarte%20LRF%202023\RAPORT%20TRIM.II%202023\RAPORT%20TRIM%20II%202023%20calcule\grafice%202023.xlsx!Sheet2%20(2)!%5bgrafice%202023.xlsx%5dSheet2%20(2)%20Chart%201" TargetMode="Externa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9A59A7"/>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40F5-3A6C-4DB0-B092-9D940E28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3622</Words>
  <Characters>20649</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al doilea TRIMESTRU AL ANULUI 2023</dc:creator>
  <cp:lastModifiedBy>FLORIN-ANDREI DAIA</cp:lastModifiedBy>
  <cp:revision>34</cp:revision>
  <cp:lastPrinted>2023-07-28T10:37:00Z</cp:lastPrinted>
  <dcterms:created xsi:type="dcterms:W3CDTF">2023-04-27T16:12:00Z</dcterms:created>
  <dcterms:modified xsi:type="dcterms:W3CDTF">2023-08-17T09:06:00Z</dcterms:modified>
</cp:coreProperties>
</file>