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5E5" w:rsidRPr="005B6AFF" w:rsidRDefault="00CF55E5" w:rsidP="003F4E84">
      <w:pPr>
        <w:pBdr>
          <w:top w:val="single" w:sz="4" w:space="1" w:color="auto"/>
          <w:bottom w:val="single" w:sz="4" w:space="1" w:color="auto"/>
        </w:pBdr>
        <w:spacing w:after="120" w:line="240" w:lineRule="auto"/>
        <w:jc w:val="right"/>
        <w:rPr>
          <w:rFonts w:ascii="Tahoma" w:hAnsi="Tahoma" w:cs="Tahoma"/>
          <w:b/>
          <w:caps/>
          <w:color w:val="0070C0"/>
          <w:sz w:val="24"/>
          <w:szCs w:val="24"/>
        </w:rPr>
      </w:pPr>
      <w:r w:rsidRPr="005B6AFF">
        <w:rPr>
          <w:rFonts w:ascii="Tahoma" w:hAnsi="Tahoma" w:cs="Tahoma"/>
          <w:b/>
          <w:caps/>
          <w:color w:val="0070C0"/>
          <w:sz w:val="24"/>
          <w:szCs w:val="24"/>
        </w:rPr>
        <w:t>RAPORT PRIVIND EXECU</w:t>
      </w:r>
      <w:r w:rsidR="003F4E84" w:rsidRPr="005B6AFF">
        <w:rPr>
          <w:rFonts w:ascii="Tahoma" w:hAnsi="Tahoma" w:cs="Tahoma"/>
          <w:b/>
          <w:caps/>
          <w:color w:val="0070C0"/>
          <w:sz w:val="24"/>
          <w:szCs w:val="24"/>
        </w:rPr>
        <w:t>ția buget</w:t>
      </w:r>
      <w:r w:rsidRPr="005B6AFF">
        <w:rPr>
          <w:rFonts w:ascii="Tahoma" w:hAnsi="Tahoma" w:cs="Tahoma"/>
          <w:b/>
          <w:caps/>
          <w:color w:val="0070C0"/>
          <w:sz w:val="24"/>
          <w:szCs w:val="24"/>
        </w:rPr>
        <w:t>ARĂ</w:t>
      </w:r>
    </w:p>
    <w:p w:rsidR="00CF55E5" w:rsidRPr="005B6AFF" w:rsidRDefault="00CF55E5" w:rsidP="003F4E84">
      <w:pPr>
        <w:pBdr>
          <w:top w:val="single" w:sz="4" w:space="1" w:color="auto"/>
          <w:bottom w:val="single" w:sz="4" w:space="1" w:color="auto"/>
        </w:pBdr>
        <w:spacing w:after="120" w:line="240" w:lineRule="auto"/>
        <w:jc w:val="right"/>
        <w:rPr>
          <w:rFonts w:ascii="Tahoma" w:hAnsi="Tahoma" w:cs="Tahoma"/>
          <w:b/>
          <w:caps/>
          <w:color w:val="0070C0"/>
          <w:sz w:val="24"/>
          <w:szCs w:val="24"/>
        </w:rPr>
      </w:pPr>
      <w:r w:rsidRPr="005B6AFF">
        <w:rPr>
          <w:rFonts w:ascii="Tahoma" w:hAnsi="Tahoma" w:cs="Tahoma"/>
          <w:b/>
          <w:caps/>
          <w:color w:val="0070C0"/>
          <w:sz w:val="24"/>
          <w:szCs w:val="24"/>
        </w:rPr>
        <w:t xml:space="preserve"> PE </w:t>
      </w:r>
      <w:r w:rsidR="00DF6FAF">
        <w:rPr>
          <w:rFonts w:ascii="Tahoma" w:hAnsi="Tahoma" w:cs="Tahoma"/>
          <w:b/>
          <w:caps/>
          <w:color w:val="0070C0"/>
          <w:sz w:val="24"/>
          <w:szCs w:val="24"/>
        </w:rPr>
        <w:t>al doilea</w:t>
      </w:r>
      <w:r w:rsidRPr="005B6AFF">
        <w:rPr>
          <w:rFonts w:ascii="Tahoma" w:hAnsi="Tahoma" w:cs="Tahoma"/>
          <w:b/>
          <w:caps/>
          <w:color w:val="0070C0"/>
          <w:sz w:val="24"/>
          <w:szCs w:val="24"/>
        </w:rPr>
        <w:t xml:space="preserve"> TRIMESTRU </w:t>
      </w:r>
    </w:p>
    <w:p w:rsidR="003F4E84" w:rsidRPr="005B6AFF" w:rsidRDefault="00CF55E5" w:rsidP="003F4E84">
      <w:pPr>
        <w:pBdr>
          <w:top w:val="single" w:sz="4" w:space="1" w:color="auto"/>
          <w:bottom w:val="single" w:sz="4" w:space="1" w:color="auto"/>
        </w:pBdr>
        <w:spacing w:after="120" w:line="240" w:lineRule="auto"/>
        <w:jc w:val="right"/>
        <w:rPr>
          <w:rFonts w:ascii="Tahoma" w:hAnsi="Tahoma" w:cs="Tahoma"/>
          <w:b/>
          <w:caps/>
          <w:color w:val="0070C0"/>
          <w:sz w:val="24"/>
          <w:szCs w:val="24"/>
        </w:rPr>
      </w:pPr>
      <w:r w:rsidRPr="005B6AFF">
        <w:rPr>
          <w:rFonts w:ascii="Tahoma" w:hAnsi="Tahoma" w:cs="Tahoma"/>
          <w:b/>
          <w:caps/>
          <w:color w:val="0070C0"/>
          <w:sz w:val="24"/>
          <w:szCs w:val="24"/>
        </w:rPr>
        <w:t xml:space="preserve">AL ANULUI </w:t>
      </w:r>
      <w:r w:rsidR="004827E6">
        <w:rPr>
          <w:rFonts w:ascii="Tahoma" w:hAnsi="Tahoma" w:cs="Tahoma"/>
          <w:b/>
          <w:caps/>
          <w:color w:val="0070C0"/>
          <w:sz w:val="24"/>
          <w:szCs w:val="24"/>
        </w:rPr>
        <w:t>2025</w:t>
      </w:r>
    </w:p>
    <w:p w:rsidR="003F4E84" w:rsidRPr="005B6AFF" w:rsidRDefault="003F4E84" w:rsidP="00936276">
      <w:pPr>
        <w:spacing w:after="240" w:line="240" w:lineRule="auto"/>
        <w:jc w:val="right"/>
        <w:rPr>
          <w:rFonts w:ascii="Tahoma" w:hAnsi="Tahoma" w:cs="Tahoma"/>
          <w:b/>
          <w:color w:val="0070C0"/>
          <w:sz w:val="24"/>
          <w:szCs w:val="24"/>
        </w:rPr>
      </w:pPr>
    </w:p>
    <w:p w:rsidR="00BB649B" w:rsidRPr="00807147" w:rsidRDefault="005D6D51" w:rsidP="00BB649B">
      <w:pPr>
        <w:shd w:val="clear" w:color="auto" w:fill="DEEAF6" w:themeFill="accent1" w:themeFillTint="33"/>
        <w:spacing w:after="240" w:line="276" w:lineRule="auto"/>
        <w:jc w:val="both"/>
        <w:rPr>
          <w:rFonts w:ascii="Tahoma" w:hAnsi="Tahoma" w:cs="Tahoma"/>
          <w:bCs/>
          <w:sz w:val="24"/>
          <w:szCs w:val="24"/>
        </w:rPr>
      </w:pPr>
      <w:r w:rsidRPr="005B6AFF">
        <w:rPr>
          <w:rFonts w:ascii="Tahoma" w:hAnsi="Tahoma" w:cs="Tahoma"/>
          <w:bCs/>
          <w:sz w:val="24"/>
          <w:szCs w:val="24"/>
        </w:rPr>
        <w:t xml:space="preserve">În </w:t>
      </w:r>
      <w:r w:rsidR="00B50C3C">
        <w:rPr>
          <w:rFonts w:ascii="Tahoma" w:hAnsi="Tahoma" w:cs="Tahoma"/>
          <w:bCs/>
          <w:sz w:val="24"/>
          <w:szCs w:val="24"/>
        </w:rPr>
        <w:t>al doilea</w:t>
      </w:r>
      <w:r w:rsidRPr="005B6AFF">
        <w:rPr>
          <w:rFonts w:ascii="Tahoma" w:hAnsi="Tahoma" w:cs="Tahoma"/>
          <w:bCs/>
          <w:sz w:val="24"/>
          <w:szCs w:val="24"/>
        </w:rPr>
        <w:t xml:space="preserve"> trimestru al anului </w:t>
      </w:r>
      <w:r w:rsidR="004827E6">
        <w:rPr>
          <w:rFonts w:ascii="Tahoma" w:hAnsi="Tahoma" w:cs="Tahoma"/>
          <w:bCs/>
          <w:sz w:val="24"/>
          <w:szCs w:val="24"/>
        </w:rPr>
        <w:t>2025</w:t>
      </w:r>
      <w:r w:rsidR="002F2CFC" w:rsidRPr="005B6AFF">
        <w:rPr>
          <w:rFonts w:ascii="Tahoma" w:hAnsi="Tahoma" w:cs="Tahoma"/>
          <w:bCs/>
          <w:sz w:val="24"/>
          <w:szCs w:val="24"/>
        </w:rPr>
        <w:t>,</w:t>
      </w:r>
      <w:r w:rsidRPr="005B6AFF">
        <w:rPr>
          <w:rFonts w:ascii="Tahoma" w:hAnsi="Tahoma" w:cs="Tahoma"/>
          <w:bCs/>
          <w:sz w:val="24"/>
          <w:szCs w:val="24"/>
        </w:rPr>
        <w:t xml:space="preserve"> bugetul general consolidat a înregistrat un </w:t>
      </w:r>
      <w:r w:rsidRPr="005B6AFF">
        <w:rPr>
          <w:rFonts w:ascii="Tahoma" w:hAnsi="Tahoma" w:cs="Tahoma"/>
          <w:b/>
          <w:bCs/>
          <w:sz w:val="24"/>
          <w:szCs w:val="24"/>
        </w:rPr>
        <w:t>deficit</w:t>
      </w:r>
      <w:r w:rsidRPr="005B6AFF">
        <w:rPr>
          <w:rFonts w:ascii="Tahoma" w:hAnsi="Tahoma" w:cs="Tahoma"/>
          <w:bCs/>
          <w:sz w:val="24"/>
          <w:szCs w:val="24"/>
        </w:rPr>
        <w:t xml:space="preserve"> în valoare de </w:t>
      </w:r>
      <w:r w:rsidR="00B50C3C">
        <w:rPr>
          <w:rFonts w:ascii="Tahoma" w:hAnsi="Tahoma" w:cs="Tahoma"/>
          <w:b/>
          <w:bCs/>
          <w:sz w:val="24"/>
          <w:szCs w:val="24"/>
        </w:rPr>
        <w:t>26,14</w:t>
      </w:r>
      <w:r w:rsidRPr="005B6AFF">
        <w:rPr>
          <w:rFonts w:ascii="Tahoma" w:hAnsi="Tahoma" w:cs="Tahoma"/>
          <w:b/>
          <w:bCs/>
          <w:sz w:val="24"/>
          <w:szCs w:val="24"/>
        </w:rPr>
        <w:t xml:space="preserve"> </w:t>
      </w:r>
      <w:r w:rsidR="00602503" w:rsidRPr="005B6AFF">
        <w:rPr>
          <w:rFonts w:ascii="Tahoma" w:hAnsi="Tahoma" w:cs="Tahoma"/>
          <w:b/>
          <w:bCs/>
          <w:sz w:val="24"/>
          <w:szCs w:val="24"/>
        </w:rPr>
        <w:t>miliarde</w:t>
      </w:r>
      <w:r w:rsidR="00713D80" w:rsidRPr="005B6AFF">
        <w:rPr>
          <w:rFonts w:ascii="Tahoma" w:hAnsi="Tahoma" w:cs="Tahoma"/>
          <w:b/>
          <w:bCs/>
          <w:sz w:val="24"/>
          <w:szCs w:val="24"/>
        </w:rPr>
        <w:t xml:space="preserve"> </w:t>
      </w:r>
      <w:r w:rsidRPr="005B6AFF">
        <w:rPr>
          <w:rFonts w:ascii="Tahoma" w:hAnsi="Tahoma" w:cs="Tahoma"/>
          <w:b/>
          <w:bCs/>
          <w:sz w:val="24"/>
          <w:szCs w:val="24"/>
        </w:rPr>
        <w:t>lei (</w:t>
      </w:r>
      <w:r w:rsidR="00B50C3C">
        <w:rPr>
          <w:rFonts w:ascii="Tahoma" w:hAnsi="Tahoma" w:cs="Tahoma"/>
          <w:b/>
          <w:bCs/>
          <w:sz w:val="24"/>
          <w:szCs w:val="24"/>
        </w:rPr>
        <w:t>1,38</w:t>
      </w:r>
      <w:r w:rsidRPr="005B6AFF">
        <w:rPr>
          <w:rFonts w:ascii="Tahoma" w:hAnsi="Tahoma" w:cs="Tahoma"/>
          <w:b/>
          <w:bCs/>
          <w:sz w:val="24"/>
          <w:szCs w:val="24"/>
        </w:rPr>
        <w:t>% din PIB)</w:t>
      </w:r>
      <w:r w:rsidR="00C9727F" w:rsidRPr="005B6AFF">
        <w:rPr>
          <w:rFonts w:ascii="Tahoma" w:hAnsi="Tahoma" w:cs="Tahoma"/>
          <w:bCs/>
          <w:sz w:val="24"/>
          <w:szCs w:val="24"/>
        </w:rPr>
        <w:t>,</w:t>
      </w:r>
      <w:r w:rsidR="007C6A86" w:rsidRPr="005B6AFF">
        <w:rPr>
          <w:rFonts w:ascii="Tahoma" w:hAnsi="Tahoma" w:cs="Tahoma"/>
          <w:bCs/>
          <w:sz w:val="24"/>
          <w:szCs w:val="24"/>
        </w:rPr>
        <w:t xml:space="preserve"> cu </w:t>
      </w:r>
      <w:r w:rsidR="00B50C3C">
        <w:rPr>
          <w:rFonts w:ascii="Tahoma" w:hAnsi="Tahoma" w:cs="Tahoma"/>
          <w:bCs/>
          <w:sz w:val="24"/>
          <w:szCs w:val="24"/>
        </w:rPr>
        <w:t>5,10</w:t>
      </w:r>
      <w:r w:rsidR="007C6A86" w:rsidRPr="005B6AFF">
        <w:rPr>
          <w:rFonts w:ascii="Tahoma" w:hAnsi="Tahoma" w:cs="Tahoma"/>
          <w:bCs/>
          <w:sz w:val="24"/>
          <w:szCs w:val="24"/>
        </w:rPr>
        <w:t xml:space="preserve"> </w:t>
      </w:r>
      <w:r w:rsidR="00602503" w:rsidRPr="005B6AFF">
        <w:rPr>
          <w:rFonts w:ascii="Tahoma" w:hAnsi="Tahoma" w:cs="Tahoma"/>
          <w:bCs/>
          <w:sz w:val="24"/>
          <w:szCs w:val="24"/>
        </w:rPr>
        <w:t>miliarde</w:t>
      </w:r>
      <w:r w:rsidR="00713D80" w:rsidRPr="005B6AFF">
        <w:rPr>
          <w:rFonts w:ascii="Tahoma" w:hAnsi="Tahoma" w:cs="Tahoma"/>
          <w:bCs/>
          <w:sz w:val="24"/>
          <w:szCs w:val="24"/>
        </w:rPr>
        <w:t xml:space="preserve"> </w:t>
      </w:r>
      <w:r w:rsidRPr="005B6AFF">
        <w:rPr>
          <w:rFonts w:ascii="Tahoma" w:hAnsi="Tahoma" w:cs="Tahoma"/>
          <w:bCs/>
          <w:sz w:val="24"/>
          <w:szCs w:val="24"/>
        </w:rPr>
        <w:t xml:space="preserve">lei </w:t>
      </w:r>
      <w:r w:rsidR="00CE4909" w:rsidRPr="005B6AFF">
        <w:rPr>
          <w:rFonts w:ascii="Tahoma" w:hAnsi="Tahoma" w:cs="Tahoma"/>
          <w:bCs/>
          <w:sz w:val="24"/>
          <w:szCs w:val="24"/>
        </w:rPr>
        <w:t>sub</w:t>
      </w:r>
      <w:r w:rsidRPr="005B6AFF">
        <w:rPr>
          <w:rFonts w:ascii="Tahoma" w:hAnsi="Tahoma" w:cs="Tahoma"/>
          <w:bCs/>
          <w:sz w:val="24"/>
          <w:szCs w:val="24"/>
        </w:rPr>
        <w:t xml:space="preserve"> nivelul prognozat </w:t>
      </w:r>
      <w:r w:rsidR="007C6A86" w:rsidRPr="005B6AFF">
        <w:rPr>
          <w:rFonts w:ascii="Tahoma" w:hAnsi="Tahoma" w:cs="Tahoma"/>
          <w:bCs/>
          <w:sz w:val="24"/>
          <w:szCs w:val="24"/>
        </w:rPr>
        <w:t>pentru perioada analizată</w:t>
      </w:r>
      <w:r w:rsidR="008B120C">
        <w:rPr>
          <w:rFonts w:ascii="Tahoma" w:hAnsi="Tahoma" w:cs="Tahoma"/>
          <w:bCs/>
          <w:sz w:val="24"/>
          <w:szCs w:val="24"/>
        </w:rPr>
        <w:t xml:space="preserve">, </w:t>
      </w:r>
      <w:r w:rsidR="00BB649B" w:rsidRPr="008B120C">
        <w:rPr>
          <w:rFonts w:ascii="Tahoma" w:hAnsi="Tahoma" w:cs="Tahoma"/>
          <w:bCs/>
          <w:sz w:val="24"/>
          <w:szCs w:val="24"/>
        </w:rPr>
        <w:t>fiind cu 1,65 miliarde mai mic față de trimestrul II al anului 2024, reprezen</w:t>
      </w:r>
      <w:r w:rsidR="008B120C">
        <w:rPr>
          <w:rFonts w:ascii="Tahoma" w:hAnsi="Tahoma" w:cs="Tahoma"/>
          <w:bCs/>
          <w:sz w:val="24"/>
          <w:szCs w:val="24"/>
        </w:rPr>
        <w:t>tâ</w:t>
      </w:r>
      <w:r w:rsidR="00BB649B" w:rsidRPr="008B120C">
        <w:rPr>
          <w:rFonts w:ascii="Tahoma" w:hAnsi="Tahoma" w:cs="Tahoma"/>
          <w:bCs/>
          <w:sz w:val="24"/>
          <w:szCs w:val="24"/>
        </w:rPr>
        <w:t>nd o diminuare de 0,3 puncte procentuale din PIB.</w:t>
      </w:r>
    </w:p>
    <w:p w:rsidR="00061787" w:rsidRPr="005B6AFF" w:rsidRDefault="00061787" w:rsidP="00660150">
      <w:pPr>
        <w:shd w:val="clear" w:color="auto" w:fill="DEEAF6" w:themeFill="accent1" w:themeFillTint="33"/>
        <w:spacing w:after="120" w:line="276" w:lineRule="auto"/>
        <w:jc w:val="both"/>
        <w:rPr>
          <w:rFonts w:ascii="Tahoma" w:hAnsi="Tahoma" w:cs="Tahoma"/>
          <w:bCs/>
          <w:sz w:val="24"/>
          <w:szCs w:val="24"/>
        </w:rPr>
      </w:pPr>
    </w:p>
    <w:p w:rsidR="00F24FA0" w:rsidRPr="005B6AFF" w:rsidRDefault="00F24FA0" w:rsidP="00936276">
      <w:pPr>
        <w:spacing w:after="240" w:line="360" w:lineRule="auto"/>
        <w:jc w:val="both"/>
        <w:rPr>
          <w:rFonts w:ascii="Tahoma" w:hAnsi="Tahoma" w:cs="Tahoma"/>
          <w:b/>
          <w:color w:val="767171" w:themeColor="background2" w:themeShade="80"/>
          <w:sz w:val="24"/>
          <w:szCs w:val="24"/>
        </w:rPr>
      </w:pPr>
    </w:p>
    <w:p w:rsidR="00F972DC" w:rsidRPr="005B6AFF" w:rsidRDefault="00F972DC" w:rsidP="00F972DC">
      <w:pPr>
        <w:pStyle w:val="ListParagraph"/>
        <w:numPr>
          <w:ilvl w:val="0"/>
          <w:numId w:val="2"/>
        </w:numPr>
        <w:shd w:val="clear" w:color="auto" w:fill="D9D9D9" w:themeFill="background1" w:themeFillShade="D9"/>
        <w:spacing w:after="120" w:line="360" w:lineRule="auto"/>
        <w:ind w:hanging="1080"/>
        <w:jc w:val="both"/>
        <w:rPr>
          <w:rFonts w:ascii="Tahoma" w:hAnsi="Tahoma" w:cs="Tahoma"/>
          <w:b/>
          <w:caps/>
          <w:color w:val="0070C0"/>
          <w:sz w:val="24"/>
          <w:szCs w:val="24"/>
        </w:rPr>
      </w:pPr>
      <w:r w:rsidRPr="005B6AFF">
        <w:rPr>
          <w:rFonts w:ascii="Tahoma" w:hAnsi="Tahoma" w:cs="Tahoma"/>
          <w:b/>
          <w:caps/>
          <w:color w:val="0070C0"/>
          <w:sz w:val="24"/>
          <w:szCs w:val="24"/>
        </w:rPr>
        <w:t>veniturile bugetului general consolidat</w:t>
      </w:r>
    </w:p>
    <w:p w:rsidR="000F1E3F" w:rsidRPr="005B6AFF" w:rsidRDefault="000F1E3F" w:rsidP="00313CA3">
      <w:pPr>
        <w:spacing w:after="120" w:line="240" w:lineRule="auto"/>
        <w:rPr>
          <w:rFonts w:ascii="Tahoma" w:hAnsi="Tahoma" w:cs="Tahoma"/>
          <w:b/>
          <w:color w:val="0070C0"/>
          <w:sz w:val="24"/>
          <w:szCs w:val="24"/>
        </w:rPr>
      </w:pPr>
      <w:bookmarkStart w:id="0" w:name="_GoBack"/>
      <w:bookmarkEnd w:id="0"/>
    </w:p>
    <w:p w:rsidR="009A320D" w:rsidRPr="005B6AFF" w:rsidRDefault="00CF55E5" w:rsidP="00753D9F">
      <w:pPr>
        <w:shd w:val="clear" w:color="auto" w:fill="D9D9D9" w:themeFill="background1" w:themeFillShade="D9"/>
        <w:spacing w:after="120" w:line="276" w:lineRule="auto"/>
        <w:jc w:val="both"/>
        <w:rPr>
          <w:rFonts w:ascii="Tahoma" w:hAnsi="Tahoma" w:cs="Tahoma"/>
          <w:sz w:val="24"/>
          <w:szCs w:val="24"/>
        </w:rPr>
      </w:pPr>
      <w:r w:rsidRPr="005B6AFF">
        <w:rPr>
          <w:rFonts w:ascii="Tahoma" w:hAnsi="Tahoma" w:cs="Tahoma"/>
          <w:b/>
          <w:sz w:val="24"/>
          <w:szCs w:val="24"/>
        </w:rPr>
        <w:t>Veniturile bugetului general</w:t>
      </w:r>
      <w:r w:rsidR="009D16DA" w:rsidRPr="005B6AFF">
        <w:rPr>
          <w:rFonts w:ascii="Tahoma" w:hAnsi="Tahoma" w:cs="Tahoma"/>
          <w:b/>
          <w:sz w:val="24"/>
          <w:szCs w:val="24"/>
        </w:rPr>
        <w:t xml:space="preserve"> consolidat</w:t>
      </w:r>
      <w:r w:rsidR="008C4402" w:rsidRPr="005B6AFF">
        <w:rPr>
          <w:rFonts w:ascii="Tahoma" w:hAnsi="Tahoma" w:cs="Tahoma"/>
          <w:b/>
          <w:sz w:val="24"/>
          <w:szCs w:val="24"/>
        </w:rPr>
        <w:t xml:space="preserve">, </w:t>
      </w:r>
      <w:r w:rsidR="008C4402" w:rsidRPr="005B6AFF">
        <w:rPr>
          <w:rFonts w:ascii="Tahoma" w:hAnsi="Tahoma" w:cs="Tahoma"/>
          <w:sz w:val="24"/>
          <w:szCs w:val="24"/>
        </w:rPr>
        <w:t>în perioada analizată</w:t>
      </w:r>
      <w:r w:rsidR="008C4402" w:rsidRPr="005B6AFF">
        <w:rPr>
          <w:rFonts w:ascii="Tahoma" w:hAnsi="Tahoma" w:cs="Tahoma"/>
          <w:b/>
          <w:sz w:val="24"/>
          <w:szCs w:val="24"/>
        </w:rPr>
        <w:t>,</w:t>
      </w:r>
      <w:r w:rsidR="007A3AFD" w:rsidRPr="005B6AFF">
        <w:rPr>
          <w:rFonts w:ascii="Tahoma" w:hAnsi="Tahoma" w:cs="Tahoma"/>
          <w:sz w:val="24"/>
          <w:szCs w:val="24"/>
        </w:rPr>
        <w:t xml:space="preserve"> au însumat </w:t>
      </w:r>
      <w:r w:rsidR="00B50C3C">
        <w:rPr>
          <w:rFonts w:ascii="Tahoma" w:hAnsi="Tahoma" w:cs="Tahoma"/>
          <w:sz w:val="24"/>
          <w:szCs w:val="24"/>
        </w:rPr>
        <w:t>169,20</w:t>
      </w:r>
      <w:r w:rsidR="009D16DA" w:rsidRPr="005B6AFF">
        <w:rPr>
          <w:rFonts w:ascii="Tahoma" w:hAnsi="Tahoma" w:cs="Tahoma"/>
          <w:sz w:val="24"/>
          <w:szCs w:val="24"/>
        </w:rPr>
        <w:t xml:space="preserve"> </w:t>
      </w:r>
      <w:r w:rsidR="00602503" w:rsidRPr="005B6AFF">
        <w:rPr>
          <w:rFonts w:ascii="Tahoma" w:hAnsi="Tahoma" w:cs="Tahoma"/>
          <w:sz w:val="24"/>
          <w:szCs w:val="24"/>
        </w:rPr>
        <w:t>miliarde</w:t>
      </w:r>
      <w:r w:rsidR="00713D80" w:rsidRPr="005B6AFF">
        <w:rPr>
          <w:rFonts w:ascii="Tahoma" w:hAnsi="Tahoma" w:cs="Tahoma"/>
          <w:sz w:val="24"/>
          <w:szCs w:val="24"/>
        </w:rPr>
        <w:t xml:space="preserve"> </w:t>
      </w:r>
      <w:r w:rsidR="009D16DA" w:rsidRPr="005B6AFF">
        <w:rPr>
          <w:rFonts w:ascii="Tahoma" w:hAnsi="Tahoma" w:cs="Tahoma"/>
          <w:sz w:val="24"/>
          <w:szCs w:val="24"/>
        </w:rPr>
        <w:t>lei (</w:t>
      </w:r>
      <w:r w:rsidR="00B50C3C">
        <w:rPr>
          <w:rFonts w:ascii="Tahoma" w:hAnsi="Tahoma" w:cs="Tahoma"/>
          <w:sz w:val="24"/>
          <w:szCs w:val="24"/>
        </w:rPr>
        <w:t>8,9</w:t>
      </w:r>
      <w:r w:rsidR="009D16DA" w:rsidRPr="005B6AFF">
        <w:rPr>
          <w:rFonts w:ascii="Tahoma" w:hAnsi="Tahoma" w:cs="Tahoma"/>
          <w:sz w:val="24"/>
          <w:szCs w:val="24"/>
        </w:rPr>
        <w:t>% din PIB)</w:t>
      </w:r>
      <w:r w:rsidR="00186A0B" w:rsidRPr="005B6AFF">
        <w:rPr>
          <w:rFonts w:ascii="Tahoma" w:hAnsi="Tahoma" w:cs="Tahoma"/>
          <w:sz w:val="24"/>
          <w:szCs w:val="24"/>
        </w:rPr>
        <w:t>,</w:t>
      </w:r>
      <w:r w:rsidR="009D16DA" w:rsidRPr="005B6AFF">
        <w:rPr>
          <w:rFonts w:ascii="Tahoma" w:hAnsi="Tahoma" w:cs="Tahoma"/>
          <w:sz w:val="24"/>
          <w:szCs w:val="24"/>
        </w:rPr>
        <w:t xml:space="preserve"> </w:t>
      </w:r>
      <w:r w:rsidR="00733F08" w:rsidRPr="005B6AFF">
        <w:rPr>
          <w:rFonts w:ascii="Tahoma" w:hAnsi="Tahoma" w:cs="Tahoma"/>
          <w:sz w:val="24"/>
          <w:szCs w:val="24"/>
        </w:rPr>
        <w:t xml:space="preserve">reflectând un </w:t>
      </w:r>
      <w:r w:rsidR="009D16DA" w:rsidRPr="005B6AFF">
        <w:rPr>
          <w:rFonts w:ascii="Tahoma" w:hAnsi="Tahoma" w:cs="Tahoma"/>
          <w:sz w:val="24"/>
          <w:szCs w:val="24"/>
        </w:rPr>
        <w:t xml:space="preserve">grad de realizare a programului de încasări de </w:t>
      </w:r>
      <w:r w:rsidR="00B50C3C">
        <w:rPr>
          <w:rFonts w:ascii="Tahoma" w:hAnsi="Tahoma" w:cs="Tahoma"/>
          <w:sz w:val="24"/>
          <w:szCs w:val="24"/>
        </w:rPr>
        <w:t>94,0</w:t>
      </w:r>
      <w:r w:rsidR="009D16DA" w:rsidRPr="005B6AFF">
        <w:rPr>
          <w:rFonts w:ascii="Tahoma" w:hAnsi="Tahoma" w:cs="Tahoma"/>
          <w:sz w:val="24"/>
          <w:szCs w:val="24"/>
        </w:rPr>
        <w:t>%</w:t>
      </w:r>
      <w:r w:rsidR="002F2CFC" w:rsidRPr="005B6AFF">
        <w:rPr>
          <w:rFonts w:ascii="Tahoma" w:hAnsi="Tahoma" w:cs="Tahoma"/>
          <w:sz w:val="24"/>
          <w:szCs w:val="24"/>
        </w:rPr>
        <w:t>.</w:t>
      </w:r>
      <w:r w:rsidR="00BD76A9" w:rsidRPr="005B6AFF">
        <w:rPr>
          <w:rFonts w:ascii="Tahoma" w:hAnsi="Tahoma" w:cs="Tahoma"/>
          <w:sz w:val="24"/>
          <w:szCs w:val="24"/>
        </w:rPr>
        <w:t xml:space="preserve"> </w:t>
      </w:r>
    </w:p>
    <w:p w:rsidR="00024773" w:rsidRPr="005B6AFF" w:rsidRDefault="00DD52A5" w:rsidP="00753D9F">
      <w:pPr>
        <w:tabs>
          <w:tab w:val="left" w:pos="810"/>
          <w:tab w:val="left" w:pos="1134"/>
        </w:tabs>
        <w:spacing w:before="120" w:after="120" w:line="276" w:lineRule="auto"/>
        <w:jc w:val="both"/>
        <w:rPr>
          <w:rFonts w:ascii="Tahoma" w:hAnsi="Tahoma" w:cs="Tahoma"/>
          <w:bCs/>
          <w:sz w:val="24"/>
          <w:szCs w:val="24"/>
        </w:rPr>
      </w:pPr>
      <w:r w:rsidRPr="005B6AFF">
        <w:rPr>
          <w:rFonts w:ascii="Tahoma" w:hAnsi="Tahoma" w:cs="Tahoma"/>
          <w:bCs/>
          <w:sz w:val="24"/>
          <w:szCs w:val="24"/>
        </w:rPr>
        <w:t>Comparativ cu încasările trimestru</w:t>
      </w:r>
      <w:r w:rsidR="00B50C3C">
        <w:rPr>
          <w:rFonts w:ascii="Tahoma" w:hAnsi="Tahoma" w:cs="Tahoma"/>
          <w:bCs/>
          <w:sz w:val="24"/>
          <w:szCs w:val="24"/>
        </w:rPr>
        <w:t>lui II</w:t>
      </w:r>
      <w:r w:rsidRPr="005B6AFF">
        <w:rPr>
          <w:rFonts w:ascii="Tahoma" w:hAnsi="Tahoma" w:cs="Tahoma"/>
          <w:bCs/>
          <w:sz w:val="24"/>
          <w:szCs w:val="24"/>
        </w:rPr>
        <w:t xml:space="preserve"> 20</w:t>
      </w:r>
      <w:r w:rsidR="00CE4909" w:rsidRPr="005B6AFF">
        <w:rPr>
          <w:rFonts w:ascii="Tahoma" w:hAnsi="Tahoma" w:cs="Tahoma"/>
          <w:bCs/>
          <w:sz w:val="24"/>
          <w:szCs w:val="24"/>
        </w:rPr>
        <w:t>2</w:t>
      </w:r>
      <w:r w:rsidR="004827E6">
        <w:rPr>
          <w:rFonts w:ascii="Tahoma" w:hAnsi="Tahoma" w:cs="Tahoma"/>
          <w:bCs/>
          <w:sz w:val="24"/>
          <w:szCs w:val="24"/>
        </w:rPr>
        <w:t>4</w:t>
      </w:r>
      <w:r w:rsidRPr="005B6AFF">
        <w:rPr>
          <w:rFonts w:ascii="Tahoma" w:hAnsi="Tahoma" w:cs="Tahoma"/>
          <w:bCs/>
          <w:sz w:val="24"/>
          <w:szCs w:val="24"/>
        </w:rPr>
        <w:t xml:space="preserve">, </w:t>
      </w:r>
      <w:r w:rsidR="002F2CFC" w:rsidRPr="005B6AFF">
        <w:rPr>
          <w:rFonts w:ascii="Tahoma" w:hAnsi="Tahoma" w:cs="Tahoma"/>
          <w:bCs/>
          <w:sz w:val="24"/>
          <w:szCs w:val="24"/>
        </w:rPr>
        <w:t xml:space="preserve">veniturile </w:t>
      </w:r>
      <w:r w:rsidR="00197545" w:rsidRPr="005B6AFF">
        <w:rPr>
          <w:rFonts w:ascii="Tahoma" w:hAnsi="Tahoma" w:cs="Tahoma"/>
          <w:bCs/>
          <w:sz w:val="24"/>
          <w:szCs w:val="24"/>
        </w:rPr>
        <w:t xml:space="preserve">bugetului general consolidat </w:t>
      </w:r>
      <w:r w:rsidR="002F2CFC" w:rsidRPr="005B6AFF">
        <w:rPr>
          <w:rFonts w:ascii="Tahoma" w:hAnsi="Tahoma" w:cs="Tahoma"/>
          <w:bCs/>
          <w:sz w:val="24"/>
          <w:szCs w:val="24"/>
        </w:rPr>
        <w:t xml:space="preserve">au </w:t>
      </w:r>
      <w:r w:rsidR="00197545" w:rsidRPr="005B6AFF">
        <w:rPr>
          <w:rFonts w:ascii="Tahoma" w:hAnsi="Tahoma" w:cs="Tahoma"/>
          <w:bCs/>
          <w:sz w:val="24"/>
          <w:szCs w:val="24"/>
        </w:rPr>
        <w:t>crescut</w:t>
      </w:r>
      <w:r w:rsidR="002F2CFC" w:rsidRPr="005B6AFF">
        <w:rPr>
          <w:rFonts w:ascii="Tahoma" w:hAnsi="Tahoma" w:cs="Tahoma"/>
          <w:bCs/>
          <w:sz w:val="24"/>
          <w:szCs w:val="24"/>
        </w:rPr>
        <w:t xml:space="preserve"> </w:t>
      </w:r>
      <w:r w:rsidR="00197545" w:rsidRPr="005B6AFF">
        <w:rPr>
          <w:rFonts w:ascii="Tahoma" w:hAnsi="Tahoma" w:cs="Tahoma"/>
          <w:bCs/>
          <w:sz w:val="24"/>
          <w:szCs w:val="24"/>
        </w:rPr>
        <w:t xml:space="preserve">în termeni nominali </w:t>
      </w:r>
      <w:r w:rsidR="009D16DA" w:rsidRPr="005B6AFF">
        <w:rPr>
          <w:rFonts w:ascii="Tahoma" w:hAnsi="Tahoma" w:cs="Tahoma"/>
          <w:bCs/>
          <w:sz w:val="24"/>
          <w:szCs w:val="24"/>
        </w:rPr>
        <w:t xml:space="preserve">cu </w:t>
      </w:r>
      <w:r w:rsidR="00B50C3C">
        <w:rPr>
          <w:rFonts w:ascii="Tahoma" w:hAnsi="Tahoma" w:cs="Tahoma"/>
          <w:bCs/>
          <w:sz w:val="24"/>
          <w:szCs w:val="24"/>
        </w:rPr>
        <w:t>18,0</w:t>
      </w:r>
      <w:r w:rsidR="009D16DA" w:rsidRPr="005B6AFF">
        <w:rPr>
          <w:rFonts w:ascii="Tahoma" w:hAnsi="Tahoma" w:cs="Tahoma"/>
          <w:bCs/>
          <w:sz w:val="24"/>
          <w:szCs w:val="24"/>
        </w:rPr>
        <w:t>%,</w:t>
      </w:r>
      <w:r w:rsidR="00197545" w:rsidRPr="005B6AFF">
        <w:rPr>
          <w:rFonts w:ascii="Tahoma" w:hAnsi="Tahoma" w:cs="Tahoma"/>
          <w:bCs/>
          <w:sz w:val="24"/>
          <w:szCs w:val="24"/>
        </w:rPr>
        <w:t xml:space="preserve"> iar ca procent în PIB </w:t>
      </w:r>
      <w:r w:rsidR="00B50C3C">
        <w:rPr>
          <w:rFonts w:ascii="Tahoma" w:hAnsi="Tahoma" w:cs="Tahoma"/>
          <w:bCs/>
          <w:sz w:val="24"/>
          <w:szCs w:val="24"/>
        </w:rPr>
        <w:t xml:space="preserve">au crescut cu </w:t>
      </w:r>
      <w:r w:rsidR="00E16DED" w:rsidRPr="005B6AFF">
        <w:rPr>
          <w:rFonts w:ascii="Tahoma" w:hAnsi="Tahoma" w:cs="Tahoma"/>
          <w:bCs/>
          <w:sz w:val="24"/>
          <w:szCs w:val="24"/>
        </w:rPr>
        <w:t>0,</w:t>
      </w:r>
      <w:r w:rsidR="00B50C3C">
        <w:rPr>
          <w:rFonts w:ascii="Tahoma" w:hAnsi="Tahoma" w:cs="Tahoma"/>
          <w:bCs/>
          <w:sz w:val="24"/>
          <w:szCs w:val="24"/>
        </w:rPr>
        <w:t>8</w:t>
      </w:r>
      <w:r w:rsidR="00197545" w:rsidRPr="005B6AFF">
        <w:rPr>
          <w:rFonts w:ascii="Tahoma" w:hAnsi="Tahoma" w:cs="Tahoma"/>
          <w:bCs/>
          <w:sz w:val="24"/>
          <w:szCs w:val="24"/>
        </w:rPr>
        <w:t xml:space="preserve"> puncte procentuale</w:t>
      </w:r>
      <w:r w:rsidR="008C4402" w:rsidRPr="005B6AFF">
        <w:rPr>
          <w:rFonts w:ascii="Tahoma" w:hAnsi="Tahoma" w:cs="Tahoma"/>
          <w:bCs/>
          <w:sz w:val="24"/>
          <w:szCs w:val="24"/>
        </w:rPr>
        <w:t>,</w:t>
      </w:r>
      <w:r w:rsidR="00197545" w:rsidRPr="005B6AFF">
        <w:rPr>
          <w:rFonts w:ascii="Tahoma" w:hAnsi="Tahoma" w:cs="Tahoma"/>
          <w:bCs/>
          <w:sz w:val="24"/>
          <w:szCs w:val="24"/>
        </w:rPr>
        <w:t xml:space="preserve"> de la </w:t>
      </w:r>
      <w:r w:rsidR="00B50C3C">
        <w:rPr>
          <w:rFonts w:ascii="Tahoma" w:hAnsi="Tahoma" w:cs="Tahoma"/>
          <w:bCs/>
          <w:sz w:val="24"/>
          <w:szCs w:val="24"/>
        </w:rPr>
        <w:t>8,1</w:t>
      </w:r>
      <w:r w:rsidR="00197545" w:rsidRPr="005B6AFF">
        <w:rPr>
          <w:rFonts w:ascii="Tahoma" w:hAnsi="Tahoma" w:cs="Tahoma"/>
          <w:bCs/>
          <w:sz w:val="24"/>
          <w:szCs w:val="24"/>
        </w:rPr>
        <w:t xml:space="preserve">% din PIB cât au fost în </w:t>
      </w:r>
      <w:r w:rsidR="00B50C3C">
        <w:rPr>
          <w:rFonts w:ascii="Tahoma" w:hAnsi="Tahoma" w:cs="Tahoma"/>
          <w:bCs/>
          <w:sz w:val="24"/>
          <w:szCs w:val="24"/>
        </w:rPr>
        <w:t xml:space="preserve">al doilea </w:t>
      </w:r>
      <w:r w:rsidR="00197545" w:rsidRPr="005B6AFF">
        <w:rPr>
          <w:rFonts w:ascii="Tahoma" w:hAnsi="Tahoma" w:cs="Tahoma"/>
          <w:bCs/>
          <w:sz w:val="24"/>
          <w:szCs w:val="24"/>
        </w:rPr>
        <w:t>trimestru al anului 202</w:t>
      </w:r>
      <w:r w:rsidR="004827E6">
        <w:rPr>
          <w:rFonts w:ascii="Tahoma" w:hAnsi="Tahoma" w:cs="Tahoma"/>
          <w:bCs/>
          <w:sz w:val="24"/>
          <w:szCs w:val="24"/>
        </w:rPr>
        <w:t>4</w:t>
      </w:r>
      <w:r w:rsidR="00197545" w:rsidRPr="005B6AFF">
        <w:rPr>
          <w:rFonts w:ascii="Tahoma" w:hAnsi="Tahoma" w:cs="Tahoma"/>
          <w:bCs/>
          <w:sz w:val="24"/>
          <w:szCs w:val="24"/>
        </w:rPr>
        <w:t xml:space="preserve"> la </w:t>
      </w:r>
      <w:r w:rsidR="00B50C3C">
        <w:rPr>
          <w:rFonts w:ascii="Tahoma" w:hAnsi="Tahoma" w:cs="Tahoma"/>
          <w:bCs/>
          <w:sz w:val="24"/>
          <w:szCs w:val="24"/>
        </w:rPr>
        <w:t>8,9</w:t>
      </w:r>
      <w:r w:rsidR="00197545" w:rsidRPr="005B6AFF">
        <w:rPr>
          <w:rFonts w:ascii="Tahoma" w:hAnsi="Tahoma" w:cs="Tahoma"/>
          <w:bCs/>
          <w:sz w:val="24"/>
          <w:szCs w:val="24"/>
        </w:rPr>
        <w:t>% din PIB în trimestru</w:t>
      </w:r>
      <w:r w:rsidR="00B50C3C">
        <w:rPr>
          <w:rFonts w:ascii="Tahoma" w:hAnsi="Tahoma" w:cs="Tahoma"/>
          <w:bCs/>
          <w:sz w:val="24"/>
          <w:szCs w:val="24"/>
        </w:rPr>
        <w:t xml:space="preserve">l II </w:t>
      </w:r>
      <w:r w:rsidR="004827E6">
        <w:rPr>
          <w:rFonts w:ascii="Tahoma" w:hAnsi="Tahoma" w:cs="Tahoma"/>
          <w:bCs/>
          <w:sz w:val="24"/>
          <w:szCs w:val="24"/>
        </w:rPr>
        <w:t>2025</w:t>
      </w:r>
      <w:r w:rsidR="00197545" w:rsidRPr="005B6AFF">
        <w:rPr>
          <w:rFonts w:ascii="Tahoma" w:hAnsi="Tahoma" w:cs="Tahoma"/>
          <w:bCs/>
          <w:sz w:val="24"/>
          <w:szCs w:val="24"/>
        </w:rPr>
        <w:t>.</w:t>
      </w:r>
      <w:r w:rsidR="009D16DA" w:rsidRPr="005B6AFF">
        <w:rPr>
          <w:rFonts w:ascii="Tahoma" w:hAnsi="Tahoma" w:cs="Tahoma"/>
          <w:bCs/>
          <w:sz w:val="24"/>
          <w:szCs w:val="24"/>
        </w:rPr>
        <w:t xml:space="preserve"> </w:t>
      </w:r>
    </w:p>
    <w:p w:rsidR="00DD52A5" w:rsidRPr="005B6AFF" w:rsidRDefault="00DD52A5" w:rsidP="00753D9F">
      <w:pPr>
        <w:tabs>
          <w:tab w:val="left" w:pos="810"/>
          <w:tab w:val="left" w:pos="1134"/>
        </w:tabs>
        <w:spacing w:before="120" w:after="120" w:line="276" w:lineRule="auto"/>
        <w:jc w:val="both"/>
        <w:rPr>
          <w:rFonts w:ascii="Tahoma" w:hAnsi="Tahoma" w:cs="Tahoma"/>
          <w:sz w:val="24"/>
          <w:szCs w:val="24"/>
        </w:rPr>
      </w:pPr>
      <w:r w:rsidRPr="005B6AFF">
        <w:rPr>
          <w:rFonts w:ascii="Tahoma" w:hAnsi="Tahoma" w:cs="Tahoma"/>
          <w:b/>
          <w:bCs/>
          <w:sz w:val="24"/>
          <w:szCs w:val="24"/>
        </w:rPr>
        <w:t>Veniturile încasate</w:t>
      </w:r>
      <w:r w:rsidRPr="005B6AFF">
        <w:rPr>
          <w:rFonts w:ascii="Tahoma" w:hAnsi="Tahoma" w:cs="Tahoma"/>
          <w:sz w:val="24"/>
          <w:szCs w:val="24"/>
        </w:rPr>
        <w:t xml:space="preserve"> </w:t>
      </w:r>
      <w:r w:rsidRPr="005B6AFF">
        <w:rPr>
          <w:rFonts w:ascii="Tahoma" w:hAnsi="Tahoma" w:cs="Tahoma"/>
          <w:b/>
          <w:bCs/>
          <w:sz w:val="24"/>
          <w:szCs w:val="24"/>
        </w:rPr>
        <w:t>din economia internă</w:t>
      </w:r>
      <w:r w:rsidRPr="005B6AFF">
        <w:rPr>
          <w:rFonts w:ascii="Tahoma" w:hAnsi="Tahoma" w:cs="Tahoma"/>
          <w:sz w:val="24"/>
          <w:szCs w:val="24"/>
        </w:rPr>
        <w:t xml:space="preserve"> (fără fonduri de la Uniunea Europeană) au fost în sumă de </w:t>
      </w:r>
      <w:r w:rsidR="005B2E76">
        <w:rPr>
          <w:rFonts w:ascii="Tahoma" w:hAnsi="Tahoma" w:cs="Tahoma"/>
          <w:bCs/>
          <w:sz w:val="24"/>
          <w:szCs w:val="24"/>
        </w:rPr>
        <w:t>153,33</w:t>
      </w:r>
      <w:r w:rsidRPr="005B6AFF">
        <w:rPr>
          <w:rFonts w:ascii="Tahoma" w:hAnsi="Tahoma" w:cs="Tahoma"/>
          <w:bCs/>
          <w:sz w:val="24"/>
          <w:szCs w:val="24"/>
        </w:rPr>
        <w:t xml:space="preserve"> </w:t>
      </w:r>
      <w:r w:rsidR="00602503" w:rsidRPr="005B6AFF">
        <w:rPr>
          <w:rFonts w:ascii="Tahoma" w:hAnsi="Tahoma" w:cs="Tahoma"/>
          <w:bCs/>
          <w:sz w:val="24"/>
          <w:szCs w:val="24"/>
        </w:rPr>
        <w:t>miliarde</w:t>
      </w:r>
      <w:r w:rsidR="00713D80" w:rsidRPr="005B6AFF">
        <w:rPr>
          <w:rFonts w:ascii="Tahoma" w:hAnsi="Tahoma" w:cs="Tahoma"/>
          <w:bCs/>
          <w:sz w:val="24"/>
          <w:szCs w:val="24"/>
        </w:rPr>
        <w:t xml:space="preserve"> </w:t>
      </w:r>
      <w:r w:rsidRPr="005B6AFF">
        <w:rPr>
          <w:rFonts w:ascii="Tahoma" w:hAnsi="Tahoma" w:cs="Tahoma"/>
          <w:bCs/>
          <w:sz w:val="24"/>
          <w:szCs w:val="24"/>
        </w:rPr>
        <w:t>lei,</w:t>
      </w:r>
      <w:r w:rsidRPr="005B6AFF">
        <w:rPr>
          <w:rFonts w:ascii="Tahoma" w:hAnsi="Tahoma" w:cs="Tahoma"/>
          <w:b/>
          <w:bCs/>
          <w:sz w:val="24"/>
          <w:szCs w:val="24"/>
        </w:rPr>
        <w:t xml:space="preserve"> </w:t>
      </w:r>
      <w:r w:rsidRPr="005B6AFF">
        <w:rPr>
          <w:rFonts w:ascii="Tahoma" w:hAnsi="Tahoma" w:cs="Tahoma"/>
          <w:sz w:val="24"/>
          <w:szCs w:val="24"/>
        </w:rPr>
        <w:t xml:space="preserve">reprezentând </w:t>
      </w:r>
      <w:r w:rsidR="005B2E76">
        <w:rPr>
          <w:rFonts w:ascii="Tahoma" w:hAnsi="Tahoma" w:cs="Tahoma"/>
          <w:sz w:val="24"/>
          <w:szCs w:val="24"/>
        </w:rPr>
        <w:t>8,1</w:t>
      </w:r>
      <w:r w:rsidRPr="005B6AFF">
        <w:rPr>
          <w:rFonts w:ascii="Tahoma" w:hAnsi="Tahoma" w:cs="Tahoma"/>
          <w:sz w:val="24"/>
          <w:szCs w:val="24"/>
        </w:rPr>
        <w:t xml:space="preserve">% ca pondere în PIB </w:t>
      </w:r>
      <w:r w:rsidR="009D16DA" w:rsidRPr="005B6AFF">
        <w:rPr>
          <w:rFonts w:ascii="Tahoma" w:hAnsi="Tahoma" w:cs="Tahoma"/>
          <w:sz w:val="24"/>
          <w:szCs w:val="24"/>
        </w:rPr>
        <w:t>și</w:t>
      </w:r>
      <w:r w:rsidRPr="005B6AFF">
        <w:rPr>
          <w:rFonts w:ascii="Tahoma" w:hAnsi="Tahoma" w:cs="Tahoma"/>
          <w:sz w:val="24"/>
          <w:szCs w:val="24"/>
        </w:rPr>
        <w:t xml:space="preserve"> un grad de realizare a programului trimestrial de </w:t>
      </w:r>
      <w:r w:rsidR="005B2E76">
        <w:rPr>
          <w:rFonts w:ascii="Tahoma" w:hAnsi="Tahoma" w:cs="Tahoma"/>
          <w:sz w:val="24"/>
          <w:szCs w:val="24"/>
        </w:rPr>
        <w:t>97,5</w:t>
      </w:r>
      <w:r w:rsidRPr="005B6AFF">
        <w:rPr>
          <w:rFonts w:ascii="Tahoma" w:hAnsi="Tahoma" w:cs="Tahoma"/>
          <w:sz w:val="24"/>
          <w:szCs w:val="24"/>
        </w:rPr>
        <w:t>%.</w:t>
      </w:r>
      <w:r w:rsidR="00CF2B0B" w:rsidRPr="005B6AFF">
        <w:rPr>
          <w:rFonts w:ascii="Tahoma" w:hAnsi="Tahoma" w:cs="Tahoma"/>
          <w:sz w:val="24"/>
          <w:szCs w:val="24"/>
        </w:rPr>
        <w:t xml:space="preserve"> Comparativ cu perioada similară a anului anterior veniturile din economia internă au crescut</w:t>
      </w:r>
      <w:r w:rsidR="00A74835" w:rsidRPr="005B6AFF">
        <w:rPr>
          <w:rFonts w:ascii="Tahoma" w:hAnsi="Tahoma" w:cs="Tahoma"/>
          <w:sz w:val="24"/>
          <w:szCs w:val="24"/>
        </w:rPr>
        <w:t>, în termeni nominali,</w:t>
      </w:r>
      <w:r w:rsidR="00CF2B0B" w:rsidRPr="005B6AFF">
        <w:rPr>
          <w:rFonts w:ascii="Tahoma" w:hAnsi="Tahoma" w:cs="Tahoma"/>
          <w:sz w:val="24"/>
          <w:szCs w:val="24"/>
        </w:rPr>
        <w:t xml:space="preserve"> cu </w:t>
      </w:r>
      <w:r w:rsidR="005B2E76">
        <w:rPr>
          <w:rFonts w:ascii="Tahoma" w:hAnsi="Tahoma" w:cs="Tahoma"/>
          <w:sz w:val="24"/>
          <w:szCs w:val="24"/>
        </w:rPr>
        <w:t>12</w:t>
      </w:r>
      <w:r w:rsidR="00A74835" w:rsidRPr="005B6AFF">
        <w:rPr>
          <w:rFonts w:ascii="Tahoma" w:hAnsi="Tahoma" w:cs="Tahoma"/>
          <w:sz w:val="24"/>
          <w:szCs w:val="24"/>
        </w:rPr>
        <w:t>,3</w:t>
      </w:r>
      <w:r w:rsidR="00CF2B0B" w:rsidRPr="005B6AFF">
        <w:rPr>
          <w:rFonts w:ascii="Tahoma" w:hAnsi="Tahoma" w:cs="Tahoma"/>
          <w:sz w:val="24"/>
          <w:szCs w:val="24"/>
        </w:rPr>
        <w:t>%</w:t>
      </w:r>
      <w:r w:rsidR="00A74835" w:rsidRPr="005B6AFF">
        <w:rPr>
          <w:rFonts w:ascii="Tahoma" w:hAnsi="Tahoma" w:cs="Tahoma"/>
          <w:sz w:val="24"/>
          <w:szCs w:val="24"/>
        </w:rPr>
        <w:t xml:space="preserve"> iar ca procent în PIB cu 0,</w:t>
      </w:r>
      <w:r w:rsidR="005B2E76">
        <w:rPr>
          <w:rFonts w:ascii="Tahoma" w:hAnsi="Tahoma" w:cs="Tahoma"/>
          <w:sz w:val="24"/>
          <w:szCs w:val="24"/>
        </w:rPr>
        <w:t>3</w:t>
      </w:r>
      <w:r w:rsidR="00A74835" w:rsidRPr="005B6AFF">
        <w:rPr>
          <w:rFonts w:ascii="Tahoma" w:hAnsi="Tahoma" w:cs="Tahoma"/>
          <w:sz w:val="24"/>
          <w:szCs w:val="24"/>
        </w:rPr>
        <w:t xml:space="preserve"> puncte procentuale de la </w:t>
      </w:r>
      <w:r w:rsidR="005B2E76">
        <w:rPr>
          <w:rFonts w:ascii="Tahoma" w:hAnsi="Tahoma" w:cs="Tahoma"/>
          <w:sz w:val="24"/>
          <w:szCs w:val="24"/>
        </w:rPr>
        <w:t>7,8</w:t>
      </w:r>
      <w:r w:rsidR="00A74835" w:rsidRPr="005B6AFF">
        <w:rPr>
          <w:rFonts w:ascii="Tahoma" w:hAnsi="Tahoma" w:cs="Tahoma"/>
          <w:sz w:val="24"/>
          <w:szCs w:val="24"/>
        </w:rPr>
        <w:t xml:space="preserve">% din PIB cât </w:t>
      </w:r>
      <w:r w:rsidR="00936276" w:rsidRPr="005B6AFF">
        <w:rPr>
          <w:rFonts w:ascii="Tahoma" w:hAnsi="Tahoma" w:cs="Tahoma"/>
          <w:sz w:val="24"/>
          <w:szCs w:val="24"/>
        </w:rPr>
        <w:t>a</w:t>
      </w:r>
      <w:r w:rsidR="00A74835" w:rsidRPr="005B6AFF">
        <w:rPr>
          <w:rFonts w:ascii="Tahoma" w:hAnsi="Tahoma" w:cs="Tahoma"/>
          <w:sz w:val="24"/>
          <w:szCs w:val="24"/>
        </w:rPr>
        <w:t xml:space="preserve">u fost în </w:t>
      </w:r>
      <w:r w:rsidR="005B2E76">
        <w:rPr>
          <w:rFonts w:ascii="Tahoma" w:hAnsi="Tahoma" w:cs="Tahoma"/>
          <w:sz w:val="24"/>
          <w:szCs w:val="24"/>
        </w:rPr>
        <w:t>al doilea</w:t>
      </w:r>
      <w:r w:rsidR="00A74835" w:rsidRPr="005B6AFF">
        <w:rPr>
          <w:rFonts w:ascii="Tahoma" w:hAnsi="Tahoma" w:cs="Tahoma"/>
          <w:sz w:val="24"/>
          <w:szCs w:val="24"/>
        </w:rPr>
        <w:t xml:space="preserve"> trimestru al anului 202</w:t>
      </w:r>
      <w:r w:rsidR="004827E6">
        <w:rPr>
          <w:rFonts w:ascii="Tahoma" w:hAnsi="Tahoma" w:cs="Tahoma"/>
          <w:sz w:val="24"/>
          <w:szCs w:val="24"/>
        </w:rPr>
        <w:t>4</w:t>
      </w:r>
      <w:r w:rsidR="00A74835" w:rsidRPr="005B6AFF">
        <w:rPr>
          <w:rFonts w:ascii="Tahoma" w:hAnsi="Tahoma" w:cs="Tahoma"/>
          <w:sz w:val="24"/>
          <w:szCs w:val="24"/>
        </w:rPr>
        <w:t xml:space="preserve"> </w:t>
      </w:r>
      <w:r w:rsidR="00936276" w:rsidRPr="005B6AFF">
        <w:rPr>
          <w:rFonts w:ascii="Tahoma" w:hAnsi="Tahoma" w:cs="Tahoma"/>
          <w:sz w:val="24"/>
          <w:szCs w:val="24"/>
        </w:rPr>
        <w:t xml:space="preserve">la </w:t>
      </w:r>
      <w:r w:rsidR="005B2E76">
        <w:rPr>
          <w:rFonts w:ascii="Tahoma" w:hAnsi="Tahoma" w:cs="Tahoma"/>
          <w:sz w:val="24"/>
          <w:szCs w:val="24"/>
        </w:rPr>
        <w:t>8,1</w:t>
      </w:r>
      <w:r w:rsidR="00936276" w:rsidRPr="005B6AFF">
        <w:rPr>
          <w:rFonts w:ascii="Tahoma" w:hAnsi="Tahoma" w:cs="Tahoma"/>
          <w:sz w:val="24"/>
          <w:szCs w:val="24"/>
        </w:rPr>
        <w:t>% din PIB în perioada analizată.</w:t>
      </w:r>
    </w:p>
    <w:p w:rsidR="00187781" w:rsidRPr="005B6AFF" w:rsidRDefault="00E94A48" w:rsidP="00187781">
      <w:pPr>
        <w:tabs>
          <w:tab w:val="left" w:pos="810"/>
          <w:tab w:val="left" w:pos="1134"/>
        </w:tabs>
        <w:spacing w:before="240"/>
        <w:jc w:val="both"/>
        <w:rPr>
          <w:rFonts w:ascii="Tahoma" w:hAnsi="Tahoma" w:cs="Tahoma"/>
          <w:sz w:val="24"/>
          <w:szCs w:val="24"/>
        </w:rPr>
      </w:pPr>
      <w:r>
        <w:rPr>
          <w:noProof/>
          <w:lang w:val="en-US"/>
        </w:rPr>
        <w:object w:dxaOrig="7800" w:dyaOrig="4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237.75pt" o:ole="">
            <v:imagedata r:id="rId8" o:title=""/>
          </v:shape>
          <o:OLEObject Type="Link" ProgID="Excel.Sheet.12" ShapeID="_x0000_i1025" DrawAspect="Content" r:id="rId9" UpdateMode="Always">
            <o:LinkType>EnhancedMetaFile</o:LinkType>
            <o:LockedField>false</o:LockedField>
          </o:OLEObject>
        </w:object>
      </w:r>
      <w:r w:rsidR="006A7D94" w:rsidRPr="005B6AFF">
        <w:rPr>
          <w:rFonts w:ascii="Tahoma" w:hAnsi="Tahoma" w:cs="Tahoma"/>
          <w:sz w:val="24"/>
          <w:szCs w:val="24"/>
        </w:rPr>
        <w:t xml:space="preserve"> </w:t>
      </w:r>
    </w:p>
    <w:p w:rsidR="00DD52A5" w:rsidRPr="005B6AFF" w:rsidRDefault="00DD52A5" w:rsidP="00660150">
      <w:pPr>
        <w:pStyle w:val="NormalWeb"/>
        <w:shd w:val="clear" w:color="auto" w:fill="FFFFFF"/>
        <w:tabs>
          <w:tab w:val="left" w:pos="142"/>
        </w:tabs>
        <w:spacing w:before="280"/>
        <w:ind w:right="-57" w:firstLine="0"/>
        <w:rPr>
          <w:rFonts w:ascii="Tahoma" w:hAnsi="Tahoma" w:cs="Tahoma"/>
          <w:color w:val="auto"/>
          <w:lang w:val="ro-RO"/>
        </w:rPr>
      </w:pPr>
      <w:r w:rsidRPr="005B6AFF">
        <w:rPr>
          <w:rFonts w:ascii="Tahoma" w:hAnsi="Tahoma" w:cs="Tahoma"/>
          <w:b/>
          <w:bCs/>
          <w:color w:val="00000A"/>
          <w:lang w:val="ro-RO"/>
        </w:rPr>
        <w:t>Veniturile fiscale</w:t>
      </w:r>
      <w:r w:rsidR="008C4402" w:rsidRPr="005B6AFF">
        <w:rPr>
          <w:rFonts w:ascii="Tahoma" w:hAnsi="Tahoma" w:cs="Tahoma"/>
          <w:bCs/>
          <w:color w:val="00000A"/>
          <w:lang w:val="ro-RO"/>
        </w:rPr>
        <w:t>, în perioada analizată,</w:t>
      </w:r>
      <w:r w:rsidRPr="005B6AFF">
        <w:rPr>
          <w:rFonts w:ascii="Tahoma" w:hAnsi="Tahoma" w:cs="Tahoma"/>
          <w:color w:val="00000A"/>
          <w:lang w:val="ro-RO"/>
        </w:rPr>
        <w:t xml:space="preserve"> au </w:t>
      </w:r>
      <w:r w:rsidR="00C06FA2" w:rsidRPr="005B6AFF">
        <w:rPr>
          <w:rFonts w:ascii="Tahoma" w:hAnsi="Tahoma" w:cs="Tahoma"/>
          <w:color w:val="00000A"/>
          <w:lang w:val="ro-RO"/>
        </w:rPr>
        <w:t>însumat</w:t>
      </w:r>
      <w:r w:rsidRPr="005B6AFF">
        <w:rPr>
          <w:rFonts w:ascii="Tahoma" w:hAnsi="Tahoma" w:cs="Tahoma"/>
          <w:color w:val="00000A"/>
          <w:lang w:val="ro-RO"/>
        </w:rPr>
        <w:t xml:space="preserve"> </w:t>
      </w:r>
      <w:r w:rsidR="006D7336">
        <w:rPr>
          <w:rFonts w:ascii="Tahoma" w:hAnsi="Tahoma" w:cs="Tahoma"/>
          <w:color w:val="00000A"/>
          <w:lang w:val="ro-RO"/>
        </w:rPr>
        <w:t>82,87</w:t>
      </w:r>
      <w:r w:rsidRPr="005B6AFF">
        <w:rPr>
          <w:rFonts w:ascii="Tahoma" w:hAnsi="Tahoma" w:cs="Tahoma"/>
          <w:color w:val="00000A"/>
          <w:lang w:val="ro-RO"/>
        </w:rPr>
        <w:t xml:space="preserve"> </w:t>
      </w:r>
      <w:r w:rsidR="00602503" w:rsidRPr="005B6AFF">
        <w:rPr>
          <w:rFonts w:ascii="Tahoma" w:hAnsi="Tahoma" w:cs="Tahoma"/>
          <w:color w:val="00000A"/>
          <w:lang w:val="ro-RO"/>
        </w:rPr>
        <w:t>miliarde</w:t>
      </w:r>
      <w:r w:rsidR="00713D80" w:rsidRPr="005B6AFF">
        <w:rPr>
          <w:rFonts w:ascii="Tahoma" w:hAnsi="Tahoma" w:cs="Tahoma"/>
          <w:color w:val="00000A"/>
          <w:lang w:val="ro-RO"/>
        </w:rPr>
        <w:t xml:space="preserve"> </w:t>
      </w:r>
      <w:r w:rsidRPr="005B6AFF">
        <w:rPr>
          <w:rFonts w:ascii="Tahoma" w:hAnsi="Tahoma" w:cs="Tahoma"/>
          <w:color w:val="00000A"/>
          <w:lang w:val="ro-RO"/>
        </w:rPr>
        <w:t xml:space="preserve">lei și s-au realizat în proporție de </w:t>
      </w:r>
      <w:r w:rsidR="006D7336">
        <w:rPr>
          <w:rFonts w:ascii="Tahoma" w:hAnsi="Tahoma" w:cs="Tahoma"/>
          <w:color w:val="00000A"/>
          <w:lang w:val="ro-RO"/>
        </w:rPr>
        <w:t>95,7</w:t>
      </w:r>
      <w:r w:rsidR="0034724E" w:rsidRPr="005B6AFF">
        <w:rPr>
          <w:rFonts w:ascii="Tahoma" w:hAnsi="Tahoma" w:cs="Tahoma"/>
          <w:color w:val="00000A"/>
          <w:lang w:val="ro-RO"/>
        </w:rPr>
        <w:t xml:space="preserve">%. </w:t>
      </w:r>
      <w:r w:rsidR="0034724E" w:rsidRPr="005B6AFF">
        <w:rPr>
          <w:rFonts w:ascii="Tahoma" w:hAnsi="Tahoma" w:cs="Tahoma"/>
          <w:color w:val="auto"/>
          <w:lang w:val="ro-RO"/>
        </w:rPr>
        <w:t xml:space="preserve">Acestea au reprezentat </w:t>
      </w:r>
      <w:r w:rsidR="006D7336">
        <w:rPr>
          <w:rFonts w:ascii="Tahoma" w:hAnsi="Tahoma" w:cs="Tahoma"/>
          <w:color w:val="auto"/>
          <w:lang w:val="ro-RO"/>
        </w:rPr>
        <w:t>4,4</w:t>
      </w:r>
      <w:r w:rsidRPr="005B6AFF">
        <w:rPr>
          <w:rFonts w:ascii="Tahoma" w:hAnsi="Tahoma" w:cs="Tahoma"/>
          <w:color w:val="auto"/>
          <w:lang w:val="ro-RO"/>
        </w:rPr>
        <w:t xml:space="preserve">% din PIB, fiind cu </w:t>
      </w:r>
      <w:r w:rsidR="006D7336">
        <w:rPr>
          <w:rFonts w:ascii="Tahoma" w:hAnsi="Tahoma" w:cs="Tahoma"/>
          <w:color w:val="auto"/>
          <w:lang w:val="ro-RO"/>
        </w:rPr>
        <w:t>13,5</w:t>
      </w:r>
      <w:r w:rsidRPr="005B6AFF">
        <w:rPr>
          <w:rFonts w:ascii="Tahoma" w:hAnsi="Tahoma" w:cs="Tahoma"/>
          <w:color w:val="auto"/>
          <w:lang w:val="ro-RO"/>
        </w:rPr>
        <w:t xml:space="preserve">% mai </w:t>
      </w:r>
      <w:r w:rsidR="0034724E" w:rsidRPr="005B6AFF">
        <w:rPr>
          <w:rFonts w:ascii="Tahoma" w:hAnsi="Tahoma" w:cs="Tahoma"/>
          <w:color w:val="auto"/>
          <w:lang w:val="ro-RO"/>
        </w:rPr>
        <w:t>mari</w:t>
      </w:r>
      <w:r w:rsidRPr="005B6AFF">
        <w:rPr>
          <w:rFonts w:ascii="Tahoma" w:hAnsi="Tahoma" w:cs="Tahoma"/>
          <w:color w:val="auto"/>
          <w:lang w:val="ro-RO"/>
        </w:rPr>
        <w:t xml:space="preserve"> comparativ cu încasările trimestru</w:t>
      </w:r>
      <w:r w:rsidR="006D7336">
        <w:rPr>
          <w:rFonts w:ascii="Tahoma" w:hAnsi="Tahoma" w:cs="Tahoma"/>
          <w:color w:val="auto"/>
          <w:lang w:val="ro-RO"/>
        </w:rPr>
        <w:t xml:space="preserve">lui II </w:t>
      </w:r>
      <w:r w:rsidRPr="005B6AFF">
        <w:rPr>
          <w:rFonts w:ascii="Tahoma" w:hAnsi="Tahoma" w:cs="Tahoma"/>
          <w:color w:val="auto"/>
          <w:lang w:val="ro-RO"/>
        </w:rPr>
        <w:t>20</w:t>
      </w:r>
      <w:r w:rsidR="00910323">
        <w:rPr>
          <w:rFonts w:ascii="Tahoma" w:hAnsi="Tahoma" w:cs="Tahoma"/>
          <w:color w:val="auto"/>
          <w:lang w:val="ro-RO"/>
        </w:rPr>
        <w:t>24</w:t>
      </w:r>
      <w:r w:rsidRPr="005B6AFF">
        <w:rPr>
          <w:rFonts w:ascii="Tahoma" w:hAnsi="Tahoma" w:cs="Tahoma"/>
          <w:color w:val="auto"/>
          <w:lang w:val="ro-RO"/>
        </w:rPr>
        <w:t>.</w:t>
      </w:r>
    </w:p>
    <w:p w:rsidR="00AC08DB" w:rsidRPr="005B6AFF" w:rsidRDefault="00E94A48" w:rsidP="00072CA9">
      <w:pPr>
        <w:pStyle w:val="NormalWeb"/>
        <w:shd w:val="clear" w:color="auto" w:fill="FFFFFF"/>
        <w:tabs>
          <w:tab w:val="left" w:pos="142"/>
          <w:tab w:val="left" w:pos="9639"/>
        </w:tabs>
        <w:spacing w:before="280"/>
        <w:ind w:right="40" w:firstLine="0"/>
        <w:rPr>
          <w:rFonts w:ascii="Tahoma" w:hAnsi="Tahoma" w:cs="Tahoma"/>
          <w:color w:val="auto"/>
          <w:lang w:val="ro-RO"/>
        </w:rPr>
      </w:pPr>
      <w:r>
        <w:rPr>
          <w:noProof/>
        </w:rPr>
        <w:object w:dxaOrig="9541" w:dyaOrig="6106">
          <v:shape id="_x0000_i1026" type="#_x0000_t75" style="width:491.25pt;height:277.5pt" o:ole="">
            <v:imagedata r:id="rId10" o:title=""/>
          </v:shape>
          <o:OLEObject Type="Link" ProgID="Excel.Sheet.12" ShapeID="_x0000_i1026" DrawAspect="Content" r:id="rId11" UpdateMode="Always">
            <o:LinkType>EnhancedMetaFile</o:LinkType>
            <o:LockedField>false</o:LockedField>
          </o:OLEObject>
        </w:object>
      </w:r>
    </w:p>
    <w:p w:rsidR="00DD52A5" w:rsidRPr="00202E5C" w:rsidRDefault="00222906" w:rsidP="00AD5997">
      <w:pPr>
        <w:pStyle w:val="NormalWeb"/>
        <w:shd w:val="clear" w:color="auto" w:fill="FFFFFF"/>
        <w:spacing w:before="120" w:after="120"/>
        <w:ind w:firstLine="0"/>
        <w:rPr>
          <w:rFonts w:ascii="Tahoma" w:hAnsi="Tahoma" w:cs="Tahoma"/>
          <w:color w:val="auto"/>
          <w:lang w:val="ro-RO"/>
        </w:rPr>
      </w:pPr>
      <w:r w:rsidRPr="00202E5C">
        <w:rPr>
          <w:rFonts w:ascii="Tahoma" w:hAnsi="Tahoma" w:cs="Tahoma"/>
          <w:color w:val="auto"/>
          <w:lang w:val="ro-RO"/>
        </w:rPr>
        <w:t>În</w:t>
      </w:r>
      <w:r w:rsidR="0079445D" w:rsidRPr="00202E5C">
        <w:rPr>
          <w:rFonts w:ascii="Tahoma" w:hAnsi="Tahoma" w:cs="Tahoma"/>
          <w:color w:val="auto"/>
          <w:lang w:val="ro-RO"/>
        </w:rPr>
        <w:t xml:space="preserve"> </w:t>
      </w:r>
      <w:r w:rsidR="006D7336">
        <w:rPr>
          <w:rFonts w:ascii="Tahoma" w:hAnsi="Tahoma" w:cs="Tahoma"/>
          <w:color w:val="auto"/>
          <w:lang w:val="ro-RO"/>
        </w:rPr>
        <w:t>al doilea</w:t>
      </w:r>
      <w:r w:rsidR="0079445D" w:rsidRPr="00202E5C">
        <w:rPr>
          <w:rFonts w:ascii="Tahoma" w:hAnsi="Tahoma" w:cs="Tahoma"/>
          <w:color w:val="auto"/>
          <w:lang w:val="ro-RO"/>
        </w:rPr>
        <w:t xml:space="preserve"> trimestru</w:t>
      </w:r>
      <w:r w:rsidR="008849D9" w:rsidRPr="00202E5C">
        <w:rPr>
          <w:rFonts w:ascii="Tahoma" w:hAnsi="Tahoma" w:cs="Tahoma"/>
          <w:color w:val="auto"/>
          <w:lang w:val="ro-RO"/>
        </w:rPr>
        <w:t xml:space="preserve"> al anului </w:t>
      </w:r>
      <w:r w:rsidR="004827E6" w:rsidRPr="00202E5C">
        <w:rPr>
          <w:rFonts w:ascii="Tahoma" w:hAnsi="Tahoma" w:cs="Tahoma"/>
          <w:color w:val="auto"/>
          <w:lang w:val="ro-RO"/>
        </w:rPr>
        <w:t>2025</w:t>
      </w:r>
      <w:r w:rsidR="0079445D" w:rsidRPr="00202E5C">
        <w:rPr>
          <w:rFonts w:ascii="Tahoma" w:hAnsi="Tahoma" w:cs="Tahoma"/>
          <w:color w:val="auto"/>
          <w:lang w:val="ro-RO"/>
        </w:rPr>
        <w:t>, î</w:t>
      </w:r>
      <w:r w:rsidR="00DD52A5" w:rsidRPr="00202E5C">
        <w:rPr>
          <w:rFonts w:ascii="Tahoma" w:hAnsi="Tahoma" w:cs="Tahoma"/>
          <w:color w:val="auto"/>
          <w:lang w:val="ro-RO"/>
        </w:rPr>
        <w:t>ncasările pe principalele categorii de impozite</w:t>
      </w:r>
      <w:r w:rsidR="0079445D" w:rsidRPr="00202E5C">
        <w:rPr>
          <w:rFonts w:ascii="Tahoma" w:hAnsi="Tahoma" w:cs="Tahoma"/>
          <w:color w:val="auto"/>
          <w:lang w:val="ro-RO"/>
        </w:rPr>
        <w:t xml:space="preserve"> </w:t>
      </w:r>
      <w:r w:rsidR="00DD52A5" w:rsidRPr="00202E5C">
        <w:rPr>
          <w:rFonts w:ascii="Tahoma" w:hAnsi="Tahoma" w:cs="Tahoma"/>
          <w:color w:val="auto"/>
          <w:lang w:val="ro-RO"/>
        </w:rPr>
        <w:t>au înregistrat următoarea evoluție:</w:t>
      </w:r>
    </w:p>
    <w:p w:rsidR="009E2F52" w:rsidRPr="009E2F52" w:rsidRDefault="00363C11" w:rsidP="00CE45BA">
      <w:pPr>
        <w:tabs>
          <w:tab w:val="left" w:pos="284"/>
        </w:tabs>
        <w:autoSpaceDE w:val="0"/>
        <w:autoSpaceDN w:val="0"/>
        <w:adjustRightInd w:val="0"/>
        <w:spacing w:line="276" w:lineRule="auto"/>
        <w:jc w:val="both"/>
        <w:rPr>
          <w:rFonts w:ascii="Tahoma" w:hAnsi="Tahoma" w:cs="Tahoma"/>
          <w:bCs/>
          <w:sz w:val="24"/>
          <w:szCs w:val="24"/>
        </w:rPr>
      </w:pPr>
      <w:r w:rsidRPr="005B6AFF">
        <w:rPr>
          <w:rFonts w:ascii="Tahoma" w:hAnsi="Tahoma" w:cs="Tahoma"/>
          <w:bCs/>
          <w:sz w:val="24"/>
          <w:szCs w:val="24"/>
        </w:rPr>
        <w:lastRenderedPageBreak/>
        <w:t xml:space="preserve">Încasările din </w:t>
      </w:r>
      <w:r w:rsidRPr="005B6AFF">
        <w:rPr>
          <w:rFonts w:ascii="Tahoma" w:hAnsi="Tahoma" w:cs="Tahoma"/>
          <w:b/>
          <w:bCs/>
          <w:sz w:val="24"/>
          <w:szCs w:val="24"/>
        </w:rPr>
        <w:t>impozitul pe profit</w:t>
      </w:r>
      <w:r w:rsidRPr="005B6AFF">
        <w:rPr>
          <w:rFonts w:ascii="Tahoma" w:hAnsi="Tahoma" w:cs="Tahoma"/>
          <w:bCs/>
          <w:sz w:val="24"/>
          <w:szCs w:val="24"/>
        </w:rPr>
        <w:t xml:space="preserve"> </w:t>
      </w:r>
      <w:r w:rsidR="009E2F52" w:rsidRPr="009E2F52">
        <w:rPr>
          <w:rFonts w:ascii="Tahoma" w:hAnsi="Tahoma" w:cs="Tahoma"/>
          <w:bCs/>
          <w:sz w:val="24"/>
          <w:szCs w:val="24"/>
        </w:rPr>
        <w:t>de 15,</w:t>
      </w:r>
      <w:r w:rsidR="00CE45BA">
        <w:rPr>
          <w:rFonts w:ascii="Tahoma" w:hAnsi="Tahoma" w:cs="Tahoma"/>
          <w:bCs/>
          <w:sz w:val="24"/>
          <w:szCs w:val="24"/>
        </w:rPr>
        <w:t>7</w:t>
      </w:r>
      <w:r w:rsidR="009E2F52" w:rsidRPr="009E2F52">
        <w:rPr>
          <w:rFonts w:ascii="Tahoma" w:hAnsi="Tahoma" w:cs="Tahoma"/>
          <w:bCs/>
          <w:sz w:val="24"/>
          <w:szCs w:val="24"/>
        </w:rPr>
        <w:t xml:space="preserve"> miliarde lei, înregistrează o evoluție pozitivă față de perioada similară a anului 2024 de 11,6% (+1,6 miliarde lei), susținută atât de încasările din impozitul pe profit de la agenții economici, cât și de încasările din impozitul pe profit virat de băncile comerciale care înregistrează o creștere față de anul anterior de +11,1%, respectiv +8,8%. </w:t>
      </w:r>
    </w:p>
    <w:p w:rsidR="009E2F52" w:rsidRPr="009E2F52" w:rsidRDefault="009E2F52" w:rsidP="00CE45BA">
      <w:pPr>
        <w:tabs>
          <w:tab w:val="left" w:pos="284"/>
        </w:tabs>
        <w:autoSpaceDE w:val="0"/>
        <w:autoSpaceDN w:val="0"/>
        <w:adjustRightInd w:val="0"/>
        <w:spacing w:line="276" w:lineRule="auto"/>
        <w:jc w:val="both"/>
        <w:rPr>
          <w:rFonts w:ascii="Tahoma" w:hAnsi="Tahoma" w:cs="Tahoma"/>
          <w:bCs/>
          <w:sz w:val="24"/>
          <w:szCs w:val="24"/>
        </w:rPr>
      </w:pPr>
      <w:r w:rsidRPr="009E2F52">
        <w:rPr>
          <w:rFonts w:ascii="Tahoma" w:hAnsi="Tahoma" w:cs="Tahoma"/>
          <w:bCs/>
          <w:sz w:val="24"/>
          <w:szCs w:val="24"/>
        </w:rPr>
        <w:t>Gradul de realizare este de 95,3% (-0,8 miliarde lei) față de programul stabilit. Nerealizarea programului se datorează scăderii veniturilor aferente plăților anticipate din impozitul pe profit datorat de agenții economici, cu o evoluție sub așteptări de 2,0% (an/an).</w:t>
      </w:r>
    </w:p>
    <w:p w:rsidR="009E2F52" w:rsidRPr="009E2F52" w:rsidRDefault="00DE15CB" w:rsidP="00CE45BA">
      <w:pPr>
        <w:tabs>
          <w:tab w:val="left" w:pos="284"/>
        </w:tabs>
        <w:autoSpaceDE w:val="0"/>
        <w:autoSpaceDN w:val="0"/>
        <w:adjustRightInd w:val="0"/>
        <w:spacing w:line="276" w:lineRule="auto"/>
        <w:jc w:val="both"/>
        <w:rPr>
          <w:rFonts w:ascii="Tahoma" w:hAnsi="Tahoma" w:cs="Tahoma"/>
          <w:noProof/>
          <w:sz w:val="24"/>
          <w:szCs w:val="24"/>
          <w:lang w:eastAsia="ro-RO"/>
        </w:rPr>
      </w:pPr>
      <w:r w:rsidRPr="005B6AFF">
        <w:rPr>
          <w:rFonts w:ascii="Tahoma" w:hAnsi="Tahoma" w:cs="Tahoma"/>
          <w:noProof/>
          <w:sz w:val="24"/>
          <w:szCs w:val="24"/>
          <w:lang w:eastAsia="ro-RO"/>
        </w:rPr>
        <w:t xml:space="preserve">Încasările din </w:t>
      </w:r>
      <w:r w:rsidRPr="005B6AFF">
        <w:rPr>
          <w:rFonts w:ascii="Tahoma" w:hAnsi="Tahoma" w:cs="Tahoma"/>
          <w:b/>
          <w:noProof/>
          <w:sz w:val="24"/>
          <w:szCs w:val="24"/>
          <w:lang w:eastAsia="ro-RO"/>
        </w:rPr>
        <w:t>impozitul pe venit</w:t>
      </w:r>
      <w:r w:rsidR="00072CA9">
        <w:rPr>
          <w:rFonts w:ascii="Tahoma" w:hAnsi="Tahoma" w:cs="Tahoma"/>
          <w:b/>
          <w:noProof/>
          <w:sz w:val="24"/>
          <w:szCs w:val="24"/>
          <w:lang w:eastAsia="ro-RO"/>
        </w:rPr>
        <w:t>,</w:t>
      </w:r>
      <w:r w:rsidRPr="005B6AFF">
        <w:rPr>
          <w:rFonts w:ascii="Tahoma" w:hAnsi="Tahoma" w:cs="Tahoma"/>
          <w:noProof/>
          <w:sz w:val="24"/>
          <w:szCs w:val="24"/>
          <w:lang w:eastAsia="ro-RO"/>
        </w:rPr>
        <w:t xml:space="preserve"> </w:t>
      </w:r>
      <w:r w:rsidR="009E2F52" w:rsidRPr="009E2F52">
        <w:rPr>
          <w:rFonts w:ascii="Tahoma" w:hAnsi="Tahoma" w:cs="Tahoma"/>
          <w:bCs/>
          <w:noProof/>
          <w:sz w:val="24"/>
          <w:szCs w:val="24"/>
          <w:lang w:eastAsia="ro-RO"/>
        </w:rPr>
        <w:t>în al doilea trimestru al anului 2025 au totalizat 15,</w:t>
      </w:r>
      <w:r w:rsidR="009E2F52">
        <w:rPr>
          <w:rFonts w:ascii="Tahoma" w:hAnsi="Tahoma" w:cs="Tahoma"/>
          <w:bCs/>
          <w:noProof/>
          <w:sz w:val="24"/>
          <w:szCs w:val="24"/>
          <w:lang w:eastAsia="ro-RO"/>
        </w:rPr>
        <w:t>24</w:t>
      </w:r>
      <w:r w:rsidR="009E2F52" w:rsidRPr="009E2F52">
        <w:rPr>
          <w:rFonts w:ascii="Tahoma" w:hAnsi="Tahoma" w:cs="Tahoma"/>
          <w:bCs/>
          <w:noProof/>
          <w:sz w:val="24"/>
          <w:szCs w:val="24"/>
          <w:lang w:eastAsia="ro-RO"/>
        </w:rPr>
        <w:t xml:space="preserve"> miliarde lei, în creștere cu 13,</w:t>
      </w:r>
      <w:r w:rsidR="009E2F52">
        <w:rPr>
          <w:rFonts w:ascii="Tahoma" w:hAnsi="Tahoma" w:cs="Tahoma"/>
          <w:bCs/>
          <w:noProof/>
          <w:sz w:val="24"/>
          <w:szCs w:val="24"/>
          <w:lang w:eastAsia="ro-RO"/>
        </w:rPr>
        <w:t>6</w:t>
      </w:r>
      <w:r w:rsidR="009E2F52" w:rsidRPr="009E2F52">
        <w:rPr>
          <w:rFonts w:ascii="Tahoma" w:hAnsi="Tahoma" w:cs="Tahoma"/>
          <w:bCs/>
          <w:noProof/>
          <w:sz w:val="24"/>
          <w:szCs w:val="24"/>
          <w:lang w:eastAsia="ro-RO"/>
        </w:rPr>
        <w:t>% (+1,8 miliarde lei) comparativ cu aceeași perioadă a anului precedent, cu un grad de realizare de 103,0% (+0,4 miliarde l</w:t>
      </w:r>
      <w:r w:rsidR="009E2F52">
        <w:rPr>
          <w:rFonts w:ascii="Tahoma" w:hAnsi="Tahoma" w:cs="Tahoma"/>
          <w:bCs/>
          <w:noProof/>
          <w:sz w:val="24"/>
          <w:szCs w:val="24"/>
          <w:lang w:eastAsia="ro-RO"/>
        </w:rPr>
        <w:t>ei) față de programul stabilit.</w:t>
      </w:r>
    </w:p>
    <w:p w:rsidR="009E2F52" w:rsidRPr="009E2F52" w:rsidRDefault="009E2F52" w:rsidP="00CE45BA">
      <w:pPr>
        <w:tabs>
          <w:tab w:val="left" w:pos="284"/>
        </w:tabs>
        <w:autoSpaceDE w:val="0"/>
        <w:autoSpaceDN w:val="0"/>
        <w:adjustRightInd w:val="0"/>
        <w:spacing w:line="276" w:lineRule="auto"/>
        <w:jc w:val="both"/>
        <w:rPr>
          <w:rFonts w:ascii="Tahoma" w:hAnsi="Tahoma" w:cs="Tahoma"/>
          <w:bCs/>
          <w:noProof/>
          <w:sz w:val="24"/>
          <w:szCs w:val="24"/>
          <w:lang w:eastAsia="ro-RO"/>
        </w:rPr>
      </w:pPr>
      <w:r w:rsidRPr="009E2F52">
        <w:rPr>
          <w:rFonts w:ascii="Tahoma" w:hAnsi="Tahoma" w:cs="Tahoma"/>
          <w:bCs/>
          <w:noProof/>
          <w:sz w:val="24"/>
          <w:szCs w:val="24"/>
          <w:lang w:eastAsia="ro-RO"/>
        </w:rPr>
        <w:t>În structură, încasările din impozitul pe venitul din salarii care dețin o pondere de aproximativ 61,6% din această categorie înregistrează față de aceeași perioadă a anului 2024 o dinamică de 23,4%</w:t>
      </w:r>
      <w:r w:rsidRPr="009E2F52">
        <w:rPr>
          <w:rFonts w:ascii="Tahoma" w:hAnsi="Tahoma" w:cs="Tahoma"/>
          <w:noProof/>
          <w:sz w:val="24"/>
          <w:szCs w:val="24"/>
          <w:lang w:eastAsia="ro-RO"/>
        </w:rPr>
        <w:t>, peste evoluția fondului brut de salarii de 11,2%</w:t>
      </w:r>
      <w:r w:rsidRPr="009E2F52">
        <w:rPr>
          <w:rFonts w:ascii="Tahoma" w:hAnsi="Tahoma" w:cs="Tahoma"/>
          <w:noProof/>
          <w:sz w:val="24"/>
          <w:szCs w:val="24"/>
          <w:vertAlign w:val="superscript"/>
          <w:lang w:eastAsia="ro-RO"/>
        </w:rPr>
        <w:footnoteReference w:id="1"/>
      </w:r>
      <w:r w:rsidRPr="009E2F52">
        <w:rPr>
          <w:rFonts w:ascii="Tahoma" w:hAnsi="Tahoma" w:cs="Tahoma"/>
          <w:noProof/>
          <w:sz w:val="24"/>
          <w:szCs w:val="24"/>
          <w:lang w:eastAsia="ro-RO"/>
        </w:rPr>
        <w:t xml:space="preserve">. Evoluția pozitivă a încasărilor din </w:t>
      </w:r>
      <w:r w:rsidRPr="009E2F52">
        <w:rPr>
          <w:rFonts w:ascii="Tahoma" w:hAnsi="Tahoma" w:cs="Tahoma"/>
          <w:bCs/>
          <w:noProof/>
          <w:sz w:val="24"/>
          <w:szCs w:val="24"/>
          <w:lang w:eastAsia="ro-RO"/>
        </w:rPr>
        <w:t>impozitul pe venitul din salarii a fost influențată de eliminarea</w:t>
      </w:r>
      <w:r w:rsidRPr="009E2F52">
        <w:rPr>
          <w:rFonts w:ascii="Tahoma" w:hAnsi="Tahoma" w:cs="Tahoma"/>
          <w:noProof/>
          <w:sz w:val="24"/>
          <w:szCs w:val="24"/>
          <w:lang w:eastAsia="ro-RO"/>
        </w:rPr>
        <w:t xml:space="preserve"> facilităților fiscale acordate salariaților din sectorul construcții, agricol, industria alimentară și a activităților de creare de programe pentru calculator (O.U.G. nr. 156/2024</w:t>
      </w:r>
      <w:r w:rsidRPr="009E2F52">
        <w:rPr>
          <w:rFonts w:ascii="Tahoma" w:hAnsi="Tahoma" w:cs="Tahoma"/>
          <w:noProof/>
          <w:sz w:val="24"/>
          <w:szCs w:val="24"/>
          <w:vertAlign w:val="superscript"/>
          <w:lang w:eastAsia="ro-RO"/>
        </w:rPr>
        <w:footnoteReference w:id="2"/>
      </w:r>
      <w:r w:rsidRPr="009E2F52">
        <w:rPr>
          <w:rFonts w:ascii="Tahoma" w:hAnsi="Tahoma" w:cs="Tahoma"/>
          <w:noProof/>
          <w:sz w:val="24"/>
          <w:szCs w:val="24"/>
          <w:lang w:eastAsia="ro-RO"/>
        </w:rPr>
        <w:t>)</w:t>
      </w:r>
      <w:r w:rsidRPr="009E2F52">
        <w:rPr>
          <w:rFonts w:ascii="Tahoma" w:hAnsi="Tahoma" w:cs="Tahoma"/>
          <w:bCs/>
          <w:noProof/>
          <w:sz w:val="24"/>
          <w:szCs w:val="24"/>
          <w:lang w:eastAsia="ro-RO"/>
        </w:rPr>
        <w:t xml:space="preserve"> precum și</w:t>
      </w:r>
      <w:r w:rsidRPr="009E2F52">
        <w:rPr>
          <w:rFonts w:ascii="Tahoma" w:hAnsi="Tahoma" w:cs="Tahoma"/>
          <w:noProof/>
          <w:sz w:val="24"/>
          <w:szCs w:val="24"/>
          <w:lang w:eastAsia="ro-RO"/>
        </w:rPr>
        <w:t xml:space="preserve"> de </w:t>
      </w:r>
      <w:r w:rsidRPr="009E2F52">
        <w:rPr>
          <w:rFonts w:ascii="Tahoma" w:hAnsi="Tahoma" w:cs="Tahoma"/>
          <w:bCs/>
          <w:noProof/>
          <w:sz w:val="24"/>
          <w:szCs w:val="24"/>
          <w:lang w:eastAsia="ro-RO"/>
        </w:rPr>
        <w:t>majo</w:t>
      </w:r>
      <w:r w:rsidR="00CE45BA">
        <w:rPr>
          <w:rFonts w:ascii="Tahoma" w:hAnsi="Tahoma" w:cs="Tahoma"/>
          <w:bCs/>
          <w:noProof/>
          <w:sz w:val="24"/>
          <w:szCs w:val="24"/>
          <w:lang w:eastAsia="ro-RO"/>
        </w:rPr>
        <w:t>r</w:t>
      </w:r>
      <w:r w:rsidRPr="009E2F52">
        <w:rPr>
          <w:rFonts w:ascii="Tahoma" w:hAnsi="Tahoma" w:cs="Tahoma"/>
          <w:bCs/>
          <w:noProof/>
          <w:sz w:val="24"/>
          <w:szCs w:val="24"/>
          <w:lang w:eastAsia="ro-RO"/>
        </w:rPr>
        <w:t>area salariului minim brut pe țară garantat în plată (H.G. nr.1506/2024</w:t>
      </w:r>
      <w:r w:rsidRPr="009E2F52">
        <w:rPr>
          <w:rFonts w:ascii="Tahoma" w:hAnsi="Tahoma" w:cs="Tahoma"/>
          <w:bCs/>
          <w:noProof/>
          <w:sz w:val="24"/>
          <w:szCs w:val="24"/>
          <w:vertAlign w:val="superscript"/>
          <w:lang w:eastAsia="ro-RO"/>
        </w:rPr>
        <w:footnoteReference w:id="3"/>
      </w:r>
      <w:r w:rsidRPr="009E2F52">
        <w:rPr>
          <w:rFonts w:ascii="Tahoma" w:hAnsi="Tahoma" w:cs="Tahoma"/>
          <w:bCs/>
          <w:noProof/>
          <w:sz w:val="24"/>
          <w:szCs w:val="24"/>
          <w:lang w:eastAsia="ro-RO"/>
        </w:rPr>
        <w:t xml:space="preserve">). </w:t>
      </w:r>
    </w:p>
    <w:p w:rsidR="009E2F52" w:rsidRPr="009E2F52" w:rsidRDefault="009E2F52" w:rsidP="00CE45BA">
      <w:pPr>
        <w:tabs>
          <w:tab w:val="left" w:pos="284"/>
        </w:tabs>
        <w:autoSpaceDE w:val="0"/>
        <w:autoSpaceDN w:val="0"/>
        <w:adjustRightInd w:val="0"/>
        <w:spacing w:line="276" w:lineRule="auto"/>
        <w:jc w:val="both"/>
        <w:rPr>
          <w:rFonts w:ascii="Tahoma" w:hAnsi="Tahoma" w:cs="Tahoma"/>
          <w:bCs/>
          <w:noProof/>
          <w:sz w:val="24"/>
          <w:szCs w:val="24"/>
          <w:lang w:eastAsia="ro-RO"/>
        </w:rPr>
      </w:pPr>
      <w:r w:rsidRPr="009E2F52">
        <w:rPr>
          <w:rFonts w:ascii="Tahoma" w:hAnsi="Tahoma" w:cs="Tahoma"/>
          <w:bCs/>
          <w:noProof/>
          <w:sz w:val="24"/>
          <w:szCs w:val="24"/>
          <w:lang w:eastAsia="ro-RO"/>
        </w:rPr>
        <w:t>O evoluție pozitivă a veniturilor din această sursă a fost susținută și de sporul încasărilor din impozitul pe veniturile din dividende, în creștere cu 22,0% comparativ cu aceeași perioadă a anului precedent, urmare a majorării cotei de impozit de la 8% la 10% (art. LXIV din O.U.G 156/2024).</w:t>
      </w:r>
    </w:p>
    <w:p w:rsidR="0006321D" w:rsidRPr="0006321D" w:rsidRDefault="00DD52A5" w:rsidP="00CE45BA">
      <w:pPr>
        <w:tabs>
          <w:tab w:val="left" w:pos="284"/>
        </w:tabs>
        <w:autoSpaceDE w:val="0"/>
        <w:autoSpaceDN w:val="0"/>
        <w:adjustRightInd w:val="0"/>
        <w:spacing w:line="276" w:lineRule="auto"/>
        <w:jc w:val="both"/>
        <w:rPr>
          <w:rFonts w:ascii="Tahoma" w:hAnsi="Tahoma" w:cs="Tahoma"/>
          <w:sz w:val="24"/>
          <w:szCs w:val="24"/>
        </w:rPr>
      </w:pPr>
      <w:r w:rsidRPr="005B6AFF">
        <w:rPr>
          <w:rFonts w:ascii="Tahoma" w:hAnsi="Tahoma" w:cs="Tahoma"/>
          <w:sz w:val="24"/>
          <w:szCs w:val="24"/>
        </w:rPr>
        <w:t xml:space="preserve">Încasările din </w:t>
      </w:r>
      <w:r w:rsidRPr="005B6AFF">
        <w:rPr>
          <w:rFonts w:ascii="Tahoma" w:hAnsi="Tahoma" w:cs="Tahoma"/>
          <w:b/>
          <w:bCs/>
          <w:sz w:val="24"/>
          <w:szCs w:val="24"/>
        </w:rPr>
        <w:t xml:space="preserve">impozitele </w:t>
      </w:r>
      <w:r w:rsidR="00640FBB" w:rsidRPr="005B6AFF">
        <w:rPr>
          <w:rFonts w:ascii="Tahoma" w:hAnsi="Tahoma" w:cs="Tahoma"/>
          <w:b/>
          <w:bCs/>
          <w:sz w:val="24"/>
          <w:szCs w:val="24"/>
        </w:rPr>
        <w:t>și</w:t>
      </w:r>
      <w:r w:rsidRPr="005B6AFF">
        <w:rPr>
          <w:rFonts w:ascii="Tahoma" w:hAnsi="Tahoma" w:cs="Tahoma"/>
          <w:b/>
          <w:bCs/>
          <w:sz w:val="24"/>
          <w:szCs w:val="24"/>
        </w:rPr>
        <w:t xml:space="preserve"> taxele pe proprietate</w:t>
      </w:r>
      <w:r w:rsidRPr="005B6AFF">
        <w:rPr>
          <w:rFonts w:ascii="Tahoma" w:hAnsi="Tahoma" w:cs="Tahoma"/>
          <w:sz w:val="24"/>
          <w:szCs w:val="24"/>
        </w:rPr>
        <w:t xml:space="preserve"> au însumat </w:t>
      </w:r>
      <w:r w:rsidR="0048674F">
        <w:rPr>
          <w:rFonts w:ascii="Tahoma" w:hAnsi="Tahoma" w:cs="Tahoma"/>
          <w:sz w:val="24"/>
          <w:szCs w:val="24"/>
        </w:rPr>
        <w:t>1,73</w:t>
      </w:r>
      <w:r w:rsidRPr="005B6AFF">
        <w:rPr>
          <w:rFonts w:ascii="Tahoma" w:hAnsi="Tahoma" w:cs="Tahoma"/>
          <w:sz w:val="24"/>
          <w:szCs w:val="24"/>
        </w:rPr>
        <w:t xml:space="preserve"> </w:t>
      </w:r>
      <w:r w:rsidR="00602503" w:rsidRPr="005B6AFF">
        <w:rPr>
          <w:rFonts w:ascii="Tahoma" w:hAnsi="Tahoma" w:cs="Tahoma"/>
          <w:sz w:val="24"/>
          <w:szCs w:val="24"/>
        </w:rPr>
        <w:t>miliarde</w:t>
      </w:r>
      <w:r w:rsidR="00713D80" w:rsidRPr="005B6AFF">
        <w:rPr>
          <w:rFonts w:ascii="Tahoma" w:hAnsi="Tahoma" w:cs="Tahoma"/>
          <w:sz w:val="24"/>
          <w:szCs w:val="24"/>
        </w:rPr>
        <w:t xml:space="preserve"> </w:t>
      </w:r>
      <w:r w:rsidRPr="005B6AFF">
        <w:rPr>
          <w:rFonts w:ascii="Tahoma" w:hAnsi="Tahoma" w:cs="Tahoma"/>
          <w:sz w:val="24"/>
          <w:szCs w:val="24"/>
        </w:rPr>
        <w:t>lei (0,</w:t>
      </w:r>
      <w:r w:rsidR="0048674F">
        <w:rPr>
          <w:rFonts w:ascii="Tahoma" w:hAnsi="Tahoma" w:cs="Tahoma"/>
          <w:sz w:val="24"/>
          <w:szCs w:val="24"/>
        </w:rPr>
        <w:t>1</w:t>
      </w:r>
      <w:r w:rsidRPr="005B6AFF">
        <w:rPr>
          <w:rFonts w:ascii="Tahoma" w:hAnsi="Tahoma" w:cs="Tahoma"/>
          <w:sz w:val="24"/>
          <w:szCs w:val="24"/>
        </w:rPr>
        <w:t xml:space="preserve">% din PIB) și s-au realizat în proporție de </w:t>
      </w:r>
      <w:r w:rsidR="0048674F">
        <w:rPr>
          <w:rFonts w:ascii="Tahoma" w:hAnsi="Tahoma" w:cs="Tahoma"/>
          <w:sz w:val="24"/>
          <w:szCs w:val="24"/>
        </w:rPr>
        <w:t>112,7</w:t>
      </w:r>
      <w:r w:rsidRPr="005B6AFF">
        <w:rPr>
          <w:rFonts w:ascii="Tahoma" w:hAnsi="Tahoma" w:cs="Tahoma"/>
          <w:sz w:val="24"/>
          <w:szCs w:val="24"/>
        </w:rPr>
        <w:t xml:space="preserve">%. </w:t>
      </w:r>
      <w:r w:rsidR="0033447D" w:rsidRPr="005B6AFF">
        <w:rPr>
          <w:rFonts w:ascii="Tahoma" w:hAnsi="Tahoma" w:cs="Tahoma"/>
          <w:sz w:val="24"/>
          <w:szCs w:val="24"/>
        </w:rPr>
        <w:t>Totodată, c</w:t>
      </w:r>
      <w:r w:rsidRPr="005B6AFF">
        <w:rPr>
          <w:rFonts w:ascii="Tahoma" w:hAnsi="Tahoma" w:cs="Tahoma"/>
          <w:sz w:val="24"/>
          <w:szCs w:val="24"/>
        </w:rPr>
        <w:t>omparativ cu încasările din trimestrul I</w:t>
      </w:r>
      <w:r w:rsidR="0048674F">
        <w:rPr>
          <w:rFonts w:ascii="Tahoma" w:hAnsi="Tahoma" w:cs="Tahoma"/>
          <w:sz w:val="24"/>
          <w:szCs w:val="24"/>
        </w:rPr>
        <w:t>I</w:t>
      </w:r>
      <w:r w:rsidRPr="005B6AFF">
        <w:rPr>
          <w:rFonts w:ascii="Tahoma" w:hAnsi="Tahoma" w:cs="Tahoma"/>
          <w:sz w:val="24"/>
          <w:szCs w:val="24"/>
        </w:rPr>
        <w:t xml:space="preserve"> 20</w:t>
      </w:r>
      <w:r w:rsidR="00DE15CB" w:rsidRPr="005B6AFF">
        <w:rPr>
          <w:rFonts w:ascii="Tahoma" w:hAnsi="Tahoma" w:cs="Tahoma"/>
          <w:sz w:val="24"/>
          <w:szCs w:val="24"/>
        </w:rPr>
        <w:t>2</w:t>
      </w:r>
      <w:r w:rsidR="005A5A9F">
        <w:rPr>
          <w:rFonts w:ascii="Tahoma" w:hAnsi="Tahoma" w:cs="Tahoma"/>
          <w:sz w:val="24"/>
          <w:szCs w:val="24"/>
        </w:rPr>
        <w:t>4</w:t>
      </w:r>
      <w:r w:rsidRPr="005B6AFF">
        <w:rPr>
          <w:rFonts w:ascii="Tahoma" w:hAnsi="Tahoma" w:cs="Tahoma"/>
          <w:sz w:val="24"/>
          <w:szCs w:val="24"/>
        </w:rPr>
        <w:t xml:space="preserve">, acestea au </w:t>
      </w:r>
      <w:r w:rsidR="00DE15CB" w:rsidRPr="005B6AFF">
        <w:rPr>
          <w:rFonts w:ascii="Tahoma" w:hAnsi="Tahoma" w:cs="Tahoma"/>
          <w:sz w:val="24"/>
          <w:szCs w:val="24"/>
        </w:rPr>
        <w:t>crescut</w:t>
      </w:r>
      <w:r w:rsidRPr="005B6AFF">
        <w:rPr>
          <w:rFonts w:ascii="Tahoma" w:hAnsi="Tahoma" w:cs="Tahoma"/>
          <w:sz w:val="24"/>
          <w:szCs w:val="24"/>
        </w:rPr>
        <w:t xml:space="preserve"> cu </w:t>
      </w:r>
      <w:r w:rsidR="0048674F">
        <w:rPr>
          <w:rFonts w:ascii="Tahoma" w:hAnsi="Tahoma" w:cs="Tahoma"/>
          <w:sz w:val="24"/>
          <w:szCs w:val="24"/>
        </w:rPr>
        <w:t>84,6</w:t>
      </w:r>
      <w:r w:rsidRPr="005B6AFF">
        <w:rPr>
          <w:rFonts w:ascii="Tahoma" w:hAnsi="Tahoma" w:cs="Tahoma"/>
          <w:sz w:val="24"/>
          <w:szCs w:val="24"/>
        </w:rPr>
        <w:t>%</w:t>
      </w:r>
      <w:r w:rsidR="00807147" w:rsidRPr="005B6AFF">
        <w:rPr>
          <w:rFonts w:ascii="Tahoma" w:hAnsi="Tahoma" w:cs="Tahoma"/>
          <w:sz w:val="24"/>
          <w:szCs w:val="24"/>
        </w:rPr>
        <w:t xml:space="preserve"> </w:t>
      </w:r>
      <w:r w:rsidR="002D0BFF" w:rsidRPr="005B6AFF">
        <w:rPr>
          <w:rFonts w:ascii="Tahoma" w:hAnsi="Tahoma" w:cs="Tahoma"/>
          <w:sz w:val="24"/>
          <w:szCs w:val="24"/>
        </w:rPr>
        <w:t>(+0,</w:t>
      </w:r>
      <w:r w:rsidR="0048674F">
        <w:rPr>
          <w:rFonts w:ascii="Tahoma" w:hAnsi="Tahoma" w:cs="Tahoma"/>
          <w:sz w:val="24"/>
          <w:szCs w:val="24"/>
        </w:rPr>
        <w:t>94</w:t>
      </w:r>
      <w:r w:rsidR="002D0BFF" w:rsidRPr="005B6AFF">
        <w:rPr>
          <w:rFonts w:ascii="Tahoma" w:hAnsi="Tahoma" w:cs="Tahoma"/>
          <w:sz w:val="24"/>
          <w:szCs w:val="24"/>
        </w:rPr>
        <w:t xml:space="preserve"> miliarde lei)</w:t>
      </w:r>
      <w:r w:rsidR="0006321D" w:rsidRPr="0006321D">
        <w:rPr>
          <w:rFonts w:eastAsia="Calibri" w:cs="Liberation Serif"/>
          <w:kern w:val="1"/>
          <w:sz w:val="24"/>
          <w:szCs w:val="24"/>
        </w:rPr>
        <w:t xml:space="preserve"> </w:t>
      </w:r>
      <w:r w:rsidR="0006321D" w:rsidRPr="0006321D">
        <w:rPr>
          <w:rFonts w:ascii="Tahoma" w:hAnsi="Tahoma" w:cs="Tahoma"/>
          <w:sz w:val="24"/>
          <w:szCs w:val="24"/>
        </w:rPr>
        <w:t xml:space="preserve">în principal </w:t>
      </w:r>
      <w:r w:rsidR="0006321D">
        <w:rPr>
          <w:rFonts w:ascii="Tahoma" w:hAnsi="Tahoma" w:cs="Tahoma"/>
          <w:sz w:val="24"/>
          <w:szCs w:val="24"/>
        </w:rPr>
        <w:t xml:space="preserve">ca urmare a </w:t>
      </w:r>
      <w:r w:rsidR="0048674F">
        <w:rPr>
          <w:rFonts w:ascii="Tahoma" w:hAnsi="Tahoma" w:cs="Tahoma"/>
          <w:sz w:val="24"/>
          <w:szCs w:val="24"/>
        </w:rPr>
        <w:t xml:space="preserve">încasărilor din impozitul pe construcții </w:t>
      </w:r>
      <w:r w:rsidR="00CE45BA">
        <w:rPr>
          <w:rFonts w:ascii="Tahoma" w:hAnsi="Tahoma" w:cs="Tahoma"/>
          <w:sz w:val="24"/>
          <w:szCs w:val="24"/>
        </w:rPr>
        <w:t>l</w:t>
      </w:r>
      <w:r w:rsidR="0048674F">
        <w:rPr>
          <w:rFonts w:ascii="Tahoma" w:hAnsi="Tahoma" w:cs="Tahoma"/>
          <w:sz w:val="24"/>
          <w:szCs w:val="24"/>
        </w:rPr>
        <w:t>a bugetul de stat.</w:t>
      </w:r>
    </w:p>
    <w:p w:rsidR="0048674F" w:rsidRPr="0048674F" w:rsidRDefault="00DE15CB" w:rsidP="00CE45BA">
      <w:pPr>
        <w:autoSpaceDE w:val="0"/>
        <w:autoSpaceDN w:val="0"/>
        <w:adjustRightInd w:val="0"/>
        <w:spacing w:after="120" w:line="276" w:lineRule="auto"/>
        <w:jc w:val="both"/>
        <w:rPr>
          <w:rFonts w:ascii="Tahoma" w:eastAsia="Calibri" w:hAnsi="Tahoma" w:cs="Tahoma"/>
          <w:sz w:val="24"/>
          <w:szCs w:val="24"/>
        </w:rPr>
      </w:pPr>
      <w:r w:rsidRPr="005B6AFF">
        <w:rPr>
          <w:rFonts w:ascii="Tahoma" w:eastAsia="Calibri" w:hAnsi="Tahoma" w:cs="Tahoma"/>
          <w:sz w:val="24"/>
          <w:szCs w:val="24"/>
        </w:rPr>
        <w:t xml:space="preserve">Încasările din </w:t>
      </w:r>
      <w:r w:rsidRPr="005B6AFF">
        <w:rPr>
          <w:rFonts w:ascii="Tahoma" w:eastAsia="Calibri" w:hAnsi="Tahoma" w:cs="Tahoma"/>
          <w:b/>
          <w:sz w:val="24"/>
          <w:szCs w:val="24"/>
        </w:rPr>
        <w:t>taxa pe valoarea adăugată</w:t>
      </w:r>
      <w:r w:rsidRPr="005B6AFF">
        <w:rPr>
          <w:rFonts w:ascii="Tahoma" w:eastAsia="Calibri" w:hAnsi="Tahoma" w:cs="Tahoma"/>
          <w:sz w:val="24"/>
          <w:szCs w:val="24"/>
        </w:rPr>
        <w:t xml:space="preserve"> </w:t>
      </w:r>
      <w:r w:rsidR="0048674F" w:rsidRPr="0048674F">
        <w:rPr>
          <w:rFonts w:ascii="Tahoma" w:eastAsia="Calibri" w:hAnsi="Tahoma" w:cs="Tahoma"/>
          <w:sz w:val="24"/>
          <w:szCs w:val="24"/>
        </w:rPr>
        <w:t>au fost în sumă de 30,7</w:t>
      </w:r>
      <w:r w:rsidR="000F6149">
        <w:rPr>
          <w:rFonts w:ascii="Tahoma" w:eastAsia="Calibri" w:hAnsi="Tahoma" w:cs="Tahoma"/>
          <w:sz w:val="24"/>
          <w:szCs w:val="24"/>
        </w:rPr>
        <w:t>0</w:t>
      </w:r>
      <w:r w:rsidR="0048674F" w:rsidRPr="0048674F">
        <w:rPr>
          <w:rFonts w:ascii="Tahoma" w:eastAsia="Calibri" w:hAnsi="Tahoma" w:cs="Tahoma"/>
          <w:sz w:val="24"/>
          <w:szCs w:val="24"/>
        </w:rPr>
        <w:t xml:space="preserve"> miliarde lei, înregistrează o creștere cu 10,7% (+3,0 miliarde lei), comparativ cu încasările aferente trimestrului II din anul 2024 . Gradul de realizare al programului stabilit este de 88,8% (-3,9 miliarde lei). </w:t>
      </w:r>
    </w:p>
    <w:p w:rsidR="0048674F" w:rsidRPr="0048674F" w:rsidRDefault="0048674F" w:rsidP="00CE45BA">
      <w:pPr>
        <w:autoSpaceDE w:val="0"/>
        <w:autoSpaceDN w:val="0"/>
        <w:adjustRightInd w:val="0"/>
        <w:spacing w:after="120" w:line="276" w:lineRule="auto"/>
        <w:jc w:val="both"/>
        <w:rPr>
          <w:rFonts w:ascii="Tahoma" w:eastAsia="Calibri" w:hAnsi="Tahoma" w:cs="Tahoma"/>
          <w:sz w:val="24"/>
          <w:szCs w:val="24"/>
        </w:rPr>
      </w:pPr>
      <w:r w:rsidRPr="0048674F">
        <w:rPr>
          <w:rFonts w:ascii="Tahoma" w:eastAsia="Calibri" w:hAnsi="Tahoma" w:cs="Tahoma"/>
          <w:sz w:val="24"/>
          <w:szCs w:val="24"/>
        </w:rPr>
        <w:lastRenderedPageBreak/>
        <w:t>Nerealizarea țintei trimestriale stabilite pentru taxa pe valoarea adăugată se datorează în principal evoluției indicatorilor macroeconomici sub indicatorii ce au stat la baza estimării inițiale a programului anual (creștere reală de 2,4% - conform variantei de toamnă 2024 furnizată de CNSP în timp ce revizuirea indicatorilor macroeconomici  în varianta de primăvară 2025 evidențiază o scădere la 1,4%). Programul stabilit pentru trimestrul II include și veniturile suplimentare din îmbunătățirea colectării de 1,6 miliarde lei.</w:t>
      </w:r>
    </w:p>
    <w:p w:rsidR="0048674F" w:rsidRPr="0048674F" w:rsidRDefault="0048674F" w:rsidP="00CE45BA">
      <w:pPr>
        <w:autoSpaceDE w:val="0"/>
        <w:autoSpaceDN w:val="0"/>
        <w:adjustRightInd w:val="0"/>
        <w:spacing w:after="120" w:line="276" w:lineRule="auto"/>
        <w:jc w:val="both"/>
        <w:rPr>
          <w:rFonts w:ascii="Tahoma" w:eastAsia="Calibri" w:hAnsi="Tahoma" w:cs="Tahoma"/>
          <w:sz w:val="24"/>
          <w:szCs w:val="24"/>
          <w:lang w:val="en-US"/>
        </w:rPr>
      </w:pPr>
      <w:r w:rsidRPr="0048674F">
        <w:rPr>
          <w:rFonts w:ascii="Tahoma" w:eastAsia="Calibri" w:hAnsi="Tahoma" w:cs="Tahoma"/>
          <w:sz w:val="24"/>
          <w:szCs w:val="24"/>
        </w:rPr>
        <w:t>În structură, TVA încasată</w:t>
      </w:r>
      <w:r w:rsidRPr="0048674F">
        <w:rPr>
          <w:rFonts w:ascii="Tahoma" w:eastAsia="Calibri" w:hAnsi="Tahoma" w:cs="Tahoma"/>
          <w:sz w:val="24"/>
          <w:szCs w:val="24"/>
          <w:vertAlign w:val="superscript"/>
          <w:lang w:val="en-US"/>
        </w:rPr>
        <w:footnoteReference w:id="4"/>
      </w:r>
      <w:r w:rsidRPr="0048674F">
        <w:rPr>
          <w:rFonts w:ascii="Tahoma" w:eastAsia="Calibri" w:hAnsi="Tahoma" w:cs="Tahoma"/>
          <w:sz w:val="24"/>
          <w:szCs w:val="24"/>
          <w:lang w:val="en-US"/>
        </w:rPr>
        <w:t xml:space="preserve"> s-a majorat cu 8,5% (+3,0 miliarde lei) față de trimestrul II al anului 2024</w:t>
      </w:r>
      <w:r w:rsidRPr="0048674F">
        <w:rPr>
          <w:rFonts w:ascii="Tahoma" w:eastAsia="Calibri" w:hAnsi="Tahoma" w:cs="Tahoma"/>
          <w:sz w:val="24"/>
          <w:szCs w:val="24"/>
          <w:vertAlign w:val="superscript"/>
          <w:lang w:val="en-US"/>
        </w:rPr>
        <w:footnoteReference w:id="5"/>
      </w:r>
      <w:r w:rsidRPr="0048674F">
        <w:rPr>
          <w:rFonts w:ascii="Tahoma" w:eastAsia="Calibri" w:hAnsi="Tahoma" w:cs="Tahoma"/>
          <w:sz w:val="24"/>
          <w:szCs w:val="24"/>
          <w:lang w:val="en-US"/>
        </w:rPr>
        <w:t>, iar valoarea restituirilor de taxă pe valoare adăugată a crescut cu doar 0,2%.</w:t>
      </w:r>
    </w:p>
    <w:p w:rsidR="0048674F" w:rsidRPr="0048674F" w:rsidRDefault="0048674F" w:rsidP="00CE45BA">
      <w:pPr>
        <w:autoSpaceDE w:val="0"/>
        <w:autoSpaceDN w:val="0"/>
        <w:adjustRightInd w:val="0"/>
        <w:spacing w:after="120" w:line="276" w:lineRule="auto"/>
        <w:jc w:val="both"/>
        <w:rPr>
          <w:rFonts w:ascii="Tahoma" w:eastAsia="Calibri" w:hAnsi="Tahoma" w:cs="Tahoma"/>
          <w:sz w:val="24"/>
          <w:szCs w:val="24"/>
        </w:rPr>
      </w:pPr>
      <w:r w:rsidRPr="0048674F">
        <w:rPr>
          <w:rFonts w:ascii="Tahoma" w:eastAsia="Calibri" w:hAnsi="Tahoma" w:cs="Tahoma"/>
          <w:sz w:val="24"/>
          <w:szCs w:val="24"/>
        </w:rPr>
        <w:t>Volumul cifrei de afaceri din comerţul cu amănuntul</w:t>
      </w:r>
      <w:r w:rsidRPr="0048674F">
        <w:rPr>
          <w:rFonts w:ascii="Tahoma" w:eastAsia="Calibri" w:hAnsi="Tahoma" w:cs="Tahoma"/>
          <w:sz w:val="24"/>
          <w:szCs w:val="24"/>
          <w:vertAlign w:val="superscript"/>
        </w:rPr>
        <w:footnoteReference w:id="6"/>
      </w:r>
      <w:r w:rsidRPr="0048674F">
        <w:rPr>
          <w:rFonts w:ascii="Tahoma" w:eastAsia="Calibri" w:hAnsi="Tahoma" w:cs="Tahoma"/>
          <w:sz w:val="24"/>
          <w:szCs w:val="24"/>
        </w:rPr>
        <w:t xml:space="preserve"> (cu excepţia comerţului cu autovehicule şi motociclete), serie brută, în </w:t>
      </w:r>
      <w:r w:rsidRPr="0048674F">
        <w:rPr>
          <w:rFonts w:ascii="Tahoma" w:eastAsia="Calibri" w:hAnsi="Tahoma" w:cs="Tahoma"/>
          <w:sz w:val="24"/>
          <w:szCs w:val="24"/>
          <w:lang w:val="en-US"/>
        </w:rPr>
        <w:t>perioada 1.I-31.V.2025, comparativ cu perioada 1.I-31.V.2024</w:t>
      </w:r>
      <w:r w:rsidRPr="0048674F">
        <w:rPr>
          <w:rFonts w:ascii="Tahoma" w:eastAsia="Calibri" w:hAnsi="Tahoma" w:cs="Tahoma"/>
          <w:sz w:val="24"/>
          <w:szCs w:val="24"/>
        </w:rPr>
        <w:t>, a înregistrat o creştere, pe ansamblu, cu 2,6%, datorită creşterii vânzărilor de produse nealimentare (+5,9%) și  a comerţului cu amănuntul al carburanţilor pentru autovehicule în magazine specializate a crescut cu 2,1%.</w:t>
      </w:r>
      <w:r w:rsidRPr="0048674F">
        <w:rPr>
          <w:rFonts w:ascii="Tahoma" w:eastAsia="Calibri" w:hAnsi="Tahoma" w:cs="Tahoma"/>
          <w:sz w:val="24"/>
          <w:szCs w:val="24"/>
          <w:lang w:val="en-US"/>
        </w:rPr>
        <w:t xml:space="preserve"> Vânzările de produse alimentare, băuturi şi tutun au scăzut cu 1,2%.</w:t>
      </w:r>
    </w:p>
    <w:p w:rsidR="0048674F" w:rsidRPr="0048674F" w:rsidRDefault="0048674F" w:rsidP="00CE45BA">
      <w:pPr>
        <w:autoSpaceDE w:val="0"/>
        <w:autoSpaceDN w:val="0"/>
        <w:adjustRightInd w:val="0"/>
        <w:spacing w:after="120" w:line="276" w:lineRule="auto"/>
        <w:jc w:val="both"/>
        <w:rPr>
          <w:rFonts w:ascii="Tahoma" w:eastAsia="Calibri" w:hAnsi="Tahoma" w:cs="Tahoma"/>
          <w:sz w:val="24"/>
          <w:szCs w:val="24"/>
          <w:lang w:val="en-US"/>
        </w:rPr>
      </w:pPr>
      <w:r w:rsidRPr="0048674F">
        <w:rPr>
          <w:rFonts w:ascii="Tahoma" w:eastAsia="Calibri" w:hAnsi="Tahoma" w:cs="Tahoma"/>
          <w:sz w:val="24"/>
          <w:szCs w:val="24"/>
        </w:rPr>
        <w:t>Valoarea schimburilor extra comunitare de bunuri</w:t>
      </w:r>
      <w:r w:rsidRPr="0048674F">
        <w:rPr>
          <w:rFonts w:ascii="Tahoma" w:eastAsia="Calibri" w:hAnsi="Tahoma" w:cs="Tahoma"/>
          <w:sz w:val="24"/>
          <w:szCs w:val="24"/>
          <w:vertAlign w:val="superscript"/>
        </w:rPr>
        <w:footnoteReference w:id="7"/>
      </w:r>
      <w:r w:rsidRPr="0048674F">
        <w:rPr>
          <w:rFonts w:ascii="Tahoma" w:eastAsia="Calibri" w:hAnsi="Tahoma" w:cs="Tahoma"/>
          <w:sz w:val="24"/>
          <w:szCs w:val="24"/>
          <w:vertAlign w:val="superscript"/>
        </w:rPr>
        <w:t xml:space="preserve"> </w:t>
      </w:r>
      <w:r w:rsidRPr="0048674F">
        <w:rPr>
          <w:rFonts w:ascii="Tahoma" w:eastAsia="Calibri" w:hAnsi="Tahoma" w:cs="Tahoma"/>
          <w:sz w:val="24"/>
          <w:szCs w:val="24"/>
        </w:rPr>
        <w:t xml:space="preserve">(Extra-UE27) a crescut cu 12,7% la importuri și cu 6,9% la exporturi (la valori exprimate în lei)  </w:t>
      </w:r>
      <w:r w:rsidRPr="0048674F">
        <w:rPr>
          <w:rFonts w:ascii="Tahoma" w:eastAsia="Calibri" w:hAnsi="Tahoma" w:cs="Tahoma"/>
          <w:sz w:val="24"/>
          <w:szCs w:val="24"/>
          <w:lang w:val="en-US"/>
        </w:rPr>
        <w:t>în primele cinci luni ale anului 2025, comparativ cu perioada similară a anului precedent</w:t>
      </w:r>
      <w:r w:rsidRPr="0048674F">
        <w:rPr>
          <w:rFonts w:ascii="Tahoma" w:eastAsia="Calibri" w:hAnsi="Tahoma" w:cs="Tahoma"/>
          <w:sz w:val="24"/>
          <w:szCs w:val="24"/>
        </w:rPr>
        <w:t>.</w:t>
      </w:r>
    </w:p>
    <w:p w:rsidR="000F6149" w:rsidRPr="000F6149" w:rsidRDefault="00090FD5" w:rsidP="00CE45BA">
      <w:pPr>
        <w:autoSpaceDE w:val="0"/>
        <w:autoSpaceDN w:val="0"/>
        <w:adjustRightInd w:val="0"/>
        <w:spacing w:after="120" w:line="276" w:lineRule="auto"/>
        <w:jc w:val="both"/>
        <w:rPr>
          <w:rFonts w:ascii="Tahoma" w:eastAsia="Calibri" w:hAnsi="Tahoma" w:cs="Tahoma"/>
          <w:sz w:val="24"/>
          <w:szCs w:val="24"/>
        </w:rPr>
      </w:pPr>
      <w:r w:rsidRPr="005B6AFF">
        <w:rPr>
          <w:rFonts w:ascii="Tahoma" w:eastAsia="Calibri" w:hAnsi="Tahoma" w:cs="Tahoma"/>
          <w:sz w:val="24"/>
          <w:szCs w:val="24"/>
        </w:rPr>
        <w:t xml:space="preserve">Veniturile din </w:t>
      </w:r>
      <w:r w:rsidRPr="005B6AFF">
        <w:rPr>
          <w:rFonts w:ascii="Tahoma" w:eastAsia="Calibri" w:hAnsi="Tahoma" w:cs="Tahoma"/>
          <w:b/>
          <w:sz w:val="24"/>
          <w:szCs w:val="24"/>
        </w:rPr>
        <w:t>accize</w:t>
      </w:r>
      <w:r w:rsidRPr="005B6AFF">
        <w:rPr>
          <w:rFonts w:ascii="Tahoma" w:eastAsia="Calibri" w:hAnsi="Tahoma" w:cs="Tahoma"/>
          <w:sz w:val="24"/>
          <w:szCs w:val="24"/>
        </w:rPr>
        <w:t xml:space="preserve"> </w:t>
      </w:r>
      <w:r w:rsidR="000F6149" w:rsidRPr="000F6149">
        <w:rPr>
          <w:rFonts w:ascii="Tahoma" w:eastAsia="Calibri" w:hAnsi="Tahoma" w:cs="Tahoma"/>
          <w:sz w:val="24"/>
          <w:szCs w:val="24"/>
        </w:rPr>
        <w:t>în al doilea trimestru al anului 2025 au însumat 11,9</w:t>
      </w:r>
      <w:r w:rsidR="000F6149">
        <w:rPr>
          <w:rFonts w:ascii="Tahoma" w:eastAsia="Calibri" w:hAnsi="Tahoma" w:cs="Tahoma"/>
          <w:sz w:val="24"/>
          <w:szCs w:val="24"/>
        </w:rPr>
        <w:t>4</w:t>
      </w:r>
      <w:r w:rsidR="000F6149" w:rsidRPr="000F6149">
        <w:rPr>
          <w:rFonts w:ascii="Tahoma" w:eastAsia="Calibri" w:hAnsi="Tahoma" w:cs="Tahoma"/>
          <w:sz w:val="24"/>
          <w:szCs w:val="24"/>
        </w:rPr>
        <w:t xml:space="preserve"> miliarde lei, în creștere cu 11,3% (+1,2 miliarde lei), comparativ cu aceeași perioadă a anului precedent, influențată de creșterea încasărilor la accizele pentru produsele energetice cu 8,8% (+0,5 miliarde lei, pe fondul unui nivel majorat al accizelor la produsele energetice, cu 6,1% pentru fiecare produs benzină</w:t>
      </w:r>
      <w:r w:rsidR="000F6149" w:rsidRPr="000F6149">
        <w:rPr>
          <w:rFonts w:ascii="Tahoma" w:eastAsia="Calibri" w:hAnsi="Tahoma" w:cs="Tahoma"/>
          <w:sz w:val="24"/>
          <w:szCs w:val="24"/>
          <w:vertAlign w:val="superscript"/>
        </w:rPr>
        <w:footnoteReference w:id="8"/>
      </w:r>
      <w:r w:rsidR="000F6149" w:rsidRPr="000F6149">
        <w:rPr>
          <w:rFonts w:ascii="Tahoma" w:eastAsia="Calibri" w:hAnsi="Tahoma" w:cs="Tahoma"/>
          <w:sz w:val="24"/>
          <w:szCs w:val="24"/>
        </w:rPr>
        <w:t xml:space="preserve"> și motorină</w:t>
      </w:r>
      <w:r w:rsidR="000F6149" w:rsidRPr="000F6149">
        <w:rPr>
          <w:rFonts w:ascii="Tahoma" w:eastAsia="Calibri" w:hAnsi="Tahoma" w:cs="Tahoma"/>
          <w:sz w:val="24"/>
          <w:szCs w:val="24"/>
          <w:vertAlign w:val="superscript"/>
        </w:rPr>
        <w:footnoteReference w:id="9"/>
      </w:r>
      <w:r w:rsidR="000F6149" w:rsidRPr="000F6149">
        <w:rPr>
          <w:rFonts w:ascii="Tahoma" w:eastAsia="Calibri" w:hAnsi="Tahoma" w:cs="Tahoma"/>
          <w:sz w:val="24"/>
          <w:szCs w:val="24"/>
        </w:rPr>
        <w:t xml:space="preserve">, de la 01 ianuarie 2025) și la accizele pentru produsele din tutun cu 17,8% (în condițiile în care nivelul accizei la țigarete a crescut cu 2,24% de la 1 aprilie 2025).  </w:t>
      </w:r>
    </w:p>
    <w:p w:rsidR="000F6149" w:rsidRPr="000F6149" w:rsidRDefault="000F6149" w:rsidP="00CE45BA">
      <w:pPr>
        <w:autoSpaceDE w:val="0"/>
        <w:autoSpaceDN w:val="0"/>
        <w:adjustRightInd w:val="0"/>
        <w:spacing w:after="120" w:line="276" w:lineRule="auto"/>
        <w:jc w:val="both"/>
        <w:rPr>
          <w:rFonts w:ascii="Tahoma" w:eastAsia="Calibri" w:hAnsi="Tahoma" w:cs="Tahoma"/>
          <w:sz w:val="24"/>
          <w:szCs w:val="24"/>
        </w:rPr>
      </w:pPr>
      <w:r w:rsidRPr="000F6149">
        <w:rPr>
          <w:rFonts w:ascii="Tahoma" w:eastAsia="Calibri" w:hAnsi="Tahoma" w:cs="Tahoma"/>
          <w:sz w:val="24"/>
          <w:szCs w:val="24"/>
        </w:rPr>
        <w:t>Gradul de realizare față de programul stabilit pentru această perioadă este de 95,0% (-0,6 miliarde lei). Încasările lunare din accize prezintă în general o volatilitate mai ridicată, determinată de politica operatorilor economici de antrepozitare fiscală a produselor accizabile.</w:t>
      </w:r>
    </w:p>
    <w:p w:rsidR="009670AA" w:rsidRPr="005B6AFF" w:rsidRDefault="009670AA" w:rsidP="00CE45BA">
      <w:pPr>
        <w:autoSpaceDE w:val="0"/>
        <w:autoSpaceDN w:val="0"/>
        <w:adjustRightInd w:val="0"/>
        <w:spacing w:after="120" w:line="276" w:lineRule="auto"/>
        <w:jc w:val="both"/>
        <w:rPr>
          <w:rFonts w:ascii="Tahoma" w:hAnsi="Tahoma" w:cs="Tahoma"/>
          <w:bCs/>
          <w:sz w:val="24"/>
          <w:szCs w:val="24"/>
        </w:rPr>
      </w:pPr>
      <w:r w:rsidRPr="005B6AFF">
        <w:rPr>
          <w:rFonts w:ascii="Tahoma" w:hAnsi="Tahoma" w:cs="Tahoma"/>
          <w:bCs/>
          <w:sz w:val="24"/>
          <w:szCs w:val="24"/>
        </w:rPr>
        <w:t>Încasările din categoria</w:t>
      </w:r>
      <w:r w:rsidRPr="005B6AFF">
        <w:rPr>
          <w:rFonts w:ascii="Tahoma" w:hAnsi="Tahoma" w:cs="Tahoma"/>
          <w:b/>
          <w:bCs/>
          <w:sz w:val="24"/>
          <w:szCs w:val="24"/>
        </w:rPr>
        <w:t xml:space="preserve"> alte impozite și taxe generale pe bunuri și servicii</w:t>
      </w:r>
      <w:r w:rsidRPr="005B6AFF">
        <w:rPr>
          <w:rFonts w:ascii="Tahoma" w:hAnsi="Tahoma" w:cs="Tahoma"/>
          <w:bCs/>
          <w:sz w:val="24"/>
          <w:szCs w:val="24"/>
        </w:rPr>
        <w:t xml:space="preserve"> în </w:t>
      </w:r>
      <w:r w:rsidR="000F6149">
        <w:rPr>
          <w:rFonts w:ascii="Tahoma" w:hAnsi="Tahoma" w:cs="Tahoma"/>
          <w:bCs/>
          <w:sz w:val="24"/>
          <w:szCs w:val="24"/>
        </w:rPr>
        <w:t>al doilea trimestru</w:t>
      </w:r>
      <w:r w:rsidRPr="005B6AFF">
        <w:rPr>
          <w:rFonts w:ascii="Tahoma" w:hAnsi="Tahoma" w:cs="Tahoma"/>
          <w:bCs/>
          <w:sz w:val="24"/>
          <w:szCs w:val="24"/>
        </w:rPr>
        <w:t xml:space="preserve"> al anului curent au fost în sumă de </w:t>
      </w:r>
      <w:r w:rsidR="000F6149">
        <w:rPr>
          <w:rFonts w:ascii="Tahoma" w:hAnsi="Tahoma" w:cs="Tahoma"/>
          <w:bCs/>
          <w:sz w:val="24"/>
          <w:szCs w:val="24"/>
        </w:rPr>
        <w:t>3,16</w:t>
      </w:r>
      <w:r w:rsidR="008E4687" w:rsidRPr="005B6AFF">
        <w:rPr>
          <w:rFonts w:ascii="Tahoma" w:hAnsi="Tahoma" w:cs="Tahoma"/>
          <w:bCs/>
          <w:sz w:val="24"/>
          <w:szCs w:val="24"/>
        </w:rPr>
        <w:t xml:space="preserve"> </w:t>
      </w:r>
      <w:r w:rsidRPr="005B6AFF">
        <w:rPr>
          <w:rFonts w:ascii="Tahoma" w:hAnsi="Tahoma" w:cs="Tahoma"/>
          <w:bCs/>
          <w:sz w:val="24"/>
          <w:szCs w:val="24"/>
        </w:rPr>
        <w:t>miliarde lei (0,</w:t>
      </w:r>
      <w:r w:rsidR="00C46807">
        <w:rPr>
          <w:rFonts w:ascii="Tahoma" w:hAnsi="Tahoma" w:cs="Tahoma"/>
          <w:bCs/>
          <w:sz w:val="24"/>
          <w:szCs w:val="24"/>
        </w:rPr>
        <w:t>2</w:t>
      </w:r>
      <w:r w:rsidRPr="005B6AFF">
        <w:rPr>
          <w:rFonts w:ascii="Tahoma" w:hAnsi="Tahoma" w:cs="Tahoma"/>
          <w:bCs/>
          <w:sz w:val="24"/>
          <w:szCs w:val="24"/>
        </w:rPr>
        <w:t xml:space="preserve">% din PIB), </w:t>
      </w:r>
      <w:r w:rsidR="008E4687" w:rsidRPr="005B6AFF">
        <w:rPr>
          <w:rFonts w:ascii="Tahoma" w:hAnsi="Tahoma" w:cs="Tahoma"/>
          <w:bCs/>
          <w:sz w:val="24"/>
          <w:szCs w:val="24"/>
        </w:rPr>
        <w:t xml:space="preserve">gradul de realizare al </w:t>
      </w:r>
      <w:r w:rsidRPr="005B6AFF">
        <w:rPr>
          <w:rFonts w:ascii="Tahoma" w:hAnsi="Tahoma" w:cs="Tahoma"/>
          <w:bCs/>
          <w:sz w:val="24"/>
          <w:szCs w:val="24"/>
        </w:rPr>
        <w:t>programul</w:t>
      </w:r>
      <w:r w:rsidR="008E4687" w:rsidRPr="005B6AFF">
        <w:rPr>
          <w:rFonts w:ascii="Tahoma" w:hAnsi="Tahoma" w:cs="Tahoma"/>
          <w:bCs/>
          <w:sz w:val="24"/>
          <w:szCs w:val="24"/>
        </w:rPr>
        <w:t>ui</w:t>
      </w:r>
      <w:r w:rsidRPr="005B6AFF">
        <w:rPr>
          <w:rFonts w:ascii="Tahoma" w:hAnsi="Tahoma" w:cs="Tahoma"/>
          <w:bCs/>
          <w:sz w:val="24"/>
          <w:szCs w:val="24"/>
        </w:rPr>
        <w:t xml:space="preserve"> trimestrial</w:t>
      </w:r>
      <w:r w:rsidR="008E4687" w:rsidRPr="005B6AFF">
        <w:rPr>
          <w:rFonts w:ascii="Tahoma" w:hAnsi="Tahoma" w:cs="Tahoma"/>
          <w:bCs/>
          <w:sz w:val="24"/>
          <w:szCs w:val="24"/>
        </w:rPr>
        <w:t xml:space="preserve"> fiind de </w:t>
      </w:r>
      <w:r w:rsidR="000F6149">
        <w:rPr>
          <w:rFonts w:ascii="Tahoma" w:hAnsi="Tahoma" w:cs="Tahoma"/>
          <w:bCs/>
          <w:sz w:val="24"/>
          <w:szCs w:val="24"/>
        </w:rPr>
        <w:t>115,6</w:t>
      </w:r>
      <w:r w:rsidR="008E4687" w:rsidRPr="005B6AFF">
        <w:rPr>
          <w:rFonts w:ascii="Tahoma" w:hAnsi="Tahoma" w:cs="Tahoma"/>
          <w:bCs/>
          <w:sz w:val="24"/>
          <w:szCs w:val="24"/>
        </w:rPr>
        <w:t xml:space="preserve">%, iar comparativ cu anul anterior au </w:t>
      </w:r>
      <w:r w:rsidR="00C46807">
        <w:rPr>
          <w:rFonts w:ascii="Tahoma" w:hAnsi="Tahoma" w:cs="Tahoma"/>
          <w:bCs/>
          <w:sz w:val="24"/>
          <w:szCs w:val="24"/>
        </w:rPr>
        <w:t>crescut</w:t>
      </w:r>
      <w:r w:rsidR="008E4687" w:rsidRPr="005B6AFF">
        <w:rPr>
          <w:rFonts w:ascii="Tahoma" w:hAnsi="Tahoma" w:cs="Tahoma"/>
          <w:bCs/>
          <w:sz w:val="24"/>
          <w:szCs w:val="24"/>
        </w:rPr>
        <w:t xml:space="preserve"> cu </w:t>
      </w:r>
      <w:r w:rsidR="000F6149">
        <w:rPr>
          <w:rFonts w:ascii="Tahoma" w:hAnsi="Tahoma" w:cs="Tahoma"/>
          <w:bCs/>
          <w:sz w:val="24"/>
          <w:szCs w:val="24"/>
        </w:rPr>
        <w:t>44,7</w:t>
      </w:r>
      <w:r w:rsidR="008E4687" w:rsidRPr="005B6AFF">
        <w:rPr>
          <w:rFonts w:ascii="Tahoma" w:hAnsi="Tahoma" w:cs="Tahoma"/>
          <w:bCs/>
          <w:sz w:val="24"/>
          <w:szCs w:val="24"/>
        </w:rPr>
        <w:t>%</w:t>
      </w:r>
      <w:r w:rsidRPr="005B6AFF">
        <w:rPr>
          <w:rFonts w:ascii="Tahoma" w:hAnsi="Tahoma" w:cs="Tahoma"/>
          <w:bCs/>
          <w:sz w:val="24"/>
          <w:szCs w:val="24"/>
        </w:rPr>
        <w:t>.</w:t>
      </w:r>
      <w:r w:rsidR="00AF0A9B" w:rsidRPr="005B6AFF">
        <w:rPr>
          <w:rFonts w:ascii="Tahoma" w:hAnsi="Tahoma" w:cs="Tahoma"/>
          <w:bCs/>
          <w:sz w:val="24"/>
          <w:szCs w:val="24"/>
        </w:rPr>
        <w:t xml:space="preserve"> </w:t>
      </w:r>
    </w:p>
    <w:p w:rsidR="00C46807" w:rsidRPr="00C46807" w:rsidRDefault="00AF0A9B" w:rsidP="00CE45BA">
      <w:pPr>
        <w:autoSpaceDE w:val="0"/>
        <w:autoSpaceDN w:val="0"/>
        <w:adjustRightInd w:val="0"/>
        <w:spacing w:after="120" w:line="276" w:lineRule="auto"/>
        <w:jc w:val="both"/>
        <w:rPr>
          <w:rFonts w:ascii="Tahoma" w:hAnsi="Tahoma" w:cs="Tahoma"/>
          <w:bCs/>
          <w:sz w:val="24"/>
          <w:szCs w:val="24"/>
        </w:rPr>
      </w:pPr>
      <w:r w:rsidRPr="005B6AFF">
        <w:rPr>
          <w:rFonts w:ascii="Tahoma" w:hAnsi="Tahoma" w:cs="Tahoma"/>
          <w:bCs/>
          <w:sz w:val="24"/>
          <w:szCs w:val="24"/>
        </w:rPr>
        <w:lastRenderedPageBreak/>
        <w:t xml:space="preserve">Evoluția încasărilor față de încasările din perioada similară a anului precedent s-a datorat încasărilor înregistrate la bugetul de stat </w:t>
      </w:r>
      <w:r w:rsidR="00DF2024">
        <w:rPr>
          <w:rFonts w:ascii="Tahoma" w:hAnsi="Tahoma" w:cs="Tahoma"/>
          <w:bCs/>
          <w:sz w:val="24"/>
          <w:szCs w:val="24"/>
        </w:rPr>
        <w:t>din</w:t>
      </w:r>
      <w:r w:rsidR="00C46807" w:rsidRPr="00C46807">
        <w:rPr>
          <w:rFonts w:ascii="Tahoma" w:hAnsi="Tahoma" w:cs="Tahoma"/>
          <w:bCs/>
          <w:sz w:val="24"/>
          <w:szCs w:val="24"/>
        </w:rPr>
        <w:t xml:space="preserve"> </w:t>
      </w:r>
      <w:r w:rsidR="000F6149" w:rsidRPr="000F6149">
        <w:rPr>
          <w:rFonts w:ascii="Tahoma" w:hAnsi="Tahoma" w:cs="Tahoma"/>
          <w:bCs/>
          <w:sz w:val="24"/>
          <w:szCs w:val="24"/>
        </w:rPr>
        <w:t>impozitul specific pe cifra de afaceri realizată de agenții economici din sectoarele petrol si gaze naturale încasat în noile condiții legislative aprobate prin O.G. nr. 3/2025</w:t>
      </w:r>
      <w:r w:rsidR="000F6149" w:rsidRPr="000F6149">
        <w:rPr>
          <w:rFonts w:ascii="Tahoma" w:hAnsi="Tahoma" w:cs="Tahoma"/>
          <w:bCs/>
          <w:sz w:val="24"/>
          <w:szCs w:val="24"/>
          <w:vertAlign w:val="superscript"/>
        </w:rPr>
        <w:footnoteReference w:id="10"/>
      </w:r>
      <w:r w:rsidR="000F6149" w:rsidRPr="000F6149">
        <w:rPr>
          <w:rFonts w:ascii="Tahoma" w:hAnsi="Tahoma" w:cs="Tahoma"/>
          <w:bCs/>
          <w:sz w:val="24"/>
          <w:szCs w:val="24"/>
        </w:rPr>
        <w:t xml:space="preserve"> (+0,2 miliarde lei)</w:t>
      </w:r>
      <w:r w:rsidR="00DF2024">
        <w:rPr>
          <w:rFonts w:ascii="Tahoma" w:hAnsi="Tahoma" w:cs="Tahoma"/>
          <w:bCs/>
          <w:sz w:val="24"/>
          <w:szCs w:val="24"/>
        </w:rPr>
        <w:t>,</w:t>
      </w:r>
      <w:r w:rsidR="000F6149">
        <w:rPr>
          <w:rFonts w:ascii="Tahoma" w:hAnsi="Tahoma" w:cs="Tahoma"/>
          <w:bCs/>
          <w:sz w:val="24"/>
          <w:szCs w:val="24"/>
        </w:rPr>
        <w:t xml:space="preserve"> </w:t>
      </w:r>
      <w:r w:rsidR="002C355B">
        <w:rPr>
          <w:rFonts w:ascii="Tahoma" w:hAnsi="Tahoma" w:cs="Tahoma"/>
          <w:bCs/>
          <w:sz w:val="24"/>
          <w:szCs w:val="24"/>
        </w:rPr>
        <w:t xml:space="preserve">din </w:t>
      </w:r>
      <w:r w:rsidR="00DF2024" w:rsidRPr="00DF2024">
        <w:rPr>
          <w:rFonts w:ascii="Tahoma" w:hAnsi="Tahoma" w:cs="Tahoma"/>
          <w:bCs/>
          <w:sz w:val="24"/>
          <w:szCs w:val="24"/>
        </w:rPr>
        <w:t>impozitul pe cifra de afaceri realizata de institutiile de credit</w:t>
      </w:r>
      <w:r w:rsidR="00DF2024">
        <w:rPr>
          <w:rFonts w:ascii="Tahoma" w:hAnsi="Tahoma" w:cs="Tahoma"/>
          <w:bCs/>
          <w:sz w:val="24"/>
          <w:szCs w:val="24"/>
        </w:rPr>
        <w:t xml:space="preserve"> </w:t>
      </w:r>
      <w:r w:rsidR="000F6149">
        <w:rPr>
          <w:rFonts w:ascii="Tahoma" w:hAnsi="Tahoma" w:cs="Tahoma"/>
          <w:bCs/>
          <w:sz w:val="24"/>
          <w:szCs w:val="24"/>
        </w:rPr>
        <w:t>și a evoluției încasărilor din contribuția la Fondul de Tranziției Energetică.</w:t>
      </w:r>
    </w:p>
    <w:p w:rsidR="00256684" w:rsidRPr="00256684" w:rsidRDefault="00DD52A5" w:rsidP="00CE45BA">
      <w:pPr>
        <w:autoSpaceDE w:val="0"/>
        <w:autoSpaceDN w:val="0"/>
        <w:adjustRightInd w:val="0"/>
        <w:spacing w:after="120" w:line="276" w:lineRule="auto"/>
        <w:jc w:val="both"/>
        <w:rPr>
          <w:rFonts w:ascii="Tahoma" w:hAnsi="Tahoma" w:cs="Tahoma"/>
          <w:sz w:val="24"/>
          <w:szCs w:val="24"/>
        </w:rPr>
      </w:pPr>
      <w:r w:rsidRPr="005B6AFF">
        <w:rPr>
          <w:rFonts w:ascii="Tahoma" w:hAnsi="Tahoma" w:cs="Tahoma"/>
          <w:sz w:val="24"/>
          <w:szCs w:val="24"/>
        </w:rPr>
        <w:t xml:space="preserve">Încasările din </w:t>
      </w:r>
      <w:r w:rsidRPr="005B6AFF">
        <w:rPr>
          <w:rFonts w:ascii="Tahoma" w:hAnsi="Tahoma" w:cs="Tahoma"/>
          <w:b/>
          <w:sz w:val="24"/>
          <w:szCs w:val="24"/>
        </w:rPr>
        <w:t>taxele pe utilizarea bunurilor</w:t>
      </w:r>
      <w:r w:rsidR="002C3B7D" w:rsidRPr="005B6AFF">
        <w:rPr>
          <w:rFonts w:ascii="Tahoma" w:hAnsi="Tahoma" w:cs="Tahoma"/>
          <w:b/>
          <w:i/>
          <w:sz w:val="24"/>
          <w:szCs w:val="24"/>
        </w:rPr>
        <w:t xml:space="preserve"> </w:t>
      </w:r>
      <w:r w:rsidR="00502B73" w:rsidRPr="005B6AFF">
        <w:rPr>
          <w:rFonts w:ascii="Tahoma" w:hAnsi="Tahoma" w:cs="Tahoma"/>
          <w:sz w:val="24"/>
          <w:szCs w:val="24"/>
        </w:rPr>
        <w:t xml:space="preserve">au fost în sumă de </w:t>
      </w:r>
      <w:r w:rsidR="00DF2024">
        <w:rPr>
          <w:rFonts w:ascii="Tahoma" w:hAnsi="Tahoma" w:cs="Tahoma"/>
          <w:sz w:val="24"/>
          <w:szCs w:val="24"/>
        </w:rPr>
        <w:t>2,03</w:t>
      </w:r>
      <w:r w:rsidRPr="005B6AFF">
        <w:rPr>
          <w:rFonts w:ascii="Tahoma" w:hAnsi="Tahoma" w:cs="Tahoma"/>
          <w:sz w:val="24"/>
          <w:szCs w:val="24"/>
        </w:rPr>
        <w:t xml:space="preserve"> </w:t>
      </w:r>
      <w:r w:rsidR="00602503" w:rsidRPr="005B6AFF">
        <w:rPr>
          <w:rFonts w:ascii="Tahoma" w:hAnsi="Tahoma" w:cs="Tahoma"/>
          <w:sz w:val="24"/>
          <w:szCs w:val="24"/>
        </w:rPr>
        <w:t>miliarde</w:t>
      </w:r>
      <w:r w:rsidR="00713D80" w:rsidRPr="005B6AFF">
        <w:rPr>
          <w:rFonts w:ascii="Tahoma" w:hAnsi="Tahoma" w:cs="Tahoma"/>
          <w:sz w:val="24"/>
          <w:szCs w:val="24"/>
        </w:rPr>
        <w:t xml:space="preserve"> </w:t>
      </w:r>
      <w:r w:rsidRPr="005B6AFF">
        <w:rPr>
          <w:rFonts w:ascii="Tahoma" w:hAnsi="Tahoma" w:cs="Tahoma"/>
          <w:sz w:val="24"/>
          <w:szCs w:val="24"/>
        </w:rPr>
        <w:t xml:space="preserve">lei, </w:t>
      </w:r>
      <w:r w:rsidR="004840C3" w:rsidRPr="005B6AFF">
        <w:rPr>
          <w:rFonts w:ascii="Tahoma" w:hAnsi="Tahoma" w:cs="Tahoma"/>
          <w:sz w:val="24"/>
          <w:szCs w:val="24"/>
        </w:rPr>
        <w:t xml:space="preserve">cu </w:t>
      </w:r>
      <w:r w:rsidR="00DF2024">
        <w:rPr>
          <w:rFonts w:ascii="Tahoma" w:hAnsi="Tahoma" w:cs="Tahoma"/>
          <w:sz w:val="24"/>
          <w:szCs w:val="24"/>
        </w:rPr>
        <w:t>18,7</w:t>
      </w:r>
      <w:r w:rsidR="004840C3" w:rsidRPr="005B6AFF">
        <w:rPr>
          <w:rFonts w:ascii="Tahoma" w:hAnsi="Tahoma" w:cs="Tahoma"/>
          <w:sz w:val="24"/>
          <w:szCs w:val="24"/>
        </w:rPr>
        <w:t xml:space="preserve">% mai </w:t>
      </w:r>
      <w:r w:rsidR="00AF0A9B" w:rsidRPr="005B6AFF">
        <w:rPr>
          <w:rFonts w:ascii="Tahoma" w:hAnsi="Tahoma" w:cs="Tahoma"/>
          <w:sz w:val="24"/>
          <w:szCs w:val="24"/>
        </w:rPr>
        <w:t>mari</w:t>
      </w:r>
      <w:r w:rsidR="004840C3" w:rsidRPr="005B6AFF">
        <w:rPr>
          <w:rFonts w:ascii="Tahoma" w:hAnsi="Tahoma" w:cs="Tahoma"/>
          <w:sz w:val="24"/>
          <w:szCs w:val="24"/>
        </w:rPr>
        <w:t xml:space="preserve"> </w:t>
      </w:r>
      <w:r w:rsidR="00565196" w:rsidRPr="005B6AFF">
        <w:rPr>
          <w:rFonts w:ascii="Tahoma" w:hAnsi="Tahoma" w:cs="Tahoma"/>
          <w:sz w:val="24"/>
          <w:szCs w:val="24"/>
        </w:rPr>
        <w:t xml:space="preserve">comparativ </w:t>
      </w:r>
      <w:r w:rsidR="00A06E69">
        <w:rPr>
          <w:rFonts w:ascii="Tahoma" w:hAnsi="Tahoma" w:cs="Tahoma"/>
          <w:sz w:val="24"/>
          <w:szCs w:val="24"/>
        </w:rPr>
        <w:t>încasările trimestrului I</w:t>
      </w:r>
      <w:r w:rsidR="00DF2024">
        <w:rPr>
          <w:rFonts w:ascii="Tahoma" w:hAnsi="Tahoma" w:cs="Tahoma"/>
          <w:sz w:val="24"/>
          <w:szCs w:val="24"/>
        </w:rPr>
        <w:t>I</w:t>
      </w:r>
      <w:r w:rsidR="00A06E69">
        <w:rPr>
          <w:rFonts w:ascii="Tahoma" w:hAnsi="Tahoma" w:cs="Tahoma"/>
          <w:sz w:val="24"/>
          <w:szCs w:val="24"/>
        </w:rPr>
        <w:t xml:space="preserve"> </w:t>
      </w:r>
      <w:r w:rsidR="00565196" w:rsidRPr="005B6AFF">
        <w:rPr>
          <w:rFonts w:ascii="Tahoma" w:hAnsi="Tahoma" w:cs="Tahoma"/>
          <w:sz w:val="24"/>
          <w:szCs w:val="24"/>
        </w:rPr>
        <w:t>20</w:t>
      </w:r>
      <w:r w:rsidR="004840C3" w:rsidRPr="005B6AFF">
        <w:rPr>
          <w:rFonts w:ascii="Tahoma" w:hAnsi="Tahoma" w:cs="Tahoma"/>
          <w:sz w:val="24"/>
          <w:szCs w:val="24"/>
        </w:rPr>
        <w:t>2</w:t>
      </w:r>
      <w:r w:rsidR="00C46807">
        <w:rPr>
          <w:rFonts w:ascii="Tahoma" w:hAnsi="Tahoma" w:cs="Tahoma"/>
          <w:sz w:val="24"/>
          <w:szCs w:val="24"/>
        </w:rPr>
        <w:t>4</w:t>
      </w:r>
      <w:r w:rsidR="00565196" w:rsidRPr="005B6AFF">
        <w:rPr>
          <w:rFonts w:ascii="Tahoma" w:hAnsi="Tahoma" w:cs="Tahoma"/>
          <w:sz w:val="24"/>
          <w:szCs w:val="24"/>
        </w:rPr>
        <w:t xml:space="preserve">, </w:t>
      </w:r>
      <w:r w:rsidR="00565196" w:rsidRPr="00256684">
        <w:rPr>
          <w:rFonts w:ascii="Tahoma" w:hAnsi="Tahoma" w:cs="Tahoma"/>
          <w:sz w:val="24"/>
          <w:szCs w:val="24"/>
        </w:rPr>
        <w:t xml:space="preserve">în principal ca urmare a </w:t>
      </w:r>
      <w:r w:rsidR="009D126E" w:rsidRPr="00256684">
        <w:rPr>
          <w:rFonts w:ascii="Tahoma" w:hAnsi="Tahoma" w:cs="Tahoma"/>
          <w:sz w:val="24"/>
          <w:szCs w:val="24"/>
        </w:rPr>
        <w:t>evoluției pozitive înregistrate atât l</w:t>
      </w:r>
      <w:r w:rsidR="00005DE0" w:rsidRPr="00256684">
        <w:rPr>
          <w:rFonts w:ascii="Tahoma" w:hAnsi="Tahoma" w:cs="Tahoma"/>
          <w:sz w:val="24"/>
          <w:szCs w:val="24"/>
        </w:rPr>
        <w:t>a</w:t>
      </w:r>
      <w:r w:rsidR="009D126E" w:rsidRPr="00256684">
        <w:rPr>
          <w:rFonts w:ascii="Tahoma" w:hAnsi="Tahoma" w:cs="Tahoma"/>
          <w:sz w:val="24"/>
          <w:szCs w:val="24"/>
        </w:rPr>
        <w:t xml:space="preserve"> bugetul de stat (+</w:t>
      </w:r>
      <w:r w:rsidR="00256684" w:rsidRPr="00256684">
        <w:rPr>
          <w:rFonts w:ascii="Tahoma" w:hAnsi="Tahoma" w:cs="Tahoma"/>
          <w:sz w:val="24"/>
          <w:szCs w:val="24"/>
        </w:rPr>
        <w:t>24,6</w:t>
      </w:r>
      <w:r w:rsidR="009D126E" w:rsidRPr="00256684">
        <w:rPr>
          <w:rFonts w:ascii="Tahoma" w:hAnsi="Tahoma" w:cs="Tahoma"/>
          <w:sz w:val="24"/>
          <w:szCs w:val="24"/>
        </w:rPr>
        <w:t xml:space="preserve">%) </w:t>
      </w:r>
      <w:r w:rsidR="00C46807" w:rsidRPr="00256684">
        <w:rPr>
          <w:rFonts w:ascii="Tahoma" w:hAnsi="Tahoma" w:cs="Tahoma"/>
          <w:sz w:val="24"/>
          <w:szCs w:val="24"/>
        </w:rPr>
        <w:t xml:space="preserve">cât și </w:t>
      </w:r>
      <w:r w:rsidR="00256684" w:rsidRPr="00256684">
        <w:rPr>
          <w:rFonts w:ascii="Tahoma" w:hAnsi="Tahoma" w:cs="Tahoma"/>
          <w:sz w:val="24"/>
          <w:szCs w:val="24"/>
        </w:rPr>
        <w:t>la bugetele locale (+16,5%).</w:t>
      </w:r>
    </w:p>
    <w:p w:rsidR="009D126E" w:rsidRPr="005B6AFF" w:rsidRDefault="009D126E" w:rsidP="00CE45BA">
      <w:pPr>
        <w:autoSpaceDE w:val="0"/>
        <w:autoSpaceDN w:val="0"/>
        <w:adjustRightInd w:val="0"/>
        <w:spacing w:after="120" w:line="276" w:lineRule="auto"/>
        <w:jc w:val="both"/>
        <w:rPr>
          <w:rFonts w:ascii="Tahoma" w:eastAsia="Calibri" w:hAnsi="Tahoma" w:cs="Tahoma"/>
          <w:sz w:val="24"/>
          <w:szCs w:val="24"/>
        </w:rPr>
      </w:pPr>
      <w:r w:rsidRPr="005B6AFF">
        <w:rPr>
          <w:rFonts w:ascii="Tahoma" w:eastAsia="Calibri" w:hAnsi="Tahoma" w:cs="Tahoma"/>
          <w:sz w:val="24"/>
          <w:szCs w:val="24"/>
        </w:rPr>
        <w:t>La bugetul de stat creșterea în</w:t>
      </w:r>
      <w:r w:rsidR="00240604" w:rsidRPr="005B6AFF">
        <w:rPr>
          <w:rFonts w:ascii="Tahoma" w:eastAsia="Calibri" w:hAnsi="Tahoma" w:cs="Tahoma"/>
          <w:sz w:val="24"/>
          <w:szCs w:val="24"/>
        </w:rPr>
        <w:t>casărilor a fost determinată</w:t>
      </w:r>
      <w:r w:rsidR="002C355B">
        <w:rPr>
          <w:rFonts w:ascii="Tahoma" w:eastAsia="Calibri" w:hAnsi="Tahoma" w:cs="Tahoma"/>
          <w:sz w:val="24"/>
          <w:szCs w:val="24"/>
        </w:rPr>
        <w:t>,</w:t>
      </w:r>
      <w:r w:rsidR="00240604" w:rsidRPr="005B6AFF">
        <w:rPr>
          <w:rFonts w:ascii="Tahoma" w:eastAsia="Calibri" w:hAnsi="Tahoma" w:cs="Tahoma"/>
          <w:sz w:val="24"/>
          <w:szCs w:val="24"/>
        </w:rPr>
        <w:t xml:space="preserve"> </w:t>
      </w:r>
      <w:r w:rsidR="002C355B">
        <w:rPr>
          <w:rFonts w:ascii="Tahoma" w:eastAsia="Calibri" w:hAnsi="Tahoma" w:cs="Tahoma"/>
          <w:sz w:val="24"/>
          <w:szCs w:val="24"/>
        </w:rPr>
        <w:t xml:space="preserve">în principal, </w:t>
      </w:r>
      <w:r w:rsidR="00240604" w:rsidRPr="005B6AFF">
        <w:rPr>
          <w:rFonts w:ascii="Tahoma" w:eastAsia="Calibri" w:hAnsi="Tahoma" w:cs="Tahoma"/>
          <w:sz w:val="24"/>
          <w:szCs w:val="24"/>
        </w:rPr>
        <w:t>de evoluția î</w:t>
      </w:r>
      <w:r w:rsidR="00240604" w:rsidRPr="005B6AFF">
        <w:rPr>
          <w:rFonts w:ascii="Tahoma" w:eastAsia="Calibri" w:hAnsi="Tahoma" w:cs="Tahoma"/>
          <w:bCs/>
          <w:sz w:val="24"/>
          <w:szCs w:val="24"/>
        </w:rPr>
        <w:t xml:space="preserve">ncasărilor din taxele pentru jocurile de noroc </w:t>
      </w:r>
      <w:r w:rsidR="00A06E69">
        <w:rPr>
          <w:rFonts w:ascii="Tahoma" w:eastAsia="Calibri" w:hAnsi="Tahoma" w:cs="Tahoma"/>
          <w:bCs/>
          <w:sz w:val="24"/>
          <w:szCs w:val="24"/>
        </w:rPr>
        <w:t xml:space="preserve">ce </w:t>
      </w:r>
      <w:r w:rsidR="00240604" w:rsidRPr="005B6AFF">
        <w:rPr>
          <w:rFonts w:ascii="Tahoma" w:eastAsia="Calibri" w:hAnsi="Tahoma" w:cs="Tahoma"/>
          <w:sz w:val="24"/>
          <w:szCs w:val="24"/>
        </w:rPr>
        <w:t>înregistrează față de aceeași perioadă a anului 202</w:t>
      </w:r>
      <w:r w:rsidR="00953534">
        <w:rPr>
          <w:rFonts w:ascii="Tahoma" w:eastAsia="Calibri" w:hAnsi="Tahoma" w:cs="Tahoma"/>
          <w:sz w:val="24"/>
          <w:szCs w:val="24"/>
        </w:rPr>
        <w:t>4</w:t>
      </w:r>
      <w:r w:rsidR="00240604" w:rsidRPr="005B6AFF">
        <w:rPr>
          <w:rFonts w:ascii="Tahoma" w:eastAsia="Calibri" w:hAnsi="Tahoma" w:cs="Tahoma"/>
          <w:sz w:val="24"/>
          <w:szCs w:val="24"/>
        </w:rPr>
        <w:t xml:space="preserve"> o dinamică de</w:t>
      </w:r>
      <w:r w:rsidR="00240604" w:rsidRPr="005B6AFF">
        <w:rPr>
          <w:rFonts w:ascii="Tahoma" w:eastAsia="Calibri" w:hAnsi="Tahoma" w:cs="Tahoma"/>
          <w:bCs/>
          <w:sz w:val="24"/>
          <w:szCs w:val="24"/>
        </w:rPr>
        <w:t xml:space="preserve"> </w:t>
      </w:r>
      <w:r w:rsidR="00DF2024" w:rsidRPr="00DF2024">
        <w:rPr>
          <w:rFonts w:ascii="Tahoma" w:eastAsia="Calibri" w:hAnsi="Tahoma" w:cs="Tahoma"/>
          <w:bCs/>
          <w:sz w:val="24"/>
          <w:szCs w:val="24"/>
        </w:rPr>
        <w:t>+18,1% (+0,2 miliarde lei).</w:t>
      </w:r>
    </w:p>
    <w:p w:rsidR="00334D05" w:rsidRPr="005B6AFF" w:rsidRDefault="00D64FFE" w:rsidP="00CE45BA">
      <w:pPr>
        <w:autoSpaceDE w:val="0"/>
        <w:autoSpaceDN w:val="0"/>
        <w:adjustRightInd w:val="0"/>
        <w:spacing w:after="120" w:line="276" w:lineRule="auto"/>
        <w:jc w:val="both"/>
        <w:rPr>
          <w:rFonts w:ascii="Tahoma" w:hAnsi="Tahoma" w:cs="Tahoma"/>
          <w:sz w:val="24"/>
          <w:szCs w:val="24"/>
        </w:rPr>
      </w:pPr>
      <w:r w:rsidRPr="005B6AFF">
        <w:rPr>
          <w:rFonts w:ascii="Tahoma" w:hAnsi="Tahoma" w:cs="Tahoma"/>
          <w:sz w:val="24"/>
          <w:szCs w:val="24"/>
        </w:rPr>
        <w:t xml:space="preserve">Gradul de realizare al programului de încasări pentru perioada analizată este de </w:t>
      </w:r>
      <w:r w:rsidR="00DF2024">
        <w:rPr>
          <w:rFonts w:ascii="Tahoma" w:hAnsi="Tahoma" w:cs="Tahoma"/>
          <w:sz w:val="24"/>
          <w:szCs w:val="24"/>
        </w:rPr>
        <w:t>107,0</w:t>
      </w:r>
      <w:r w:rsidRPr="005B6AFF">
        <w:rPr>
          <w:rFonts w:ascii="Tahoma" w:hAnsi="Tahoma" w:cs="Tahoma"/>
          <w:sz w:val="24"/>
          <w:szCs w:val="24"/>
        </w:rPr>
        <w:t xml:space="preserve">%, această evoluție fiind susținută în principal de creșterea peste nivelul programat al </w:t>
      </w:r>
      <w:r w:rsidR="009D126E" w:rsidRPr="005B6AFF">
        <w:rPr>
          <w:rFonts w:ascii="Tahoma" w:hAnsi="Tahoma" w:cs="Tahoma"/>
          <w:sz w:val="24"/>
          <w:szCs w:val="24"/>
        </w:rPr>
        <w:t xml:space="preserve">încasărilor </w:t>
      </w:r>
      <w:r w:rsidR="00F33025" w:rsidRPr="005B6AFF">
        <w:rPr>
          <w:rFonts w:ascii="Tahoma" w:hAnsi="Tahoma" w:cs="Tahoma"/>
          <w:sz w:val="24"/>
          <w:szCs w:val="24"/>
        </w:rPr>
        <w:t>atât la bugetul de stat</w:t>
      </w:r>
      <w:r w:rsidR="00256684">
        <w:rPr>
          <w:rFonts w:ascii="Tahoma" w:hAnsi="Tahoma" w:cs="Tahoma"/>
          <w:sz w:val="24"/>
          <w:szCs w:val="24"/>
        </w:rPr>
        <w:t xml:space="preserve"> </w:t>
      </w:r>
      <w:r w:rsidR="00F33025" w:rsidRPr="005B6AFF">
        <w:rPr>
          <w:rFonts w:ascii="Tahoma" w:hAnsi="Tahoma" w:cs="Tahoma"/>
          <w:sz w:val="24"/>
          <w:szCs w:val="24"/>
        </w:rPr>
        <w:t xml:space="preserve">cât și </w:t>
      </w:r>
      <w:r w:rsidR="009D126E" w:rsidRPr="005B6AFF">
        <w:rPr>
          <w:rFonts w:ascii="Tahoma" w:hAnsi="Tahoma" w:cs="Tahoma"/>
          <w:sz w:val="24"/>
          <w:szCs w:val="24"/>
        </w:rPr>
        <w:t>la buget</w:t>
      </w:r>
      <w:r w:rsidR="00240604" w:rsidRPr="005B6AFF">
        <w:rPr>
          <w:rFonts w:ascii="Tahoma" w:hAnsi="Tahoma" w:cs="Tahoma"/>
          <w:sz w:val="24"/>
          <w:szCs w:val="24"/>
        </w:rPr>
        <w:t>ele locale</w:t>
      </w:r>
      <w:r w:rsidR="00953534">
        <w:rPr>
          <w:rFonts w:ascii="Tahoma" w:hAnsi="Tahoma" w:cs="Tahoma"/>
          <w:sz w:val="24"/>
          <w:szCs w:val="24"/>
        </w:rPr>
        <w:t>.</w:t>
      </w:r>
      <w:r w:rsidR="00240604" w:rsidRPr="005B6AFF">
        <w:rPr>
          <w:rFonts w:ascii="Tahoma" w:hAnsi="Tahoma" w:cs="Tahoma"/>
          <w:sz w:val="24"/>
          <w:szCs w:val="24"/>
        </w:rPr>
        <w:t xml:space="preserve"> </w:t>
      </w:r>
    </w:p>
    <w:p w:rsidR="00B802A4" w:rsidRPr="005B6AFF" w:rsidRDefault="00DD52A5" w:rsidP="00CE45BA">
      <w:pPr>
        <w:shd w:val="clear" w:color="auto" w:fill="FFFFFF"/>
        <w:tabs>
          <w:tab w:val="left" w:pos="810"/>
          <w:tab w:val="left" w:pos="1710"/>
        </w:tabs>
        <w:suppressAutoHyphens/>
        <w:autoSpaceDE w:val="0"/>
        <w:autoSpaceDN w:val="0"/>
        <w:adjustRightInd w:val="0"/>
        <w:spacing w:before="120" w:after="120" w:line="276" w:lineRule="auto"/>
        <w:jc w:val="both"/>
        <w:rPr>
          <w:rFonts w:ascii="Tahoma" w:hAnsi="Tahoma" w:cs="Tahoma"/>
          <w:sz w:val="24"/>
          <w:szCs w:val="24"/>
        </w:rPr>
      </w:pPr>
      <w:r w:rsidRPr="005B6AFF">
        <w:rPr>
          <w:rFonts w:ascii="Tahoma" w:hAnsi="Tahoma" w:cs="Tahoma"/>
          <w:sz w:val="24"/>
          <w:szCs w:val="24"/>
        </w:rPr>
        <w:t>Încasările din</w:t>
      </w:r>
      <w:r w:rsidRPr="005B6AFF">
        <w:rPr>
          <w:rFonts w:ascii="Tahoma" w:hAnsi="Tahoma" w:cs="Tahoma"/>
          <w:b/>
          <w:bCs/>
          <w:sz w:val="24"/>
          <w:szCs w:val="24"/>
        </w:rPr>
        <w:t xml:space="preserve"> impozitul pe comerț exterior </w:t>
      </w:r>
      <w:r w:rsidR="00640FBB" w:rsidRPr="005B6AFF">
        <w:rPr>
          <w:rFonts w:ascii="Tahoma" w:hAnsi="Tahoma" w:cs="Tahoma"/>
          <w:b/>
          <w:bCs/>
          <w:sz w:val="24"/>
          <w:szCs w:val="24"/>
        </w:rPr>
        <w:t>și</w:t>
      </w:r>
      <w:r w:rsidRPr="005B6AFF">
        <w:rPr>
          <w:rFonts w:ascii="Tahoma" w:hAnsi="Tahoma" w:cs="Tahoma"/>
          <w:b/>
          <w:bCs/>
          <w:sz w:val="24"/>
          <w:szCs w:val="24"/>
        </w:rPr>
        <w:t xml:space="preserve"> tranzacțiile internaționale</w:t>
      </w:r>
      <w:r w:rsidRPr="005B6AFF">
        <w:rPr>
          <w:rFonts w:ascii="Tahoma" w:hAnsi="Tahoma" w:cs="Tahoma"/>
          <w:sz w:val="24"/>
          <w:szCs w:val="24"/>
        </w:rPr>
        <w:t xml:space="preserve"> </w:t>
      </w:r>
      <w:r w:rsidR="00AE434D" w:rsidRPr="00AE434D">
        <w:rPr>
          <w:rFonts w:ascii="Tahoma" w:hAnsi="Tahoma" w:cs="Tahoma"/>
          <w:bCs/>
          <w:sz w:val="24"/>
          <w:szCs w:val="24"/>
        </w:rPr>
        <w:t>în valoare de 0,6 miliarde lei au înregistrat în perioada analizată o creștere cu 34,4% (+0,2 miliarde lei), comparativ cu aceeași perioadă a anului 2024</w:t>
      </w:r>
      <w:r w:rsidR="00AE434D" w:rsidRPr="00AE434D">
        <w:rPr>
          <w:rFonts w:ascii="Tahoma" w:hAnsi="Tahoma" w:cs="Tahoma"/>
          <w:sz w:val="24"/>
          <w:szCs w:val="24"/>
        </w:rPr>
        <w:t xml:space="preserve"> </w:t>
      </w:r>
      <w:r w:rsidR="00AE434D">
        <w:rPr>
          <w:rFonts w:ascii="Tahoma" w:hAnsi="Tahoma" w:cs="Tahoma"/>
          <w:sz w:val="24"/>
          <w:szCs w:val="24"/>
        </w:rPr>
        <w:t xml:space="preserve">fiind </w:t>
      </w:r>
      <w:r w:rsidR="00AE434D" w:rsidRPr="00953534">
        <w:rPr>
          <w:rFonts w:ascii="Tahoma" w:hAnsi="Tahoma" w:cs="Tahoma"/>
          <w:bCs/>
          <w:sz w:val="24"/>
          <w:szCs w:val="24"/>
        </w:rPr>
        <w:t>influențat</w:t>
      </w:r>
      <w:r w:rsidR="00AE434D">
        <w:rPr>
          <w:rFonts w:ascii="Tahoma" w:hAnsi="Tahoma" w:cs="Tahoma"/>
          <w:bCs/>
          <w:sz w:val="24"/>
          <w:szCs w:val="24"/>
        </w:rPr>
        <w:t>e</w:t>
      </w:r>
      <w:r w:rsidR="00AE434D" w:rsidRPr="00953534">
        <w:rPr>
          <w:rFonts w:ascii="Tahoma" w:hAnsi="Tahoma" w:cs="Tahoma"/>
          <w:bCs/>
          <w:sz w:val="24"/>
          <w:szCs w:val="24"/>
        </w:rPr>
        <w:t xml:space="preserve"> de creșterea</w:t>
      </w:r>
      <w:r w:rsidR="00AE434D" w:rsidRPr="00062C16">
        <w:rPr>
          <w:rFonts w:ascii="Tahoma" w:hAnsi="Tahoma" w:cs="Tahoma"/>
          <w:sz w:val="24"/>
          <w:szCs w:val="24"/>
          <w:lang w:val="es-ES"/>
        </w:rPr>
        <w:t xml:space="preserve"> </w:t>
      </w:r>
      <w:r w:rsidR="00AE434D" w:rsidRPr="009D02AB">
        <w:rPr>
          <w:rFonts w:ascii="Tahoma" w:hAnsi="Tahoma" w:cs="Tahoma"/>
          <w:sz w:val="24"/>
          <w:szCs w:val="24"/>
        </w:rPr>
        <w:t>importurilor</w:t>
      </w:r>
      <w:r w:rsidR="00AE434D" w:rsidRPr="00062C16">
        <w:rPr>
          <w:rFonts w:ascii="Tahoma" w:hAnsi="Tahoma" w:cs="Tahoma"/>
          <w:sz w:val="24"/>
          <w:szCs w:val="24"/>
          <w:lang w:val="es-ES"/>
        </w:rPr>
        <w:t xml:space="preserve"> (Extra-UE27)</w:t>
      </w:r>
      <w:r w:rsidR="00AE434D" w:rsidRPr="00953534">
        <w:rPr>
          <w:rFonts w:ascii="Tahoma" w:hAnsi="Tahoma" w:cs="Tahoma"/>
          <w:bCs/>
          <w:sz w:val="24"/>
          <w:szCs w:val="24"/>
        </w:rPr>
        <w:t xml:space="preserve"> cu </w:t>
      </w:r>
      <w:r w:rsidR="00AE434D">
        <w:rPr>
          <w:rFonts w:ascii="Tahoma" w:hAnsi="Tahoma" w:cs="Tahoma"/>
          <w:sz w:val="24"/>
          <w:szCs w:val="24"/>
        </w:rPr>
        <w:t>12</w:t>
      </w:r>
      <w:r w:rsidR="00AE434D" w:rsidRPr="00953534">
        <w:rPr>
          <w:rFonts w:ascii="Tahoma" w:hAnsi="Tahoma" w:cs="Tahoma"/>
          <w:sz w:val="24"/>
          <w:szCs w:val="24"/>
        </w:rPr>
        <w:t>,7%</w:t>
      </w:r>
      <w:r w:rsidR="00AE434D" w:rsidRPr="00AE434D">
        <w:rPr>
          <w:rFonts w:ascii="Tahoma" w:hAnsi="Tahoma" w:cs="Tahoma"/>
          <w:bCs/>
          <w:sz w:val="24"/>
          <w:szCs w:val="24"/>
        </w:rPr>
        <w:t>.  Gradul de realizare al acestor venituri este de 129,7% (+0,1 miliarde lei).</w:t>
      </w:r>
    </w:p>
    <w:p w:rsidR="00AE434D" w:rsidRPr="00AE434D" w:rsidRDefault="009F5BBF" w:rsidP="00CE45BA">
      <w:pPr>
        <w:tabs>
          <w:tab w:val="left" w:pos="284"/>
        </w:tabs>
        <w:autoSpaceDE w:val="0"/>
        <w:autoSpaceDN w:val="0"/>
        <w:adjustRightInd w:val="0"/>
        <w:spacing w:after="120" w:line="276" w:lineRule="auto"/>
        <w:jc w:val="both"/>
        <w:rPr>
          <w:rFonts w:ascii="Tahoma" w:eastAsia="Calibri" w:hAnsi="Tahoma" w:cs="Tahoma"/>
          <w:sz w:val="24"/>
          <w:szCs w:val="24"/>
        </w:rPr>
      </w:pPr>
      <w:r w:rsidRPr="005B6AFF">
        <w:rPr>
          <w:rFonts w:ascii="Tahoma" w:eastAsia="Calibri" w:hAnsi="Tahoma" w:cs="Tahoma"/>
          <w:b/>
          <w:sz w:val="24"/>
          <w:szCs w:val="24"/>
        </w:rPr>
        <w:t>Contribuțiile sociale</w:t>
      </w:r>
      <w:r w:rsidRPr="005B6AFF">
        <w:rPr>
          <w:rFonts w:ascii="Tahoma" w:eastAsia="Calibri" w:hAnsi="Tahoma" w:cs="Tahoma"/>
          <w:sz w:val="24"/>
          <w:szCs w:val="24"/>
        </w:rPr>
        <w:t xml:space="preserve"> </w:t>
      </w:r>
      <w:r w:rsidR="00AE434D" w:rsidRPr="00AE434D">
        <w:rPr>
          <w:rFonts w:ascii="Tahoma" w:eastAsia="Calibri" w:hAnsi="Tahoma" w:cs="Tahoma"/>
          <w:sz w:val="24"/>
          <w:szCs w:val="24"/>
        </w:rPr>
        <w:t>încasate în perioada analizată în sumă de 53,</w:t>
      </w:r>
      <w:r w:rsidR="00AE434D">
        <w:rPr>
          <w:rFonts w:ascii="Tahoma" w:eastAsia="Calibri" w:hAnsi="Tahoma" w:cs="Tahoma"/>
          <w:sz w:val="24"/>
          <w:szCs w:val="24"/>
        </w:rPr>
        <w:t>66</w:t>
      </w:r>
      <w:r w:rsidR="00AE434D" w:rsidRPr="00AE434D">
        <w:rPr>
          <w:rFonts w:ascii="Tahoma" w:eastAsia="Calibri" w:hAnsi="Tahoma" w:cs="Tahoma"/>
          <w:sz w:val="24"/>
          <w:szCs w:val="24"/>
        </w:rPr>
        <w:t xml:space="preserve"> miliarde lei, înregistrează comparativ cu aceeași perioadă a anului precedent, o creștere de 12,6% (+6,0 miliarde lei), superioară evoluției fondului brut de salarii de 11,2%, cu un grad de realizare a programului de 102,7% (+1,4 miliarde lei).</w:t>
      </w:r>
    </w:p>
    <w:p w:rsidR="00AE434D" w:rsidRPr="00AE434D" w:rsidRDefault="00AE434D" w:rsidP="00CE45BA">
      <w:pPr>
        <w:tabs>
          <w:tab w:val="left" w:pos="284"/>
        </w:tabs>
        <w:autoSpaceDE w:val="0"/>
        <w:autoSpaceDN w:val="0"/>
        <w:adjustRightInd w:val="0"/>
        <w:spacing w:after="120" w:line="276" w:lineRule="auto"/>
        <w:jc w:val="both"/>
        <w:rPr>
          <w:rFonts w:ascii="Tahoma" w:eastAsia="Calibri" w:hAnsi="Tahoma" w:cs="Tahoma"/>
          <w:sz w:val="24"/>
          <w:szCs w:val="24"/>
        </w:rPr>
      </w:pPr>
      <w:r w:rsidRPr="00AE434D">
        <w:rPr>
          <w:rFonts w:ascii="Tahoma" w:eastAsia="Calibri" w:hAnsi="Tahoma" w:cs="Tahoma"/>
          <w:sz w:val="24"/>
          <w:szCs w:val="24"/>
        </w:rPr>
        <w:t>Evoluția încasărilor din contribuții sociale în perioada analizată a fost influențată de modificarea reglementărilor privind majo</w:t>
      </w:r>
      <w:r w:rsidR="002C355B">
        <w:rPr>
          <w:rFonts w:ascii="Tahoma" w:eastAsia="Calibri" w:hAnsi="Tahoma" w:cs="Tahoma"/>
          <w:sz w:val="24"/>
          <w:szCs w:val="24"/>
        </w:rPr>
        <w:t>r</w:t>
      </w:r>
      <w:r w:rsidRPr="00AE434D">
        <w:rPr>
          <w:rFonts w:ascii="Tahoma" w:eastAsia="Calibri" w:hAnsi="Tahoma" w:cs="Tahoma"/>
          <w:sz w:val="24"/>
          <w:szCs w:val="24"/>
        </w:rPr>
        <w:t>area salariului minim brut pe țară garantat în plată (H.G. nr. 1506/2024), majorarea sumei necuprinse în baza lunară de calcul pentru contribuţiile sociale obligatorii de la 200 lei la 300 lei precum și eliminarea facilităților fiscale acordate salariaților din sectorul construcții, agricol, industria alimentară și a activităților de creare de programe pentru calculator, ce a condus la modificarea cotei de contribuție de asigurări sociale pentru salariații din construcții, agricultură și industria alimentară de la 20,25% la 25%, conform O.U.G. nr. 156/2024 și stabilirea cotei de contribuție la Pilonul II de pensii de 4,75%.</w:t>
      </w:r>
    </w:p>
    <w:p w:rsidR="00AE434D" w:rsidRPr="00AE434D" w:rsidRDefault="00AE434D" w:rsidP="00CE45BA">
      <w:pPr>
        <w:tabs>
          <w:tab w:val="left" w:pos="284"/>
        </w:tabs>
        <w:autoSpaceDE w:val="0"/>
        <w:autoSpaceDN w:val="0"/>
        <w:adjustRightInd w:val="0"/>
        <w:spacing w:after="120" w:line="276" w:lineRule="auto"/>
        <w:jc w:val="both"/>
        <w:rPr>
          <w:rFonts w:ascii="Tahoma" w:eastAsia="Calibri" w:hAnsi="Tahoma" w:cs="Tahoma"/>
          <w:sz w:val="24"/>
          <w:szCs w:val="24"/>
        </w:rPr>
      </w:pPr>
      <w:r w:rsidRPr="00AE434D">
        <w:rPr>
          <w:rFonts w:ascii="Tahoma" w:eastAsia="Calibri" w:hAnsi="Tahoma" w:cs="Tahoma"/>
          <w:sz w:val="24"/>
          <w:szCs w:val="24"/>
        </w:rPr>
        <w:t xml:space="preserve">Pe bugete, gradul de realizare a programului de încasări, se prezintă astfel: bugetul asigurărilor pentru șomaj (117,3%), bugetul fondului național unic de asigurări sociale de sănătate (105,8%), bugetul asigurărilor sociale de stat (101,8%) și bugetul de stat (94,8%). </w:t>
      </w:r>
    </w:p>
    <w:p w:rsidR="00AE434D" w:rsidRPr="00AE434D" w:rsidRDefault="00AE434D" w:rsidP="00CE45BA">
      <w:pPr>
        <w:tabs>
          <w:tab w:val="left" w:pos="284"/>
        </w:tabs>
        <w:autoSpaceDE w:val="0"/>
        <w:autoSpaceDN w:val="0"/>
        <w:adjustRightInd w:val="0"/>
        <w:spacing w:after="120" w:line="276" w:lineRule="auto"/>
        <w:jc w:val="both"/>
        <w:rPr>
          <w:rFonts w:ascii="Tahoma" w:eastAsia="Calibri" w:hAnsi="Tahoma" w:cs="Tahoma"/>
          <w:sz w:val="24"/>
          <w:szCs w:val="24"/>
        </w:rPr>
      </w:pPr>
      <w:r w:rsidRPr="00AE434D">
        <w:rPr>
          <w:rFonts w:ascii="Tahoma" w:eastAsia="Calibri" w:hAnsi="Tahoma" w:cs="Tahoma"/>
          <w:sz w:val="24"/>
          <w:szCs w:val="24"/>
        </w:rPr>
        <w:lastRenderedPageBreak/>
        <w:t>Comparativ cu aceeași perioadă a anului precedent, evoluția veniturilor din contribuții sociale, pe bugete componente, se prezintă astfel: bugetul Fondului național unic de asigurări sociale de sănătate (+14,7%), bugetul asigurărilor pentru șomaj (+14,4%,), bugetul de stat (+13,2%) și bugetul asigurărilor sociale de stat (+11,2%).</w:t>
      </w:r>
    </w:p>
    <w:p w:rsidR="00DD52A5" w:rsidRPr="005B6AFF" w:rsidRDefault="00DD52A5" w:rsidP="00CE45BA">
      <w:pPr>
        <w:tabs>
          <w:tab w:val="left" w:pos="284"/>
        </w:tabs>
        <w:autoSpaceDE w:val="0"/>
        <w:autoSpaceDN w:val="0"/>
        <w:adjustRightInd w:val="0"/>
        <w:spacing w:after="120" w:line="276" w:lineRule="auto"/>
        <w:jc w:val="both"/>
        <w:rPr>
          <w:rFonts w:ascii="Tahoma" w:hAnsi="Tahoma" w:cs="Tahoma"/>
          <w:sz w:val="24"/>
          <w:szCs w:val="24"/>
        </w:rPr>
      </w:pPr>
      <w:r w:rsidRPr="005B6AFF">
        <w:rPr>
          <w:rFonts w:ascii="Tahoma" w:hAnsi="Tahoma" w:cs="Tahoma"/>
          <w:b/>
          <w:sz w:val="24"/>
          <w:szCs w:val="24"/>
        </w:rPr>
        <w:t>Veniturile nefiscale</w:t>
      </w:r>
      <w:r w:rsidR="003323E2" w:rsidRPr="005B6AFF">
        <w:rPr>
          <w:rFonts w:ascii="Tahoma" w:hAnsi="Tahoma" w:cs="Tahoma"/>
          <w:b/>
          <w:sz w:val="24"/>
          <w:szCs w:val="24"/>
        </w:rPr>
        <w:t>,</w:t>
      </w:r>
      <w:r w:rsidRPr="005B6AFF">
        <w:rPr>
          <w:rFonts w:ascii="Tahoma" w:hAnsi="Tahoma" w:cs="Tahoma"/>
          <w:sz w:val="24"/>
          <w:szCs w:val="24"/>
        </w:rPr>
        <w:t xml:space="preserve"> </w:t>
      </w:r>
      <w:r w:rsidR="003323E2" w:rsidRPr="005B6AFF">
        <w:rPr>
          <w:rFonts w:ascii="Tahoma" w:hAnsi="Tahoma" w:cs="Tahoma"/>
          <w:sz w:val="24"/>
          <w:szCs w:val="24"/>
        </w:rPr>
        <w:t xml:space="preserve">în perioada analizată, </w:t>
      </w:r>
      <w:r w:rsidRPr="005B6AFF">
        <w:rPr>
          <w:rFonts w:ascii="Tahoma" w:hAnsi="Tahoma" w:cs="Tahoma"/>
          <w:sz w:val="24"/>
          <w:szCs w:val="24"/>
        </w:rPr>
        <w:t xml:space="preserve">au fost în sumă de </w:t>
      </w:r>
      <w:r w:rsidR="000B5FCE">
        <w:rPr>
          <w:rFonts w:ascii="Tahoma" w:hAnsi="Tahoma" w:cs="Tahoma"/>
          <w:bCs/>
          <w:sz w:val="24"/>
          <w:szCs w:val="24"/>
        </w:rPr>
        <w:t>16,33</w:t>
      </w:r>
      <w:r w:rsidRPr="005B6AFF">
        <w:rPr>
          <w:rFonts w:ascii="Tahoma" w:hAnsi="Tahoma" w:cs="Tahoma"/>
          <w:bCs/>
          <w:sz w:val="24"/>
          <w:szCs w:val="24"/>
        </w:rPr>
        <w:t xml:space="preserve"> </w:t>
      </w:r>
      <w:r w:rsidR="00602503" w:rsidRPr="005B6AFF">
        <w:rPr>
          <w:rFonts w:ascii="Tahoma" w:hAnsi="Tahoma" w:cs="Tahoma"/>
          <w:bCs/>
          <w:sz w:val="24"/>
          <w:szCs w:val="24"/>
        </w:rPr>
        <w:t>miliarde</w:t>
      </w:r>
      <w:r w:rsidR="00713D80" w:rsidRPr="005B6AFF">
        <w:rPr>
          <w:rFonts w:ascii="Tahoma" w:hAnsi="Tahoma" w:cs="Tahoma"/>
          <w:bCs/>
          <w:sz w:val="24"/>
          <w:szCs w:val="24"/>
        </w:rPr>
        <w:t xml:space="preserve"> </w:t>
      </w:r>
      <w:r w:rsidRPr="005B6AFF">
        <w:rPr>
          <w:rFonts w:ascii="Tahoma" w:hAnsi="Tahoma" w:cs="Tahoma"/>
          <w:bCs/>
          <w:sz w:val="24"/>
          <w:szCs w:val="24"/>
        </w:rPr>
        <w:t xml:space="preserve">lei </w:t>
      </w:r>
      <w:r w:rsidRPr="005B6AFF">
        <w:rPr>
          <w:rFonts w:ascii="Tahoma" w:hAnsi="Tahoma" w:cs="Tahoma"/>
          <w:sz w:val="24"/>
          <w:szCs w:val="24"/>
        </w:rPr>
        <w:t>(</w:t>
      </w:r>
      <w:r w:rsidR="006D1425" w:rsidRPr="005B6AFF">
        <w:rPr>
          <w:rFonts w:ascii="Tahoma" w:hAnsi="Tahoma" w:cs="Tahoma"/>
          <w:sz w:val="24"/>
          <w:szCs w:val="24"/>
        </w:rPr>
        <w:t>0,</w:t>
      </w:r>
      <w:r w:rsidR="000B5FCE">
        <w:rPr>
          <w:rFonts w:ascii="Tahoma" w:hAnsi="Tahoma" w:cs="Tahoma"/>
          <w:sz w:val="24"/>
          <w:szCs w:val="24"/>
        </w:rPr>
        <w:t>9</w:t>
      </w:r>
      <w:r w:rsidRPr="005B6AFF">
        <w:rPr>
          <w:rFonts w:ascii="Tahoma" w:hAnsi="Tahoma" w:cs="Tahoma"/>
          <w:sz w:val="24"/>
          <w:szCs w:val="24"/>
        </w:rPr>
        <w:t>%</w:t>
      </w:r>
      <w:r w:rsidRPr="005B6AFF">
        <w:rPr>
          <w:rFonts w:ascii="Tahoma" w:hAnsi="Tahoma" w:cs="Tahoma"/>
          <w:b/>
          <w:bCs/>
          <w:sz w:val="24"/>
          <w:szCs w:val="24"/>
        </w:rPr>
        <w:t xml:space="preserve"> </w:t>
      </w:r>
      <w:r w:rsidRPr="005B6AFF">
        <w:rPr>
          <w:rFonts w:ascii="Tahoma" w:hAnsi="Tahoma" w:cs="Tahoma"/>
          <w:sz w:val="24"/>
          <w:szCs w:val="24"/>
        </w:rPr>
        <w:t xml:space="preserve">din PIB), gradul de realizare al programului trimestrial fiind de </w:t>
      </w:r>
      <w:r w:rsidR="000B5FCE">
        <w:rPr>
          <w:rFonts w:ascii="Tahoma" w:hAnsi="Tahoma" w:cs="Tahoma"/>
          <w:sz w:val="24"/>
          <w:szCs w:val="24"/>
        </w:rPr>
        <w:t>90,6</w:t>
      </w:r>
      <w:r w:rsidRPr="005B6AFF">
        <w:rPr>
          <w:rFonts w:ascii="Tahoma" w:hAnsi="Tahoma" w:cs="Tahoma"/>
          <w:sz w:val="24"/>
          <w:szCs w:val="24"/>
        </w:rPr>
        <w:t>%.</w:t>
      </w:r>
      <w:r w:rsidR="00006CCB" w:rsidRPr="005B6AFF">
        <w:rPr>
          <w:rFonts w:ascii="Tahoma" w:hAnsi="Tahoma" w:cs="Tahoma"/>
          <w:sz w:val="24"/>
          <w:szCs w:val="24"/>
        </w:rPr>
        <w:t xml:space="preserve"> </w:t>
      </w:r>
      <w:r w:rsidR="00A06E69">
        <w:rPr>
          <w:rFonts w:ascii="Tahoma" w:hAnsi="Tahoma" w:cs="Tahoma"/>
          <w:sz w:val="24"/>
          <w:szCs w:val="24"/>
        </w:rPr>
        <w:t xml:space="preserve">Nerealizarea nivelului programat </w:t>
      </w:r>
      <w:r w:rsidR="003323E2" w:rsidRPr="005B6AFF">
        <w:rPr>
          <w:rFonts w:ascii="Tahoma" w:hAnsi="Tahoma" w:cs="Tahoma"/>
          <w:sz w:val="24"/>
          <w:szCs w:val="24"/>
        </w:rPr>
        <w:t xml:space="preserve">s-a datorat evoluției încasărilor la </w:t>
      </w:r>
      <w:r w:rsidR="00F55606">
        <w:rPr>
          <w:rFonts w:ascii="Tahoma" w:hAnsi="Tahoma" w:cs="Tahoma"/>
          <w:sz w:val="24"/>
          <w:szCs w:val="24"/>
        </w:rPr>
        <w:t xml:space="preserve">bugetul </w:t>
      </w:r>
      <w:r w:rsidR="002C355B">
        <w:rPr>
          <w:rFonts w:ascii="Tahoma" w:hAnsi="Tahoma" w:cs="Tahoma"/>
          <w:sz w:val="24"/>
          <w:szCs w:val="24"/>
        </w:rPr>
        <w:t>de stat</w:t>
      </w:r>
      <w:r w:rsidR="000B5FCE">
        <w:rPr>
          <w:rFonts w:ascii="Tahoma" w:hAnsi="Tahoma" w:cs="Tahoma"/>
          <w:sz w:val="24"/>
          <w:szCs w:val="24"/>
        </w:rPr>
        <w:t xml:space="preserve"> și bugetele locale </w:t>
      </w:r>
      <w:r w:rsidR="00373B8D">
        <w:rPr>
          <w:rFonts w:ascii="Tahoma" w:hAnsi="Tahoma" w:cs="Tahoma"/>
          <w:sz w:val="24"/>
          <w:szCs w:val="24"/>
        </w:rPr>
        <w:t xml:space="preserve">unde gradul de realizare a fost de </w:t>
      </w:r>
      <w:r w:rsidR="000B5FCE" w:rsidRPr="000B5FCE">
        <w:rPr>
          <w:rFonts w:ascii="Tahoma" w:hAnsi="Tahoma" w:cs="Tahoma"/>
          <w:sz w:val="24"/>
          <w:szCs w:val="24"/>
        </w:rPr>
        <w:t>77,6</w:t>
      </w:r>
      <w:r w:rsidR="000B5FCE">
        <w:rPr>
          <w:rFonts w:ascii="Tahoma" w:hAnsi="Tahoma" w:cs="Tahoma"/>
          <w:sz w:val="24"/>
          <w:szCs w:val="24"/>
        </w:rPr>
        <w:t xml:space="preserve">% și respectiv </w:t>
      </w:r>
      <w:r w:rsidR="000B5FCE" w:rsidRPr="000B5FCE">
        <w:rPr>
          <w:rFonts w:ascii="Tahoma" w:hAnsi="Tahoma" w:cs="Tahoma"/>
          <w:sz w:val="24"/>
          <w:szCs w:val="24"/>
        </w:rPr>
        <w:t>92,</w:t>
      </w:r>
      <w:r w:rsidR="000B5FCE">
        <w:rPr>
          <w:rFonts w:ascii="Tahoma" w:hAnsi="Tahoma" w:cs="Tahoma"/>
          <w:sz w:val="24"/>
          <w:szCs w:val="24"/>
        </w:rPr>
        <w:t>9%.</w:t>
      </w:r>
    </w:p>
    <w:p w:rsidR="00D870FD" w:rsidRPr="005B6AFF" w:rsidRDefault="004E25FC" w:rsidP="00CE45BA">
      <w:pPr>
        <w:shd w:val="clear" w:color="auto" w:fill="FFFFFF"/>
        <w:autoSpaceDE w:val="0"/>
        <w:autoSpaceDN w:val="0"/>
        <w:adjustRightInd w:val="0"/>
        <w:spacing w:after="120" w:line="276" w:lineRule="auto"/>
        <w:jc w:val="both"/>
        <w:rPr>
          <w:rFonts w:ascii="Tahoma" w:hAnsi="Tahoma" w:cs="Tahoma"/>
          <w:sz w:val="24"/>
          <w:szCs w:val="24"/>
        </w:rPr>
      </w:pPr>
      <w:r w:rsidRPr="005B6AFF">
        <w:rPr>
          <w:rFonts w:ascii="Tahoma" w:hAnsi="Tahoma" w:cs="Tahoma"/>
          <w:sz w:val="24"/>
          <w:szCs w:val="24"/>
        </w:rPr>
        <w:t xml:space="preserve">Comparativ cu anul anterior încasările din venituri nefiscale </w:t>
      </w:r>
      <w:r w:rsidR="00006CCB" w:rsidRPr="005B6AFF">
        <w:rPr>
          <w:rFonts w:ascii="Tahoma" w:hAnsi="Tahoma" w:cs="Tahoma"/>
          <w:sz w:val="24"/>
          <w:szCs w:val="24"/>
        </w:rPr>
        <w:t xml:space="preserve">au crescut cu </w:t>
      </w:r>
      <w:r w:rsidR="000B5FCE">
        <w:rPr>
          <w:rFonts w:ascii="Tahoma" w:hAnsi="Tahoma" w:cs="Tahoma"/>
          <w:sz w:val="24"/>
          <w:szCs w:val="24"/>
        </w:rPr>
        <w:t>4,4</w:t>
      </w:r>
      <w:r w:rsidR="00006CCB" w:rsidRPr="005B6AFF">
        <w:rPr>
          <w:rFonts w:ascii="Tahoma" w:hAnsi="Tahoma" w:cs="Tahoma"/>
          <w:sz w:val="24"/>
          <w:szCs w:val="24"/>
        </w:rPr>
        <w:t>%</w:t>
      </w:r>
      <w:r w:rsidR="00C71C51" w:rsidRPr="005B6AFF">
        <w:rPr>
          <w:rFonts w:ascii="Tahoma" w:hAnsi="Tahoma" w:cs="Tahoma"/>
          <w:sz w:val="24"/>
          <w:szCs w:val="24"/>
        </w:rPr>
        <w:t xml:space="preserve"> </w:t>
      </w:r>
      <w:r w:rsidR="00006CCB" w:rsidRPr="005B6AFF">
        <w:rPr>
          <w:rFonts w:ascii="Tahoma" w:hAnsi="Tahoma" w:cs="Tahoma"/>
          <w:sz w:val="24"/>
          <w:szCs w:val="24"/>
        </w:rPr>
        <w:t>(+</w:t>
      </w:r>
      <w:r w:rsidR="000B5FCE">
        <w:rPr>
          <w:rFonts w:ascii="Tahoma" w:hAnsi="Tahoma" w:cs="Tahoma"/>
          <w:sz w:val="24"/>
          <w:szCs w:val="24"/>
        </w:rPr>
        <w:t>0,69</w:t>
      </w:r>
      <w:r w:rsidR="00006CCB" w:rsidRPr="005B6AFF">
        <w:rPr>
          <w:rFonts w:ascii="Tahoma" w:hAnsi="Tahoma" w:cs="Tahoma"/>
          <w:sz w:val="24"/>
          <w:szCs w:val="24"/>
        </w:rPr>
        <w:t xml:space="preserve"> miliarde lei) în principal ca urmare a </w:t>
      </w:r>
      <w:r w:rsidR="00DD52A5" w:rsidRPr="005B6AFF">
        <w:rPr>
          <w:rFonts w:ascii="Tahoma" w:hAnsi="Tahoma" w:cs="Tahoma"/>
          <w:sz w:val="24"/>
          <w:szCs w:val="24"/>
        </w:rPr>
        <w:t>evoluției încasărilor la</w:t>
      </w:r>
      <w:r w:rsidR="00194140">
        <w:rPr>
          <w:rFonts w:ascii="Tahoma" w:hAnsi="Tahoma" w:cs="Tahoma"/>
          <w:sz w:val="24"/>
          <w:szCs w:val="24"/>
        </w:rPr>
        <w:t xml:space="preserve"> </w:t>
      </w:r>
      <w:r w:rsidR="006A173D">
        <w:rPr>
          <w:rFonts w:ascii="Tahoma" w:hAnsi="Tahoma" w:cs="Tahoma"/>
          <w:sz w:val="24"/>
          <w:szCs w:val="24"/>
        </w:rPr>
        <w:t>bugetul instituțiilor sau activităților finanțate integral sau parțial din venituri proprii (+43,0%)</w:t>
      </w:r>
      <w:r w:rsidR="00194140">
        <w:rPr>
          <w:rFonts w:ascii="Tahoma" w:hAnsi="Tahoma" w:cs="Tahoma"/>
          <w:sz w:val="24"/>
          <w:szCs w:val="24"/>
        </w:rPr>
        <w:t>.</w:t>
      </w:r>
      <w:r w:rsidR="003323E2" w:rsidRPr="005B6AFF">
        <w:rPr>
          <w:rFonts w:ascii="Tahoma" w:hAnsi="Tahoma" w:cs="Tahoma"/>
          <w:sz w:val="24"/>
          <w:szCs w:val="24"/>
        </w:rPr>
        <w:t xml:space="preserve"> </w:t>
      </w:r>
    </w:p>
    <w:p w:rsidR="00E15D34" w:rsidRPr="00194140" w:rsidRDefault="00DD52A5" w:rsidP="00CE45BA">
      <w:pPr>
        <w:pStyle w:val="NormalWeb"/>
        <w:spacing w:before="120" w:after="120"/>
        <w:ind w:firstLine="0"/>
        <w:rPr>
          <w:rFonts w:ascii="Tahoma" w:hAnsi="Tahoma" w:cs="Tahoma"/>
          <w:lang w:val="ro-RO" w:eastAsia="ro-RO"/>
        </w:rPr>
      </w:pPr>
      <w:r w:rsidRPr="005B6AFF">
        <w:rPr>
          <w:rFonts w:ascii="Tahoma" w:hAnsi="Tahoma" w:cs="Tahoma"/>
          <w:b/>
          <w:bCs/>
          <w:lang w:val="ro-RO" w:eastAsia="ro-RO"/>
        </w:rPr>
        <w:t>Sumele primite de la Uniunea Europeană</w:t>
      </w:r>
      <w:r w:rsidRPr="005B6AFF">
        <w:rPr>
          <w:rFonts w:ascii="Tahoma" w:hAnsi="Tahoma" w:cs="Tahoma"/>
          <w:lang w:val="ro-RO" w:eastAsia="ro-RO"/>
        </w:rPr>
        <w:t xml:space="preserve"> </w:t>
      </w:r>
      <w:r w:rsidR="00275158">
        <w:rPr>
          <w:rFonts w:ascii="Tahoma" w:hAnsi="Tahoma" w:cs="Tahoma"/>
          <w:lang w:val="ro-RO" w:eastAsia="ro-RO"/>
        </w:rPr>
        <w:t>(</w:t>
      </w:r>
      <w:r w:rsidRPr="005B6AFF">
        <w:rPr>
          <w:rFonts w:ascii="Tahoma" w:hAnsi="Tahoma" w:cs="Tahoma"/>
          <w:lang w:val="ro-RO" w:eastAsia="ro-RO"/>
        </w:rPr>
        <w:t>aferente proiectelor finanțate atât din cadru financiar 2014-2020</w:t>
      </w:r>
      <w:r w:rsidR="00B56642" w:rsidRPr="005B6AFF">
        <w:rPr>
          <w:rFonts w:ascii="Tahoma" w:hAnsi="Tahoma" w:cs="Tahoma"/>
          <w:lang w:val="ro-RO" w:eastAsia="ro-RO"/>
        </w:rPr>
        <w:t xml:space="preserve"> dar și </w:t>
      </w:r>
      <w:r w:rsidR="00102D79" w:rsidRPr="005B6AFF">
        <w:rPr>
          <w:rFonts w:ascii="Tahoma" w:hAnsi="Tahoma" w:cs="Tahoma"/>
          <w:lang w:val="ro-RO" w:eastAsia="ro-RO"/>
        </w:rPr>
        <w:t>sumele aferente</w:t>
      </w:r>
      <w:r w:rsidR="00102D79" w:rsidRPr="005B6AFF">
        <w:rPr>
          <w:rFonts w:ascii="Tahoma" w:hAnsi="Tahoma" w:cs="Tahoma"/>
          <w:b/>
          <w:bCs/>
          <w:lang w:val="ro-RO" w:eastAsia="ro-RO"/>
        </w:rPr>
        <w:t xml:space="preserve"> </w:t>
      </w:r>
      <w:r w:rsidR="00102D79" w:rsidRPr="005B6AFF">
        <w:rPr>
          <w:rFonts w:ascii="Tahoma" w:hAnsi="Tahoma" w:cs="Tahoma"/>
          <w:bCs/>
          <w:lang w:val="ro-RO" w:eastAsia="ro-RO"/>
        </w:rPr>
        <w:t>perioadei de programare a Uniunii Europene 2021-2027</w:t>
      </w:r>
      <w:r w:rsidRPr="005B6AFF">
        <w:rPr>
          <w:rFonts w:ascii="Tahoma" w:hAnsi="Tahoma" w:cs="Tahoma"/>
          <w:lang w:val="ro-RO" w:eastAsia="ro-RO"/>
        </w:rPr>
        <w:t>,</w:t>
      </w:r>
      <w:r w:rsidR="00D870FD" w:rsidRPr="005B6AFF">
        <w:rPr>
          <w:rFonts w:ascii="Tahoma" w:hAnsi="Tahoma" w:cs="Tahoma"/>
          <w:lang w:val="ro-RO" w:eastAsia="ro-RO"/>
        </w:rPr>
        <w:t xml:space="preserve"> </w:t>
      </w:r>
      <w:r w:rsidR="00006CCB" w:rsidRPr="005B6AFF">
        <w:rPr>
          <w:rFonts w:ascii="Tahoma" w:hAnsi="Tahoma" w:cs="Tahoma"/>
          <w:lang w:val="ro-RO" w:eastAsia="ro-RO"/>
        </w:rPr>
        <w:t xml:space="preserve">cât și </w:t>
      </w:r>
      <w:r w:rsidR="00705D89" w:rsidRPr="005B6AFF">
        <w:rPr>
          <w:rFonts w:ascii="Tahoma" w:hAnsi="Tahoma" w:cs="Tahoma"/>
          <w:lang w:val="ro-RO" w:eastAsia="ro-RO"/>
        </w:rPr>
        <w:t xml:space="preserve">cele </w:t>
      </w:r>
      <w:r w:rsidR="00006CCB" w:rsidRPr="005B6AFF">
        <w:rPr>
          <w:rFonts w:ascii="Tahoma" w:hAnsi="Tahoma" w:cs="Tahoma"/>
          <w:lang w:val="ro-RO" w:eastAsia="ro-RO"/>
        </w:rPr>
        <w:t>aferente asistenței financiare nerambursabile alocate PNRR</w:t>
      </w:r>
      <w:r w:rsidR="00275158">
        <w:rPr>
          <w:rFonts w:ascii="Tahoma" w:hAnsi="Tahoma" w:cs="Tahoma"/>
          <w:lang w:val="ro-RO" w:eastAsia="ro-RO"/>
        </w:rPr>
        <w:t>)</w:t>
      </w:r>
      <w:r w:rsidR="00006CCB" w:rsidRPr="005B6AFF">
        <w:rPr>
          <w:rFonts w:ascii="Tahoma" w:hAnsi="Tahoma" w:cs="Tahoma"/>
          <w:lang w:val="ro-RO" w:eastAsia="ro-RO"/>
        </w:rPr>
        <w:t xml:space="preserve"> </w:t>
      </w:r>
      <w:r w:rsidRPr="005B6AFF">
        <w:rPr>
          <w:rFonts w:ascii="Tahoma" w:hAnsi="Tahoma" w:cs="Tahoma"/>
          <w:lang w:val="ro-RO" w:eastAsia="ro-RO"/>
        </w:rPr>
        <w:t xml:space="preserve">încasate în primul </w:t>
      </w:r>
      <w:r w:rsidR="006A173D">
        <w:rPr>
          <w:rFonts w:ascii="Tahoma" w:hAnsi="Tahoma" w:cs="Tahoma"/>
          <w:lang w:val="ro-RO" w:eastAsia="ro-RO"/>
        </w:rPr>
        <w:t>al doilea trim</w:t>
      </w:r>
      <w:r w:rsidRPr="005B6AFF">
        <w:rPr>
          <w:rFonts w:ascii="Tahoma" w:hAnsi="Tahoma" w:cs="Tahoma"/>
          <w:lang w:val="ro-RO" w:eastAsia="ro-RO"/>
        </w:rPr>
        <w:t xml:space="preserve">estru al anului </w:t>
      </w:r>
      <w:r w:rsidR="004827E6">
        <w:rPr>
          <w:rFonts w:ascii="Tahoma" w:hAnsi="Tahoma" w:cs="Tahoma"/>
          <w:lang w:val="ro-RO" w:eastAsia="ro-RO"/>
        </w:rPr>
        <w:t>2025</w:t>
      </w:r>
      <w:r w:rsidRPr="005B6AFF">
        <w:rPr>
          <w:rFonts w:ascii="Tahoma" w:hAnsi="Tahoma" w:cs="Tahoma"/>
          <w:lang w:val="ro-RO" w:eastAsia="ro-RO"/>
        </w:rPr>
        <w:t xml:space="preserve">, au </w:t>
      </w:r>
      <w:r w:rsidR="00006CCB" w:rsidRPr="005B6AFF">
        <w:rPr>
          <w:rFonts w:ascii="Tahoma" w:hAnsi="Tahoma" w:cs="Tahoma"/>
          <w:lang w:val="ro-RO" w:eastAsia="ro-RO"/>
        </w:rPr>
        <w:t xml:space="preserve">fost în sumă de </w:t>
      </w:r>
      <w:r w:rsidR="002C355B">
        <w:rPr>
          <w:rFonts w:ascii="Tahoma" w:hAnsi="Tahoma" w:cs="Tahoma"/>
          <w:lang w:val="ro-RO" w:eastAsia="ro-RO"/>
        </w:rPr>
        <w:t>1</w:t>
      </w:r>
      <w:r w:rsidR="006A173D">
        <w:rPr>
          <w:rFonts w:ascii="Tahoma" w:hAnsi="Tahoma" w:cs="Tahoma"/>
          <w:lang w:val="ro-RO" w:eastAsia="ro-RO"/>
        </w:rPr>
        <w:t>5,87</w:t>
      </w:r>
      <w:r w:rsidR="00006CCB" w:rsidRPr="005B6AFF">
        <w:rPr>
          <w:rFonts w:ascii="Tahoma" w:hAnsi="Tahoma" w:cs="Tahoma"/>
          <w:lang w:val="ro-RO" w:eastAsia="ro-RO"/>
        </w:rPr>
        <w:t xml:space="preserve"> miliarde lei (</w:t>
      </w:r>
      <w:r w:rsidRPr="005B6AFF">
        <w:rPr>
          <w:rFonts w:ascii="Tahoma" w:hAnsi="Tahoma" w:cs="Tahoma"/>
          <w:lang w:val="ro-RO" w:eastAsia="ro-RO"/>
        </w:rPr>
        <w:t>0,</w:t>
      </w:r>
      <w:r w:rsidR="006A173D">
        <w:rPr>
          <w:rFonts w:ascii="Tahoma" w:hAnsi="Tahoma" w:cs="Tahoma"/>
          <w:lang w:val="ro-RO" w:eastAsia="ro-RO"/>
        </w:rPr>
        <w:t>8</w:t>
      </w:r>
      <w:r w:rsidRPr="005B6AFF">
        <w:rPr>
          <w:rFonts w:ascii="Tahoma" w:hAnsi="Tahoma" w:cs="Tahoma"/>
          <w:lang w:val="ro-RO" w:eastAsia="ro-RO"/>
        </w:rPr>
        <w:t>% din PIB</w:t>
      </w:r>
      <w:r w:rsidR="00006CCB" w:rsidRPr="005B6AFF">
        <w:rPr>
          <w:rFonts w:ascii="Tahoma" w:hAnsi="Tahoma" w:cs="Tahoma"/>
          <w:lang w:val="ro-RO" w:eastAsia="ro-RO"/>
        </w:rPr>
        <w:t>)</w:t>
      </w:r>
      <w:r w:rsidR="0097352C" w:rsidRPr="005B6AFF">
        <w:rPr>
          <w:rFonts w:ascii="Tahoma" w:hAnsi="Tahoma" w:cs="Tahoma"/>
          <w:lang w:val="ro-RO" w:eastAsia="ro-RO"/>
        </w:rPr>
        <w:t>, corespunzător</w:t>
      </w:r>
      <w:r w:rsidRPr="005B6AFF">
        <w:rPr>
          <w:rFonts w:ascii="Tahoma" w:hAnsi="Tahoma" w:cs="Tahoma"/>
          <w:lang w:val="ro-RO" w:eastAsia="ro-RO"/>
        </w:rPr>
        <w:t xml:space="preserve"> un</w:t>
      </w:r>
      <w:r w:rsidR="0097352C" w:rsidRPr="005B6AFF">
        <w:rPr>
          <w:rFonts w:ascii="Tahoma" w:hAnsi="Tahoma" w:cs="Tahoma"/>
          <w:lang w:val="ro-RO" w:eastAsia="ro-RO"/>
        </w:rPr>
        <w:t>ui</w:t>
      </w:r>
      <w:r w:rsidRPr="005B6AFF">
        <w:rPr>
          <w:rFonts w:ascii="Tahoma" w:hAnsi="Tahoma" w:cs="Tahoma"/>
          <w:lang w:val="ro-RO" w:eastAsia="ro-RO"/>
        </w:rPr>
        <w:t xml:space="preserve"> grad de realizare</w:t>
      </w:r>
      <w:r w:rsidR="00E001D0" w:rsidRPr="005B6AFF">
        <w:rPr>
          <w:rFonts w:ascii="Tahoma" w:hAnsi="Tahoma" w:cs="Tahoma"/>
          <w:lang w:val="ro-RO" w:eastAsia="ro-RO"/>
        </w:rPr>
        <w:t xml:space="preserve"> de </w:t>
      </w:r>
      <w:r w:rsidR="006A173D">
        <w:rPr>
          <w:rFonts w:ascii="Tahoma" w:hAnsi="Tahoma" w:cs="Tahoma"/>
          <w:lang w:val="ro-RO" w:eastAsia="ro-RO"/>
        </w:rPr>
        <w:t>69,4</w:t>
      </w:r>
      <w:r w:rsidR="00E001D0" w:rsidRPr="005B6AFF">
        <w:rPr>
          <w:rFonts w:ascii="Tahoma" w:hAnsi="Tahoma" w:cs="Tahoma"/>
          <w:lang w:val="ro-RO" w:eastAsia="ro-RO"/>
        </w:rPr>
        <w:t>%</w:t>
      </w:r>
      <w:r w:rsidRPr="005B6AFF">
        <w:rPr>
          <w:rFonts w:ascii="Tahoma" w:hAnsi="Tahoma" w:cs="Tahoma"/>
          <w:lang w:val="ro-RO" w:eastAsia="ro-RO"/>
        </w:rPr>
        <w:t xml:space="preserve"> </w:t>
      </w:r>
      <w:r w:rsidR="0079445D" w:rsidRPr="005B6AFF">
        <w:rPr>
          <w:rFonts w:ascii="Tahoma" w:hAnsi="Tahoma" w:cs="Tahoma"/>
          <w:lang w:val="ro-RO" w:eastAsia="ro-RO"/>
        </w:rPr>
        <w:t>a</w:t>
      </w:r>
      <w:r w:rsidR="00275158">
        <w:rPr>
          <w:rFonts w:ascii="Tahoma" w:hAnsi="Tahoma" w:cs="Tahoma"/>
          <w:lang w:val="ro-RO" w:eastAsia="ro-RO"/>
        </w:rPr>
        <w:t>l</w:t>
      </w:r>
      <w:r w:rsidRPr="005B6AFF">
        <w:rPr>
          <w:rFonts w:ascii="Tahoma" w:hAnsi="Tahoma" w:cs="Tahoma"/>
          <w:lang w:val="ro-RO" w:eastAsia="ro-RO"/>
        </w:rPr>
        <w:t xml:space="preserve"> programului trimestrial</w:t>
      </w:r>
      <w:r w:rsidR="00E001D0" w:rsidRPr="005B6AFF">
        <w:rPr>
          <w:rFonts w:ascii="Tahoma" w:hAnsi="Tahoma" w:cs="Tahoma"/>
          <w:lang w:val="ro-RO" w:eastAsia="ro-RO"/>
        </w:rPr>
        <w:t>.</w:t>
      </w:r>
      <w:r w:rsidR="00102D79" w:rsidRPr="005B6AFF">
        <w:rPr>
          <w:rFonts w:ascii="Tahoma" w:hAnsi="Tahoma" w:cs="Tahoma"/>
          <w:lang w:val="ro-RO" w:eastAsia="ro-RO"/>
        </w:rPr>
        <w:t xml:space="preserve"> </w:t>
      </w:r>
      <w:r w:rsidR="006414CC" w:rsidRPr="005B6AFF">
        <w:rPr>
          <w:rFonts w:ascii="Tahoma" w:hAnsi="Tahoma" w:cs="Tahoma"/>
          <w:lang w:val="ro-RO" w:eastAsia="ro-RO"/>
        </w:rPr>
        <w:t xml:space="preserve">Nerealizarea veniturilor programate pentru perioada analizată s-a datorat evoluției slabe a sumelor atrase aferente </w:t>
      </w:r>
      <w:r w:rsidR="00194140">
        <w:rPr>
          <w:rFonts w:ascii="Tahoma" w:hAnsi="Tahoma" w:cs="Tahoma"/>
          <w:lang w:val="ro-RO" w:eastAsia="ro-RO"/>
        </w:rPr>
        <w:t xml:space="preserve">atât </w:t>
      </w:r>
      <w:r w:rsidR="006414CC" w:rsidRPr="005B6AFF">
        <w:rPr>
          <w:rFonts w:ascii="Tahoma" w:hAnsi="Tahoma" w:cs="Tahoma"/>
          <w:lang w:val="ro-RO" w:eastAsia="ro-RO"/>
        </w:rPr>
        <w:t>asistenței financiare nerambursabile alocate PNRR (</w:t>
      </w:r>
      <w:r w:rsidR="006A173D">
        <w:rPr>
          <w:rFonts w:ascii="Tahoma" w:hAnsi="Tahoma" w:cs="Tahoma"/>
          <w:lang w:val="ro-RO" w:eastAsia="ro-RO"/>
        </w:rPr>
        <w:t>58,9</w:t>
      </w:r>
      <w:r w:rsidR="006414CC" w:rsidRPr="005B6AFF">
        <w:rPr>
          <w:rFonts w:ascii="Tahoma" w:hAnsi="Tahoma" w:cs="Tahoma"/>
          <w:lang w:val="ro-RO" w:eastAsia="ro-RO"/>
        </w:rPr>
        <w:t xml:space="preserve">%) </w:t>
      </w:r>
      <w:r w:rsidR="00194140">
        <w:rPr>
          <w:rFonts w:ascii="Tahoma" w:hAnsi="Tahoma" w:cs="Tahoma"/>
          <w:lang w:val="ro-RO" w:eastAsia="ro-RO"/>
        </w:rPr>
        <w:t xml:space="preserve">cât </w:t>
      </w:r>
      <w:r w:rsidR="006414CC" w:rsidRPr="005B6AFF">
        <w:rPr>
          <w:rFonts w:ascii="Tahoma" w:hAnsi="Tahoma" w:cs="Tahoma"/>
          <w:lang w:val="ro-RO" w:eastAsia="ro-RO"/>
        </w:rPr>
        <w:t xml:space="preserve">și </w:t>
      </w:r>
      <w:r w:rsidR="00194140" w:rsidRPr="00194140">
        <w:rPr>
          <w:rFonts w:ascii="Tahoma" w:hAnsi="Tahoma" w:cs="Tahoma"/>
          <w:bCs/>
          <w:lang w:val="ro-RO" w:eastAsia="ro-RO"/>
        </w:rPr>
        <w:t>fonduri</w:t>
      </w:r>
      <w:r w:rsidR="00194140">
        <w:rPr>
          <w:rFonts w:ascii="Tahoma" w:hAnsi="Tahoma" w:cs="Tahoma"/>
          <w:bCs/>
          <w:lang w:val="ro-RO" w:eastAsia="ro-RO"/>
        </w:rPr>
        <w:t>lor</w:t>
      </w:r>
      <w:r w:rsidR="00194140" w:rsidRPr="00194140">
        <w:rPr>
          <w:rFonts w:ascii="Tahoma" w:hAnsi="Tahoma" w:cs="Tahoma"/>
          <w:bCs/>
          <w:lang w:val="ro-RO" w:eastAsia="ro-RO"/>
        </w:rPr>
        <w:t xml:space="preserve"> externe nerambursabile </w:t>
      </w:r>
      <w:r w:rsidR="00194140">
        <w:rPr>
          <w:rFonts w:ascii="Tahoma" w:hAnsi="Tahoma" w:cs="Tahoma"/>
          <w:bCs/>
          <w:lang w:val="ro-RO" w:eastAsia="ro-RO"/>
        </w:rPr>
        <w:t>aferente</w:t>
      </w:r>
      <w:r w:rsidR="00194140" w:rsidRPr="00194140">
        <w:rPr>
          <w:rFonts w:ascii="Tahoma" w:hAnsi="Tahoma" w:cs="Tahoma"/>
          <w:bCs/>
          <w:lang w:val="ro-RO" w:eastAsia="ro-RO"/>
        </w:rPr>
        <w:t xml:space="preserve"> </w:t>
      </w:r>
      <w:r w:rsidR="006A173D" w:rsidRPr="006A173D">
        <w:rPr>
          <w:rFonts w:ascii="Tahoma" w:hAnsi="Tahoma" w:cs="Tahoma"/>
          <w:bCs/>
          <w:lang w:val="ro-RO" w:eastAsia="ro-RO"/>
        </w:rPr>
        <w:t>perioadei de programare a Uniunii Europene 2021-2027</w:t>
      </w:r>
      <w:r w:rsidR="006A173D">
        <w:rPr>
          <w:rFonts w:ascii="Tahoma" w:hAnsi="Tahoma" w:cs="Tahoma"/>
          <w:bCs/>
          <w:lang w:val="ro-RO" w:eastAsia="ro-RO"/>
        </w:rPr>
        <w:t>(60,5</w:t>
      </w:r>
      <w:r w:rsidR="00121870">
        <w:rPr>
          <w:rFonts w:ascii="Tahoma" w:hAnsi="Tahoma" w:cs="Tahoma"/>
          <w:bCs/>
          <w:lang w:val="ro-RO" w:eastAsia="ro-RO"/>
        </w:rPr>
        <w:t>%</w:t>
      </w:r>
      <w:r w:rsidR="006A173D">
        <w:rPr>
          <w:rFonts w:ascii="Tahoma" w:hAnsi="Tahoma" w:cs="Tahoma"/>
          <w:bCs/>
          <w:lang w:val="ro-RO" w:eastAsia="ro-RO"/>
        </w:rPr>
        <w:t>)</w:t>
      </w:r>
      <w:r w:rsidR="00194140" w:rsidRPr="00194140">
        <w:rPr>
          <w:rFonts w:ascii="Tahoma" w:hAnsi="Tahoma" w:cs="Tahoma"/>
          <w:bCs/>
          <w:lang w:val="ro-RO" w:eastAsia="ro-RO"/>
        </w:rPr>
        <w:t xml:space="preserve">. </w:t>
      </w:r>
    </w:p>
    <w:p w:rsidR="00121870" w:rsidRDefault="009270AB" w:rsidP="00CE45BA">
      <w:pPr>
        <w:spacing w:after="120" w:line="276" w:lineRule="auto"/>
        <w:jc w:val="both"/>
        <w:rPr>
          <w:rFonts w:ascii="Tahoma" w:hAnsi="Tahoma" w:cs="Tahoma"/>
          <w:sz w:val="24"/>
          <w:szCs w:val="24"/>
          <w:lang w:eastAsia="ro-RO"/>
        </w:rPr>
      </w:pPr>
      <w:r w:rsidRPr="005B6AFF">
        <w:rPr>
          <w:rFonts w:ascii="Tahoma" w:hAnsi="Tahoma" w:cs="Tahoma"/>
          <w:sz w:val="24"/>
          <w:szCs w:val="24"/>
          <w:lang w:eastAsia="ro-RO"/>
        </w:rPr>
        <w:t xml:space="preserve">Comparativ cu </w:t>
      </w:r>
      <w:r w:rsidR="006A173D">
        <w:rPr>
          <w:rFonts w:ascii="Tahoma" w:hAnsi="Tahoma" w:cs="Tahoma"/>
          <w:sz w:val="24"/>
          <w:szCs w:val="24"/>
          <w:lang w:eastAsia="ro-RO"/>
        </w:rPr>
        <w:t>al doilea</w:t>
      </w:r>
      <w:r w:rsidR="00164710" w:rsidRPr="005B6AFF">
        <w:rPr>
          <w:rFonts w:ascii="Tahoma" w:hAnsi="Tahoma" w:cs="Tahoma"/>
          <w:sz w:val="24"/>
          <w:szCs w:val="24"/>
          <w:lang w:eastAsia="ro-RO"/>
        </w:rPr>
        <w:t xml:space="preserve"> </w:t>
      </w:r>
      <w:r w:rsidRPr="005B6AFF">
        <w:rPr>
          <w:rFonts w:ascii="Tahoma" w:hAnsi="Tahoma" w:cs="Tahoma"/>
          <w:sz w:val="24"/>
          <w:szCs w:val="24"/>
          <w:lang w:eastAsia="ro-RO"/>
        </w:rPr>
        <w:t xml:space="preserve">trimestru al anului precedent sumele nerambursabile primite de la </w:t>
      </w:r>
      <w:r w:rsidRPr="005B6AFF">
        <w:rPr>
          <w:rFonts w:ascii="Tahoma" w:hAnsi="Tahoma" w:cs="Tahoma"/>
          <w:bCs/>
          <w:sz w:val="24"/>
          <w:szCs w:val="24"/>
          <w:lang w:eastAsia="ro-RO"/>
        </w:rPr>
        <w:t>Uniunea Europeană</w:t>
      </w:r>
      <w:r w:rsidRPr="005B6AFF">
        <w:rPr>
          <w:rFonts w:ascii="Tahoma" w:hAnsi="Tahoma" w:cs="Tahoma"/>
          <w:sz w:val="24"/>
          <w:szCs w:val="24"/>
          <w:lang w:eastAsia="ro-RO"/>
        </w:rPr>
        <w:t xml:space="preserve"> </w:t>
      </w:r>
      <w:r w:rsidR="006A173D">
        <w:rPr>
          <w:rFonts w:ascii="Tahoma" w:hAnsi="Tahoma" w:cs="Tahoma"/>
          <w:sz w:val="24"/>
          <w:szCs w:val="24"/>
          <w:lang w:eastAsia="ro-RO"/>
        </w:rPr>
        <w:t xml:space="preserve">au crescut cu 9,05 miliarde lei </w:t>
      </w:r>
      <w:r w:rsidR="00EC0E89">
        <w:rPr>
          <w:rFonts w:ascii="Tahoma" w:hAnsi="Tahoma" w:cs="Tahoma"/>
          <w:sz w:val="24"/>
          <w:szCs w:val="24"/>
          <w:lang w:eastAsia="ro-RO"/>
        </w:rPr>
        <w:t xml:space="preserve">pe fondul </w:t>
      </w:r>
      <w:r w:rsidR="006A173D">
        <w:rPr>
          <w:rFonts w:ascii="Tahoma" w:hAnsi="Tahoma" w:cs="Tahoma"/>
          <w:sz w:val="24"/>
          <w:szCs w:val="24"/>
          <w:lang w:eastAsia="ro-RO"/>
        </w:rPr>
        <w:t xml:space="preserve">creșterii </w:t>
      </w:r>
      <w:r w:rsidR="00EC0E89">
        <w:rPr>
          <w:rFonts w:ascii="Tahoma" w:hAnsi="Tahoma" w:cs="Tahoma"/>
          <w:sz w:val="24"/>
          <w:szCs w:val="24"/>
          <w:lang w:eastAsia="ro-RO"/>
        </w:rPr>
        <w:t xml:space="preserve">sumelor </w:t>
      </w:r>
      <w:r w:rsidR="006A173D">
        <w:rPr>
          <w:rFonts w:ascii="Tahoma" w:hAnsi="Tahoma" w:cs="Tahoma"/>
          <w:sz w:val="24"/>
          <w:szCs w:val="24"/>
          <w:lang w:eastAsia="ro-RO"/>
        </w:rPr>
        <w:t xml:space="preserve">atrase din fonduri externe nerambursabile aferente tuturor perioadelor de programare și din </w:t>
      </w:r>
      <w:r w:rsidR="006A173D" w:rsidRPr="00EC0E89">
        <w:rPr>
          <w:rFonts w:ascii="Tahoma" w:hAnsi="Tahoma" w:cs="Tahoma"/>
          <w:sz w:val="24"/>
          <w:szCs w:val="24"/>
          <w:lang w:eastAsia="ro-RO"/>
        </w:rPr>
        <w:t>asistenț</w:t>
      </w:r>
      <w:r w:rsidR="006A173D">
        <w:rPr>
          <w:rFonts w:ascii="Tahoma" w:hAnsi="Tahoma" w:cs="Tahoma"/>
          <w:sz w:val="24"/>
          <w:szCs w:val="24"/>
          <w:lang w:eastAsia="ro-RO"/>
        </w:rPr>
        <w:t>a</w:t>
      </w:r>
      <w:r w:rsidR="006A173D" w:rsidRPr="00EC0E89">
        <w:rPr>
          <w:rFonts w:ascii="Tahoma" w:hAnsi="Tahoma" w:cs="Tahoma"/>
          <w:sz w:val="24"/>
          <w:szCs w:val="24"/>
          <w:lang w:eastAsia="ro-RO"/>
        </w:rPr>
        <w:t xml:space="preserve"> financiar</w:t>
      </w:r>
      <w:r w:rsidR="006A173D">
        <w:rPr>
          <w:rFonts w:ascii="Tahoma" w:hAnsi="Tahoma" w:cs="Tahoma"/>
          <w:sz w:val="24"/>
          <w:szCs w:val="24"/>
          <w:lang w:eastAsia="ro-RO"/>
        </w:rPr>
        <w:t>ă</w:t>
      </w:r>
      <w:r w:rsidR="006A173D" w:rsidRPr="00EC0E89">
        <w:rPr>
          <w:rFonts w:ascii="Tahoma" w:hAnsi="Tahoma" w:cs="Tahoma"/>
          <w:sz w:val="24"/>
          <w:szCs w:val="24"/>
          <w:lang w:eastAsia="ro-RO"/>
        </w:rPr>
        <w:t xml:space="preserve"> nerambursabil</w:t>
      </w:r>
      <w:r w:rsidR="006A173D">
        <w:rPr>
          <w:rFonts w:ascii="Tahoma" w:hAnsi="Tahoma" w:cs="Tahoma"/>
          <w:sz w:val="24"/>
          <w:szCs w:val="24"/>
          <w:lang w:eastAsia="ro-RO"/>
        </w:rPr>
        <w:t>ă</w:t>
      </w:r>
      <w:r w:rsidR="006A173D" w:rsidRPr="00EC0E89">
        <w:rPr>
          <w:rFonts w:ascii="Tahoma" w:hAnsi="Tahoma" w:cs="Tahoma"/>
          <w:sz w:val="24"/>
          <w:szCs w:val="24"/>
          <w:lang w:eastAsia="ro-RO"/>
        </w:rPr>
        <w:t xml:space="preserve"> alocat</w:t>
      </w:r>
      <w:r w:rsidR="00121870">
        <w:rPr>
          <w:rFonts w:ascii="Tahoma" w:hAnsi="Tahoma" w:cs="Tahoma"/>
          <w:sz w:val="24"/>
          <w:szCs w:val="24"/>
          <w:lang w:eastAsia="ro-RO"/>
        </w:rPr>
        <w:t>ă</w:t>
      </w:r>
      <w:r w:rsidR="006A173D" w:rsidRPr="00EC0E89">
        <w:rPr>
          <w:rFonts w:ascii="Tahoma" w:hAnsi="Tahoma" w:cs="Tahoma"/>
          <w:sz w:val="24"/>
          <w:szCs w:val="24"/>
          <w:lang w:eastAsia="ro-RO"/>
        </w:rPr>
        <w:t xml:space="preserve"> PNR</w:t>
      </w:r>
      <w:r w:rsidR="00121870">
        <w:rPr>
          <w:rFonts w:ascii="Tahoma" w:hAnsi="Tahoma" w:cs="Tahoma"/>
          <w:sz w:val="24"/>
          <w:szCs w:val="24"/>
          <w:lang w:eastAsia="ro-RO"/>
        </w:rPr>
        <w:t>R.</w:t>
      </w:r>
    </w:p>
    <w:p w:rsidR="00E15D34" w:rsidRPr="005B6AFF" w:rsidRDefault="00E15D34" w:rsidP="003B1016">
      <w:pPr>
        <w:spacing w:after="120" w:line="276" w:lineRule="auto"/>
        <w:jc w:val="both"/>
        <w:rPr>
          <w:rFonts w:ascii="Tahoma" w:eastAsia="Times New Roman" w:hAnsi="Tahoma" w:cs="Tahoma"/>
          <w:color w:val="000000"/>
          <w:sz w:val="24"/>
          <w:szCs w:val="24"/>
          <w:lang w:eastAsia="ro-RO"/>
        </w:rPr>
      </w:pPr>
      <w:r w:rsidRPr="005B6AFF">
        <w:rPr>
          <w:rFonts w:ascii="Tahoma" w:hAnsi="Tahoma" w:cs="Tahoma"/>
          <w:lang w:eastAsia="ro-RO"/>
        </w:rPr>
        <w:br w:type="page"/>
      </w:r>
    </w:p>
    <w:p w:rsidR="007D0985" w:rsidRPr="005B6AFF" w:rsidRDefault="007D0985" w:rsidP="007D0985">
      <w:pPr>
        <w:pStyle w:val="ListParagraph"/>
        <w:numPr>
          <w:ilvl w:val="0"/>
          <w:numId w:val="2"/>
        </w:numPr>
        <w:shd w:val="clear" w:color="auto" w:fill="D9D9D9" w:themeFill="background1" w:themeFillShade="D9"/>
        <w:spacing w:after="120" w:line="360" w:lineRule="auto"/>
        <w:ind w:hanging="1080"/>
        <w:jc w:val="both"/>
        <w:rPr>
          <w:rFonts w:ascii="Tahoma" w:hAnsi="Tahoma" w:cs="Tahoma"/>
          <w:b/>
          <w:caps/>
          <w:color w:val="0070C0"/>
          <w:sz w:val="24"/>
          <w:szCs w:val="24"/>
        </w:rPr>
      </w:pPr>
      <w:r w:rsidRPr="005B6AFF">
        <w:rPr>
          <w:rFonts w:ascii="Tahoma" w:hAnsi="Tahoma" w:cs="Tahoma"/>
          <w:b/>
          <w:caps/>
          <w:color w:val="0070C0"/>
          <w:sz w:val="24"/>
          <w:szCs w:val="24"/>
        </w:rPr>
        <w:lastRenderedPageBreak/>
        <w:t>CHELTUIELILE bugetului general consolidat</w:t>
      </w:r>
    </w:p>
    <w:p w:rsidR="007D0985" w:rsidRPr="005B6AFF" w:rsidRDefault="00950B7A" w:rsidP="00660150">
      <w:pPr>
        <w:shd w:val="clear" w:color="auto" w:fill="D9D9D9" w:themeFill="background1" w:themeFillShade="D9"/>
        <w:spacing w:after="120" w:line="276" w:lineRule="auto"/>
        <w:jc w:val="both"/>
        <w:rPr>
          <w:rFonts w:ascii="Tahoma" w:hAnsi="Tahoma" w:cs="Tahoma"/>
          <w:sz w:val="24"/>
          <w:szCs w:val="24"/>
        </w:rPr>
      </w:pPr>
      <w:r w:rsidRPr="005B6AFF">
        <w:rPr>
          <w:rFonts w:ascii="Tahoma" w:hAnsi="Tahoma" w:cs="Tahoma"/>
          <w:b/>
          <w:sz w:val="24"/>
          <w:szCs w:val="24"/>
        </w:rPr>
        <w:t>Cheltuielile bugetului general consolidat</w:t>
      </w:r>
      <w:r w:rsidR="00DC67C5">
        <w:rPr>
          <w:rFonts w:ascii="Tahoma" w:hAnsi="Tahoma" w:cs="Tahoma"/>
          <w:b/>
          <w:sz w:val="24"/>
          <w:szCs w:val="24"/>
        </w:rPr>
        <w:t>,</w:t>
      </w:r>
      <w:r w:rsidR="003C4703" w:rsidRPr="005B6AFF">
        <w:rPr>
          <w:rFonts w:ascii="Tahoma" w:hAnsi="Tahoma" w:cs="Tahoma"/>
          <w:sz w:val="24"/>
          <w:szCs w:val="24"/>
        </w:rPr>
        <w:t xml:space="preserve"> </w:t>
      </w:r>
      <w:r w:rsidR="000913C6" w:rsidRPr="005B6AFF">
        <w:rPr>
          <w:rFonts w:ascii="Tahoma" w:hAnsi="Tahoma" w:cs="Tahoma"/>
          <w:sz w:val="24"/>
          <w:szCs w:val="24"/>
        </w:rPr>
        <w:t>în perioada analizată</w:t>
      </w:r>
      <w:r w:rsidR="00DC67C5">
        <w:rPr>
          <w:rFonts w:ascii="Tahoma" w:hAnsi="Tahoma" w:cs="Tahoma"/>
          <w:sz w:val="24"/>
          <w:szCs w:val="24"/>
        </w:rPr>
        <w:t>,</w:t>
      </w:r>
      <w:r w:rsidR="000913C6" w:rsidRPr="005B6AFF">
        <w:rPr>
          <w:rFonts w:ascii="Tahoma" w:hAnsi="Tahoma" w:cs="Tahoma"/>
          <w:sz w:val="24"/>
          <w:szCs w:val="24"/>
        </w:rPr>
        <w:t xml:space="preserve"> </w:t>
      </w:r>
      <w:r w:rsidR="003C4703" w:rsidRPr="005B6AFF">
        <w:rPr>
          <w:rFonts w:ascii="Tahoma" w:hAnsi="Tahoma" w:cs="Tahoma"/>
          <w:sz w:val="24"/>
          <w:szCs w:val="24"/>
        </w:rPr>
        <w:t xml:space="preserve">au fost în sumă de </w:t>
      </w:r>
      <w:r w:rsidR="0004428D">
        <w:rPr>
          <w:rFonts w:ascii="Tahoma" w:hAnsi="Tahoma" w:cs="Tahoma"/>
          <w:sz w:val="24"/>
          <w:szCs w:val="24"/>
        </w:rPr>
        <w:t>195,33</w:t>
      </w:r>
      <w:r w:rsidRPr="005B6AFF">
        <w:rPr>
          <w:rFonts w:ascii="Tahoma" w:hAnsi="Tahoma" w:cs="Tahoma"/>
          <w:sz w:val="24"/>
          <w:szCs w:val="24"/>
        </w:rPr>
        <w:t xml:space="preserve"> </w:t>
      </w:r>
      <w:r w:rsidR="00602503" w:rsidRPr="005B6AFF">
        <w:rPr>
          <w:rFonts w:ascii="Tahoma" w:hAnsi="Tahoma" w:cs="Tahoma"/>
          <w:sz w:val="24"/>
          <w:szCs w:val="24"/>
        </w:rPr>
        <w:t>miliarde</w:t>
      </w:r>
      <w:r w:rsidR="00713D80" w:rsidRPr="005B6AFF">
        <w:rPr>
          <w:rFonts w:ascii="Tahoma" w:hAnsi="Tahoma" w:cs="Tahoma"/>
          <w:sz w:val="24"/>
          <w:szCs w:val="24"/>
        </w:rPr>
        <w:t xml:space="preserve"> </w:t>
      </w:r>
      <w:r w:rsidRPr="005B6AFF">
        <w:rPr>
          <w:rFonts w:ascii="Tahoma" w:hAnsi="Tahoma" w:cs="Tahoma"/>
          <w:sz w:val="24"/>
          <w:szCs w:val="24"/>
        </w:rPr>
        <w:t xml:space="preserve">lei, au reprezentat </w:t>
      </w:r>
      <w:r w:rsidR="0004428D">
        <w:rPr>
          <w:rFonts w:ascii="Tahoma" w:hAnsi="Tahoma" w:cs="Tahoma"/>
          <w:sz w:val="24"/>
          <w:szCs w:val="24"/>
        </w:rPr>
        <w:t>10,3</w:t>
      </w:r>
      <w:r w:rsidRPr="005B6AFF">
        <w:rPr>
          <w:rFonts w:ascii="Tahoma" w:hAnsi="Tahoma" w:cs="Tahoma"/>
          <w:sz w:val="24"/>
          <w:szCs w:val="24"/>
        </w:rPr>
        <w:t xml:space="preserve">% ca pondere în PIB și s-au efectuat în proporție de </w:t>
      </w:r>
      <w:r w:rsidR="0004428D">
        <w:rPr>
          <w:rFonts w:ascii="Tahoma" w:hAnsi="Tahoma" w:cs="Tahoma"/>
          <w:sz w:val="24"/>
          <w:szCs w:val="24"/>
        </w:rPr>
        <w:t>92,5</w:t>
      </w:r>
      <w:r w:rsidRPr="005B6AFF">
        <w:rPr>
          <w:rFonts w:ascii="Tahoma" w:hAnsi="Tahoma" w:cs="Tahoma"/>
          <w:sz w:val="24"/>
          <w:szCs w:val="24"/>
        </w:rPr>
        <w:t>% comparativ cu programul</w:t>
      </w:r>
      <w:r w:rsidR="0029038E" w:rsidRPr="005B6AFF">
        <w:rPr>
          <w:rFonts w:ascii="Tahoma" w:hAnsi="Tahoma" w:cs="Tahoma"/>
          <w:sz w:val="24"/>
          <w:szCs w:val="24"/>
        </w:rPr>
        <w:t xml:space="preserve"> actualizat</w:t>
      </w:r>
      <w:r w:rsidRPr="005B6AFF">
        <w:rPr>
          <w:rFonts w:ascii="Tahoma" w:hAnsi="Tahoma" w:cs="Tahoma"/>
          <w:sz w:val="24"/>
          <w:szCs w:val="24"/>
        </w:rPr>
        <w:t xml:space="preserve"> pentru trimestrul I</w:t>
      </w:r>
      <w:r w:rsidR="0004428D">
        <w:rPr>
          <w:rFonts w:ascii="Tahoma" w:hAnsi="Tahoma" w:cs="Tahoma"/>
          <w:sz w:val="24"/>
          <w:szCs w:val="24"/>
        </w:rPr>
        <w:t>I</w:t>
      </w:r>
      <w:r w:rsidRPr="005B6AFF">
        <w:rPr>
          <w:rFonts w:ascii="Tahoma" w:hAnsi="Tahoma" w:cs="Tahoma"/>
          <w:sz w:val="24"/>
          <w:szCs w:val="24"/>
        </w:rPr>
        <w:t xml:space="preserve"> </w:t>
      </w:r>
      <w:r w:rsidR="004827E6">
        <w:rPr>
          <w:rFonts w:ascii="Tahoma" w:hAnsi="Tahoma" w:cs="Tahoma"/>
          <w:sz w:val="24"/>
          <w:szCs w:val="24"/>
        </w:rPr>
        <w:t>2025</w:t>
      </w:r>
      <w:r w:rsidRPr="005B6AFF">
        <w:rPr>
          <w:rFonts w:ascii="Tahoma" w:hAnsi="Tahoma" w:cs="Tahoma"/>
          <w:sz w:val="24"/>
          <w:szCs w:val="24"/>
        </w:rPr>
        <w:t>.</w:t>
      </w:r>
    </w:p>
    <w:p w:rsidR="00B10206" w:rsidRPr="005B6AFF" w:rsidRDefault="00B10206" w:rsidP="00660150">
      <w:pPr>
        <w:tabs>
          <w:tab w:val="left" w:pos="567"/>
        </w:tabs>
        <w:spacing w:after="0" w:line="276" w:lineRule="auto"/>
        <w:ind w:right="6"/>
        <w:jc w:val="both"/>
        <w:rPr>
          <w:rFonts w:ascii="Tahoma" w:hAnsi="Tahoma" w:cs="Tahoma"/>
          <w:sz w:val="24"/>
          <w:szCs w:val="24"/>
        </w:rPr>
      </w:pPr>
      <w:r w:rsidRPr="005B6AFF">
        <w:rPr>
          <w:rFonts w:ascii="Tahoma" w:hAnsi="Tahoma" w:cs="Tahoma"/>
          <w:sz w:val="24"/>
          <w:szCs w:val="24"/>
        </w:rPr>
        <w:t xml:space="preserve">Față de nivelul înregistrat în </w:t>
      </w:r>
      <w:r w:rsidR="0004428D">
        <w:rPr>
          <w:rFonts w:ascii="Tahoma" w:hAnsi="Tahoma" w:cs="Tahoma"/>
          <w:sz w:val="24"/>
          <w:szCs w:val="24"/>
        </w:rPr>
        <w:t>al doilea</w:t>
      </w:r>
      <w:r w:rsidRPr="005B6AFF">
        <w:rPr>
          <w:rFonts w:ascii="Tahoma" w:hAnsi="Tahoma" w:cs="Tahoma"/>
          <w:sz w:val="24"/>
          <w:szCs w:val="24"/>
        </w:rPr>
        <w:t xml:space="preserve"> trimestru al anului 20</w:t>
      </w:r>
      <w:r w:rsidR="004F33F6" w:rsidRPr="005B6AFF">
        <w:rPr>
          <w:rFonts w:ascii="Tahoma" w:hAnsi="Tahoma" w:cs="Tahoma"/>
          <w:sz w:val="24"/>
          <w:szCs w:val="24"/>
        </w:rPr>
        <w:t>2</w:t>
      </w:r>
      <w:r w:rsidR="00D858B2">
        <w:rPr>
          <w:rFonts w:ascii="Tahoma" w:hAnsi="Tahoma" w:cs="Tahoma"/>
          <w:sz w:val="24"/>
          <w:szCs w:val="24"/>
        </w:rPr>
        <w:t>4</w:t>
      </w:r>
      <w:r w:rsidRPr="005B6AFF">
        <w:rPr>
          <w:rFonts w:ascii="Tahoma" w:hAnsi="Tahoma" w:cs="Tahoma"/>
          <w:sz w:val="24"/>
          <w:szCs w:val="24"/>
        </w:rPr>
        <w:t xml:space="preserve">, cheltuielile bugetare au fost mai mari cu </w:t>
      </w:r>
      <w:r w:rsidR="0004428D">
        <w:rPr>
          <w:rFonts w:ascii="Tahoma" w:hAnsi="Tahoma" w:cs="Tahoma"/>
          <w:sz w:val="24"/>
          <w:szCs w:val="24"/>
        </w:rPr>
        <w:t>14</w:t>
      </w:r>
      <w:r w:rsidR="00D858B2">
        <w:rPr>
          <w:rFonts w:ascii="Tahoma" w:hAnsi="Tahoma" w:cs="Tahoma"/>
          <w:sz w:val="24"/>
          <w:szCs w:val="24"/>
        </w:rPr>
        <w:t>,1</w:t>
      </w:r>
      <w:r w:rsidRPr="005B6AFF">
        <w:rPr>
          <w:rFonts w:ascii="Tahoma" w:hAnsi="Tahoma" w:cs="Tahoma"/>
          <w:sz w:val="24"/>
          <w:szCs w:val="24"/>
        </w:rPr>
        <w:t>%</w:t>
      </w:r>
      <w:r w:rsidR="0029038E" w:rsidRPr="005B6AFF">
        <w:rPr>
          <w:rFonts w:ascii="Tahoma" w:hAnsi="Tahoma" w:cs="Tahoma"/>
          <w:sz w:val="24"/>
          <w:szCs w:val="24"/>
        </w:rPr>
        <w:t>,</w:t>
      </w:r>
      <w:r w:rsidR="00D858B2">
        <w:rPr>
          <w:rFonts w:ascii="Tahoma" w:hAnsi="Tahoma" w:cs="Tahoma"/>
          <w:sz w:val="24"/>
          <w:szCs w:val="24"/>
        </w:rPr>
        <w:t xml:space="preserve"> iar ca pondere în PIB cu 0</w:t>
      </w:r>
      <w:r w:rsidR="00732434" w:rsidRPr="005B6AFF">
        <w:rPr>
          <w:rFonts w:ascii="Tahoma" w:hAnsi="Tahoma" w:cs="Tahoma"/>
          <w:sz w:val="24"/>
          <w:szCs w:val="24"/>
        </w:rPr>
        <w:t>,</w:t>
      </w:r>
      <w:r w:rsidR="0004428D">
        <w:rPr>
          <w:rFonts w:ascii="Tahoma" w:hAnsi="Tahoma" w:cs="Tahoma"/>
          <w:sz w:val="24"/>
          <w:szCs w:val="24"/>
        </w:rPr>
        <w:t>5</w:t>
      </w:r>
      <w:r w:rsidR="00732434" w:rsidRPr="005B6AFF">
        <w:rPr>
          <w:rFonts w:ascii="Tahoma" w:hAnsi="Tahoma" w:cs="Tahoma"/>
          <w:sz w:val="24"/>
          <w:szCs w:val="24"/>
        </w:rPr>
        <w:t xml:space="preserve"> puncte procentuale de la</w:t>
      </w:r>
      <w:r w:rsidR="00275158">
        <w:rPr>
          <w:rFonts w:ascii="Tahoma" w:hAnsi="Tahoma" w:cs="Tahoma"/>
          <w:sz w:val="24"/>
          <w:szCs w:val="24"/>
        </w:rPr>
        <w:t xml:space="preserve"> </w:t>
      </w:r>
      <w:r w:rsidR="00D858B2">
        <w:rPr>
          <w:rFonts w:ascii="Tahoma" w:hAnsi="Tahoma" w:cs="Tahoma"/>
          <w:sz w:val="24"/>
          <w:szCs w:val="24"/>
        </w:rPr>
        <w:t>9</w:t>
      </w:r>
      <w:r w:rsidR="00732434" w:rsidRPr="005B6AFF">
        <w:rPr>
          <w:rFonts w:ascii="Tahoma" w:hAnsi="Tahoma" w:cs="Tahoma"/>
          <w:sz w:val="24"/>
          <w:szCs w:val="24"/>
        </w:rPr>
        <w:t>,</w:t>
      </w:r>
      <w:r w:rsidR="0004428D">
        <w:rPr>
          <w:rFonts w:ascii="Tahoma" w:hAnsi="Tahoma" w:cs="Tahoma"/>
          <w:sz w:val="24"/>
          <w:szCs w:val="24"/>
        </w:rPr>
        <w:t>7</w:t>
      </w:r>
      <w:r w:rsidR="00732434" w:rsidRPr="005B6AFF">
        <w:rPr>
          <w:rFonts w:ascii="Tahoma" w:hAnsi="Tahoma" w:cs="Tahoma"/>
          <w:sz w:val="24"/>
          <w:szCs w:val="24"/>
        </w:rPr>
        <w:t>% din PIB cât au fost în trimestru</w:t>
      </w:r>
      <w:r w:rsidR="0004428D">
        <w:rPr>
          <w:rFonts w:ascii="Tahoma" w:hAnsi="Tahoma" w:cs="Tahoma"/>
          <w:sz w:val="24"/>
          <w:szCs w:val="24"/>
        </w:rPr>
        <w:t>l II</w:t>
      </w:r>
      <w:r w:rsidR="00732434" w:rsidRPr="005B6AFF">
        <w:rPr>
          <w:rFonts w:ascii="Tahoma" w:hAnsi="Tahoma" w:cs="Tahoma"/>
          <w:sz w:val="24"/>
          <w:szCs w:val="24"/>
        </w:rPr>
        <w:t xml:space="preserve"> 202</w:t>
      </w:r>
      <w:r w:rsidR="00D858B2">
        <w:rPr>
          <w:rFonts w:ascii="Tahoma" w:hAnsi="Tahoma" w:cs="Tahoma"/>
          <w:sz w:val="24"/>
          <w:szCs w:val="24"/>
        </w:rPr>
        <w:t>4</w:t>
      </w:r>
      <w:r w:rsidR="00732434" w:rsidRPr="005B6AFF">
        <w:rPr>
          <w:rFonts w:ascii="Tahoma" w:hAnsi="Tahoma" w:cs="Tahoma"/>
          <w:sz w:val="24"/>
          <w:szCs w:val="24"/>
        </w:rPr>
        <w:t xml:space="preserve"> la </w:t>
      </w:r>
      <w:r w:rsidR="0004428D">
        <w:rPr>
          <w:rFonts w:ascii="Tahoma" w:hAnsi="Tahoma" w:cs="Tahoma"/>
          <w:sz w:val="24"/>
          <w:szCs w:val="24"/>
        </w:rPr>
        <w:t>10,3</w:t>
      </w:r>
      <w:r w:rsidR="00732434" w:rsidRPr="005B6AFF">
        <w:rPr>
          <w:rFonts w:ascii="Tahoma" w:hAnsi="Tahoma" w:cs="Tahoma"/>
          <w:sz w:val="24"/>
          <w:szCs w:val="24"/>
        </w:rPr>
        <w:t>% din PIB în perioada analizată</w:t>
      </w:r>
      <w:r w:rsidRPr="005B6AFF">
        <w:rPr>
          <w:rFonts w:ascii="Tahoma" w:hAnsi="Tahoma" w:cs="Tahoma"/>
          <w:sz w:val="24"/>
          <w:szCs w:val="24"/>
        </w:rPr>
        <w:t>.</w:t>
      </w:r>
    </w:p>
    <w:p w:rsidR="00B10206" w:rsidRPr="005B6AFF" w:rsidRDefault="00B10206" w:rsidP="00B10206">
      <w:pPr>
        <w:tabs>
          <w:tab w:val="left" w:pos="567"/>
        </w:tabs>
        <w:spacing w:after="0"/>
        <w:ind w:right="6" w:firstLine="567"/>
        <w:jc w:val="both"/>
        <w:rPr>
          <w:rFonts w:ascii="Tahoma" w:hAnsi="Tahoma" w:cs="Tahoma"/>
          <w:sz w:val="24"/>
          <w:szCs w:val="24"/>
        </w:rPr>
      </w:pPr>
    </w:p>
    <w:p w:rsidR="00B10206" w:rsidRPr="005B6AFF" w:rsidRDefault="00E94A48" w:rsidP="00B10206">
      <w:pPr>
        <w:tabs>
          <w:tab w:val="left" w:pos="567"/>
        </w:tabs>
        <w:ind w:right="6"/>
        <w:jc w:val="both"/>
        <w:rPr>
          <w:rFonts w:ascii="Tahoma" w:hAnsi="Tahoma" w:cs="Tahoma"/>
          <w:sz w:val="24"/>
          <w:szCs w:val="24"/>
        </w:rPr>
      </w:pPr>
      <w:r>
        <w:rPr>
          <w:noProof/>
          <w:lang w:val="en-US"/>
        </w:rPr>
        <w:object w:dxaOrig="9361" w:dyaOrig="5266">
          <v:shape id="_x0000_i1027" type="#_x0000_t75" style="width:501.75pt;height:263.25pt" o:ole="">
            <v:imagedata r:id="rId12" o:title=""/>
          </v:shape>
          <o:OLEObject Type="Link" ProgID="Excel.Sheet.12" ShapeID="_x0000_i1027" DrawAspect="Content" r:id="rId13" UpdateMode="Always">
            <o:LinkType>EnhancedMetaFile</o:LinkType>
            <o:LockedField>false</o:LockedField>
          </o:OLEObject>
        </w:object>
      </w:r>
    </w:p>
    <w:p w:rsidR="00BA678C" w:rsidRPr="005B6AFF" w:rsidRDefault="00BA678C" w:rsidP="00620B19">
      <w:pPr>
        <w:spacing w:after="0"/>
        <w:jc w:val="both"/>
        <w:rPr>
          <w:rFonts w:ascii="Tahoma" w:hAnsi="Tahoma" w:cs="Tahoma"/>
          <w:b/>
          <w:i/>
          <w:sz w:val="24"/>
          <w:szCs w:val="24"/>
        </w:rPr>
      </w:pPr>
    </w:p>
    <w:p w:rsidR="00024773" w:rsidRPr="005B6AFF" w:rsidRDefault="00B10206" w:rsidP="00753D9F">
      <w:pPr>
        <w:spacing w:after="120" w:line="276" w:lineRule="auto"/>
        <w:jc w:val="both"/>
        <w:rPr>
          <w:rFonts w:ascii="Tahoma" w:hAnsi="Tahoma" w:cs="Tahoma"/>
          <w:sz w:val="24"/>
          <w:szCs w:val="24"/>
        </w:rPr>
      </w:pPr>
      <w:r w:rsidRPr="005B6AFF">
        <w:rPr>
          <w:rFonts w:ascii="Tahoma" w:hAnsi="Tahoma" w:cs="Tahoma"/>
          <w:b/>
          <w:sz w:val="24"/>
          <w:szCs w:val="24"/>
        </w:rPr>
        <w:t>Cheltuielile de personal</w:t>
      </w:r>
      <w:r w:rsidRPr="005B6AFF">
        <w:rPr>
          <w:rFonts w:ascii="Tahoma" w:hAnsi="Tahoma" w:cs="Tahoma"/>
          <w:sz w:val="24"/>
          <w:szCs w:val="24"/>
        </w:rPr>
        <w:t>,</w:t>
      </w:r>
      <w:r w:rsidRPr="005B6AFF">
        <w:rPr>
          <w:rFonts w:ascii="Tahoma" w:hAnsi="Tahoma" w:cs="Tahoma"/>
          <w:color w:val="C00000"/>
          <w:sz w:val="24"/>
          <w:szCs w:val="24"/>
        </w:rPr>
        <w:t xml:space="preserve"> </w:t>
      </w:r>
      <w:r w:rsidRPr="005B6AFF">
        <w:rPr>
          <w:rFonts w:ascii="Tahoma" w:hAnsi="Tahoma" w:cs="Tahoma"/>
          <w:sz w:val="24"/>
          <w:szCs w:val="24"/>
        </w:rPr>
        <w:t>prezentate detaliat în Anexele n</w:t>
      </w:r>
      <w:r w:rsidR="003C4703" w:rsidRPr="005B6AFF">
        <w:rPr>
          <w:rFonts w:ascii="Tahoma" w:hAnsi="Tahoma" w:cs="Tahoma"/>
          <w:sz w:val="24"/>
          <w:szCs w:val="24"/>
        </w:rPr>
        <w:t xml:space="preserve">r.3 </w:t>
      </w:r>
      <w:r w:rsidR="005B36B4" w:rsidRPr="005B6AFF">
        <w:rPr>
          <w:rFonts w:ascii="Tahoma" w:hAnsi="Tahoma" w:cs="Tahoma"/>
          <w:sz w:val="24"/>
          <w:szCs w:val="24"/>
        </w:rPr>
        <w:t>și</w:t>
      </w:r>
      <w:r w:rsidR="003C4703" w:rsidRPr="005B6AFF">
        <w:rPr>
          <w:rFonts w:ascii="Tahoma" w:hAnsi="Tahoma" w:cs="Tahoma"/>
          <w:sz w:val="24"/>
          <w:szCs w:val="24"/>
        </w:rPr>
        <w:t xml:space="preserve"> 4</w:t>
      </w:r>
      <w:r w:rsidR="00DC67C5">
        <w:rPr>
          <w:rFonts w:ascii="Tahoma" w:hAnsi="Tahoma" w:cs="Tahoma"/>
          <w:sz w:val="24"/>
          <w:szCs w:val="24"/>
        </w:rPr>
        <w:t>,</w:t>
      </w:r>
      <w:r w:rsidR="003C4703" w:rsidRPr="005B6AFF">
        <w:rPr>
          <w:rFonts w:ascii="Tahoma" w:hAnsi="Tahoma" w:cs="Tahoma"/>
          <w:sz w:val="24"/>
          <w:szCs w:val="24"/>
        </w:rPr>
        <w:t xml:space="preserve"> au fost în sumă de </w:t>
      </w:r>
      <w:r w:rsidR="00D061D7">
        <w:rPr>
          <w:rFonts w:ascii="Tahoma" w:hAnsi="Tahoma" w:cs="Tahoma"/>
          <w:sz w:val="24"/>
          <w:szCs w:val="24"/>
        </w:rPr>
        <w:t>43,33</w:t>
      </w:r>
      <w:r w:rsidR="003C4703" w:rsidRPr="005B6AFF">
        <w:rPr>
          <w:rFonts w:ascii="Tahoma" w:hAnsi="Tahoma" w:cs="Tahoma"/>
          <w:sz w:val="24"/>
          <w:szCs w:val="24"/>
        </w:rPr>
        <w:t xml:space="preserve"> </w:t>
      </w:r>
      <w:r w:rsidR="00602503" w:rsidRPr="005B6AFF">
        <w:rPr>
          <w:rFonts w:ascii="Tahoma" w:hAnsi="Tahoma" w:cs="Tahoma"/>
          <w:sz w:val="24"/>
          <w:szCs w:val="24"/>
        </w:rPr>
        <w:t>miliarde</w:t>
      </w:r>
      <w:r w:rsidRPr="005B6AFF">
        <w:rPr>
          <w:rFonts w:ascii="Tahoma" w:hAnsi="Tahoma" w:cs="Tahoma"/>
          <w:sz w:val="24"/>
          <w:szCs w:val="24"/>
        </w:rPr>
        <w:t xml:space="preserve"> lei și s-au efectuat în proporție de </w:t>
      </w:r>
      <w:r w:rsidR="00D061D7">
        <w:rPr>
          <w:rFonts w:ascii="Tahoma" w:hAnsi="Tahoma" w:cs="Tahoma"/>
          <w:sz w:val="24"/>
          <w:szCs w:val="24"/>
        </w:rPr>
        <w:t>99,4</w:t>
      </w:r>
      <w:r w:rsidRPr="005B6AFF">
        <w:rPr>
          <w:rFonts w:ascii="Tahoma" w:hAnsi="Tahoma" w:cs="Tahoma"/>
          <w:sz w:val="24"/>
          <w:szCs w:val="24"/>
        </w:rPr>
        <w:t>% față de nivelul estimat a se efectua în trimestrul I</w:t>
      </w:r>
      <w:r w:rsidR="00D061D7">
        <w:rPr>
          <w:rFonts w:ascii="Tahoma" w:hAnsi="Tahoma" w:cs="Tahoma"/>
          <w:sz w:val="24"/>
          <w:szCs w:val="24"/>
        </w:rPr>
        <w:t>I</w:t>
      </w:r>
      <w:r w:rsidRPr="005B6AFF">
        <w:rPr>
          <w:rFonts w:ascii="Tahoma" w:hAnsi="Tahoma" w:cs="Tahoma"/>
          <w:sz w:val="24"/>
          <w:szCs w:val="24"/>
        </w:rPr>
        <w:t xml:space="preserve"> </w:t>
      </w:r>
      <w:r w:rsidR="004827E6">
        <w:rPr>
          <w:rFonts w:ascii="Tahoma" w:hAnsi="Tahoma" w:cs="Tahoma"/>
          <w:sz w:val="24"/>
          <w:szCs w:val="24"/>
        </w:rPr>
        <w:t>2025</w:t>
      </w:r>
      <w:r w:rsidRPr="005B6AFF">
        <w:rPr>
          <w:rFonts w:ascii="Tahoma" w:hAnsi="Tahoma" w:cs="Tahoma"/>
          <w:sz w:val="24"/>
          <w:szCs w:val="24"/>
        </w:rPr>
        <w:t xml:space="preserve">. </w:t>
      </w:r>
      <w:r w:rsidR="00024773" w:rsidRPr="005B6AFF">
        <w:rPr>
          <w:rFonts w:ascii="Tahoma" w:hAnsi="Tahoma" w:cs="Tahoma"/>
          <w:sz w:val="24"/>
          <w:szCs w:val="24"/>
        </w:rPr>
        <w:t xml:space="preserve">Exprimate ca pondere în PIB, cheltuielile de personal reprezintă un nivel de </w:t>
      </w:r>
      <w:r w:rsidR="00B75414" w:rsidRPr="005B6AFF">
        <w:rPr>
          <w:rFonts w:ascii="Tahoma" w:hAnsi="Tahoma" w:cs="Tahoma"/>
          <w:sz w:val="24"/>
          <w:szCs w:val="24"/>
        </w:rPr>
        <w:t>2,</w:t>
      </w:r>
      <w:r w:rsidR="00D061D7">
        <w:rPr>
          <w:rFonts w:ascii="Tahoma" w:hAnsi="Tahoma" w:cs="Tahoma"/>
          <w:sz w:val="24"/>
          <w:szCs w:val="24"/>
        </w:rPr>
        <w:t>29</w:t>
      </w:r>
      <w:r w:rsidR="00024773" w:rsidRPr="005B6AFF">
        <w:rPr>
          <w:rFonts w:ascii="Tahoma" w:hAnsi="Tahoma" w:cs="Tahoma"/>
          <w:sz w:val="24"/>
          <w:szCs w:val="24"/>
        </w:rPr>
        <w:t>% din PIB, cu 0,</w:t>
      </w:r>
      <w:r w:rsidR="00D061D7">
        <w:rPr>
          <w:rFonts w:ascii="Tahoma" w:hAnsi="Tahoma" w:cs="Tahoma"/>
          <w:sz w:val="24"/>
          <w:szCs w:val="24"/>
        </w:rPr>
        <w:t>05</w:t>
      </w:r>
      <w:r w:rsidR="00024773" w:rsidRPr="005B6AFF">
        <w:rPr>
          <w:rFonts w:ascii="Tahoma" w:hAnsi="Tahoma" w:cs="Tahoma"/>
          <w:sz w:val="24"/>
          <w:szCs w:val="24"/>
        </w:rPr>
        <w:t xml:space="preserve"> puncte procentuale mai </w:t>
      </w:r>
      <w:r w:rsidR="00D061D7">
        <w:rPr>
          <w:rFonts w:ascii="Tahoma" w:hAnsi="Tahoma" w:cs="Tahoma"/>
          <w:sz w:val="24"/>
          <w:szCs w:val="24"/>
        </w:rPr>
        <w:t>mici</w:t>
      </w:r>
      <w:r w:rsidR="00024773" w:rsidRPr="005B6AFF">
        <w:rPr>
          <w:rFonts w:ascii="Tahoma" w:hAnsi="Tahoma" w:cs="Tahoma"/>
          <w:sz w:val="24"/>
          <w:szCs w:val="24"/>
        </w:rPr>
        <w:t xml:space="preserve"> față de aceeași perioadă a anului anterior. </w:t>
      </w:r>
    </w:p>
    <w:p w:rsidR="00482979" w:rsidRDefault="00B10206" w:rsidP="00753D9F">
      <w:pPr>
        <w:spacing w:before="120" w:after="120" w:line="276" w:lineRule="auto"/>
        <w:jc w:val="both"/>
        <w:rPr>
          <w:rFonts w:ascii="Tahoma" w:hAnsi="Tahoma" w:cs="Tahoma"/>
          <w:bCs/>
          <w:sz w:val="24"/>
          <w:szCs w:val="24"/>
        </w:rPr>
      </w:pPr>
      <w:r w:rsidRPr="005B6AFF">
        <w:rPr>
          <w:rFonts w:ascii="Tahoma" w:hAnsi="Tahoma" w:cs="Tahoma"/>
          <w:bCs/>
          <w:sz w:val="24"/>
          <w:szCs w:val="24"/>
        </w:rPr>
        <w:t xml:space="preserve">Cheltuielile de personal au </w:t>
      </w:r>
      <w:r w:rsidR="00E37855" w:rsidRPr="005B6AFF">
        <w:rPr>
          <w:rFonts w:ascii="Tahoma" w:hAnsi="Tahoma" w:cs="Tahoma"/>
          <w:bCs/>
          <w:sz w:val="24"/>
          <w:szCs w:val="24"/>
        </w:rPr>
        <w:t xml:space="preserve">crescut cu </w:t>
      </w:r>
      <w:r w:rsidR="00D061D7">
        <w:rPr>
          <w:rFonts w:ascii="Tahoma" w:hAnsi="Tahoma" w:cs="Tahoma"/>
          <w:bCs/>
          <w:sz w:val="24"/>
          <w:szCs w:val="24"/>
        </w:rPr>
        <w:t>5,4</w:t>
      </w:r>
      <w:r w:rsidR="00E37855" w:rsidRPr="005B6AFF">
        <w:rPr>
          <w:rFonts w:ascii="Tahoma" w:hAnsi="Tahoma" w:cs="Tahoma"/>
          <w:bCs/>
          <w:sz w:val="24"/>
          <w:szCs w:val="24"/>
        </w:rPr>
        <w:t>% comparativ cu trimestrul I</w:t>
      </w:r>
      <w:r w:rsidR="00D061D7">
        <w:rPr>
          <w:rFonts w:ascii="Tahoma" w:hAnsi="Tahoma" w:cs="Tahoma"/>
          <w:bCs/>
          <w:sz w:val="24"/>
          <w:szCs w:val="24"/>
        </w:rPr>
        <w:t>I</w:t>
      </w:r>
      <w:r w:rsidR="00E37855" w:rsidRPr="005B6AFF">
        <w:rPr>
          <w:rFonts w:ascii="Tahoma" w:hAnsi="Tahoma" w:cs="Tahoma"/>
          <w:bCs/>
          <w:sz w:val="24"/>
          <w:szCs w:val="24"/>
        </w:rPr>
        <w:t xml:space="preserve"> 202</w:t>
      </w:r>
      <w:r w:rsidR="00A60A9A">
        <w:rPr>
          <w:rFonts w:ascii="Tahoma" w:hAnsi="Tahoma" w:cs="Tahoma"/>
          <w:bCs/>
          <w:sz w:val="24"/>
          <w:szCs w:val="24"/>
        </w:rPr>
        <w:t>4</w:t>
      </w:r>
      <w:r w:rsidR="00E37855" w:rsidRPr="005B6AFF">
        <w:rPr>
          <w:rFonts w:ascii="Tahoma" w:hAnsi="Tahoma" w:cs="Tahoma"/>
          <w:bCs/>
          <w:sz w:val="24"/>
          <w:szCs w:val="24"/>
        </w:rPr>
        <w:t xml:space="preserve">, </w:t>
      </w:r>
      <w:r w:rsidR="00883B23" w:rsidRPr="005B6AFF">
        <w:rPr>
          <w:rFonts w:ascii="Tahoma" w:hAnsi="Tahoma" w:cs="Tahoma"/>
          <w:bCs/>
          <w:sz w:val="24"/>
          <w:szCs w:val="24"/>
        </w:rPr>
        <w:t xml:space="preserve">pe fondul creșterilor salariale din sectorul bugetar acordate </w:t>
      </w:r>
      <w:r w:rsidR="00A60A9A">
        <w:rPr>
          <w:rFonts w:ascii="Tahoma" w:hAnsi="Tahoma" w:cs="Tahoma"/>
          <w:bCs/>
          <w:sz w:val="24"/>
          <w:szCs w:val="24"/>
        </w:rPr>
        <w:t xml:space="preserve">pe parcursul </w:t>
      </w:r>
      <w:r w:rsidR="00B75414" w:rsidRPr="005B6AFF">
        <w:rPr>
          <w:rFonts w:ascii="Tahoma" w:hAnsi="Tahoma" w:cs="Tahoma"/>
          <w:bCs/>
          <w:sz w:val="24"/>
          <w:szCs w:val="24"/>
        </w:rPr>
        <w:t>anului 202</w:t>
      </w:r>
      <w:r w:rsidR="00A60A9A">
        <w:rPr>
          <w:rFonts w:ascii="Tahoma" w:hAnsi="Tahoma" w:cs="Tahoma"/>
          <w:bCs/>
          <w:sz w:val="24"/>
          <w:szCs w:val="24"/>
        </w:rPr>
        <w:t>4.</w:t>
      </w:r>
    </w:p>
    <w:p w:rsidR="00EA0392" w:rsidRPr="005B6AFF" w:rsidRDefault="00EA0392" w:rsidP="00753D9F">
      <w:pPr>
        <w:spacing w:before="120" w:after="120" w:line="276" w:lineRule="auto"/>
        <w:jc w:val="both"/>
        <w:rPr>
          <w:rFonts w:ascii="Tahoma" w:hAnsi="Tahoma" w:cs="Tahoma"/>
          <w:bCs/>
          <w:sz w:val="24"/>
          <w:szCs w:val="24"/>
        </w:rPr>
      </w:pPr>
      <w:r>
        <w:rPr>
          <w:rFonts w:ascii="Tahoma" w:hAnsi="Tahoma" w:cs="Tahoma"/>
          <w:bCs/>
          <w:sz w:val="24"/>
          <w:szCs w:val="24"/>
        </w:rPr>
        <w:t>Cea mai mare pondere în total cheltuieli de personal la nivelul bugetului general consolidat</w:t>
      </w:r>
      <w:r w:rsidR="00C94070">
        <w:rPr>
          <w:rFonts w:ascii="Tahoma" w:hAnsi="Tahoma" w:cs="Tahoma"/>
          <w:bCs/>
          <w:sz w:val="24"/>
          <w:szCs w:val="24"/>
        </w:rPr>
        <w:t>,</w:t>
      </w:r>
      <w:r>
        <w:rPr>
          <w:rFonts w:ascii="Tahoma" w:hAnsi="Tahoma" w:cs="Tahoma"/>
          <w:bCs/>
          <w:sz w:val="24"/>
          <w:szCs w:val="24"/>
        </w:rPr>
        <w:t xml:space="preserve"> în perioada analizată</w:t>
      </w:r>
      <w:r w:rsidR="00C94070">
        <w:rPr>
          <w:rFonts w:ascii="Tahoma" w:hAnsi="Tahoma" w:cs="Tahoma"/>
          <w:bCs/>
          <w:sz w:val="24"/>
          <w:szCs w:val="24"/>
        </w:rPr>
        <w:t>,</w:t>
      </w:r>
      <w:r>
        <w:rPr>
          <w:rFonts w:ascii="Tahoma" w:hAnsi="Tahoma" w:cs="Tahoma"/>
          <w:bCs/>
          <w:sz w:val="24"/>
          <w:szCs w:val="24"/>
        </w:rPr>
        <w:t xml:space="preserve"> o reprezintă cheltuielile la bugetul de stat (54,1%) unde 76% din totalul cheltuielilor de personal se regăsesc la Ministerul Educației și Cercetării, Ministerul Afacerilor Interne și Ministerul Apărării Naționale.</w:t>
      </w:r>
    </w:p>
    <w:p w:rsidR="00D413A5" w:rsidRPr="00D81D62" w:rsidRDefault="00B10206" w:rsidP="00D413A5">
      <w:pPr>
        <w:spacing w:before="120" w:after="120" w:line="276" w:lineRule="auto"/>
        <w:jc w:val="both"/>
        <w:rPr>
          <w:rFonts w:ascii="Tahoma" w:eastAsia="Calibri" w:hAnsi="Tahoma" w:cs="Tahoma"/>
          <w:sz w:val="24"/>
          <w:szCs w:val="28"/>
        </w:rPr>
      </w:pPr>
      <w:r w:rsidRPr="0006321D">
        <w:rPr>
          <w:rFonts w:ascii="Tahoma" w:hAnsi="Tahoma" w:cs="Tahoma"/>
          <w:b/>
          <w:bCs/>
          <w:sz w:val="24"/>
          <w:szCs w:val="24"/>
        </w:rPr>
        <w:lastRenderedPageBreak/>
        <w:t>Cheltuielile cu bunuri și servicii</w:t>
      </w:r>
      <w:r w:rsidR="00AB3FB4" w:rsidRPr="0006321D">
        <w:rPr>
          <w:rFonts w:ascii="Tahoma" w:hAnsi="Tahoma" w:cs="Tahoma"/>
          <w:b/>
          <w:bCs/>
          <w:sz w:val="24"/>
          <w:szCs w:val="24"/>
        </w:rPr>
        <w:t xml:space="preserve"> </w:t>
      </w:r>
      <w:r w:rsidR="003C4703" w:rsidRPr="0006321D">
        <w:rPr>
          <w:rFonts w:ascii="Tahoma" w:hAnsi="Tahoma" w:cs="Tahoma"/>
          <w:sz w:val="24"/>
          <w:szCs w:val="24"/>
        </w:rPr>
        <w:t xml:space="preserve">au însumat </w:t>
      </w:r>
      <w:r w:rsidR="00C541D9">
        <w:rPr>
          <w:rFonts w:ascii="Tahoma" w:hAnsi="Tahoma" w:cs="Tahoma"/>
          <w:sz w:val="24"/>
          <w:szCs w:val="24"/>
        </w:rPr>
        <w:t>23,24</w:t>
      </w:r>
      <w:r w:rsidRPr="0006321D">
        <w:rPr>
          <w:rFonts w:ascii="Tahoma" w:hAnsi="Tahoma" w:cs="Tahoma"/>
          <w:sz w:val="24"/>
          <w:szCs w:val="24"/>
        </w:rPr>
        <w:t xml:space="preserve"> </w:t>
      </w:r>
      <w:r w:rsidR="00602503" w:rsidRPr="0006321D">
        <w:rPr>
          <w:rFonts w:ascii="Tahoma" w:hAnsi="Tahoma" w:cs="Tahoma"/>
          <w:sz w:val="24"/>
          <w:szCs w:val="24"/>
        </w:rPr>
        <w:t>miliarde</w:t>
      </w:r>
      <w:r w:rsidRPr="0006321D">
        <w:rPr>
          <w:rFonts w:ascii="Tahoma" w:hAnsi="Tahoma" w:cs="Tahoma"/>
          <w:sz w:val="24"/>
          <w:szCs w:val="24"/>
        </w:rPr>
        <w:t xml:space="preserve"> lei (1,</w:t>
      </w:r>
      <w:r w:rsidR="00421F0A" w:rsidRPr="0006321D">
        <w:rPr>
          <w:rFonts w:ascii="Tahoma" w:hAnsi="Tahoma" w:cs="Tahoma"/>
          <w:sz w:val="24"/>
          <w:szCs w:val="24"/>
        </w:rPr>
        <w:t>2</w:t>
      </w:r>
      <w:r w:rsidRPr="0006321D">
        <w:rPr>
          <w:rFonts w:ascii="Tahoma" w:hAnsi="Tahoma" w:cs="Tahoma"/>
          <w:sz w:val="24"/>
          <w:szCs w:val="24"/>
        </w:rPr>
        <w:t xml:space="preserve">% din PIB) și s-au efectuat în proporție de </w:t>
      </w:r>
      <w:r w:rsidR="00C541D9">
        <w:rPr>
          <w:rFonts w:ascii="Tahoma" w:hAnsi="Tahoma" w:cs="Tahoma"/>
          <w:sz w:val="24"/>
          <w:szCs w:val="24"/>
        </w:rPr>
        <w:t>102,1</w:t>
      </w:r>
      <w:r w:rsidRPr="0006321D">
        <w:rPr>
          <w:rFonts w:ascii="Tahoma" w:hAnsi="Tahoma" w:cs="Tahoma"/>
          <w:sz w:val="24"/>
          <w:szCs w:val="24"/>
        </w:rPr>
        <w:t xml:space="preserve">% comparativ cu programul trimestrial. </w:t>
      </w:r>
      <w:r w:rsidR="0087633E">
        <w:rPr>
          <w:rFonts w:ascii="Tahoma" w:hAnsi="Tahoma" w:cs="Tahoma"/>
          <w:sz w:val="24"/>
          <w:szCs w:val="24"/>
        </w:rPr>
        <w:t xml:space="preserve">Depășirea programului trimestrial s-a datorat plăților cu bunuri și servicii efectuate la bugetul activităților și instituțiilor finanțate integral sau parțial din venituri proprii. </w:t>
      </w:r>
      <w:r w:rsidR="001B1117" w:rsidRPr="005B6AFF">
        <w:rPr>
          <w:rFonts w:ascii="Tahoma" w:hAnsi="Tahoma" w:cs="Tahoma"/>
          <w:sz w:val="24"/>
          <w:szCs w:val="24"/>
        </w:rPr>
        <w:t>Comparativ cu trimestrul I</w:t>
      </w:r>
      <w:r w:rsidR="00C541D9">
        <w:rPr>
          <w:rFonts w:ascii="Tahoma" w:hAnsi="Tahoma" w:cs="Tahoma"/>
          <w:sz w:val="24"/>
          <w:szCs w:val="24"/>
        </w:rPr>
        <w:t>I</w:t>
      </w:r>
      <w:r w:rsidR="001B1117" w:rsidRPr="005B6AFF">
        <w:rPr>
          <w:rFonts w:ascii="Tahoma" w:hAnsi="Tahoma" w:cs="Tahoma"/>
          <w:sz w:val="24"/>
          <w:szCs w:val="24"/>
        </w:rPr>
        <w:t xml:space="preserve"> 20</w:t>
      </w:r>
      <w:r w:rsidR="0006321D">
        <w:rPr>
          <w:rFonts w:ascii="Tahoma" w:hAnsi="Tahoma" w:cs="Tahoma"/>
          <w:sz w:val="24"/>
          <w:szCs w:val="24"/>
        </w:rPr>
        <w:t>24</w:t>
      </w:r>
      <w:r w:rsidR="001B1117" w:rsidRPr="005B6AFF">
        <w:rPr>
          <w:rFonts w:ascii="Tahoma" w:hAnsi="Tahoma" w:cs="Tahoma"/>
          <w:sz w:val="24"/>
          <w:szCs w:val="24"/>
        </w:rPr>
        <w:t xml:space="preserve"> cheltuielile cu bunuri și servicii </w:t>
      </w:r>
      <w:r w:rsidR="00C541D9">
        <w:rPr>
          <w:rFonts w:ascii="Tahoma" w:hAnsi="Tahoma" w:cs="Tahoma"/>
          <w:sz w:val="24"/>
          <w:szCs w:val="24"/>
        </w:rPr>
        <w:t xml:space="preserve">s-au redus </w:t>
      </w:r>
      <w:r w:rsidR="001B1117" w:rsidRPr="005B6AFF">
        <w:rPr>
          <w:rFonts w:ascii="Tahoma" w:hAnsi="Tahoma" w:cs="Tahoma"/>
          <w:sz w:val="24"/>
          <w:szCs w:val="24"/>
        </w:rPr>
        <w:t xml:space="preserve">cu </w:t>
      </w:r>
      <w:r w:rsidR="00C541D9">
        <w:rPr>
          <w:rFonts w:ascii="Tahoma" w:hAnsi="Tahoma" w:cs="Tahoma"/>
          <w:sz w:val="24"/>
          <w:szCs w:val="24"/>
        </w:rPr>
        <w:t>0,6</w:t>
      </w:r>
      <w:r w:rsidR="001B1117" w:rsidRPr="005B6AFF">
        <w:rPr>
          <w:rFonts w:ascii="Tahoma" w:hAnsi="Tahoma" w:cs="Tahoma"/>
          <w:sz w:val="24"/>
          <w:szCs w:val="24"/>
        </w:rPr>
        <w:t xml:space="preserve">% în special </w:t>
      </w:r>
      <w:r w:rsidR="009575D5">
        <w:rPr>
          <w:rFonts w:ascii="Tahoma" w:hAnsi="Tahoma" w:cs="Tahoma"/>
          <w:sz w:val="24"/>
          <w:szCs w:val="24"/>
        </w:rPr>
        <w:t>pe fondul</w:t>
      </w:r>
      <w:r w:rsidR="001B1117" w:rsidRPr="005B6AFF">
        <w:rPr>
          <w:rFonts w:ascii="Tahoma" w:hAnsi="Tahoma" w:cs="Tahoma"/>
          <w:sz w:val="24"/>
          <w:szCs w:val="24"/>
        </w:rPr>
        <w:t xml:space="preserve"> evoluției </w:t>
      </w:r>
      <w:r w:rsidR="009575D5">
        <w:rPr>
          <w:rFonts w:ascii="Tahoma" w:hAnsi="Tahoma" w:cs="Tahoma"/>
          <w:sz w:val="24"/>
          <w:szCs w:val="24"/>
        </w:rPr>
        <w:t xml:space="preserve">înregistrate </w:t>
      </w:r>
      <w:r w:rsidR="00D413A5" w:rsidRPr="005B6AFF">
        <w:rPr>
          <w:rFonts w:ascii="Tahoma" w:hAnsi="Tahoma" w:cs="Tahoma"/>
          <w:sz w:val="24"/>
          <w:szCs w:val="24"/>
        </w:rPr>
        <w:t xml:space="preserve">la </w:t>
      </w:r>
      <w:r w:rsidR="00362EA3" w:rsidRPr="005B6AFF">
        <w:rPr>
          <w:rFonts w:ascii="Tahoma" w:hAnsi="Tahoma" w:cs="Tahoma"/>
          <w:sz w:val="24"/>
          <w:szCs w:val="24"/>
        </w:rPr>
        <w:t>bugetul Fondului național unic de asigurări sociale de sănătate</w:t>
      </w:r>
      <w:r w:rsidR="00C541D9">
        <w:rPr>
          <w:rFonts w:ascii="Tahoma" w:hAnsi="Tahoma" w:cs="Tahoma"/>
          <w:sz w:val="24"/>
          <w:szCs w:val="24"/>
        </w:rPr>
        <w:t xml:space="preserve"> (-5,7</w:t>
      </w:r>
      <w:r w:rsidR="00D413A5" w:rsidRPr="005B6AFF">
        <w:rPr>
          <w:rFonts w:ascii="Tahoma" w:hAnsi="Tahoma" w:cs="Tahoma"/>
          <w:sz w:val="24"/>
          <w:szCs w:val="24"/>
        </w:rPr>
        <w:t>%)</w:t>
      </w:r>
      <w:r w:rsidR="00D413A5" w:rsidRPr="005B6AFF">
        <w:rPr>
          <w:rFonts w:ascii="Tahoma" w:eastAsia="Calibri" w:hAnsi="Tahoma" w:cs="Tahoma"/>
          <w:sz w:val="24"/>
          <w:szCs w:val="28"/>
        </w:rPr>
        <w:t xml:space="preserve"> </w:t>
      </w:r>
      <w:r w:rsidR="00C541D9">
        <w:rPr>
          <w:rFonts w:ascii="Tahoma" w:eastAsia="Calibri" w:hAnsi="Tahoma" w:cs="Tahoma"/>
          <w:sz w:val="24"/>
          <w:szCs w:val="28"/>
        </w:rPr>
        <w:t>și la bugetul de sta</w:t>
      </w:r>
      <w:r w:rsidR="00C94070">
        <w:rPr>
          <w:rFonts w:ascii="Tahoma" w:eastAsia="Calibri" w:hAnsi="Tahoma" w:cs="Tahoma"/>
          <w:sz w:val="24"/>
          <w:szCs w:val="28"/>
        </w:rPr>
        <w:t>t</w:t>
      </w:r>
      <w:r w:rsidR="00C541D9">
        <w:rPr>
          <w:rFonts w:ascii="Tahoma" w:eastAsia="Calibri" w:hAnsi="Tahoma" w:cs="Tahoma"/>
          <w:sz w:val="24"/>
          <w:szCs w:val="28"/>
        </w:rPr>
        <w:t xml:space="preserve"> (-5,2%). </w:t>
      </w:r>
    </w:p>
    <w:p w:rsidR="00F81DCA" w:rsidRPr="005B6AFF" w:rsidRDefault="00B10206" w:rsidP="00753D9F">
      <w:pPr>
        <w:spacing w:after="120" w:line="276" w:lineRule="auto"/>
        <w:ind w:right="6"/>
        <w:jc w:val="both"/>
        <w:rPr>
          <w:rFonts w:ascii="Tahoma" w:hAnsi="Tahoma" w:cs="Tahoma"/>
          <w:sz w:val="24"/>
          <w:szCs w:val="24"/>
        </w:rPr>
      </w:pPr>
      <w:r w:rsidRPr="005B6AFF">
        <w:rPr>
          <w:rFonts w:ascii="Tahoma" w:hAnsi="Tahoma" w:cs="Tahoma"/>
          <w:b/>
          <w:bCs/>
          <w:sz w:val="24"/>
          <w:szCs w:val="24"/>
        </w:rPr>
        <w:t>Cheltuielile cu dobânzile</w:t>
      </w:r>
      <w:r w:rsidRPr="005B6AFF">
        <w:rPr>
          <w:rFonts w:ascii="Tahoma" w:hAnsi="Tahoma" w:cs="Tahoma"/>
          <w:sz w:val="24"/>
          <w:szCs w:val="24"/>
        </w:rPr>
        <w:t xml:space="preserve"> a</w:t>
      </w:r>
      <w:r w:rsidR="003C4703" w:rsidRPr="005B6AFF">
        <w:rPr>
          <w:rFonts w:ascii="Tahoma" w:hAnsi="Tahoma" w:cs="Tahoma"/>
          <w:sz w:val="24"/>
          <w:szCs w:val="24"/>
        </w:rPr>
        <w:t xml:space="preserve">u fost în termeni nominali de </w:t>
      </w:r>
      <w:r w:rsidR="00910DD0">
        <w:rPr>
          <w:rFonts w:ascii="Tahoma" w:hAnsi="Tahoma" w:cs="Tahoma"/>
          <w:sz w:val="24"/>
          <w:szCs w:val="24"/>
        </w:rPr>
        <w:t>12,73</w:t>
      </w:r>
      <w:r w:rsidRPr="005B6AFF">
        <w:rPr>
          <w:rFonts w:ascii="Tahoma" w:hAnsi="Tahoma" w:cs="Tahoma"/>
          <w:sz w:val="24"/>
          <w:szCs w:val="24"/>
        </w:rPr>
        <w:t xml:space="preserve"> </w:t>
      </w:r>
      <w:r w:rsidR="00602503" w:rsidRPr="005B6AFF">
        <w:rPr>
          <w:rFonts w:ascii="Tahoma" w:hAnsi="Tahoma" w:cs="Tahoma"/>
          <w:sz w:val="24"/>
          <w:szCs w:val="24"/>
        </w:rPr>
        <w:t>miliarde</w:t>
      </w:r>
      <w:r w:rsidRPr="005B6AFF">
        <w:rPr>
          <w:rFonts w:ascii="Tahoma" w:hAnsi="Tahoma" w:cs="Tahoma"/>
          <w:sz w:val="24"/>
          <w:szCs w:val="24"/>
        </w:rPr>
        <w:t xml:space="preserve"> lei (0,</w:t>
      </w:r>
      <w:r w:rsidR="0006321D">
        <w:rPr>
          <w:rFonts w:ascii="Tahoma" w:hAnsi="Tahoma" w:cs="Tahoma"/>
          <w:sz w:val="24"/>
          <w:szCs w:val="24"/>
        </w:rPr>
        <w:t>7</w:t>
      </w:r>
      <w:r w:rsidRPr="005B6AFF">
        <w:rPr>
          <w:rFonts w:ascii="Tahoma" w:hAnsi="Tahoma" w:cs="Tahoma"/>
          <w:sz w:val="24"/>
          <w:szCs w:val="24"/>
        </w:rPr>
        <w:t xml:space="preserve">% din PIB) și s-au efectuat în proporție de </w:t>
      </w:r>
      <w:r w:rsidR="00910DD0">
        <w:rPr>
          <w:rFonts w:ascii="Tahoma" w:hAnsi="Tahoma" w:cs="Tahoma"/>
          <w:sz w:val="24"/>
          <w:szCs w:val="24"/>
        </w:rPr>
        <w:t>87,1</w:t>
      </w:r>
      <w:r w:rsidRPr="005B6AFF">
        <w:rPr>
          <w:rFonts w:ascii="Tahoma" w:hAnsi="Tahoma" w:cs="Tahoma"/>
          <w:sz w:val="24"/>
          <w:szCs w:val="24"/>
        </w:rPr>
        <w:t xml:space="preserve">% din programul trimestrial. </w:t>
      </w:r>
      <w:r w:rsidR="006E39B6" w:rsidRPr="005B6AFF">
        <w:rPr>
          <w:rFonts w:ascii="Tahoma" w:hAnsi="Tahoma" w:cs="Tahoma"/>
          <w:sz w:val="24"/>
          <w:szCs w:val="24"/>
        </w:rPr>
        <w:t>Comparativ cu aceeași perioadă a anului precedent</w:t>
      </w:r>
      <w:r w:rsidR="000D5A57" w:rsidRPr="005B6AFF">
        <w:rPr>
          <w:rFonts w:ascii="Tahoma" w:hAnsi="Tahoma" w:cs="Tahoma"/>
          <w:sz w:val="24"/>
          <w:szCs w:val="24"/>
        </w:rPr>
        <w:t>,</w:t>
      </w:r>
      <w:r w:rsidR="006E39B6" w:rsidRPr="005B6AFF">
        <w:rPr>
          <w:rFonts w:ascii="Tahoma" w:hAnsi="Tahoma" w:cs="Tahoma"/>
          <w:sz w:val="24"/>
          <w:szCs w:val="24"/>
        </w:rPr>
        <w:t xml:space="preserve"> plățile de dobânzi </w:t>
      </w:r>
      <w:r w:rsidR="0006321D">
        <w:rPr>
          <w:rFonts w:ascii="Tahoma" w:hAnsi="Tahoma" w:cs="Tahoma"/>
          <w:sz w:val="24"/>
          <w:szCs w:val="24"/>
        </w:rPr>
        <w:t xml:space="preserve">au crescut </w:t>
      </w:r>
      <w:r w:rsidR="006E39B6" w:rsidRPr="005B6AFF">
        <w:rPr>
          <w:rFonts w:ascii="Tahoma" w:hAnsi="Tahoma" w:cs="Tahoma"/>
          <w:sz w:val="24"/>
          <w:szCs w:val="24"/>
        </w:rPr>
        <w:t xml:space="preserve">cu </w:t>
      </w:r>
      <w:r w:rsidR="00910DD0">
        <w:rPr>
          <w:rFonts w:ascii="Tahoma" w:hAnsi="Tahoma" w:cs="Tahoma"/>
          <w:sz w:val="24"/>
          <w:szCs w:val="24"/>
        </w:rPr>
        <w:t>27,5</w:t>
      </w:r>
      <w:r w:rsidR="006E39B6" w:rsidRPr="005B6AFF">
        <w:rPr>
          <w:rFonts w:ascii="Tahoma" w:hAnsi="Tahoma" w:cs="Tahoma"/>
          <w:sz w:val="24"/>
          <w:szCs w:val="24"/>
        </w:rPr>
        <w:t>%</w:t>
      </w:r>
      <w:r w:rsidR="001C5D69" w:rsidRPr="005B6AFF">
        <w:rPr>
          <w:rFonts w:ascii="Tahoma" w:hAnsi="Tahoma" w:cs="Tahoma"/>
          <w:sz w:val="24"/>
          <w:szCs w:val="24"/>
        </w:rPr>
        <w:t xml:space="preserve"> </w:t>
      </w:r>
      <w:r w:rsidR="006E39B6" w:rsidRPr="005B6AFF">
        <w:rPr>
          <w:rFonts w:ascii="Tahoma" w:hAnsi="Tahoma" w:cs="Tahoma"/>
          <w:sz w:val="24"/>
          <w:szCs w:val="24"/>
        </w:rPr>
        <w:t>(</w:t>
      </w:r>
      <w:r w:rsidR="009575D5">
        <w:rPr>
          <w:rFonts w:ascii="Tahoma" w:hAnsi="Tahoma" w:cs="Tahoma"/>
          <w:sz w:val="24"/>
          <w:szCs w:val="24"/>
        </w:rPr>
        <w:t>+</w:t>
      </w:r>
      <w:r w:rsidR="00910DD0">
        <w:rPr>
          <w:rFonts w:ascii="Tahoma" w:hAnsi="Tahoma" w:cs="Tahoma"/>
          <w:sz w:val="24"/>
          <w:szCs w:val="24"/>
        </w:rPr>
        <w:t>2,75</w:t>
      </w:r>
      <w:r w:rsidR="006E39B6" w:rsidRPr="005B6AFF">
        <w:rPr>
          <w:rFonts w:ascii="Tahoma" w:hAnsi="Tahoma" w:cs="Tahoma"/>
          <w:sz w:val="24"/>
          <w:szCs w:val="24"/>
        </w:rPr>
        <w:t xml:space="preserve"> </w:t>
      </w:r>
      <w:r w:rsidR="00602503" w:rsidRPr="005B6AFF">
        <w:rPr>
          <w:rFonts w:ascii="Tahoma" w:hAnsi="Tahoma" w:cs="Tahoma"/>
          <w:sz w:val="24"/>
          <w:szCs w:val="24"/>
        </w:rPr>
        <w:t>miliarde</w:t>
      </w:r>
      <w:r w:rsidR="006E39B6" w:rsidRPr="005B6AFF">
        <w:rPr>
          <w:rFonts w:ascii="Tahoma" w:hAnsi="Tahoma" w:cs="Tahoma"/>
          <w:sz w:val="24"/>
          <w:szCs w:val="24"/>
        </w:rPr>
        <w:t xml:space="preserve"> lei)</w:t>
      </w:r>
      <w:r w:rsidR="00F81DCA" w:rsidRPr="005B6AFF">
        <w:rPr>
          <w:rFonts w:ascii="Tahoma" w:hAnsi="Tahoma" w:cs="Tahoma"/>
          <w:sz w:val="24"/>
          <w:szCs w:val="24"/>
        </w:rPr>
        <w:t>.</w:t>
      </w:r>
    </w:p>
    <w:p w:rsidR="00D413A5" w:rsidRPr="005B6AFF" w:rsidRDefault="00B10206" w:rsidP="00D413A5">
      <w:pPr>
        <w:spacing w:before="120" w:after="120" w:line="276" w:lineRule="auto"/>
        <w:jc w:val="both"/>
        <w:rPr>
          <w:rFonts w:ascii="Tahoma" w:hAnsi="Tahoma" w:cs="Tahoma"/>
          <w:bCs/>
          <w:sz w:val="24"/>
          <w:szCs w:val="24"/>
        </w:rPr>
      </w:pPr>
      <w:r w:rsidRPr="005B6AFF">
        <w:rPr>
          <w:rFonts w:ascii="Tahoma" w:hAnsi="Tahoma" w:cs="Tahoma"/>
          <w:b/>
          <w:bCs/>
          <w:sz w:val="24"/>
          <w:szCs w:val="24"/>
        </w:rPr>
        <w:t>Cheltuielile cu subvențiile</w:t>
      </w:r>
      <w:r w:rsidR="003C4703" w:rsidRPr="005B6AFF">
        <w:rPr>
          <w:rFonts w:ascii="Tahoma" w:hAnsi="Tahoma" w:cs="Tahoma"/>
          <w:bCs/>
          <w:sz w:val="24"/>
          <w:szCs w:val="24"/>
        </w:rPr>
        <w:t xml:space="preserve"> au fost în sumă de </w:t>
      </w:r>
      <w:r w:rsidR="0006321D">
        <w:rPr>
          <w:rFonts w:ascii="Tahoma" w:hAnsi="Tahoma" w:cs="Tahoma"/>
          <w:bCs/>
          <w:sz w:val="24"/>
          <w:szCs w:val="24"/>
        </w:rPr>
        <w:t>3,</w:t>
      </w:r>
      <w:r w:rsidR="00254C8E">
        <w:rPr>
          <w:rFonts w:ascii="Tahoma" w:hAnsi="Tahoma" w:cs="Tahoma"/>
          <w:bCs/>
          <w:sz w:val="24"/>
          <w:szCs w:val="24"/>
        </w:rPr>
        <w:t>41</w:t>
      </w:r>
      <w:r w:rsidR="003C4703" w:rsidRPr="005B6AFF">
        <w:rPr>
          <w:rFonts w:ascii="Tahoma" w:hAnsi="Tahoma" w:cs="Tahoma"/>
          <w:bCs/>
          <w:sz w:val="24"/>
          <w:szCs w:val="24"/>
        </w:rPr>
        <w:t xml:space="preserve"> </w:t>
      </w:r>
      <w:r w:rsidR="00602503" w:rsidRPr="005B6AFF">
        <w:rPr>
          <w:rFonts w:ascii="Tahoma" w:hAnsi="Tahoma" w:cs="Tahoma"/>
          <w:bCs/>
          <w:sz w:val="24"/>
          <w:szCs w:val="24"/>
        </w:rPr>
        <w:t>miliarde</w:t>
      </w:r>
      <w:r w:rsidR="001B1117" w:rsidRPr="005B6AFF">
        <w:rPr>
          <w:rFonts w:ascii="Tahoma" w:hAnsi="Tahoma" w:cs="Tahoma"/>
          <w:bCs/>
          <w:sz w:val="24"/>
          <w:szCs w:val="24"/>
        </w:rPr>
        <w:t xml:space="preserve"> lei, au reprezentat 0,</w:t>
      </w:r>
      <w:r w:rsidR="00DB549B" w:rsidRPr="005B6AFF">
        <w:rPr>
          <w:rFonts w:ascii="Tahoma" w:hAnsi="Tahoma" w:cs="Tahoma"/>
          <w:bCs/>
          <w:sz w:val="24"/>
          <w:szCs w:val="24"/>
        </w:rPr>
        <w:t>2</w:t>
      </w:r>
      <w:r w:rsidRPr="005B6AFF">
        <w:rPr>
          <w:rFonts w:ascii="Tahoma" w:hAnsi="Tahoma" w:cs="Tahoma"/>
          <w:bCs/>
          <w:sz w:val="24"/>
          <w:szCs w:val="24"/>
        </w:rPr>
        <w:t xml:space="preserve">% din PIB și s-au efectuat în proporție de </w:t>
      </w:r>
      <w:r w:rsidR="00254C8E">
        <w:rPr>
          <w:rFonts w:ascii="Tahoma" w:hAnsi="Tahoma" w:cs="Tahoma"/>
          <w:bCs/>
          <w:sz w:val="24"/>
          <w:szCs w:val="24"/>
        </w:rPr>
        <w:t>108,2</w:t>
      </w:r>
      <w:r w:rsidRPr="005B6AFF">
        <w:rPr>
          <w:rFonts w:ascii="Tahoma" w:hAnsi="Tahoma" w:cs="Tahoma"/>
          <w:bCs/>
          <w:sz w:val="24"/>
          <w:szCs w:val="24"/>
        </w:rPr>
        <w:t>% comparativ cu programul trimestrial</w:t>
      </w:r>
      <w:r w:rsidR="00925E6D" w:rsidRPr="005B6AFF">
        <w:rPr>
          <w:rFonts w:ascii="Tahoma" w:hAnsi="Tahoma" w:cs="Tahoma"/>
          <w:bCs/>
          <w:sz w:val="24"/>
          <w:szCs w:val="24"/>
        </w:rPr>
        <w:t xml:space="preserve">. </w:t>
      </w:r>
    </w:p>
    <w:p w:rsidR="00D413A5" w:rsidRPr="00D81D62" w:rsidRDefault="00F81DCA" w:rsidP="00D413A5">
      <w:pPr>
        <w:spacing w:before="120" w:after="120" w:line="276" w:lineRule="auto"/>
        <w:jc w:val="both"/>
        <w:rPr>
          <w:rFonts w:ascii="Tahoma" w:hAnsi="Tahoma" w:cs="Tahoma"/>
          <w:bCs/>
          <w:sz w:val="24"/>
          <w:szCs w:val="24"/>
        </w:rPr>
      </w:pPr>
      <w:r w:rsidRPr="005B6AFF">
        <w:rPr>
          <w:rFonts w:ascii="Tahoma" w:hAnsi="Tahoma" w:cs="Tahoma"/>
          <w:bCs/>
          <w:sz w:val="24"/>
          <w:szCs w:val="24"/>
        </w:rPr>
        <w:t xml:space="preserve">Cheltuielile efectuate </w:t>
      </w:r>
      <w:r w:rsidRPr="005B6AFF">
        <w:rPr>
          <w:rFonts w:ascii="Tahoma" w:eastAsia="Calibri" w:hAnsi="Tahoma" w:cs="Tahoma"/>
          <w:sz w:val="24"/>
          <w:szCs w:val="24"/>
        </w:rPr>
        <w:t xml:space="preserve">reprezintă </w:t>
      </w:r>
      <w:r w:rsidR="00D413A5" w:rsidRPr="005B6AFF">
        <w:rPr>
          <w:rFonts w:ascii="Tahoma" w:hAnsi="Tahoma" w:cs="Tahoma"/>
          <w:bCs/>
          <w:sz w:val="24"/>
          <w:szCs w:val="24"/>
        </w:rPr>
        <w:t xml:space="preserve">subvenții pentru transportul de călători, pentru sprijinirea producătorilor agricoli, precum și pentru schema de compensare </w:t>
      </w:r>
      <w:r w:rsidR="00D413A5" w:rsidRPr="00D81D62">
        <w:rPr>
          <w:rFonts w:ascii="Tahoma" w:hAnsi="Tahoma" w:cs="Tahoma"/>
          <w:bCs/>
          <w:sz w:val="24"/>
          <w:szCs w:val="24"/>
        </w:rPr>
        <w:t>pentru consumul de energie electrică și gaze naturale al consumatorilor noncasnici (</w:t>
      </w:r>
      <w:r w:rsidR="00D81D62" w:rsidRPr="00D81D62">
        <w:rPr>
          <w:rFonts w:ascii="Tahoma" w:hAnsi="Tahoma" w:cs="Tahoma"/>
          <w:bCs/>
          <w:sz w:val="24"/>
          <w:szCs w:val="24"/>
        </w:rPr>
        <w:t>0,</w:t>
      </w:r>
      <w:r w:rsidR="003371F4">
        <w:rPr>
          <w:rFonts w:ascii="Tahoma" w:hAnsi="Tahoma" w:cs="Tahoma"/>
          <w:bCs/>
          <w:sz w:val="24"/>
          <w:szCs w:val="24"/>
        </w:rPr>
        <w:t>13</w:t>
      </w:r>
      <w:r w:rsidR="00D413A5" w:rsidRPr="00D81D62">
        <w:rPr>
          <w:rFonts w:ascii="Tahoma" w:hAnsi="Tahoma" w:cs="Tahoma"/>
          <w:bCs/>
          <w:sz w:val="24"/>
          <w:szCs w:val="24"/>
        </w:rPr>
        <w:t xml:space="preserve"> m</w:t>
      </w:r>
      <w:r w:rsidR="00D81D62" w:rsidRPr="00D81D62">
        <w:rPr>
          <w:rFonts w:ascii="Tahoma" w:hAnsi="Tahoma" w:cs="Tahoma"/>
          <w:bCs/>
          <w:sz w:val="24"/>
          <w:szCs w:val="24"/>
        </w:rPr>
        <w:t>ld.</w:t>
      </w:r>
      <w:r w:rsidR="00D413A5" w:rsidRPr="00D81D62">
        <w:rPr>
          <w:rFonts w:ascii="Tahoma" w:hAnsi="Tahoma" w:cs="Tahoma"/>
          <w:bCs/>
          <w:sz w:val="24"/>
          <w:szCs w:val="24"/>
        </w:rPr>
        <w:t xml:space="preserve"> lei)</w:t>
      </w:r>
      <w:r w:rsidR="003371F4">
        <w:rPr>
          <w:rFonts w:ascii="Tahoma" w:hAnsi="Tahoma" w:cs="Tahoma"/>
          <w:bCs/>
          <w:sz w:val="24"/>
          <w:szCs w:val="24"/>
        </w:rPr>
        <w:t>.</w:t>
      </w:r>
      <w:r w:rsidR="00D413A5" w:rsidRPr="00D81D62">
        <w:rPr>
          <w:rFonts w:ascii="Tahoma" w:hAnsi="Tahoma" w:cs="Tahoma"/>
          <w:bCs/>
          <w:sz w:val="24"/>
          <w:szCs w:val="24"/>
        </w:rPr>
        <w:t xml:space="preserve"> </w:t>
      </w:r>
    </w:p>
    <w:p w:rsidR="00E044D0" w:rsidRPr="005B6AFF" w:rsidRDefault="00E044D0" w:rsidP="005F4DF1">
      <w:pPr>
        <w:spacing w:before="120" w:after="120" w:line="276" w:lineRule="auto"/>
        <w:jc w:val="both"/>
        <w:rPr>
          <w:rFonts w:ascii="Tahoma" w:eastAsia="Calibri" w:hAnsi="Tahoma" w:cs="Tahoma"/>
          <w:sz w:val="24"/>
          <w:szCs w:val="24"/>
        </w:rPr>
      </w:pPr>
      <w:r w:rsidRPr="005B6AFF">
        <w:rPr>
          <w:rFonts w:ascii="Tahoma" w:eastAsia="Calibri" w:hAnsi="Tahoma" w:cs="Tahoma"/>
          <w:sz w:val="24"/>
          <w:szCs w:val="24"/>
        </w:rPr>
        <w:t xml:space="preserve">Comparativ cu aceeași perioada a anului anterior cheltuielile cu subvențiile s-au </w:t>
      </w:r>
      <w:r w:rsidR="00DB549B" w:rsidRPr="005B6AFF">
        <w:rPr>
          <w:rFonts w:ascii="Tahoma" w:eastAsia="Calibri" w:hAnsi="Tahoma" w:cs="Tahoma"/>
          <w:sz w:val="24"/>
          <w:szCs w:val="24"/>
        </w:rPr>
        <w:t>redus</w:t>
      </w:r>
      <w:r w:rsidRPr="005B6AFF">
        <w:rPr>
          <w:rFonts w:ascii="Tahoma" w:eastAsia="Calibri" w:hAnsi="Tahoma" w:cs="Tahoma"/>
          <w:sz w:val="24"/>
          <w:szCs w:val="24"/>
        </w:rPr>
        <w:t xml:space="preserve"> cu </w:t>
      </w:r>
      <w:r w:rsidR="003371F4">
        <w:rPr>
          <w:rFonts w:ascii="Tahoma" w:eastAsia="Calibri" w:hAnsi="Tahoma" w:cs="Tahoma"/>
          <w:sz w:val="24"/>
          <w:szCs w:val="24"/>
        </w:rPr>
        <w:t>33,9</w:t>
      </w:r>
      <w:r w:rsidR="00D12554" w:rsidRPr="005B6AFF">
        <w:rPr>
          <w:rFonts w:ascii="Tahoma" w:eastAsia="Calibri" w:hAnsi="Tahoma" w:cs="Tahoma"/>
          <w:sz w:val="24"/>
          <w:szCs w:val="24"/>
        </w:rPr>
        <w:t>%</w:t>
      </w:r>
      <w:r w:rsidR="001C5D69" w:rsidRPr="005B6AFF">
        <w:rPr>
          <w:rFonts w:ascii="Tahoma" w:eastAsia="Calibri" w:hAnsi="Tahoma" w:cs="Tahoma"/>
          <w:sz w:val="24"/>
          <w:szCs w:val="24"/>
        </w:rPr>
        <w:t xml:space="preserve"> </w:t>
      </w:r>
      <w:r w:rsidR="00D12554" w:rsidRPr="005B6AFF">
        <w:rPr>
          <w:rFonts w:ascii="Tahoma" w:eastAsia="Calibri" w:hAnsi="Tahoma" w:cs="Tahoma"/>
          <w:sz w:val="24"/>
          <w:szCs w:val="24"/>
        </w:rPr>
        <w:t>(</w:t>
      </w:r>
      <w:r w:rsidR="00DC67C5">
        <w:rPr>
          <w:rFonts w:ascii="Tahoma" w:eastAsia="Calibri" w:hAnsi="Tahoma" w:cs="Tahoma"/>
          <w:sz w:val="24"/>
          <w:szCs w:val="24"/>
        </w:rPr>
        <w:t>-</w:t>
      </w:r>
      <w:r w:rsidR="003371F4">
        <w:rPr>
          <w:rFonts w:ascii="Tahoma" w:eastAsia="Calibri" w:hAnsi="Tahoma" w:cs="Tahoma"/>
          <w:sz w:val="24"/>
          <w:szCs w:val="24"/>
        </w:rPr>
        <w:t>1,75</w:t>
      </w:r>
      <w:r w:rsidR="00D12554" w:rsidRPr="005B6AFF">
        <w:rPr>
          <w:rFonts w:ascii="Tahoma" w:eastAsia="Calibri" w:hAnsi="Tahoma" w:cs="Tahoma"/>
          <w:sz w:val="24"/>
          <w:szCs w:val="24"/>
        </w:rPr>
        <w:t xml:space="preserve"> miliarde lei).</w:t>
      </w:r>
    </w:p>
    <w:p w:rsidR="00DB549B" w:rsidRPr="005B6AFF" w:rsidRDefault="00B10206" w:rsidP="00753D9F">
      <w:pPr>
        <w:spacing w:after="120" w:line="276" w:lineRule="auto"/>
        <w:jc w:val="both"/>
        <w:rPr>
          <w:rFonts w:ascii="Tahoma" w:hAnsi="Tahoma" w:cs="Tahoma"/>
          <w:sz w:val="24"/>
          <w:szCs w:val="24"/>
        </w:rPr>
      </w:pPr>
      <w:r w:rsidRPr="005B6AFF">
        <w:rPr>
          <w:rFonts w:ascii="Tahoma" w:hAnsi="Tahoma" w:cs="Tahoma"/>
          <w:b/>
          <w:bCs/>
          <w:sz w:val="24"/>
          <w:szCs w:val="24"/>
        </w:rPr>
        <w:t>Cheltuielile cu asistența socială</w:t>
      </w:r>
      <w:r w:rsidR="003C4703" w:rsidRPr="005B6AFF">
        <w:rPr>
          <w:rFonts w:ascii="Tahoma" w:hAnsi="Tahoma" w:cs="Tahoma"/>
          <w:sz w:val="24"/>
          <w:szCs w:val="24"/>
        </w:rPr>
        <w:t xml:space="preserve"> au fost în sumă de </w:t>
      </w:r>
      <w:r w:rsidR="00080488">
        <w:rPr>
          <w:rFonts w:ascii="Tahoma" w:hAnsi="Tahoma" w:cs="Tahoma"/>
          <w:sz w:val="24"/>
          <w:szCs w:val="24"/>
        </w:rPr>
        <w:t>62,93</w:t>
      </w:r>
      <w:r w:rsidR="003C4703" w:rsidRPr="005B6AFF">
        <w:rPr>
          <w:rFonts w:ascii="Tahoma" w:hAnsi="Tahoma" w:cs="Tahoma"/>
          <w:sz w:val="24"/>
          <w:szCs w:val="24"/>
        </w:rPr>
        <w:t xml:space="preserve"> </w:t>
      </w:r>
      <w:r w:rsidR="00602503" w:rsidRPr="005B6AFF">
        <w:rPr>
          <w:rFonts w:ascii="Tahoma" w:hAnsi="Tahoma" w:cs="Tahoma"/>
          <w:sz w:val="24"/>
          <w:szCs w:val="24"/>
        </w:rPr>
        <w:t>miliarde</w:t>
      </w:r>
      <w:r w:rsidRPr="005B6AFF">
        <w:rPr>
          <w:rFonts w:ascii="Tahoma" w:hAnsi="Tahoma" w:cs="Tahoma"/>
          <w:sz w:val="24"/>
          <w:szCs w:val="24"/>
        </w:rPr>
        <w:t xml:space="preserve"> lei, au reprezentat 3,</w:t>
      </w:r>
      <w:r w:rsidR="00DB549B" w:rsidRPr="005B6AFF">
        <w:rPr>
          <w:rFonts w:ascii="Tahoma" w:hAnsi="Tahoma" w:cs="Tahoma"/>
          <w:sz w:val="24"/>
          <w:szCs w:val="24"/>
        </w:rPr>
        <w:t>3</w:t>
      </w:r>
      <w:r w:rsidRPr="005B6AFF">
        <w:rPr>
          <w:rFonts w:ascii="Tahoma" w:hAnsi="Tahoma" w:cs="Tahoma"/>
          <w:sz w:val="24"/>
          <w:szCs w:val="24"/>
        </w:rPr>
        <w:t xml:space="preserve">% din PIB </w:t>
      </w:r>
      <w:r w:rsidR="00C145D7" w:rsidRPr="005B6AFF">
        <w:rPr>
          <w:rFonts w:ascii="Tahoma" w:hAnsi="Tahoma" w:cs="Tahoma"/>
          <w:sz w:val="24"/>
          <w:szCs w:val="24"/>
        </w:rPr>
        <w:t>și</w:t>
      </w:r>
      <w:r w:rsidRPr="005B6AFF">
        <w:rPr>
          <w:rFonts w:ascii="Tahoma" w:hAnsi="Tahoma" w:cs="Tahoma"/>
          <w:sz w:val="24"/>
          <w:szCs w:val="24"/>
        </w:rPr>
        <w:t xml:space="preserve"> s-au efectuat în proporție de </w:t>
      </w:r>
      <w:r w:rsidR="00080488">
        <w:rPr>
          <w:rFonts w:ascii="Tahoma" w:hAnsi="Tahoma" w:cs="Tahoma"/>
          <w:sz w:val="24"/>
          <w:szCs w:val="24"/>
        </w:rPr>
        <w:t>100,9</w:t>
      </w:r>
      <w:r w:rsidRPr="005B6AFF">
        <w:rPr>
          <w:rFonts w:ascii="Tahoma" w:hAnsi="Tahoma" w:cs="Tahoma"/>
          <w:sz w:val="24"/>
          <w:szCs w:val="24"/>
        </w:rPr>
        <w:t>% față de programul trimestrial.</w:t>
      </w:r>
      <w:r w:rsidR="006737B0" w:rsidRPr="005B6AFF">
        <w:rPr>
          <w:rFonts w:ascii="Tahoma" w:hAnsi="Tahoma" w:cs="Tahoma"/>
          <w:sz w:val="24"/>
          <w:szCs w:val="24"/>
        </w:rPr>
        <w:t xml:space="preserve"> </w:t>
      </w:r>
      <w:r w:rsidR="00EA6101" w:rsidRPr="005B6AFF">
        <w:rPr>
          <w:rFonts w:ascii="Tahoma" w:hAnsi="Tahoma" w:cs="Tahoma"/>
          <w:sz w:val="24"/>
          <w:szCs w:val="24"/>
        </w:rPr>
        <w:t xml:space="preserve">Cheltuielile cu </w:t>
      </w:r>
      <w:r w:rsidR="00C145D7" w:rsidRPr="005B6AFF">
        <w:rPr>
          <w:rFonts w:ascii="Tahoma" w:hAnsi="Tahoma" w:cs="Tahoma"/>
          <w:sz w:val="24"/>
          <w:szCs w:val="24"/>
        </w:rPr>
        <w:t>asistența</w:t>
      </w:r>
      <w:r w:rsidR="00EA6101" w:rsidRPr="005B6AFF">
        <w:rPr>
          <w:rFonts w:ascii="Tahoma" w:hAnsi="Tahoma" w:cs="Tahoma"/>
          <w:sz w:val="24"/>
          <w:szCs w:val="24"/>
        </w:rPr>
        <w:t xml:space="preserve"> socială au crescut comparati</w:t>
      </w:r>
      <w:r w:rsidR="00567D77" w:rsidRPr="005B6AFF">
        <w:rPr>
          <w:rFonts w:ascii="Tahoma" w:hAnsi="Tahoma" w:cs="Tahoma"/>
          <w:sz w:val="24"/>
          <w:szCs w:val="24"/>
        </w:rPr>
        <w:t>v</w:t>
      </w:r>
      <w:r w:rsidR="00EA6101" w:rsidRPr="005B6AFF">
        <w:rPr>
          <w:rFonts w:ascii="Tahoma" w:hAnsi="Tahoma" w:cs="Tahoma"/>
          <w:sz w:val="24"/>
          <w:szCs w:val="24"/>
        </w:rPr>
        <w:t xml:space="preserve"> cu trimestr</w:t>
      </w:r>
      <w:r w:rsidR="00567D77" w:rsidRPr="005B6AFF">
        <w:rPr>
          <w:rFonts w:ascii="Tahoma" w:hAnsi="Tahoma" w:cs="Tahoma"/>
          <w:sz w:val="24"/>
          <w:szCs w:val="24"/>
        </w:rPr>
        <w:t>u</w:t>
      </w:r>
      <w:r w:rsidR="00EA6101" w:rsidRPr="005B6AFF">
        <w:rPr>
          <w:rFonts w:ascii="Tahoma" w:hAnsi="Tahoma" w:cs="Tahoma"/>
          <w:sz w:val="24"/>
          <w:szCs w:val="24"/>
        </w:rPr>
        <w:t>l I</w:t>
      </w:r>
      <w:r w:rsidR="00080488">
        <w:rPr>
          <w:rFonts w:ascii="Tahoma" w:hAnsi="Tahoma" w:cs="Tahoma"/>
          <w:sz w:val="24"/>
          <w:szCs w:val="24"/>
        </w:rPr>
        <w:t>I</w:t>
      </w:r>
      <w:r w:rsidR="00EA6101" w:rsidRPr="005B6AFF">
        <w:rPr>
          <w:rFonts w:ascii="Tahoma" w:hAnsi="Tahoma" w:cs="Tahoma"/>
          <w:sz w:val="24"/>
          <w:szCs w:val="24"/>
        </w:rPr>
        <w:t xml:space="preserve"> 202</w:t>
      </w:r>
      <w:r w:rsidR="0006321D">
        <w:rPr>
          <w:rFonts w:ascii="Tahoma" w:hAnsi="Tahoma" w:cs="Tahoma"/>
          <w:sz w:val="24"/>
          <w:szCs w:val="24"/>
        </w:rPr>
        <w:t>4</w:t>
      </w:r>
      <w:r w:rsidR="00EA6101" w:rsidRPr="005B6AFF">
        <w:rPr>
          <w:rFonts w:ascii="Tahoma" w:hAnsi="Tahoma" w:cs="Tahoma"/>
          <w:sz w:val="24"/>
          <w:szCs w:val="24"/>
        </w:rPr>
        <w:t xml:space="preserve"> cu </w:t>
      </w:r>
      <w:r w:rsidR="00080488">
        <w:rPr>
          <w:rFonts w:ascii="Tahoma" w:hAnsi="Tahoma" w:cs="Tahoma"/>
          <w:sz w:val="24"/>
          <w:szCs w:val="24"/>
        </w:rPr>
        <w:t>18,8</w:t>
      </w:r>
      <w:r w:rsidR="00EA6101" w:rsidRPr="005B6AFF">
        <w:rPr>
          <w:rFonts w:ascii="Tahoma" w:hAnsi="Tahoma" w:cs="Tahoma"/>
          <w:sz w:val="24"/>
          <w:szCs w:val="24"/>
        </w:rPr>
        <w:t>%</w:t>
      </w:r>
      <w:r w:rsidR="00DB549B" w:rsidRPr="005B6AFF">
        <w:rPr>
          <w:rFonts w:ascii="Tahoma" w:hAnsi="Tahoma" w:cs="Tahoma"/>
          <w:sz w:val="24"/>
          <w:szCs w:val="24"/>
        </w:rPr>
        <w:t xml:space="preserve"> iar ca pondere în PIB cu 0,</w:t>
      </w:r>
      <w:r w:rsidR="00080488">
        <w:rPr>
          <w:rFonts w:ascii="Tahoma" w:hAnsi="Tahoma" w:cs="Tahoma"/>
          <w:sz w:val="24"/>
          <w:szCs w:val="24"/>
        </w:rPr>
        <w:t>3</w:t>
      </w:r>
      <w:r w:rsidR="00DB549B" w:rsidRPr="005B6AFF">
        <w:rPr>
          <w:rFonts w:ascii="Tahoma" w:hAnsi="Tahoma" w:cs="Tahoma"/>
          <w:sz w:val="24"/>
          <w:szCs w:val="24"/>
        </w:rPr>
        <w:t xml:space="preserve"> puncte procentuale de la 3,</w:t>
      </w:r>
      <w:r w:rsidR="00080488">
        <w:rPr>
          <w:rFonts w:ascii="Tahoma" w:hAnsi="Tahoma" w:cs="Tahoma"/>
          <w:sz w:val="24"/>
          <w:szCs w:val="24"/>
        </w:rPr>
        <w:t>0</w:t>
      </w:r>
      <w:r w:rsidR="00DB549B" w:rsidRPr="005B6AFF">
        <w:rPr>
          <w:rFonts w:ascii="Tahoma" w:hAnsi="Tahoma" w:cs="Tahoma"/>
          <w:sz w:val="24"/>
          <w:szCs w:val="24"/>
        </w:rPr>
        <w:t>% din PIB în trimestrul I</w:t>
      </w:r>
      <w:r w:rsidR="00080488">
        <w:rPr>
          <w:rFonts w:ascii="Tahoma" w:hAnsi="Tahoma" w:cs="Tahoma"/>
          <w:sz w:val="24"/>
          <w:szCs w:val="24"/>
        </w:rPr>
        <w:t>I</w:t>
      </w:r>
      <w:r w:rsidR="00DB549B" w:rsidRPr="005B6AFF">
        <w:rPr>
          <w:rFonts w:ascii="Tahoma" w:hAnsi="Tahoma" w:cs="Tahoma"/>
          <w:sz w:val="24"/>
          <w:szCs w:val="24"/>
        </w:rPr>
        <w:t xml:space="preserve"> 202</w:t>
      </w:r>
      <w:r w:rsidR="0006321D">
        <w:rPr>
          <w:rFonts w:ascii="Tahoma" w:hAnsi="Tahoma" w:cs="Tahoma"/>
          <w:sz w:val="24"/>
          <w:szCs w:val="24"/>
        </w:rPr>
        <w:t>4</w:t>
      </w:r>
      <w:r w:rsidR="00DB549B" w:rsidRPr="005B6AFF">
        <w:rPr>
          <w:rFonts w:ascii="Tahoma" w:hAnsi="Tahoma" w:cs="Tahoma"/>
          <w:sz w:val="24"/>
          <w:szCs w:val="24"/>
        </w:rPr>
        <w:t xml:space="preserve"> la 3,3% din PIB în perioada analizată.</w:t>
      </w:r>
    </w:p>
    <w:p w:rsidR="00D81D62" w:rsidRPr="00D81D62" w:rsidRDefault="00D81D62" w:rsidP="00CA4DCF">
      <w:pPr>
        <w:spacing w:after="120" w:line="276" w:lineRule="auto"/>
        <w:ind w:right="-57"/>
        <w:jc w:val="both"/>
        <w:rPr>
          <w:rFonts w:ascii="Tahoma" w:eastAsia="Calibri" w:hAnsi="Tahoma" w:cs="Tahoma"/>
          <w:bCs/>
          <w:sz w:val="24"/>
          <w:szCs w:val="24"/>
          <w:lang w:val="es-ES"/>
        </w:rPr>
      </w:pPr>
      <w:r w:rsidRPr="00D81D62">
        <w:rPr>
          <w:rFonts w:ascii="Tahoma" w:eastAsia="Calibri" w:hAnsi="Tahoma" w:cs="Tahoma"/>
          <w:sz w:val="24"/>
          <w:szCs w:val="24"/>
        </w:rPr>
        <w:t>Evoluția cheltuielilor cu asistența socială a fost influențată, în principal, de implementarea măsurilor de recalculare a pensiilor din sistemul public cu începere de la 1 septembrie 2024, în conformitate cu prevederile Legii nr. 360/2023 din 29 noiembrie 2023 privind sistemul public de pensii.</w:t>
      </w:r>
      <w:r w:rsidRPr="00D81D62">
        <w:rPr>
          <w:rFonts w:ascii="Tahoma" w:eastAsia="Calibri" w:hAnsi="Tahoma" w:cs="Tahoma"/>
          <w:bCs/>
          <w:sz w:val="24"/>
          <w:szCs w:val="24"/>
          <w:lang w:val="es-ES"/>
        </w:rPr>
        <w:t xml:space="preserve"> </w:t>
      </w:r>
    </w:p>
    <w:p w:rsidR="00CA4DCF" w:rsidRPr="00D81D62" w:rsidRDefault="00CA4DCF" w:rsidP="00CA4DCF">
      <w:pPr>
        <w:spacing w:after="120" w:line="276" w:lineRule="auto"/>
        <w:ind w:right="-57"/>
        <w:jc w:val="both"/>
        <w:rPr>
          <w:rFonts w:ascii="Tahoma" w:eastAsia="Calibri" w:hAnsi="Tahoma" w:cs="Tahoma"/>
          <w:bCs/>
          <w:sz w:val="24"/>
          <w:szCs w:val="24"/>
          <w:lang w:bidi="si-LK"/>
        </w:rPr>
      </w:pPr>
      <w:r w:rsidRPr="00D81D62">
        <w:rPr>
          <w:rFonts w:ascii="Tahoma" w:eastAsia="Calibri" w:hAnsi="Tahoma" w:cs="Tahoma"/>
          <w:bCs/>
          <w:sz w:val="24"/>
          <w:szCs w:val="24"/>
          <w:lang w:bidi="si-LK"/>
        </w:rPr>
        <w:t>Cheltuielile cu asistența socială au fost influențate și de plățile suportate de la bugetul de stat pentru compensarea facturilor aferente consumului de ene</w:t>
      </w:r>
      <w:r w:rsidR="009575D5">
        <w:rPr>
          <w:rFonts w:ascii="Tahoma" w:eastAsia="Calibri" w:hAnsi="Tahoma" w:cs="Tahoma"/>
          <w:bCs/>
          <w:sz w:val="24"/>
          <w:szCs w:val="24"/>
          <w:lang w:bidi="si-LK"/>
        </w:rPr>
        <w:t>rgie electrică și gaze naturale</w:t>
      </w:r>
      <w:r w:rsidRPr="00D81D62">
        <w:rPr>
          <w:rFonts w:ascii="Tahoma" w:eastAsia="Calibri" w:hAnsi="Tahoma" w:cs="Tahoma"/>
          <w:bCs/>
          <w:sz w:val="24"/>
          <w:szCs w:val="24"/>
          <w:lang w:bidi="si-LK"/>
        </w:rPr>
        <w:t xml:space="preserve"> în sumă de </w:t>
      </w:r>
      <w:r w:rsidR="00D81D62" w:rsidRPr="00D81D62">
        <w:rPr>
          <w:rFonts w:ascii="Tahoma" w:eastAsia="Calibri" w:hAnsi="Tahoma" w:cs="Tahoma"/>
          <w:bCs/>
          <w:sz w:val="24"/>
          <w:szCs w:val="24"/>
          <w:lang w:bidi="si-LK"/>
        </w:rPr>
        <w:t>0,8</w:t>
      </w:r>
      <w:r w:rsidR="00080488">
        <w:rPr>
          <w:rFonts w:ascii="Tahoma" w:eastAsia="Calibri" w:hAnsi="Tahoma" w:cs="Tahoma"/>
          <w:bCs/>
          <w:sz w:val="24"/>
          <w:szCs w:val="24"/>
          <w:lang w:bidi="si-LK"/>
        </w:rPr>
        <w:t>8</w:t>
      </w:r>
      <w:r w:rsidRPr="00D81D62">
        <w:rPr>
          <w:rFonts w:ascii="Tahoma" w:eastAsia="Calibri" w:hAnsi="Tahoma" w:cs="Tahoma"/>
          <w:bCs/>
          <w:sz w:val="24"/>
          <w:szCs w:val="24"/>
          <w:lang w:bidi="si-LK"/>
        </w:rPr>
        <w:t xml:space="preserve"> </w:t>
      </w:r>
      <w:r w:rsidR="0029038E" w:rsidRPr="00D81D62">
        <w:rPr>
          <w:rFonts w:ascii="Tahoma" w:eastAsia="Calibri" w:hAnsi="Tahoma" w:cs="Tahoma"/>
          <w:bCs/>
          <w:sz w:val="24"/>
          <w:szCs w:val="24"/>
          <w:lang w:bidi="si-LK"/>
        </w:rPr>
        <w:t>miliarde</w:t>
      </w:r>
      <w:r w:rsidRPr="00D81D62">
        <w:rPr>
          <w:rFonts w:ascii="Tahoma" w:eastAsia="Calibri" w:hAnsi="Tahoma" w:cs="Tahoma"/>
          <w:bCs/>
          <w:sz w:val="24"/>
          <w:szCs w:val="24"/>
          <w:lang w:bidi="si-LK"/>
        </w:rPr>
        <w:t xml:space="preserve"> lei.</w:t>
      </w:r>
    </w:p>
    <w:p w:rsidR="006737B0" w:rsidRPr="005B6AFF" w:rsidRDefault="006737B0" w:rsidP="00753D9F">
      <w:pPr>
        <w:spacing w:after="120" w:line="276" w:lineRule="auto"/>
        <w:jc w:val="both"/>
        <w:rPr>
          <w:rFonts w:ascii="Tahoma" w:hAnsi="Tahoma" w:cs="Tahoma"/>
          <w:bCs/>
          <w:sz w:val="24"/>
          <w:szCs w:val="24"/>
        </w:rPr>
      </w:pPr>
      <w:r w:rsidRPr="005B6AFF">
        <w:rPr>
          <w:rFonts w:ascii="Tahoma" w:hAnsi="Tahoma" w:cs="Tahoma"/>
          <w:b/>
          <w:bCs/>
          <w:sz w:val="24"/>
          <w:szCs w:val="24"/>
        </w:rPr>
        <w:t>Alte cheltuieli</w:t>
      </w:r>
      <w:r w:rsidRPr="005B6AFF">
        <w:rPr>
          <w:rFonts w:ascii="Tahoma" w:hAnsi="Tahoma" w:cs="Tahoma"/>
          <w:bCs/>
          <w:sz w:val="24"/>
          <w:szCs w:val="24"/>
        </w:rPr>
        <w:t xml:space="preserve"> reprezentând, în principal, </w:t>
      </w:r>
      <w:r w:rsidR="00D413A5" w:rsidRPr="005B6AFF">
        <w:rPr>
          <w:rFonts w:ascii="Tahoma" w:hAnsi="Tahoma" w:cs="Tahoma"/>
          <w:bCs/>
          <w:sz w:val="24"/>
          <w:szCs w:val="24"/>
        </w:rPr>
        <w:t xml:space="preserve">reprezentând în principal, burse pentru elevi și studenți, susținerea cultelor, despăgubiri civile, </w:t>
      </w:r>
      <w:r w:rsidRPr="005B6AFF">
        <w:rPr>
          <w:rFonts w:ascii="Tahoma" w:hAnsi="Tahoma" w:cs="Tahoma"/>
          <w:bCs/>
          <w:sz w:val="24"/>
          <w:szCs w:val="24"/>
        </w:rPr>
        <w:t xml:space="preserve">au însumat </w:t>
      </w:r>
      <w:r w:rsidR="0006321D">
        <w:rPr>
          <w:rFonts w:ascii="Tahoma" w:hAnsi="Tahoma" w:cs="Tahoma"/>
          <w:bCs/>
          <w:sz w:val="24"/>
          <w:szCs w:val="24"/>
        </w:rPr>
        <w:t>4,</w:t>
      </w:r>
      <w:r w:rsidR="00080488">
        <w:rPr>
          <w:rFonts w:ascii="Tahoma" w:hAnsi="Tahoma" w:cs="Tahoma"/>
          <w:bCs/>
          <w:sz w:val="24"/>
          <w:szCs w:val="24"/>
        </w:rPr>
        <w:t>05</w:t>
      </w:r>
      <w:r w:rsidRPr="005B6AFF">
        <w:rPr>
          <w:rFonts w:ascii="Tahoma" w:hAnsi="Tahoma" w:cs="Tahoma"/>
          <w:bCs/>
          <w:sz w:val="24"/>
          <w:szCs w:val="24"/>
        </w:rPr>
        <w:t xml:space="preserve"> </w:t>
      </w:r>
      <w:r w:rsidR="00602503" w:rsidRPr="005B6AFF">
        <w:rPr>
          <w:rFonts w:ascii="Tahoma" w:hAnsi="Tahoma" w:cs="Tahoma"/>
          <w:bCs/>
          <w:sz w:val="24"/>
          <w:szCs w:val="24"/>
        </w:rPr>
        <w:t>miliarde</w:t>
      </w:r>
      <w:r w:rsidRPr="005B6AFF">
        <w:rPr>
          <w:rFonts w:ascii="Tahoma" w:hAnsi="Tahoma" w:cs="Tahoma"/>
          <w:bCs/>
          <w:sz w:val="24"/>
          <w:szCs w:val="24"/>
        </w:rPr>
        <w:t xml:space="preserve"> lei</w:t>
      </w:r>
      <w:r w:rsidR="004260FF" w:rsidRPr="005B6AFF">
        <w:rPr>
          <w:rFonts w:ascii="Tahoma" w:hAnsi="Tahoma" w:cs="Tahoma"/>
          <w:bCs/>
          <w:sz w:val="24"/>
          <w:szCs w:val="24"/>
        </w:rPr>
        <w:t xml:space="preserve">, reprezentând </w:t>
      </w:r>
      <w:r w:rsidR="00080488">
        <w:rPr>
          <w:rFonts w:ascii="Tahoma" w:hAnsi="Tahoma" w:cs="Tahoma"/>
          <w:bCs/>
          <w:sz w:val="24"/>
          <w:szCs w:val="24"/>
        </w:rPr>
        <w:t>113,8</w:t>
      </w:r>
      <w:r w:rsidRPr="005B6AFF">
        <w:rPr>
          <w:rFonts w:ascii="Tahoma" w:hAnsi="Tahoma" w:cs="Tahoma"/>
          <w:bCs/>
          <w:sz w:val="24"/>
          <w:szCs w:val="24"/>
        </w:rPr>
        <w:t>% din programul estimat pe</w:t>
      </w:r>
      <w:r w:rsidR="00CC56B5" w:rsidRPr="005B6AFF">
        <w:rPr>
          <w:rFonts w:ascii="Tahoma" w:hAnsi="Tahoma" w:cs="Tahoma"/>
          <w:bCs/>
          <w:sz w:val="24"/>
          <w:szCs w:val="24"/>
        </w:rPr>
        <w:t>ntru</w:t>
      </w:r>
      <w:r w:rsidR="00DB3A55" w:rsidRPr="005B6AFF">
        <w:rPr>
          <w:rFonts w:ascii="Tahoma" w:hAnsi="Tahoma" w:cs="Tahoma"/>
          <w:bCs/>
          <w:sz w:val="24"/>
          <w:szCs w:val="24"/>
        </w:rPr>
        <w:t xml:space="preserve"> </w:t>
      </w:r>
      <w:r w:rsidR="00080488">
        <w:rPr>
          <w:rFonts w:ascii="Tahoma" w:hAnsi="Tahoma" w:cs="Tahoma"/>
          <w:bCs/>
          <w:sz w:val="24"/>
          <w:szCs w:val="24"/>
        </w:rPr>
        <w:t>al doilea</w:t>
      </w:r>
      <w:r w:rsidR="00DB3A55" w:rsidRPr="005B6AFF">
        <w:rPr>
          <w:rFonts w:ascii="Tahoma" w:hAnsi="Tahoma" w:cs="Tahoma"/>
          <w:bCs/>
          <w:sz w:val="24"/>
          <w:szCs w:val="24"/>
        </w:rPr>
        <w:t xml:space="preserve"> trimestru a</w:t>
      </w:r>
      <w:r w:rsidR="00BA3242" w:rsidRPr="005B6AFF">
        <w:rPr>
          <w:rFonts w:ascii="Tahoma" w:hAnsi="Tahoma" w:cs="Tahoma"/>
          <w:bCs/>
          <w:sz w:val="24"/>
          <w:szCs w:val="24"/>
        </w:rPr>
        <w:t>l</w:t>
      </w:r>
      <w:r w:rsidR="00DB3A55" w:rsidRPr="005B6AFF">
        <w:rPr>
          <w:rFonts w:ascii="Tahoma" w:hAnsi="Tahoma" w:cs="Tahoma"/>
          <w:bCs/>
          <w:sz w:val="24"/>
          <w:szCs w:val="24"/>
        </w:rPr>
        <w:t xml:space="preserve"> anului </w:t>
      </w:r>
      <w:r w:rsidR="004827E6">
        <w:rPr>
          <w:rFonts w:ascii="Tahoma" w:hAnsi="Tahoma" w:cs="Tahoma"/>
          <w:bCs/>
          <w:sz w:val="24"/>
          <w:szCs w:val="24"/>
        </w:rPr>
        <w:t>2025</w:t>
      </w:r>
      <w:r w:rsidR="005B6AFF">
        <w:rPr>
          <w:rFonts w:ascii="Tahoma" w:hAnsi="Tahoma" w:cs="Tahoma"/>
          <w:bCs/>
          <w:sz w:val="24"/>
          <w:szCs w:val="24"/>
        </w:rPr>
        <w:t>.</w:t>
      </w:r>
    </w:p>
    <w:p w:rsidR="0087489E" w:rsidRPr="005B6AFF" w:rsidRDefault="00B10206" w:rsidP="0087489E">
      <w:pPr>
        <w:spacing w:before="120" w:after="120" w:line="276" w:lineRule="auto"/>
        <w:jc w:val="both"/>
        <w:rPr>
          <w:rFonts w:ascii="Tahoma" w:hAnsi="Tahoma" w:cs="Tahoma"/>
          <w:sz w:val="24"/>
          <w:szCs w:val="24"/>
        </w:rPr>
      </w:pPr>
      <w:r w:rsidRPr="005B6AFF">
        <w:rPr>
          <w:rFonts w:ascii="Tahoma" w:hAnsi="Tahoma" w:cs="Tahoma"/>
          <w:b/>
          <w:bCs/>
          <w:sz w:val="24"/>
          <w:szCs w:val="24"/>
        </w:rPr>
        <w:t>Plățile pentru proiectele cu finanțare din fonduri UE</w:t>
      </w:r>
      <w:r w:rsidR="001C5D69" w:rsidRPr="005B6AFF">
        <w:rPr>
          <w:rFonts w:ascii="Tahoma" w:hAnsi="Tahoma" w:cs="Tahoma"/>
          <w:b/>
          <w:bCs/>
          <w:sz w:val="24"/>
          <w:szCs w:val="24"/>
        </w:rPr>
        <w:t xml:space="preserve"> </w:t>
      </w:r>
      <w:r w:rsidR="00AE2267" w:rsidRPr="005B6AFF">
        <w:rPr>
          <w:rFonts w:ascii="Tahoma" w:hAnsi="Tahoma" w:cs="Tahoma"/>
          <w:bCs/>
          <w:sz w:val="24"/>
          <w:szCs w:val="24"/>
        </w:rPr>
        <w:t>(inclusiv cele finanțate din asistența financiară nerambursabilă aferentă PNRR)</w:t>
      </w:r>
      <w:r w:rsidR="00AE2267" w:rsidRPr="005B6AFF">
        <w:rPr>
          <w:rFonts w:ascii="Tahoma" w:hAnsi="Tahoma" w:cs="Tahoma"/>
          <w:b/>
          <w:bCs/>
          <w:sz w:val="24"/>
          <w:szCs w:val="24"/>
        </w:rPr>
        <w:t xml:space="preserve"> </w:t>
      </w:r>
      <w:r w:rsidRPr="005B6AFF">
        <w:rPr>
          <w:rFonts w:ascii="Tahoma" w:hAnsi="Tahoma" w:cs="Tahoma"/>
          <w:sz w:val="24"/>
          <w:szCs w:val="24"/>
        </w:rPr>
        <w:t xml:space="preserve">au reprezentat </w:t>
      </w:r>
      <w:r w:rsidR="00080488">
        <w:rPr>
          <w:rFonts w:ascii="Tahoma" w:hAnsi="Tahoma" w:cs="Tahoma"/>
          <w:sz w:val="24"/>
          <w:szCs w:val="24"/>
        </w:rPr>
        <w:t>1,0</w:t>
      </w:r>
      <w:r w:rsidRPr="005B6AFF">
        <w:rPr>
          <w:rFonts w:ascii="Tahoma" w:hAnsi="Tahoma" w:cs="Tahoma"/>
          <w:sz w:val="24"/>
          <w:szCs w:val="24"/>
        </w:rPr>
        <w:t xml:space="preserve">% din PIB </w:t>
      </w:r>
      <w:r w:rsidR="00030BC0" w:rsidRPr="005B6AFF">
        <w:rPr>
          <w:rFonts w:ascii="Tahoma" w:hAnsi="Tahoma" w:cs="Tahoma"/>
          <w:sz w:val="24"/>
          <w:szCs w:val="24"/>
        </w:rPr>
        <w:t>și</w:t>
      </w:r>
      <w:r w:rsidRPr="005B6AFF">
        <w:rPr>
          <w:rFonts w:ascii="Tahoma" w:hAnsi="Tahoma" w:cs="Tahoma"/>
          <w:sz w:val="24"/>
          <w:szCs w:val="24"/>
        </w:rPr>
        <w:t xml:space="preserve"> </w:t>
      </w:r>
      <w:r w:rsidR="00030BC0" w:rsidRPr="005B6AFF">
        <w:rPr>
          <w:rFonts w:ascii="Tahoma" w:hAnsi="Tahoma" w:cs="Tahoma"/>
          <w:sz w:val="24"/>
          <w:szCs w:val="24"/>
        </w:rPr>
        <w:t>s-</w:t>
      </w:r>
      <w:r w:rsidRPr="005B6AFF">
        <w:rPr>
          <w:rFonts w:ascii="Tahoma" w:hAnsi="Tahoma" w:cs="Tahoma"/>
          <w:sz w:val="24"/>
          <w:szCs w:val="24"/>
        </w:rPr>
        <w:t xml:space="preserve">au efectuat în proporție de </w:t>
      </w:r>
      <w:r w:rsidR="00080488">
        <w:rPr>
          <w:rFonts w:ascii="Tahoma" w:hAnsi="Tahoma" w:cs="Tahoma"/>
          <w:sz w:val="24"/>
          <w:szCs w:val="24"/>
        </w:rPr>
        <w:t>61,7</w:t>
      </w:r>
      <w:r w:rsidRPr="005B6AFF">
        <w:rPr>
          <w:rFonts w:ascii="Tahoma" w:hAnsi="Tahoma" w:cs="Tahoma"/>
          <w:sz w:val="24"/>
          <w:szCs w:val="24"/>
        </w:rPr>
        <w:t>%</w:t>
      </w:r>
      <w:r w:rsidR="00102D79" w:rsidRPr="005B6AFF">
        <w:rPr>
          <w:rFonts w:ascii="Tahoma" w:hAnsi="Tahoma" w:cs="Tahoma"/>
          <w:sz w:val="24"/>
          <w:szCs w:val="24"/>
        </w:rPr>
        <w:t xml:space="preserve"> din plățile prog</w:t>
      </w:r>
      <w:r w:rsidR="00AD3A0B" w:rsidRPr="005B6AFF">
        <w:rPr>
          <w:rFonts w:ascii="Tahoma" w:hAnsi="Tahoma" w:cs="Tahoma"/>
          <w:sz w:val="24"/>
          <w:szCs w:val="24"/>
        </w:rPr>
        <w:t xml:space="preserve">ramate pentru perioada analizată. </w:t>
      </w:r>
    </w:p>
    <w:p w:rsidR="008F7A5A" w:rsidRDefault="00BA3242" w:rsidP="00AD3A0B">
      <w:pPr>
        <w:spacing w:before="120" w:after="120" w:line="276" w:lineRule="auto"/>
        <w:ind w:right="6"/>
        <w:jc w:val="both"/>
        <w:rPr>
          <w:rFonts w:ascii="Tahoma" w:hAnsi="Tahoma" w:cs="Tahoma"/>
          <w:sz w:val="24"/>
          <w:szCs w:val="24"/>
        </w:rPr>
      </w:pPr>
      <w:r w:rsidRPr="005B6AFF">
        <w:rPr>
          <w:rFonts w:ascii="Tahoma" w:hAnsi="Tahoma" w:cs="Tahoma"/>
          <w:sz w:val="24"/>
          <w:szCs w:val="24"/>
        </w:rPr>
        <w:lastRenderedPageBreak/>
        <w:t>Comparativ cu trimestrul I</w:t>
      </w:r>
      <w:r w:rsidR="00080488">
        <w:rPr>
          <w:rFonts w:ascii="Tahoma" w:hAnsi="Tahoma" w:cs="Tahoma"/>
          <w:sz w:val="24"/>
          <w:szCs w:val="24"/>
        </w:rPr>
        <w:t>I</w:t>
      </w:r>
      <w:r w:rsidRPr="005B6AFF">
        <w:rPr>
          <w:rFonts w:ascii="Tahoma" w:hAnsi="Tahoma" w:cs="Tahoma"/>
          <w:sz w:val="24"/>
          <w:szCs w:val="24"/>
        </w:rPr>
        <w:t xml:space="preserve"> 202</w:t>
      </w:r>
      <w:r w:rsidR="0006321D">
        <w:rPr>
          <w:rFonts w:ascii="Tahoma" w:hAnsi="Tahoma" w:cs="Tahoma"/>
          <w:sz w:val="24"/>
          <w:szCs w:val="24"/>
        </w:rPr>
        <w:t>4</w:t>
      </w:r>
      <w:r w:rsidRPr="005B6AFF">
        <w:rPr>
          <w:rFonts w:ascii="Tahoma" w:hAnsi="Tahoma" w:cs="Tahoma"/>
          <w:sz w:val="24"/>
          <w:szCs w:val="24"/>
        </w:rPr>
        <w:t xml:space="preserve"> plățile pentru proiectele cu finanțare din fonduri externe nerambursabile </w:t>
      </w:r>
      <w:r w:rsidR="00080488">
        <w:rPr>
          <w:rFonts w:ascii="Tahoma" w:hAnsi="Tahoma" w:cs="Tahoma"/>
          <w:sz w:val="24"/>
          <w:szCs w:val="24"/>
        </w:rPr>
        <w:t>au crescut cu</w:t>
      </w:r>
      <w:r w:rsidRPr="005B6AFF">
        <w:rPr>
          <w:rFonts w:ascii="Tahoma" w:hAnsi="Tahoma" w:cs="Tahoma"/>
          <w:sz w:val="24"/>
          <w:szCs w:val="24"/>
        </w:rPr>
        <w:t xml:space="preserve"> </w:t>
      </w:r>
      <w:r w:rsidR="00080488">
        <w:rPr>
          <w:rFonts w:ascii="Tahoma" w:hAnsi="Tahoma" w:cs="Tahoma"/>
          <w:sz w:val="24"/>
          <w:szCs w:val="24"/>
        </w:rPr>
        <w:t>79,6%</w:t>
      </w:r>
      <w:r w:rsidR="00643323" w:rsidRPr="005B6AFF">
        <w:rPr>
          <w:rFonts w:ascii="Tahoma" w:hAnsi="Tahoma" w:cs="Tahoma"/>
          <w:sz w:val="24"/>
          <w:szCs w:val="24"/>
        </w:rPr>
        <w:t>%</w:t>
      </w:r>
      <w:r w:rsidR="00030BC0" w:rsidRPr="005B6AFF">
        <w:rPr>
          <w:rFonts w:ascii="Tahoma" w:hAnsi="Tahoma" w:cs="Tahoma"/>
          <w:sz w:val="24"/>
          <w:szCs w:val="24"/>
        </w:rPr>
        <w:t>,</w:t>
      </w:r>
      <w:r w:rsidRPr="005B6AFF">
        <w:rPr>
          <w:rFonts w:ascii="Tahoma" w:hAnsi="Tahoma" w:cs="Tahoma"/>
          <w:sz w:val="24"/>
          <w:szCs w:val="24"/>
        </w:rPr>
        <w:t xml:space="preserve"> iar ca procent în PIB </w:t>
      </w:r>
      <w:r w:rsidR="00116D7D" w:rsidRPr="005B6AFF">
        <w:rPr>
          <w:rFonts w:ascii="Tahoma" w:hAnsi="Tahoma" w:cs="Tahoma"/>
          <w:sz w:val="24"/>
          <w:szCs w:val="24"/>
        </w:rPr>
        <w:t>cu 0,</w:t>
      </w:r>
      <w:r w:rsidR="00080488">
        <w:rPr>
          <w:rFonts w:ascii="Tahoma" w:hAnsi="Tahoma" w:cs="Tahoma"/>
          <w:sz w:val="24"/>
          <w:szCs w:val="24"/>
        </w:rPr>
        <w:t>4</w:t>
      </w:r>
      <w:r w:rsidR="00116D7D" w:rsidRPr="005B6AFF">
        <w:rPr>
          <w:rFonts w:ascii="Tahoma" w:hAnsi="Tahoma" w:cs="Tahoma"/>
          <w:sz w:val="24"/>
          <w:szCs w:val="24"/>
        </w:rPr>
        <w:t xml:space="preserve"> puncte procentuale de la 0,</w:t>
      </w:r>
      <w:r w:rsidR="00080488">
        <w:rPr>
          <w:rFonts w:ascii="Tahoma" w:hAnsi="Tahoma" w:cs="Tahoma"/>
          <w:sz w:val="24"/>
          <w:szCs w:val="24"/>
        </w:rPr>
        <w:t>6</w:t>
      </w:r>
      <w:r w:rsidR="00116D7D" w:rsidRPr="005B6AFF">
        <w:rPr>
          <w:rFonts w:ascii="Tahoma" w:hAnsi="Tahoma" w:cs="Tahoma"/>
          <w:sz w:val="24"/>
          <w:szCs w:val="24"/>
        </w:rPr>
        <w:t xml:space="preserve">% din PIB </w:t>
      </w:r>
      <w:r w:rsidR="00D0224D" w:rsidRPr="005B6AFF">
        <w:rPr>
          <w:rFonts w:ascii="Tahoma" w:hAnsi="Tahoma" w:cs="Tahoma"/>
          <w:sz w:val="24"/>
          <w:szCs w:val="24"/>
        </w:rPr>
        <w:t>î</w:t>
      </w:r>
      <w:r w:rsidR="00116D7D" w:rsidRPr="005B6AFF">
        <w:rPr>
          <w:rFonts w:ascii="Tahoma" w:hAnsi="Tahoma" w:cs="Tahoma"/>
          <w:sz w:val="24"/>
          <w:szCs w:val="24"/>
        </w:rPr>
        <w:t xml:space="preserve">n </w:t>
      </w:r>
      <w:r w:rsidR="00080488">
        <w:rPr>
          <w:rFonts w:ascii="Tahoma" w:hAnsi="Tahoma" w:cs="Tahoma"/>
          <w:sz w:val="24"/>
          <w:szCs w:val="24"/>
        </w:rPr>
        <w:t>al doilea</w:t>
      </w:r>
      <w:r w:rsidR="00116D7D" w:rsidRPr="005B6AFF">
        <w:rPr>
          <w:rFonts w:ascii="Tahoma" w:hAnsi="Tahoma" w:cs="Tahoma"/>
          <w:sz w:val="24"/>
          <w:szCs w:val="24"/>
        </w:rPr>
        <w:t xml:space="preserve"> trimestru al anului 202</w:t>
      </w:r>
      <w:r w:rsidR="000D6BF4">
        <w:rPr>
          <w:rFonts w:ascii="Tahoma" w:hAnsi="Tahoma" w:cs="Tahoma"/>
          <w:sz w:val="24"/>
          <w:szCs w:val="24"/>
        </w:rPr>
        <w:t>4</w:t>
      </w:r>
      <w:r w:rsidR="00116D7D" w:rsidRPr="005B6AFF">
        <w:rPr>
          <w:rFonts w:ascii="Tahoma" w:hAnsi="Tahoma" w:cs="Tahoma"/>
          <w:sz w:val="24"/>
          <w:szCs w:val="24"/>
        </w:rPr>
        <w:t xml:space="preserve"> la </w:t>
      </w:r>
      <w:r w:rsidR="00080488">
        <w:rPr>
          <w:rFonts w:ascii="Tahoma" w:hAnsi="Tahoma" w:cs="Tahoma"/>
          <w:sz w:val="24"/>
          <w:szCs w:val="24"/>
        </w:rPr>
        <w:t>1,0%</w:t>
      </w:r>
      <w:r w:rsidR="00116D7D" w:rsidRPr="005B6AFF">
        <w:rPr>
          <w:rFonts w:ascii="Tahoma" w:hAnsi="Tahoma" w:cs="Tahoma"/>
          <w:sz w:val="24"/>
          <w:szCs w:val="24"/>
        </w:rPr>
        <w:t xml:space="preserve"> din PIB în perioada analizată.</w:t>
      </w:r>
      <w:r w:rsidRPr="005B6AFF">
        <w:rPr>
          <w:rFonts w:ascii="Tahoma" w:hAnsi="Tahoma" w:cs="Tahoma"/>
          <w:sz w:val="24"/>
          <w:szCs w:val="24"/>
        </w:rPr>
        <w:t xml:space="preserve"> </w:t>
      </w:r>
      <w:r w:rsidR="00AD3A0B" w:rsidRPr="005B6AFF">
        <w:rPr>
          <w:rFonts w:ascii="Tahoma" w:hAnsi="Tahoma" w:cs="Tahoma"/>
          <w:sz w:val="24"/>
          <w:szCs w:val="24"/>
        </w:rPr>
        <w:t>În comparație cu trimestru</w:t>
      </w:r>
      <w:r w:rsidR="00080488">
        <w:rPr>
          <w:rFonts w:ascii="Tahoma" w:hAnsi="Tahoma" w:cs="Tahoma"/>
          <w:sz w:val="24"/>
          <w:szCs w:val="24"/>
        </w:rPr>
        <w:t>l II</w:t>
      </w:r>
      <w:r w:rsidR="00AD3A0B" w:rsidRPr="005B6AFF">
        <w:rPr>
          <w:rFonts w:ascii="Tahoma" w:hAnsi="Tahoma" w:cs="Tahoma"/>
          <w:sz w:val="24"/>
          <w:szCs w:val="24"/>
        </w:rPr>
        <w:t xml:space="preserve"> 202</w:t>
      </w:r>
      <w:r w:rsidR="000D6BF4">
        <w:rPr>
          <w:rFonts w:ascii="Tahoma" w:hAnsi="Tahoma" w:cs="Tahoma"/>
          <w:sz w:val="24"/>
          <w:szCs w:val="24"/>
        </w:rPr>
        <w:t>4</w:t>
      </w:r>
      <w:r w:rsidR="00AD3A0B" w:rsidRPr="005B6AFF">
        <w:rPr>
          <w:rFonts w:ascii="Tahoma" w:hAnsi="Tahoma" w:cs="Tahoma"/>
          <w:sz w:val="24"/>
          <w:szCs w:val="24"/>
        </w:rPr>
        <w:t xml:space="preserve"> în perioada analizată au fost înregistrate </w:t>
      </w:r>
      <w:r w:rsidR="004B5B8A" w:rsidRPr="005B6AFF">
        <w:rPr>
          <w:rFonts w:ascii="Tahoma" w:hAnsi="Tahoma" w:cs="Tahoma"/>
          <w:sz w:val="24"/>
          <w:szCs w:val="24"/>
        </w:rPr>
        <w:t xml:space="preserve">creșteri semnificative în cazul </w:t>
      </w:r>
      <w:r w:rsidR="008F7A5A">
        <w:rPr>
          <w:rFonts w:ascii="Tahoma" w:hAnsi="Tahoma" w:cs="Tahoma"/>
          <w:sz w:val="24"/>
          <w:szCs w:val="24"/>
        </w:rPr>
        <w:t xml:space="preserve">tuturor </w:t>
      </w:r>
      <w:r w:rsidR="00AD3A0B" w:rsidRPr="005B6AFF">
        <w:rPr>
          <w:rFonts w:ascii="Tahoma" w:hAnsi="Tahoma" w:cs="Tahoma"/>
          <w:sz w:val="24"/>
          <w:szCs w:val="24"/>
        </w:rPr>
        <w:t>plăți</w:t>
      </w:r>
      <w:r w:rsidR="004B5B8A" w:rsidRPr="005B6AFF">
        <w:rPr>
          <w:rFonts w:ascii="Tahoma" w:hAnsi="Tahoma" w:cs="Tahoma"/>
          <w:sz w:val="24"/>
          <w:szCs w:val="24"/>
        </w:rPr>
        <w:t>lor</w:t>
      </w:r>
      <w:r w:rsidR="00AD3A0B" w:rsidRPr="005B6AFF">
        <w:rPr>
          <w:rFonts w:ascii="Tahoma" w:hAnsi="Tahoma" w:cs="Tahoma"/>
          <w:sz w:val="24"/>
          <w:szCs w:val="24"/>
        </w:rPr>
        <w:t xml:space="preserve"> aferente proiectelor finanțate din fonduri externe nerambursabile</w:t>
      </w:r>
      <w:r w:rsidR="008F7A5A">
        <w:rPr>
          <w:rFonts w:ascii="Tahoma" w:hAnsi="Tahoma" w:cs="Tahoma"/>
          <w:sz w:val="24"/>
          <w:szCs w:val="24"/>
        </w:rPr>
        <w:t>.</w:t>
      </w:r>
      <w:r w:rsidR="00AD3A0B" w:rsidRPr="005B6AFF">
        <w:rPr>
          <w:rFonts w:ascii="Tahoma" w:hAnsi="Tahoma" w:cs="Tahoma"/>
          <w:sz w:val="24"/>
          <w:szCs w:val="24"/>
        </w:rPr>
        <w:t xml:space="preserve"> </w:t>
      </w:r>
      <w:r w:rsidR="008F7A5A">
        <w:rPr>
          <w:rFonts w:ascii="Tahoma" w:hAnsi="Tahoma" w:cs="Tahoma"/>
          <w:sz w:val="24"/>
          <w:szCs w:val="24"/>
        </w:rPr>
        <w:t>Totuși plățile efectuate s-au situat sub nivelul programat pentru perioada analizată mai ales în cazul proiectelor finanțate din noul cadru financiar 2021-2027(63,5%) precum și a celor din asistența financiară nerambursabilă a PNRR(44,4%).</w:t>
      </w:r>
    </w:p>
    <w:p w:rsidR="008F7A5A" w:rsidRPr="008F7A5A" w:rsidRDefault="008F7A5A" w:rsidP="00CB7882">
      <w:pPr>
        <w:spacing w:after="120" w:line="276" w:lineRule="auto"/>
        <w:jc w:val="both"/>
        <w:rPr>
          <w:rFonts w:ascii="Tahoma" w:hAnsi="Tahoma" w:cs="Tahoma"/>
          <w:sz w:val="24"/>
          <w:szCs w:val="24"/>
        </w:rPr>
      </w:pPr>
      <w:r>
        <w:rPr>
          <w:rFonts w:ascii="Tahoma" w:hAnsi="Tahoma" w:cs="Tahoma"/>
          <w:b/>
          <w:sz w:val="24"/>
          <w:szCs w:val="24"/>
        </w:rPr>
        <w:t>Cheltuielile pentru pr</w:t>
      </w:r>
      <w:r w:rsidRPr="008F7A5A">
        <w:rPr>
          <w:rFonts w:ascii="Tahoma" w:hAnsi="Tahoma" w:cs="Tahoma"/>
          <w:b/>
          <w:sz w:val="24"/>
          <w:szCs w:val="24"/>
        </w:rPr>
        <w:t>oiecte</w:t>
      </w:r>
      <w:r>
        <w:rPr>
          <w:rFonts w:ascii="Tahoma" w:hAnsi="Tahoma" w:cs="Tahoma"/>
          <w:b/>
          <w:sz w:val="24"/>
          <w:szCs w:val="24"/>
        </w:rPr>
        <w:t>le</w:t>
      </w:r>
      <w:r w:rsidRPr="008F7A5A">
        <w:rPr>
          <w:rFonts w:ascii="Tahoma" w:hAnsi="Tahoma" w:cs="Tahoma"/>
          <w:b/>
          <w:sz w:val="24"/>
          <w:szCs w:val="24"/>
        </w:rPr>
        <w:t xml:space="preserve"> cu finantare din sumele aferente componentei de </w:t>
      </w:r>
      <w:r w:rsidR="00790CFF">
        <w:rPr>
          <w:rFonts w:ascii="Tahoma" w:hAnsi="Tahoma" w:cs="Tahoma"/>
          <w:b/>
          <w:sz w:val="24"/>
          <w:szCs w:val="24"/>
        </w:rPr>
        <w:t>î</w:t>
      </w:r>
      <w:r w:rsidRPr="008F7A5A">
        <w:rPr>
          <w:rFonts w:ascii="Tahoma" w:hAnsi="Tahoma" w:cs="Tahoma"/>
          <w:b/>
          <w:sz w:val="24"/>
          <w:szCs w:val="24"/>
        </w:rPr>
        <w:t>mprumut a PNRR</w:t>
      </w:r>
      <w:r>
        <w:rPr>
          <w:rFonts w:ascii="Tahoma" w:hAnsi="Tahoma" w:cs="Tahoma"/>
          <w:b/>
          <w:sz w:val="24"/>
          <w:szCs w:val="24"/>
        </w:rPr>
        <w:t xml:space="preserve"> </w:t>
      </w:r>
      <w:r w:rsidRPr="008F7A5A">
        <w:rPr>
          <w:rFonts w:ascii="Tahoma" w:hAnsi="Tahoma" w:cs="Tahoma"/>
          <w:sz w:val="24"/>
          <w:szCs w:val="24"/>
        </w:rPr>
        <w:t>au fost în sumă de 3,94 miliarde lei (0,2% din PIB), cu 33,3% mai mari comparativ cu trimestrul II 2024, gradul de efectuare a plăților fiind de 76,7%.</w:t>
      </w:r>
    </w:p>
    <w:p w:rsidR="00CB7882" w:rsidRPr="005B6AFF" w:rsidRDefault="00B10206" w:rsidP="00CB7882">
      <w:pPr>
        <w:spacing w:after="120" w:line="276" w:lineRule="auto"/>
        <w:jc w:val="both"/>
        <w:rPr>
          <w:rFonts w:ascii="Tahoma" w:eastAsia="Calibri" w:hAnsi="Tahoma" w:cs="Tahoma"/>
          <w:sz w:val="24"/>
          <w:szCs w:val="24"/>
        </w:rPr>
      </w:pPr>
      <w:r w:rsidRPr="005B6AFF">
        <w:rPr>
          <w:rFonts w:ascii="Tahoma" w:hAnsi="Tahoma" w:cs="Tahoma"/>
          <w:b/>
          <w:sz w:val="24"/>
          <w:szCs w:val="24"/>
        </w:rPr>
        <w:t>Cheltuielile pentru investiții</w:t>
      </w:r>
      <w:r w:rsidRPr="005B6AFF">
        <w:rPr>
          <w:rFonts w:ascii="Tahoma" w:hAnsi="Tahoma" w:cs="Tahoma"/>
          <w:sz w:val="24"/>
          <w:szCs w:val="24"/>
        </w:rPr>
        <w:t xml:space="preserve"> (includ cheltuielile de capital, precum </w:t>
      </w:r>
      <w:r w:rsidR="00030BC0" w:rsidRPr="005B6AFF">
        <w:rPr>
          <w:rFonts w:ascii="Tahoma" w:hAnsi="Tahoma" w:cs="Tahoma"/>
          <w:sz w:val="24"/>
          <w:szCs w:val="24"/>
        </w:rPr>
        <w:t>și</w:t>
      </w:r>
      <w:r w:rsidRPr="005B6AFF">
        <w:rPr>
          <w:rFonts w:ascii="Tahoma" w:hAnsi="Tahoma" w:cs="Tahoma"/>
          <w:sz w:val="24"/>
          <w:szCs w:val="24"/>
        </w:rPr>
        <w:t xml:space="preserve"> cele aferente programelor de dezvoltare finanțate din surse interne </w:t>
      </w:r>
      <w:r w:rsidR="00030BC0" w:rsidRPr="005B6AFF">
        <w:rPr>
          <w:rFonts w:ascii="Tahoma" w:hAnsi="Tahoma" w:cs="Tahoma"/>
          <w:sz w:val="24"/>
          <w:szCs w:val="24"/>
        </w:rPr>
        <w:t>și</w:t>
      </w:r>
      <w:r w:rsidRPr="005B6AFF">
        <w:rPr>
          <w:rFonts w:ascii="Tahoma" w:hAnsi="Tahoma" w:cs="Tahoma"/>
          <w:sz w:val="24"/>
          <w:szCs w:val="24"/>
        </w:rPr>
        <w:t xml:space="preserve"> externe) în </w:t>
      </w:r>
      <w:r w:rsidR="00C27E0B">
        <w:rPr>
          <w:rFonts w:ascii="Tahoma" w:hAnsi="Tahoma" w:cs="Tahoma"/>
          <w:sz w:val="24"/>
          <w:szCs w:val="24"/>
        </w:rPr>
        <w:t>al doile</w:t>
      </w:r>
      <w:r w:rsidR="00790CFF">
        <w:rPr>
          <w:rFonts w:ascii="Tahoma" w:hAnsi="Tahoma" w:cs="Tahoma"/>
          <w:sz w:val="24"/>
          <w:szCs w:val="24"/>
        </w:rPr>
        <w:t>a</w:t>
      </w:r>
      <w:r w:rsidR="00C27E0B">
        <w:rPr>
          <w:rFonts w:ascii="Tahoma" w:hAnsi="Tahoma" w:cs="Tahoma"/>
          <w:sz w:val="24"/>
          <w:szCs w:val="24"/>
        </w:rPr>
        <w:t xml:space="preserve"> </w:t>
      </w:r>
      <w:r w:rsidRPr="005B6AFF">
        <w:rPr>
          <w:rFonts w:ascii="Tahoma" w:hAnsi="Tahoma" w:cs="Tahoma"/>
          <w:sz w:val="24"/>
          <w:szCs w:val="24"/>
        </w:rPr>
        <w:t xml:space="preserve">trimestru al anului </w:t>
      </w:r>
      <w:r w:rsidR="004827E6">
        <w:rPr>
          <w:rFonts w:ascii="Tahoma" w:hAnsi="Tahoma" w:cs="Tahoma"/>
          <w:sz w:val="24"/>
          <w:szCs w:val="24"/>
        </w:rPr>
        <w:t>2025</w:t>
      </w:r>
      <w:r w:rsidRPr="005B6AFF">
        <w:rPr>
          <w:rFonts w:ascii="Tahoma" w:hAnsi="Tahoma" w:cs="Tahoma"/>
          <w:sz w:val="24"/>
          <w:szCs w:val="24"/>
        </w:rPr>
        <w:t xml:space="preserve"> au totalizat în termeni nominali </w:t>
      </w:r>
      <w:r w:rsidR="000D6BF4">
        <w:rPr>
          <w:rFonts w:ascii="Tahoma" w:hAnsi="Tahoma" w:cs="Tahoma"/>
          <w:bCs/>
          <w:sz w:val="24"/>
          <w:szCs w:val="24"/>
        </w:rPr>
        <w:t>25,</w:t>
      </w:r>
      <w:r w:rsidR="00C27E0B">
        <w:rPr>
          <w:rFonts w:ascii="Tahoma" w:hAnsi="Tahoma" w:cs="Tahoma"/>
          <w:bCs/>
          <w:sz w:val="24"/>
          <w:szCs w:val="24"/>
        </w:rPr>
        <w:t>38</w:t>
      </w:r>
      <w:r w:rsidR="004D41CA" w:rsidRPr="005B6AFF">
        <w:rPr>
          <w:rFonts w:ascii="Tahoma" w:hAnsi="Tahoma" w:cs="Tahoma"/>
          <w:b/>
          <w:bCs/>
          <w:sz w:val="24"/>
          <w:szCs w:val="24"/>
        </w:rPr>
        <w:t xml:space="preserve"> </w:t>
      </w:r>
      <w:r w:rsidR="00602503" w:rsidRPr="005B6AFF">
        <w:rPr>
          <w:rFonts w:ascii="Tahoma" w:hAnsi="Tahoma" w:cs="Tahoma"/>
          <w:bCs/>
          <w:sz w:val="24"/>
          <w:szCs w:val="24"/>
        </w:rPr>
        <w:t>miliarde</w:t>
      </w:r>
      <w:r w:rsidR="004D41CA" w:rsidRPr="005B6AFF">
        <w:rPr>
          <w:rFonts w:ascii="Tahoma" w:hAnsi="Tahoma" w:cs="Tahoma"/>
          <w:bCs/>
          <w:sz w:val="24"/>
          <w:szCs w:val="24"/>
        </w:rPr>
        <w:t xml:space="preserve"> lei (</w:t>
      </w:r>
      <w:r w:rsidR="007261F0" w:rsidRPr="005B6AFF">
        <w:rPr>
          <w:rFonts w:ascii="Tahoma" w:hAnsi="Tahoma" w:cs="Tahoma"/>
          <w:bCs/>
          <w:sz w:val="24"/>
          <w:szCs w:val="24"/>
        </w:rPr>
        <w:t>1,3</w:t>
      </w:r>
      <w:r w:rsidR="00C27E0B">
        <w:rPr>
          <w:rFonts w:ascii="Tahoma" w:hAnsi="Tahoma" w:cs="Tahoma"/>
          <w:bCs/>
          <w:sz w:val="24"/>
          <w:szCs w:val="24"/>
        </w:rPr>
        <w:t>4</w:t>
      </w:r>
      <w:r w:rsidR="004D41CA" w:rsidRPr="005B6AFF">
        <w:rPr>
          <w:rFonts w:ascii="Tahoma" w:hAnsi="Tahoma" w:cs="Tahoma"/>
          <w:bCs/>
          <w:sz w:val="24"/>
          <w:szCs w:val="24"/>
        </w:rPr>
        <w:t xml:space="preserve"> % din PIB)</w:t>
      </w:r>
      <w:r w:rsidR="004D41CA" w:rsidRPr="005B6AFF">
        <w:rPr>
          <w:rFonts w:ascii="Tahoma" w:eastAsia="Calibri" w:hAnsi="Tahoma" w:cs="Tahoma"/>
          <w:sz w:val="24"/>
          <w:szCs w:val="24"/>
        </w:rPr>
        <w:t xml:space="preserve"> în creștere cu </w:t>
      </w:r>
      <w:r w:rsidR="00C27E0B">
        <w:rPr>
          <w:rFonts w:ascii="Tahoma" w:eastAsia="Calibri" w:hAnsi="Tahoma" w:cs="Tahoma"/>
          <w:sz w:val="24"/>
          <w:szCs w:val="24"/>
        </w:rPr>
        <w:t>6,8</w:t>
      </w:r>
      <w:r w:rsidR="004D41CA" w:rsidRPr="005B6AFF">
        <w:rPr>
          <w:rFonts w:ascii="Tahoma" w:eastAsia="Calibri" w:hAnsi="Tahoma" w:cs="Tahoma"/>
          <w:sz w:val="24"/>
          <w:szCs w:val="24"/>
        </w:rPr>
        <w:t>% comparativ cu aceeași perioadă a anului precedent</w:t>
      </w:r>
      <w:r w:rsidR="003774BA" w:rsidRPr="005B6AFF">
        <w:rPr>
          <w:rFonts w:ascii="Tahoma" w:eastAsia="Calibri" w:hAnsi="Tahoma" w:cs="Tahoma"/>
          <w:sz w:val="24"/>
          <w:szCs w:val="24"/>
        </w:rPr>
        <w:t>.</w:t>
      </w:r>
      <w:r w:rsidR="004D41CA" w:rsidRPr="005B6AFF">
        <w:rPr>
          <w:rFonts w:ascii="Tahoma" w:eastAsia="Calibri" w:hAnsi="Tahoma" w:cs="Tahoma"/>
          <w:sz w:val="24"/>
          <w:szCs w:val="24"/>
        </w:rPr>
        <w:t xml:space="preserve"> </w:t>
      </w:r>
    </w:p>
    <w:p w:rsidR="003774BA" w:rsidRPr="005B6AFF" w:rsidRDefault="003774BA" w:rsidP="00753D9F">
      <w:pPr>
        <w:spacing w:after="120" w:line="276" w:lineRule="auto"/>
        <w:jc w:val="both"/>
        <w:rPr>
          <w:rFonts w:ascii="Tahoma" w:eastAsia="Calibri" w:hAnsi="Tahoma" w:cs="Tahoma"/>
          <w:sz w:val="24"/>
          <w:szCs w:val="24"/>
        </w:rPr>
      </w:pPr>
    </w:p>
    <w:p w:rsidR="00753D9F" w:rsidRPr="005B6AFF" w:rsidRDefault="00753D9F">
      <w:pPr>
        <w:rPr>
          <w:rFonts w:ascii="Tahoma" w:hAnsi="Tahoma" w:cs="Tahoma"/>
          <w:bCs/>
          <w:sz w:val="24"/>
          <w:szCs w:val="24"/>
        </w:rPr>
      </w:pPr>
      <w:r w:rsidRPr="005B6AFF">
        <w:rPr>
          <w:rFonts w:ascii="Tahoma" w:hAnsi="Tahoma" w:cs="Tahoma"/>
          <w:bCs/>
          <w:sz w:val="24"/>
          <w:szCs w:val="24"/>
        </w:rPr>
        <w:br w:type="page"/>
      </w:r>
    </w:p>
    <w:p w:rsidR="00373FDE" w:rsidRPr="005B6AFF" w:rsidRDefault="00373FDE" w:rsidP="00373FDE">
      <w:pPr>
        <w:pStyle w:val="ListParagraph"/>
        <w:numPr>
          <w:ilvl w:val="0"/>
          <w:numId w:val="2"/>
        </w:numPr>
        <w:shd w:val="clear" w:color="auto" w:fill="D9D9D9" w:themeFill="background1" w:themeFillShade="D9"/>
        <w:spacing w:after="120" w:line="360" w:lineRule="auto"/>
        <w:ind w:hanging="1080"/>
        <w:jc w:val="both"/>
        <w:rPr>
          <w:rFonts w:ascii="Tahoma" w:hAnsi="Tahoma" w:cs="Tahoma"/>
          <w:b/>
          <w:caps/>
          <w:color w:val="0070C0"/>
          <w:sz w:val="24"/>
          <w:szCs w:val="24"/>
        </w:rPr>
      </w:pPr>
      <w:r w:rsidRPr="005B6AFF">
        <w:rPr>
          <w:rFonts w:ascii="Tahoma" w:hAnsi="Tahoma" w:cs="Tahoma"/>
          <w:b/>
          <w:caps/>
          <w:color w:val="0070C0"/>
          <w:sz w:val="24"/>
          <w:szCs w:val="24"/>
        </w:rPr>
        <w:lastRenderedPageBreak/>
        <w:t>CONCLUZII</w:t>
      </w:r>
    </w:p>
    <w:p w:rsidR="00415B7E" w:rsidRPr="005B6AFF" w:rsidRDefault="00415B7E" w:rsidP="00F85C5B">
      <w:pPr>
        <w:spacing w:after="120" w:line="276" w:lineRule="auto"/>
        <w:ind w:right="6"/>
        <w:jc w:val="both"/>
        <w:rPr>
          <w:rFonts w:ascii="Tahoma" w:hAnsi="Tahoma" w:cs="Tahoma"/>
          <w:bCs/>
          <w:sz w:val="24"/>
          <w:szCs w:val="24"/>
        </w:rPr>
      </w:pPr>
      <w:r w:rsidRPr="005B6AFF">
        <w:rPr>
          <w:rFonts w:ascii="Tahoma" w:hAnsi="Tahoma" w:cs="Tahoma"/>
          <w:bCs/>
          <w:sz w:val="24"/>
          <w:szCs w:val="24"/>
        </w:rPr>
        <w:t>Având în vedere evoluția veniturilor</w:t>
      </w:r>
      <w:r w:rsidR="00315666" w:rsidRPr="005B6AFF">
        <w:rPr>
          <w:rFonts w:ascii="Tahoma" w:hAnsi="Tahoma" w:cs="Tahoma"/>
          <w:bCs/>
          <w:sz w:val="24"/>
          <w:szCs w:val="24"/>
        </w:rPr>
        <w:t xml:space="preserve"> și cheltuielilor</w:t>
      </w:r>
      <w:r w:rsidRPr="005B6AFF">
        <w:rPr>
          <w:rFonts w:ascii="Tahoma" w:hAnsi="Tahoma" w:cs="Tahoma"/>
          <w:bCs/>
          <w:sz w:val="24"/>
          <w:szCs w:val="24"/>
        </w:rPr>
        <w:t xml:space="preserve"> bugetare, soldul bugetar </w:t>
      </w:r>
      <w:r w:rsidR="00315666" w:rsidRPr="005B6AFF">
        <w:rPr>
          <w:rFonts w:ascii="Tahoma" w:hAnsi="Tahoma" w:cs="Tahoma"/>
          <w:bCs/>
          <w:sz w:val="24"/>
          <w:szCs w:val="24"/>
        </w:rPr>
        <w:t>aferent</w:t>
      </w:r>
      <w:r w:rsidRPr="005B6AFF">
        <w:rPr>
          <w:rFonts w:ascii="Tahoma" w:hAnsi="Tahoma" w:cs="Tahoma"/>
          <w:bCs/>
          <w:sz w:val="24"/>
          <w:szCs w:val="24"/>
        </w:rPr>
        <w:t xml:space="preserve"> </w:t>
      </w:r>
      <w:r w:rsidR="00790CFF">
        <w:rPr>
          <w:rFonts w:ascii="Tahoma" w:hAnsi="Tahoma" w:cs="Tahoma"/>
          <w:bCs/>
          <w:sz w:val="24"/>
          <w:szCs w:val="24"/>
        </w:rPr>
        <w:t>trimestrului II 2025</w:t>
      </w:r>
      <w:r w:rsidRPr="005B6AFF">
        <w:rPr>
          <w:rFonts w:ascii="Tahoma" w:hAnsi="Tahoma" w:cs="Tahoma"/>
          <w:bCs/>
          <w:sz w:val="24"/>
          <w:szCs w:val="24"/>
        </w:rPr>
        <w:t xml:space="preserve"> </w:t>
      </w:r>
      <w:r w:rsidR="00A1466E" w:rsidRPr="005B6AFF">
        <w:rPr>
          <w:rFonts w:ascii="Tahoma" w:hAnsi="Tahoma" w:cs="Tahoma"/>
          <w:bCs/>
          <w:sz w:val="24"/>
          <w:szCs w:val="24"/>
        </w:rPr>
        <w:t xml:space="preserve">s-a </w:t>
      </w:r>
      <w:r w:rsidR="00C75F05">
        <w:rPr>
          <w:rFonts w:ascii="Tahoma" w:hAnsi="Tahoma" w:cs="Tahoma"/>
          <w:bCs/>
          <w:sz w:val="24"/>
          <w:szCs w:val="24"/>
        </w:rPr>
        <w:t xml:space="preserve">încadrat în </w:t>
      </w:r>
      <w:r w:rsidR="003C4703" w:rsidRPr="005B6AFF">
        <w:rPr>
          <w:rFonts w:ascii="Tahoma" w:hAnsi="Tahoma" w:cs="Tahoma"/>
          <w:bCs/>
          <w:sz w:val="24"/>
          <w:szCs w:val="24"/>
        </w:rPr>
        <w:t>ținta stabilită</w:t>
      </w:r>
      <w:r w:rsidRPr="005B6AFF">
        <w:rPr>
          <w:rFonts w:ascii="Tahoma" w:hAnsi="Tahoma" w:cs="Tahoma"/>
          <w:bCs/>
          <w:sz w:val="24"/>
          <w:szCs w:val="24"/>
        </w:rPr>
        <w:t>.</w:t>
      </w:r>
    </w:p>
    <w:p w:rsidR="00B800DA" w:rsidRPr="002C663C" w:rsidRDefault="001E19BB" w:rsidP="00F85C5B">
      <w:pPr>
        <w:autoSpaceDE w:val="0"/>
        <w:autoSpaceDN w:val="0"/>
        <w:adjustRightInd w:val="0"/>
        <w:spacing w:after="120" w:line="276" w:lineRule="auto"/>
        <w:jc w:val="both"/>
        <w:rPr>
          <w:rFonts w:ascii="Tahoma" w:hAnsi="Tahoma" w:cs="Tahoma"/>
          <w:bCs/>
          <w:sz w:val="24"/>
          <w:szCs w:val="24"/>
        </w:rPr>
      </w:pPr>
      <w:r w:rsidRPr="005B6AFF">
        <w:rPr>
          <w:rFonts w:ascii="Tahoma" w:hAnsi="Tahoma" w:cs="Tahoma"/>
          <w:bCs/>
          <w:sz w:val="24"/>
          <w:szCs w:val="24"/>
        </w:rPr>
        <w:t>În perioada analizată</w:t>
      </w:r>
      <w:r w:rsidR="008849D9" w:rsidRPr="005B6AFF">
        <w:rPr>
          <w:rFonts w:ascii="Tahoma" w:hAnsi="Tahoma" w:cs="Tahoma"/>
          <w:bCs/>
          <w:sz w:val="24"/>
          <w:szCs w:val="24"/>
        </w:rPr>
        <w:t xml:space="preserve"> </w:t>
      </w:r>
      <w:r w:rsidRPr="005B6AFF">
        <w:rPr>
          <w:rFonts w:ascii="Tahoma" w:hAnsi="Tahoma" w:cs="Tahoma"/>
          <w:bCs/>
          <w:sz w:val="24"/>
          <w:szCs w:val="24"/>
        </w:rPr>
        <w:t xml:space="preserve">veniturile bugetului general consolidat au </w:t>
      </w:r>
      <w:r w:rsidR="00F43473" w:rsidRPr="005B6AFF">
        <w:rPr>
          <w:rFonts w:ascii="Tahoma" w:hAnsi="Tahoma" w:cs="Tahoma"/>
          <w:bCs/>
          <w:sz w:val="24"/>
          <w:szCs w:val="24"/>
        </w:rPr>
        <w:t xml:space="preserve">fost </w:t>
      </w:r>
      <w:r w:rsidR="00D91E1D">
        <w:rPr>
          <w:rFonts w:ascii="Tahoma" w:hAnsi="Tahoma" w:cs="Tahoma"/>
          <w:bCs/>
          <w:sz w:val="24"/>
          <w:szCs w:val="24"/>
        </w:rPr>
        <w:t>inferioare</w:t>
      </w:r>
      <w:r w:rsidR="00F43473" w:rsidRPr="005B6AFF">
        <w:rPr>
          <w:rFonts w:ascii="Tahoma" w:hAnsi="Tahoma" w:cs="Tahoma"/>
          <w:bCs/>
          <w:sz w:val="24"/>
          <w:szCs w:val="24"/>
        </w:rPr>
        <w:t xml:space="preserve"> nivelului programat </w:t>
      </w:r>
      <w:r w:rsidR="00E50B43">
        <w:rPr>
          <w:rFonts w:ascii="Tahoma" w:hAnsi="Tahoma" w:cs="Tahoma"/>
          <w:bCs/>
          <w:sz w:val="24"/>
          <w:szCs w:val="24"/>
        </w:rPr>
        <w:t>în principal ca urmare a nerealizării veniturilor programate</w:t>
      </w:r>
      <w:r w:rsidR="00E50B43" w:rsidRPr="005B6AFF">
        <w:rPr>
          <w:rFonts w:ascii="Tahoma" w:hAnsi="Tahoma" w:cs="Tahoma"/>
          <w:bCs/>
          <w:sz w:val="24"/>
          <w:szCs w:val="24"/>
        </w:rPr>
        <w:t xml:space="preserve"> aferente fondurilor externe nerambursabile inclusiv PNRR</w:t>
      </w:r>
      <w:r w:rsidR="00E50B43">
        <w:rPr>
          <w:rFonts w:ascii="Tahoma" w:hAnsi="Tahoma" w:cs="Tahoma"/>
          <w:bCs/>
          <w:sz w:val="24"/>
          <w:szCs w:val="24"/>
        </w:rPr>
        <w:t>.</w:t>
      </w:r>
      <w:r w:rsidR="009715F5">
        <w:rPr>
          <w:rFonts w:ascii="Tahoma" w:hAnsi="Tahoma" w:cs="Tahoma"/>
          <w:bCs/>
          <w:sz w:val="24"/>
          <w:szCs w:val="24"/>
        </w:rPr>
        <w:t xml:space="preserve"> </w:t>
      </w:r>
      <w:r w:rsidR="00E50B43">
        <w:rPr>
          <w:rFonts w:ascii="Tahoma" w:hAnsi="Tahoma" w:cs="Tahoma"/>
          <w:bCs/>
          <w:sz w:val="24"/>
          <w:szCs w:val="24"/>
        </w:rPr>
        <w:t>V</w:t>
      </w:r>
      <w:r w:rsidR="005E607E" w:rsidRPr="005B6AFF">
        <w:rPr>
          <w:rFonts w:ascii="Tahoma" w:hAnsi="Tahoma" w:cs="Tahoma"/>
          <w:bCs/>
          <w:sz w:val="24"/>
          <w:szCs w:val="24"/>
        </w:rPr>
        <w:t>enituril</w:t>
      </w:r>
      <w:r w:rsidR="00D82A4C">
        <w:rPr>
          <w:rFonts w:ascii="Tahoma" w:hAnsi="Tahoma" w:cs="Tahoma"/>
          <w:bCs/>
          <w:sz w:val="24"/>
          <w:szCs w:val="24"/>
        </w:rPr>
        <w:t>e</w:t>
      </w:r>
      <w:r w:rsidR="005E607E" w:rsidRPr="005B6AFF">
        <w:rPr>
          <w:rFonts w:ascii="Tahoma" w:hAnsi="Tahoma" w:cs="Tahoma"/>
          <w:bCs/>
          <w:sz w:val="24"/>
          <w:szCs w:val="24"/>
        </w:rPr>
        <w:t xml:space="preserve"> încasate din economia internă</w:t>
      </w:r>
      <w:r w:rsidR="00F43473" w:rsidRPr="005B6AFF">
        <w:rPr>
          <w:rFonts w:ascii="Tahoma" w:hAnsi="Tahoma" w:cs="Tahoma"/>
          <w:bCs/>
          <w:sz w:val="24"/>
          <w:szCs w:val="24"/>
        </w:rPr>
        <w:t xml:space="preserve"> </w:t>
      </w:r>
      <w:r w:rsidR="00E50B43">
        <w:rPr>
          <w:rFonts w:ascii="Tahoma" w:hAnsi="Tahoma" w:cs="Tahoma"/>
          <w:bCs/>
          <w:sz w:val="24"/>
          <w:szCs w:val="24"/>
        </w:rPr>
        <w:t xml:space="preserve">s-au situat ușor sub nivelul programat ca urmare a </w:t>
      </w:r>
      <w:r w:rsidR="00E50B43" w:rsidRPr="002C663C">
        <w:rPr>
          <w:rFonts w:ascii="Tahoma" w:hAnsi="Tahoma" w:cs="Tahoma"/>
          <w:bCs/>
          <w:sz w:val="24"/>
          <w:szCs w:val="24"/>
        </w:rPr>
        <w:t xml:space="preserve">evoluției încasărilor </w:t>
      </w:r>
      <w:r w:rsidR="00B800DA" w:rsidRPr="002C663C">
        <w:rPr>
          <w:rFonts w:ascii="Tahoma" w:hAnsi="Tahoma" w:cs="Tahoma"/>
          <w:bCs/>
          <w:sz w:val="24"/>
          <w:szCs w:val="24"/>
        </w:rPr>
        <w:t xml:space="preserve">din TVA, </w:t>
      </w:r>
      <w:r w:rsidR="00941EEC" w:rsidRPr="002C663C">
        <w:rPr>
          <w:rFonts w:ascii="Tahoma" w:hAnsi="Tahoma" w:cs="Tahoma"/>
          <w:bCs/>
          <w:sz w:val="24"/>
          <w:szCs w:val="24"/>
        </w:rPr>
        <w:t xml:space="preserve">impozit pe profit, accize și a </w:t>
      </w:r>
      <w:r w:rsidR="00B800DA" w:rsidRPr="002C663C">
        <w:rPr>
          <w:rFonts w:ascii="Tahoma" w:hAnsi="Tahoma" w:cs="Tahoma"/>
          <w:bCs/>
          <w:sz w:val="24"/>
          <w:szCs w:val="24"/>
        </w:rPr>
        <w:t>veniturilor din dividende de la societățile/companiile naționale.</w:t>
      </w:r>
    </w:p>
    <w:p w:rsidR="00A105E1" w:rsidRPr="00A105E1" w:rsidRDefault="00F85C5B" w:rsidP="00E96ED3">
      <w:pPr>
        <w:autoSpaceDE w:val="0"/>
        <w:autoSpaceDN w:val="0"/>
        <w:adjustRightInd w:val="0"/>
        <w:spacing w:after="120" w:line="276" w:lineRule="auto"/>
        <w:jc w:val="both"/>
        <w:rPr>
          <w:rFonts w:ascii="Tahoma" w:hAnsi="Tahoma" w:cs="Tahoma"/>
          <w:sz w:val="24"/>
          <w:szCs w:val="24"/>
        </w:rPr>
      </w:pPr>
      <w:r w:rsidRPr="002C663C">
        <w:rPr>
          <w:rFonts w:ascii="Tahoma" w:hAnsi="Tahoma" w:cs="Tahoma"/>
          <w:sz w:val="24"/>
          <w:szCs w:val="24"/>
        </w:rPr>
        <w:t>Nerealizarea țintei stabilite pentru taxa pe valoarea adăugată se datorează în principal evoluției indicatorilor macroeconomici sub indicatorii ce au stat la baza estimării inițiale a programului anual (creștere reală de 2,4% - conform variantei de toamnă 2024 furnizată de CNSP în timp ce revizuirea indicatorilor macroeconomici  în varianta de primăvară 2025 evidențiază o scădere la 1,4%), cu implicații nefavorabile și în ceea ce privește ținta stabilită de îmbunătățire a colectării (2,6 miliarde lei venit suplimentar inclus în programul TVA la semestrul I 2025).</w:t>
      </w:r>
      <w:r w:rsidR="004901D7" w:rsidRPr="002C663C">
        <w:rPr>
          <w:rFonts w:ascii="Tahoma" w:hAnsi="Tahoma" w:cs="Tahoma"/>
          <w:sz w:val="24"/>
          <w:szCs w:val="24"/>
        </w:rPr>
        <w:t xml:space="preserve"> </w:t>
      </w:r>
      <w:r w:rsidR="00941EEC" w:rsidRPr="002C663C">
        <w:rPr>
          <w:rFonts w:ascii="Tahoma" w:hAnsi="Tahoma" w:cs="Tahoma"/>
          <w:sz w:val="24"/>
          <w:szCs w:val="24"/>
        </w:rPr>
        <w:t xml:space="preserve">Plățile anticipate efectuate de contribuabili la impozitul pe profit au înregistrat o evoluție sub așteptări de 2,0% (an/an), influențând nerealizarea programului la impozit pe profit. </w:t>
      </w:r>
      <w:r w:rsidR="00FA122F" w:rsidRPr="002C663C">
        <w:rPr>
          <w:rFonts w:ascii="Tahoma" w:hAnsi="Tahoma" w:cs="Tahoma"/>
          <w:sz w:val="24"/>
          <w:szCs w:val="24"/>
        </w:rPr>
        <w:t xml:space="preserve">Nerealizarea programului la accize a fost influențată </w:t>
      </w:r>
      <w:r w:rsidR="002D0C7E" w:rsidRPr="002C663C">
        <w:rPr>
          <w:rFonts w:ascii="Tahoma" w:hAnsi="Tahoma" w:cs="Tahoma"/>
          <w:sz w:val="24"/>
          <w:szCs w:val="24"/>
        </w:rPr>
        <w:t xml:space="preserve">în principal </w:t>
      </w:r>
      <w:r w:rsidR="00FA122F" w:rsidRPr="002C663C">
        <w:rPr>
          <w:rFonts w:ascii="Tahoma" w:hAnsi="Tahoma" w:cs="Tahoma"/>
          <w:sz w:val="24"/>
          <w:szCs w:val="24"/>
        </w:rPr>
        <w:t>de</w:t>
      </w:r>
      <w:r w:rsidR="002D0C7E" w:rsidRPr="002C663C">
        <w:rPr>
          <w:rFonts w:ascii="Tahoma" w:hAnsi="Tahoma" w:cs="Tahoma"/>
          <w:sz w:val="24"/>
          <w:szCs w:val="24"/>
        </w:rPr>
        <w:t xml:space="preserve"> scăderea </w:t>
      </w:r>
      <w:r w:rsidR="00FA122F" w:rsidRPr="002C663C">
        <w:rPr>
          <w:rFonts w:ascii="Tahoma" w:hAnsi="Tahoma" w:cs="Tahoma"/>
          <w:sz w:val="24"/>
          <w:szCs w:val="24"/>
        </w:rPr>
        <w:t xml:space="preserve"> încasăril</w:t>
      </w:r>
      <w:r w:rsidR="002D0C7E" w:rsidRPr="002C663C">
        <w:rPr>
          <w:rFonts w:ascii="Tahoma" w:hAnsi="Tahoma" w:cs="Tahoma"/>
          <w:sz w:val="24"/>
          <w:szCs w:val="24"/>
        </w:rPr>
        <w:t>or</w:t>
      </w:r>
      <w:r w:rsidR="00FA122F" w:rsidRPr="002C663C">
        <w:rPr>
          <w:rFonts w:ascii="Tahoma" w:hAnsi="Tahoma" w:cs="Tahoma"/>
          <w:sz w:val="24"/>
          <w:szCs w:val="24"/>
        </w:rPr>
        <w:t xml:space="preserve"> la accizele pentru produsele din tutun din lunile mai-iunie 2025 </w:t>
      </w:r>
      <w:r w:rsidR="002D0C7E" w:rsidRPr="002C663C">
        <w:rPr>
          <w:rFonts w:ascii="Tahoma" w:hAnsi="Tahoma" w:cs="Tahoma"/>
          <w:sz w:val="24"/>
          <w:szCs w:val="24"/>
        </w:rPr>
        <w:t xml:space="preserve">situate </w:t>
      </w:r>
      <w:r w:rsidR="00FA122F" w:rsidRPr="002C663C">
        <w:rPr>
          <w:rFonts w:ascii="Tahoma" w:hAnsi="Tahoma" w:cs="Tahoma"/>
          <w:sz w:val="24"/>
          <w:szCs w:val="24"/>
        </w:rPr>
        <w:t xml:space="preserve">sub încasările din aceeași perioadă a anului 2024. </w:t>
      </w:r>
      <w:r w:rsidR="00E96ED3" w:rsidRPr="002C663C">
        <w:rPr>
          <w:rFonts w:ascii="Tahoma" w:hAnsi="Tahoma" w:cs="Tahoma"/>
          <w:sz w:val="24"/>
          <w:szCs w:val="24"/>
        </w:rPr>
        <w:t xml:space="preserve">Veniturile nefiscale au fost influențate negativ de neîncasarea la nivelul prognozat a dividendelor (-2,0 mld lei). </w:t>
      </w:r>
    </w:p>
    <w:p w:rsidR="009715F5" w:rsidRDefault="00F85C5B" w:rsidP="00F85C5B">
      <w:pPr>
        <w:spacing w:before="240" w:after="120" w:line="276" w:lineRule="auto"/>
        <w:jc w:val="both"/>
        <w:rPr>
          <w:rFonts w:ascii="Tahoma" w:hAnsi="Tahoma" w:cs="Tahoma"/>
          <w:bCs/>
          <w:sz w:val="24"/>
          <w:szCs w:val="24"/>
        </w:rPr>
      </w:pPr>
      <w:r w:rsidRPr="00F85C5B">
        <w:rPr>
          <w:rFonts w:ascii="Tahoma" w:hAnsi="Tahoma" w:cs="Tahoma"/>
          <w:bCs/>
          <w:sz w:val="24"/>
          <w:szCs w:val="24"/>
        </w:rPr>
        <w:t>Având în vedere execuția bugetară din pri</w:t>
      </w:r>
      <w:r>
        <w:rPr>
          <w:rFonts w:ascii="Tahoma" w:hAnsi="Tahoma" w:cs="Tahoma"/>
          <w:bCs/>
          <w:sz w:val="24"/>
          <w:szCs w:val="24"/>
        </w:rPr>
        <w:t xml:space="preserve">ma jumătate a </w:t>
      </w:r>
      <w:r w:rsidRPr="00F85C5B">
        <w:rPr>
          <w:rFonts w:ascii="Tahoma" w:hAnsi="Tahoma" w:cs="Tahoma"/>
          <w:bCs/>
          <w:sz w:val="24"/>
          <w:szCs w:val="24"/>
        </w:rPr>
        <w:t>anului</w:t>
      </w:r>
      <w:r>
        <w:rPr>
          <w:rFonts w:ascii="Tahoma" w:hAnsi="Tahoma" w:cs="Tahoma"/>
          <w:bCs/>
          <w:sz w:val="24"/>
          <w:szCs w:val="24"/>
        </w:rPr>
        <w:t xml:space="preserve">, </w:t>
      </w:r>
      <w:r w:rsidRPr="00F85C5B">
        <w:rPr>
          <w:rFonts w:ascii="Tahoma" w:hAnsi="Tahoma" w:cs="Tahoma"/>
          <w:bCs/>
          <w:sz w:val="24"/>
          <w:szCs w:val="24"/>
        </w:rPr>
        <w:t xml:space="preserve">apreciem că pentru atingerea țintei de deficit stabilite pentru anul 2025 este necesar să fie continuate și intensificate eforturile pentru o colectare cât mai bună a veniturilor bugetare astfel încât nivelul programat să fie atins. </w:t>
      </w:r>
    </w:p>
    <w:p w:rsidR="008B4202" w:rsidRDefault="008B4202" w:rsidP="00F17A32">
      <w:pPr>
        <w:spacing w:after="120" w:line="276" w:lineRule="auto"/>
        <w:ind w:right="6"/>
        <w:jc w:val="both"/>
        <w:rPr>
          <w:rFonts w:ascii="Tahoma" w:hAnsi="Tahoma" w:cs="Tahoma"/>
          <w:bCs/>
          <w:sz w:val="24"/>
          <w:szCs w:val="24"/>
        </w:rPr>
      </w:pPr>
      <w:r>
        <w:rPr>
          <w:rFonts w:ascii="Tahoma" w:hAnsi="Tahoma" w:cs="Tahoma"/>
          <w:bCs/>
          <w:sz w:val="24"/>
          <w:szCs w:val="24"/>
        </w:rPr>
        <w:t>Cheltuielile bugetului general consolidat au crescut cu 14,1% comparativ cu aceeași perioadă a anului 2024 ritmul de creștere fiind inferior celui al veniturilor bugetare.</w:t>
      </w:r>
    </w:p>
    <w:p w:rsidR="00C14792" w:rsidRDefault="008B4202" w:rsidP="00F17A32">
      <w:pPr>
        <w:spacing w:after="120" w:line="276" w:lineRule="auto"/>
        <w:ind w:right="6"/>
        <w:jc w:val="both"/>
        <w:rPr>
          <w:rFonts w:ascii="Tahoma" w:hAnsi="Tahoma" w:cs="Tahoma"/>
          <w:bCs/>
          <w:sz w:val="24"/>
          <w:szCs w:val="24"/>
        </w:rPr>
      </w:pPr>
      <w:r>
        <w:rPr>
          <w:rFonts w:ascii="Tahoma" w:hAnsi="Tahoma" w:cs="Tahoma"/>
          <w:bCs/>
          <w:sz w:val="24"/>
          <w:szCs w:val="24"/>
        </w:rPr>
        <w:t>Cheltuielile au fost inferioare nivelului programat a se efectua pentru perioada analizată</w:t>
      </w:r>
      <w:r w:rsidR="00C14792">
        <w:rPr>
          <w:rFonts w:ascii="Tahoma" w:hAnsi="Tahoma" w:cs="Tahoma"/>
          <w:bCs/>
          <w:sz w:val="24"/>
          <w:szCs w:val="24"/>
        </w:rPr>
        <w:t xml:space="preserve"> în special pe fondul discrepanțelor majore înregistrate între nivelul programat și cel efectuat în cazul cheltuielilor cu proiectele cu finanțate din fonduri externe nerambursabile și a celor finanțate din componenta de asistență financiară a PNRR. </w:t>
      </w:r>
    </w:p>
    <w:p w:rsidR="00F17A32" w:rsidRDefault="00AD3613" w:rsidP="00F17A32">
      <w:pPr>
        <w:spacing w:after="120" w:line="276" w:lineRule="auto"/>
        <w:ind w:right="6"/>
        <w:jc w:val="both"/>
        <w:rPr>
          <w:rFonts w:ascii="Tahoma" w:hAnsi="Tahoma" w:cs="Tahoma"/>
          <w:bCs/>
          <w:sz w:val="24"/>
          <w:szCs w:val="24"/>
        </w:rPr>
      </w:pPr>
      <w:r w:rsidRPr="005B6AFF">
        <w:rPr>
          <w:rFonts w:ascii="Tahoma" w:hAnsi="Tahoma" w:cs="Tahoma"/>
          <w:bCs/>
          <w:sz w:val="24"/>
          <w:szCs w:val="24"/>
        </w:rPr>
        <w:t>Cheltuielile pentru investiții în perioada analizată au fost superioare celor înregistrate în trimestru I</w:t>
      </w:r>
      <w:r w:rsidR="008B4202">
        <w:rPr>
          <w:rFonts w:ascii="Tahoma" w:hAnsi="Tahoma" w:cs="Tahoma"/>
          <w:bCs/>
          <w:sz w:val="24"/>
          <w:szCs w:val="24"/>
        </w:rPr>
        <w:t>I</w:t>
      </w:r>
      <w:r w:rsidRPr="005B6AFF">
        <w:rPr>
          <w:rFonts w:ascii="Tahoma" w:hAnsi="Tahoma" w:cs="Tahoma"/>
          <w:bCs/>
          <w:sz w:val="24"/>
          <w:szCs w:val="24"/>
        </w:rPr>
        <w:t xml:space="preserve"> 202</w:t>
      </w:r>
      <w:r w:rsidR="00E50B43">
        <w:rPr>
          <w:rFonts w:ascii="Tahoma" w:hAnsi="Tahoma" w:cs="Tahoma"/>
          <w:bCs/>
          <w:sz w:val="24"/>
          <w:szCs w:val="24"/>
        </w:rPr>
        <w:t>4</w:t>
      </w:r>
      <w:r w:rsidRPr="005B6AFF">
        <w:rPr>
          <w:rFonts w:ascii="Tahoma" w:hAnsi="Tahoma" w:cs="Tahoma"/>
          <w:bCs/>
          <w:sz w:val="24"/>
          <w:szCs w:val="24"/>
        </w:rPr>
        <w:t xml:space="preserve"> înregistrând o creștere </w:t>
      </w:r>
      <w:r w:rsidR="008B4202">
        <w:rPr>
          <w:rFonts w:ascii="Tahoma" w:hAnsi="Tahoma" w:cs="Tahoma"/>
          <w:bCs/>
          <w:sz w:val="24"/>
          <w:szCs w:val="24"/>
        </w:rPr>
        <w:t>cu 6,8%.</w:t>
      </w:r>
    </w:p>
    <w:p w:rsidR="00062C16" w:rsidRPr="00C2489F" w:rsidRDefault="0064606E" w:rsidP="00F17A32">
      <w:pPr>
        <w:spacing w:after="120" w:line="276" w:lineRule="auto"/>
        <w:ind w:right="6"/>
        <w:jc w:val="both"/>
        <w:rPr>
          <w:rFonts w:ascii="Tahoma" w:hAnsi="Tahoma" w:cs="Tahoma"/>
          <w:bCs/>
          <w:sz w:val="24"/>
          <w:szCs w:val="24"/>
        </w:rPr>
      </w:pPr>
      <w:r w:rsidRPr="005B6AFF">
        <w:rPr>
          <w:rFonts w:ascii="Tahoma" w:hAnsi="Tahoma" w:cs="Tahoma"/>
          <w:bCs/>
          <w:sz w:val="24"/>
          <w:szCs w:val="24"/>
        </w:rPr>
        <w:t xml:space="preserve">Absorbția fondurilor externe nerambursabile, cât și a sumelor atrase din Planul Național de redresare și reziliență reprezintă una dintre prioritățile Guvernului României. Alocarea substanțială de fonduri din partea Uniunii Europene trebuie valorificată optim, reprezentând </w:t>
      </w:r>
      <w:r w:rsidRPr="005B6AFF">
        <w:rPr>
          <w:rFonts w:ascii="Tahoma" w:hAnsi="Tahoma" w:cs="Tahoma"/>
          <w:bCs/>
          <w:sz w:val="24"/>
          <w:szCs w:val="24"/>
        </w:rPr>
        <w:lastRenderedPageBreak/>
        <w:t xml:space="preserve">un element central al sustenabilității bugetare prin prisma strategiei investiționale și a </w:t>
      </w:r>
      <w:r w:rsidRPr="00C2489F">
        <w:rPr>
          <w:rFonts w:ascii="Tahoma" w:hAnsi="Tahoma" w:cs="Tahoma"/>
          <w:bCs/>
          <w:sz w:val="24"/>
          <w:szCs w:val="24"/>
        </w:rPr>
        <w:t xml:space="preserve">caracterului nerambursabil al acestor fonduri. </w:t>
      </w:r>
    </w:p>
    <w:p w:rsidR="00AD3613" w:rsidRPr="00C2489F" w:rsidRDefault="00C14792" w:rsidP="00F17A32">
      <w:pPr>
        <w:spacing w:after="120" w:line="276" w:lineRule="auto"/>
        <w:ind w:right="6"/>
        <w:jc w:val="both"/>
        <w:rPr>
          <w:rFonts w:ascii="Tahoma" w:hAnsi="Tahoma" w:cs="Tahoma"/>
          <w:bCs/>
          <w:sz w:val="24"/>
          <w:szCs w:val="24"/>
        </w:rPr>
      </w:pPr>
      <w:r>
        <w:rPr>
          <w:rFonts w:ascii="Tahoma" w:hAnsi="Tahoma" w:cs="Tahoma"/>
          <w:bCs/>
          <w:sz w:val="24"/>
          <w:szCs w:val="24"/>
        </w:rPr>
        <w:t xml:space="preserve">Deși au fost superioare celor aferente trimestrului II 2024 </w:t>
      </w:r>
      <w:r w:rsidR="009D02AB" w:rsidRPr="00C2489F">
        <w:rPr>
          <w:rFonts w:ascii="Tahoma" w:hAnsi="Tahoma" w:cs="Tahoma"/>
          <w:bCs/>
          <w:sz w:val="24"/>
          <w:szCs w:val="24"/>
        </w:rPr>
        <w:t xml:space="preserve">plățile aferente </w:t>
      </w:r>
      <w:r w:rsidRPr="00C14792">
        <w:rPr>
          <w:rFonts w:ascii="Tahoma" w:hAnsi="Tahoma" w:cs="Tahoma"/>
          <w:bCs/>
          <w:sz w:val="24"/>
          <w:szCs w:val="24"/>
        </w:rPr>
        <w:t xml:space="preserve">din fonduri externe nerambursabile și a celor finanțate din componenta de asistență financiară a PNRR </w:t>
      </w:r>
      <w:r>
        <w:rPr>
          <w:rFonts w:ascii="Tahoma" w:hAnsi="Tahoma" w:cs="Tahoma"/>
          <w:bCs/>
          <w:sz w:val="24"/>
          <w:szCs w:val="24"/>
        </w:rPr>
        <w:t>nu au reușit să atingă nivelul programat pentru perioada analizată și ținând cont și de evoluția din primul semestru</w:t>
      </w:r>
      <w:r w:rsidR="009D02AB" w:rsidRPr="00C2489F">
        <w:rPr>
          <w:rFonts w:ascii="Tahoma" w:hAnsi="Tahoma" w:cs="Tahoma"/>
          <w:bCs/>
          <w:sz w:val="24"/>
          <w:szCs w:val="24"/>
        </w:rPr>
        <w:t xml:space="preserve"> </w:t>
      </w:r>
      <w:r w:rsidR="00062C16" w:rsidRPr="00C2489F">
        <w:rPr>
          <w:rFonts w:ascii="Tahoma" w:hAnsi="Tahoma" w:cs="Tahoma"/>
          <w:bCs/>
          <w:sz w:val="24"/>
          <w:szCs w:val="24"/>
        </w:rPr>
        <w:t>a</w:t>
      </w:r>
      <w:r w:rsidR="00F17A32" w:rsidRPr="00C2489F">
        <w:rPr>
          <w:rFonts w:ascii="Tahoma" w:hAnsi="Tahoma" w:cs="Tahoma"/>
          <w:bCs/>
          <w:sz w:val="24"/>
          <w:szCs w:val="24"/>
        </w:rPr>
        <w:t>preciem</w:t>
      </w:r>
      <w:r w:rsidR="00062C16" w:rsidRPr="00C2489F">
        <w:rPr>
          <w:rFonts w:ascii="Tahoma" w:hAnsi="Tahoma" w:cs="Tahoma"/>
          <w:bCs/>
          <w:sz w:val="24"/>
          <w:szCs w:val="24"/>
        </w:rPr>
        <w:t xml:space="preserve"> c</w:t>
      </w:r>
      <w:r>
        <w:rPr>
          <w:rFonts w:ascii="Tahoma" w:hAnsi="Tahoma" w:cs="Tahoma"/>
          <w:bCs/>
          <w:sz w:val="24"/>
          <w:szCs w:val="24"/>
        </w:rPr>
        <w:t>ă</w:t>
      </w:r>
      <w:r w:rsidR="0064606E" w:rsidRPr="00C2489F">
        <w:rPr>
          <w:rFonts w:ascii="Tahoma" w:hAnsi="Tahoma" w:cs="Tahoma"/>
          <w:bCs/>
          <w:sz w:val="24"/>
          <w:szCs w:val="24"/>
        </w:rPr>
        <w:t xml:space="preserve"> ordonatorii principali de credite trebuie să acorde o atenție deosebită și să </w:t>
      </w:r>
      <w:r>
        <w:rPr>
          <w:rFonts w:ascii="Tahoma" w:hAnsi="Tahoma" w:cs="Tahoma"/>
          <w:bCs/>
          <w:sz w:val="24"/>
          <w:szCs w:val="24"/>
        </w:rPr>
        <w:t>depună</w:t>
      </w:r>
      <w:r w:rsidR="0064606E" w:rsidRPr="00C2489F">
        <w:rPr>
          <w:rFonts w:ascii="Tahoma" w:hAnsi="Tahoma" w:cs="Tahoma"/>
          <w:bCs/>
          <w:sz w:val="24"/>
          <w:szCs w:val="24"/>
        </w:rPr>
        <w:t xml:space="preserve"> toate eforturile în vederea </w:t>
      </w:r>
      <w:r w:rsidR="009D02AB" w:rsidRPr="00C2489F">
        <w:rPr>
          <w:rFonts w:ascii="Tahoma" w:hAnsi="Tahoma" w:cs="Tahoma"/>
          <w:bCs/>
          <w:sz w:val="24"/>
          <w:szCs w:val="24"/>
        </w:rPr>
        <w:t>accelerării</w:t>
      </w:r>
      <w:r w:rsidR="00BA3E99" w:rsidRPr="00C2489F">
        <w:rPr>
          <w:rFonts w:ascii="Tahoma" w:hAnsi="Tahoma" w:cs="Tahoma"/>
          <w:bCs/>
          <w:sz w:val="24"/>
          <w:szCs w:val="24"/>
        </w:rPr>
        <w:t xml:space="preserve"> implementării proiectelor</w:t>
      </w:r>
      <w:r w:rsidR="009D02AB" w:rsidRPr="00C2489F">
        <w:rPr>
          <w:rFonts w:ascii="Tahoma" w:hAnsi="Tahoma" w:cs="Tahoma"/>
          <w:bCs/>
          <w:sz w:val="24"/>
          <w:szCs w:val="24"/>
        </w:rPr>
        <w:t>,</w:t>
      </w:r>
      <w:r w:rsidR="00BA3E99" w:rsidRPr="00C2489F">
        <w:rPr>
          <w:rFonts w:ascii="Tahoma" w:hAnsi="Tahoma" w:cs="Tahoma"/>
          <w:bCs/>
          <w:sz w:val="24"/>
          <w:szCs w:val="24"/>
        </w:rPr>
        <w:t xml:space="preserve"> astfel încât sumele atrase din fonduri externe nerambursabile cât și cele aferente proiectelor finanțate din PNRR în perioada următoare să recupereze din decalajul înregistrat în perioada analizată</w:t>
      </w:r>
      <w:r w:rsidR="00AD3613" w:rsidRPr="00C2489F">
        <w:rPr>
          <w:rFonts w:ascii="Tahoma" w:hAnsi="Tahoma" w:cs="Tahoma"/>
          <w:bCs/>
          <w:sz w:val="24"/>
          <w:szCs w:val="24"/>
        </w:rPr>
        <w:t>.</w:t>
      </w:r>
      <w:r w:rsidR="006C08A3" w:rsidRPr="00C2489F">
        <w:rPr>
          <w:rFonts w:ascii="Tahoma" w:hAnsi="Tahoma" w:cs="Tahoma"/>
          <w:bCs/>
          <w:sz w:val="24"/>
          <w:szCs w:val="24"/>
        </w:rPr>
        <w:t xml:space="preserve"> </w:t>
      </w:r>
    </w:p>
    <w:p w:rsidR="00F85C5B" w:rsidRPr="002C663C" w:rsidRDefault="00753D9F" w:rsidP="00F85C5B">
      <w:pPr>
        <w:spacing w:before="240" w:after="120" w:line="276" w:lineRule="auto"/>
        <w:jc w:val="both"/>
        <w:rPr>
          <w:rFonts w:ascii="Tahoma" w:hAnsi="Tahoma" w:cs="Tahoma"/>
          <w:bCs/>
          <w:sz w:val="24"/>
          <w:szCs w:val="24"/>
        </w:rPr>
      </w:pPr>
      <w:r w:rsidRPr="002C663C">
        <w:rPr>
          <w:rFonts w:ascii="Tahoma" w:hAnsi="Tahoma" w:cs="Tahoma"/>
          <w:bCs/>
          <w:sz w:val="24"/>
          <w:szCs w:val="24"/>
        </w:rPr>
        <w:t xml:space="preserve">Totodată este necesar ca în perioada următoare să fie </w:t>
      </w:r>
      <w:r w:rsidR="00670061" w:rsidRPr="002C663C">
        <w:rPr>
          <w:rFonts w:ascii="Tahoma" w:hAnsi="Tahoma" w:cs="Tahoma"/>
          <w:bCs/>
          <w:sz w:val="24"/>
          <w:szCs w:val="24"/>
        </w:rPr>
        <w:t>intensificate</w:t>
      </w:r>
      <w:r w:rsidR="00AD3613" w:rsidRPr="002C663C">
        <w:rPr>
          <w:rFonts w:ascii="Tahoma" w:hAnsi="Tahoma" w:cs="Tahoma"/>
          <w:bCs/>
          <w:sz w:val="24"/>
          <w:szCs w:val="24"/>
        </w:rPr>
        <w:t xml:space="preserve"> eforturile de colectare </w:t>
      </w:r>
      <w:r w:rsidRPr="002C663C">
        <w:rPr>
          <w:rFonts w:ascii="Tahoma" w:hAnsi="Tahoma" w:cs="Tahoma"/>
          <w:bCs/>
          <w:sz w:val="24"/>
          <w:szCs w:val="24"/>
        </w:rPr>
        <w:t xml:space="preserve">astfel încât să fie </w:t>
      </w:r>
      <w:r w:rsidR="00670061" w:rsidRPr="002C663C">
        <w:rPr>
          <w:rFonts w:ascii="Tahoma" w:hAnsi="Tahoma" w:cs="Tahoma"/>
          <w:bCs/>
          <w:sz w:val="24"/>
          <w:szCs w:val="24"/>
        </w:rPr>
        <w:t xml:space="preserve">recuperat decalajul față de nivelul programat al veniturilor din economia internă înregistrat în </w:t>
      </w:r>
      <w:r w:rsidR="00C14792" w:rsidRPr="002C663C">
        <w:rPr>
          <w:rFonts w:ascii="Tahoma" w:hAnsi="Tahoma" w:cs="Tahoma"/>
          <w:bCs/>
          <w:sz w:val="24"/>
          <w:szCs w:val="24"/>
        </w:rPr>
        <w:t>al doilea</w:t>
      </w:r>
      <w:r w:rsidR="00670061" w:rsidRPr="002C663C">
        <w:rPr>
          <w:rFonts w:ascii="Tahoma" w:hAnsi="Tahoma" w:cs="Tahoma"/>
          <w:bCs/>
          <w:sz w:val="24"/>
          <w:szCs w:val="24"/>
        </w:rPr>
        <w:t xml:space="preserve"> trimestru.</w:t>
      </w:r>
      <w:r w:rsidR="00AD3613" w:rsidRPr="002C663C">
        <w:rPr>
          <w:rFonts w:ascii="Tahoma" w:hAnsi="Tahoma" w:cs="Tahoma"/>
          <w:bCs/>
          <w:sz w:val="24"/>
          <w:szCs w:val="24"/>
        </w:rPr>
        <w:t xml:space="preserve"> </w:t>
      </w:r>
    </w:p>
    <w:p w:rsidR="00F85C5B" w:rsidRPr="00FD3074" w:rsidRDefault="00F85C5B" w:rsidP="00F85C5B">
      <w:pPr>
        <w:spacing w:before="240" w:after="120" w:line="276" w:lineRule="auto"/>
        <w:jc w:val="both"/>
        <w:rPr>
          <w:rFonts w:ascii="Tahoma" w:hAnsi="Tahoma" w:cs="Tahoma"/>
          <w:bCs/>
          <w:sz w:val="24"/>
          <w:szCs w:val="24"/>
        </w:rPr>
      </w:pPr>
      <w:r w:rsidRPr="002C663C">
        <w:rPr>
          <w:rFonts w:ascii="Tahoma" w:hAnsi="Tahoma" w:cs="Tahoma"/>
          <w:bCs/>
          <w:sz w:val="24"/>
          <w:szCs w:val="24"/>
        </w:rPr>
        <w:t>În cazul cheltuielilor bugetare se recomandă o atenție deosebită în angajarea de noi cheltuieli precum și o analiză riguroasă a cheltuielilor programate în vederea identificării unor eventuale sume ce pot fi economisite astfel încât să nu afecteze negativ soldul bugetar stabilit pentru anul 2025. În lipsa unor măsuri bugetare, care să conducă la limitarea și diminuarea cheltuielilor bugetare pe perioada rămasă până la sfârșitul acestui an în contextul în care creșterea economică este inferioară celei pe bazele căreia a fost construit bugetul pentru anul 2025 există riscul major ca ținta de deficit asumată să fie depășită cu consecințe imediate asupra creșterii costurilor finanțării deficitului bugetar dar și asupra fondurilor alocate pentru investiții în cadrul Politicii de Coeziune cât și asupra fondurilor alocate prin Planul Național de Redresare și Reziliență.</w:t>
      </w:r>
    </w:p>
    <w:p w:rsidR="00244D97" w:rsidRPr="005B6AFF" w:rsidRDefault="00D0224D" w:rsidP="00F17A32">
      <w:pPr>
        <w:spacing w:after="120" w:line="276" w:lineRule="auto"/>
        <w:ind w:right="6"/>
        <w:jc w:val="both"/>
        <w:rPr>
          <w:rFonts w:ascii="Tahoma" w:hAnsi="Tahoma" w:cs="Tahoma"/>
          <w:sz w:val="24"/>
          <w:szCs w:val="24"/>
        </w:rPr>
      </w:pPr>
      <w:r w:rsidRPr="005B6AFF">
        <w:rPr>
          <w:rFonts w:ascii="Tahoma" w:hAnsi="Tahoma" w:cs="Tahoma"/>
          <w:bCs/>
          <w:sz w:val="24"/>
          <w:szCs w:val="24"/>
        </w:rPr>
        <w:t xml:space="preserve">De asemenea, în cazul ordonatorilor principali de credite </w:t>
      </w:r>
      <w:r w:rsidR="00C75F05">
        <w:rPr>
          <w:rFonts w:ascii="Tahoma" w:hAnsi="Tahoma" w:cs="Tahoma"/>
          <w:bCs/>
          <w:sz w:val="24"/>
          <w:szCs w:val="24"/>
        </w:rPr>
        <w:t>recomandăm</w:t>
      </w:r>
      <w:r w:rsidRPr="005B6AFF">
        <w:rPr>
          <w:rFonts w:ascii="Tahoma" w:hAnsi="Tahoma" w:cs="Tahoma"/>
          <w:bCs/>
          <w:sz w:val="24"/>
          <w:szCs w:val="24"/>
        </w:rPr>
        <w:t xml:space="preserve"> prudență în angajarea de noi cheltuieli</w:t>
      </w:r>
      <w:r w:rsidR="00C75F05">
        <w:rPr>
          <w:rFonts w:ascii="Tahoma" w:hAnsi="Tahoma" w:cs="Tahoma"/>
          <w:bCs/>
          <w:sz w:val="24"/>
          <w:szCs w:val="24"/>
        </w:rPr>
        <w:t>,</w:t>
      </w:r>
      <w:r w:rsidRPr="005B6AFF">
        <w:rPr>
          <w:rFonts w:ascii="Tahoma" w:hAnsi="Tahoma" w:cs="Tahoma"/>
          <w:bCs/>
          <w:sz w:val="24"/>
          <w:szCs w:val="24"/>
        </w:rPr>
        <w:t xml:space="preserve"> o mai mare rigurozitate în programarea cheltuielilor bugetare</w:t>
      </w:r>
      <w:r w:rsidR="00C14792">
        <w:rPr>
          <w:rFonts w:ascii="Tahoma" w:hAnsi="Tahoma" w:cs="Tahoma"/>
          <w:bCs/>
          <w:sz w:val="24"/>
          <w:szCs w:val="24"/>
        </w:rPr>
        <w:t xml:space="preserve"> și totodată o analiză pentru perioada următoare care să identifice eventuale economii pe partea de cheltuieli</w:t>
      </w:r>
      <w:r w:rsidR="00766A2D">
        <w:rPr>
          <w:rFonts w:ascii="Tahoma" w:hAnsi="Tahoma" w:cs="Tahoma"/>
          <w:bCs/>
          <w:sz w:val="24"/>
          <w:szCs w:val="24"/>
        </w:rPr>
        <w:t>.</w:t>
      </w:r>
    </w:p>
    <w:sectPr w:rsidR="00244D97" w:rsidRPr="005B6AFF" w:rsidSect="005E607E">
      <w:footerReference w:type="default" r:id="rId14"/>
      <w:pgSz w:w="12240" w:h="15840"/>
      <w:pgMar w:top="1166" w:right="1253" w:bottom="1440" w:left="1166"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1F0" w:rsidRDefault="003951F0" w:rsidP="006704C5">
      <w:pPr>
        <w:spacing w:after="0" w:line="240" w:lineRule="auto"/>
      </w:pPr>
      <w:r>
        <w:separator/>
      </w:r>
    </w:p>
  </w:endnote>
  <w:endnote w:type="continuationSeparator" w:id="0">
    <w:p w:rsidR="003951F0" w:rsidRDefault="003951F0" w:rsidP="0067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8515"/>
      <w:gridCol w:w="1306"/>
    </w:tblGrid>
    <w:tr w:rsidR="0090217B" w:rsidTr="0090217B">
      <w:trPr>
        <w:trHeight w:hRule="exact" w:val="115"/>
        <w:jc w:val="center"/>
      </w:trPr>
      <w:tc>
        <w:tcPr>
          <w:tcW w:w="8505" w:type="dxa"/>
          <w:shd w:val="clear" w:color="auto" w:fill="5B9BD5" w:themeFill="accent1"/>
          <w:tcMar>
            <w:top w:w="0" w:type="dxa"/>
            <w:bottom w:w="0" w:type="dxa"/>
          </w:tcMar>
        </w:tcPr>
        <w:p w:rsidR="0090217B" w:rsidRDefault="0090217B" w:rsidP="005E607E">
          <w:pPr>
            <w:pStyle w:val="Header"/>
            <w:tabs>
              <w:tab w:val="clear" w:pos="4680"/>
              <w:tab w:val="clear" w:pos="9360"/>
            </w:tabs>
            <w:rPr>
              <w:caps/>
              <w:sz w:val="18"/>
            </w:rPr>
          </w:pPr>
        </w:p>
      </w:tc>
      <w:tc>
        <w:tcPr>
          <w:tcW w:w="1305" w:type="dxa"/>
          <w:shd w:val="clear" w:color="auto" w:fill="5B9BD5" w:themeFill="accent1"/>
          <w:tcMar>
            <w:top w:w="0" w:type="dxa"/>
            <w:bottom w:w="0" w:type="dxa"/>
          </w:tcMar>
        </w:tcPr>
        <w:p w:rsidR="0090217B" w:rsidRDefault="0090217B" w:rsidP="005E607E">
          <w:pPr>
            <w:pStyle w:val="Header"/>
            <w:tabs>
              <w:tab w:val="clear" w:pos="4680"/>
              <w:tab w:val="clear" w:pos="9360"/>
            </w:tabs>
            <w:jc w:val="right"/>
            <w:rPr>
              <w:caps/>
              <w:sz w:val="18"/>
            </w:rPr>
          </w:pPr>
        </w:p>
      </w:tc>
    </w:tr>
    <w:tr w:rsidR="0090217B" w:rsidTr="0090217B">
      <w:trPr>
        <w:trHeight w:hRule="exact" w:val="115"/>
        <w:jc w:val="center"/>
      </w:trPr>
      <w:tc>
        <w:tcPr>
          <w:tcW w:w="8505" w:type="dxa"/>
          <w:shd w:val="clear" w:color="auto" w:fill="5B9BD5" w:themeFill="accent1"/>
          <w:tcMar>
            <w:top w:w="0" w:type="dxa"/>
            <w:bottom w:w="0" w:type="dxa"/>
          </w:tcMar>
        </w:tcPr>
        <w:p w:rsidR="0090217B" w:rsidRDefault="0090217B" w:rsidP="005E607E">
          <w:pPr>
            <w:pStyle w:val="Header"/>
            <w:tabs>
              <w:tab w:val="clear" w:pos="4680"/>
              <w:tab w:val="clear" w:pos="9360"/>
            </w:tabs>
            <w:rPr>
              <w:caps/>
              <w:sz w:val="18"/>
            </w:rPr>
          </w:pPr>
        </w:p>
      </w:tc>
      <w:tc>
        <w:tcPr>
          <w:tcW w:w="1305" w:type="dxa"/>
          <w:shd w:val="clear" w:color="auto" w:fill="5B9BD5" w:themeFill="accent1"/>
          <w:tcMar>
            <w:top w:w="0" w:type="dxa"/>
            <w:bottom w:w="0" w:type="dxa"/>
          </w:tcMar>
        </w:tcPr>
        <w:p w:rsidR="0090217B" w:rsidRDefault="0090217B" w:rsidP="005E607E">
          <w:pPr>
            <w:pStyle w:val="Header"/>
            <w:tabs>
              <w:tab w:val="clear" w:pos="4680"/>
              <w:tab w:val="clear" w:pos="9360"/>
            </w:tabs>
            <w:jc w:val="right"/>
            <w:rPr>
              <w:caps/>
              <w:sz w:val="18"/>
            </w:rPr>
          </w:pPr>
        </w:p>
      </w:tc>
    </w:tr>
    <w:tr w:rsidR="0090217B" w:rsidTr="0090217B">
      <w:trPr>
        <w:jc w:val="center"/>
      </w:trPr>
      <w:sdt>
        <w:sdtPr>
          <w:rPr>
            <w:rFonts w:ascii="Tahoma" w:hAnsi="Tahoma" w:cs="Tahoma"/>
            <w:caps/>
            <w:color w:val="808080" w:themeColor="background1" w:themeShade="80"/>
            <w:sz w:val="18"/>
            <w:szCs w:val="18"/>
          </w:rPr>
          <w:alias w:val="Author"/>
          <w:tag w:val=""/>
          <w:id w:val="1892612453"/>
          <w:placeholder>
            <w:docPart w:val="6BF091545DF5430EA6AAEAE65AB5A483"/>
          </w:placeholder>
          <w:dataBinding w:prefixMappings="xmlns:ns0='http://purl.org/dc/elements/1.1/' xmlns:ns1='http://schemas.openxmlformats.org/package/2006/metadata/core-properties' " w:xpath="/ns1:coreProperties[1]/ns0:creator[1]" w:storeItemID="{6C3C8BC8-F283-45AE-878A-BAB7291924A1}"/>
          <w:text/>
        </w:sdtPr>
        <w:sdtEndPr/>
        <w:sdtContent>
          <w:tc>
            <w:tcPr>
              <w:tcW w:w="8505" w:type="dxa"/>
              <w:shd w:val="clear" w:color="auto" w:fill="auto"/>
              <w:vAlign w:val="center"/>
            </w:tcPr>
            <w:p w:rsidR="0090217B" w:rsidRPr="00CA4A92" w:rsidRDefault="00B50C3C" w:rsidP="00C75F05">
              <w:pPr>
                <w:pStyle w:val="Footer"/>
                <w:tabs>
                  <w:tab w:val="clear" w:pos="4680"/>
                  <w:tab w:val="clear" w:pos="9360"/>
                </w:tabs>
                <w:rPr>
                  <w:rFonts w:ascii="Tahoma" w:hAnsi="Tahoma" w:cs="Tahoma"/>
                  <w:caps/>
                  <w:color w:val="808080" w:themeColor="background1" w:themeShade="80"/>
                  <w:sz w:val="18"/>
                  <w:szCs w:val="18"/>
                </w:rPr>
              </w:pPr>
              <w:r>
                <w:rPr>
                  <w:rFonts w:ascii="Tahoma" w:hAnsi="Tahoma" w:cs="Tahoma"/>
                  <w:caps/>
                  <w:color w:val="808080" w:themeColor="background1" w:themeShade="80"/>
                  <w:sz w:val="18"/>
                  <w:szCs w:val="18"/>
                </w:rPr>
                <w:t xml:space="preserve">RAPORT PRIVIND EXECUȚIA BUGETARĂ PE </w:t>
              </w:r>
              <w:r w:rsidR="00C75F05">
                <w:rPr>
                  <w:rFonts w:ascii="Tahoma" w:hAnsi="Tahoma" w:cs="Tahoma"/>
                  <w:caps/>
                  <w:color w:val="808080" w:themeColor="background1" w:themeShade="80"/>
                  <w:sz w:val="18"/>
                  <w:szCs w:val="18"/>
                </w:rPr>
                <w:t>AL DOILEA</w:t>
              </w:r>
              <w:r>
                <w:rPr>
                  <w:rFonts w:ascii="Tahoma" w:hAnsi="Tahoma" w:cs="Tahoma"/>
                  <w:caps/>
                  <w:color w:val="808080" w:themeColor="background1" w:themeShade="80"/>
                  <w:sz w:val="18"/>
                  <w:szCs w:val="18"/>
                </w:rPr>
                <w:t xml:space="preserve"> TRIMESTRU AL ANULUI 2025</w:t>
              </w:r>
            </w:p>
          </w:tc>
        </w:sdtContent>
      </w:sdt>
      <w:tc>
        <w:tcPr>
          <w:tcW w:w="1305" w:type="dxa"/>
          <w:shd w:val="clear" w:color="auto" w:fill="auto"/>
          <w:vAlign w:val="center"/>
        </w:tcPr>
        <w:p w:rsidR="0090217B" w:rsidRPr="00CA4A92" w:rsidRDefault="00885473" w:rsidP="005E607E">
          <w:pPr>
            <w:pStyle w:val="Footer"/>
            <w:tabs>
              <w:tab w:val="clear" w:pos="4680"/>
              <w:tab w:val="clear" w:pos="9360"/>
            </w:tabs>
            <w:jc w:val="right"/>
            <w:rPr>
              <w:rFonts w:ascii="Tahoma" w:hAnsi="Tahoma" w:cs="Tahoma"/>
              <w:caps/>
              <w:color w:val="808080" w:themeColor="background1" w:themeShade="80"/>
              <w:sz w:val="18"/>
              <w:szCs w:val="18"/>
            </w:rPr>
          </w:pPr>
          <w:r w:rsidRPr="00CA4A92">
            <w:rPr>
              <w:rFonts w:ascii="Tahoma" w:hAnsi="Tahoma" w:cs="Tahoma"/>
              <w:caps/>
              <w:color w:val="808080" w:themeColor="background1" w:themeShade="80"/>
              <w:sz w:val="18"/>
              <w:szCs w:val="18"/>
            </w:rPr>
            <w:fldChar w:fldCharType="begin"/>
          </w:r>
          <w:r w:rsidR="0090217B" w:rsidRPr="00CA4A92">
            <w:rPr>
              <w:rFonts w:ascii="Tahoma" w:hAnsi="Tahoma" w:cs="Tahoma"/>
              <w:caps/>
              <w:color w:val="808080" w:themeColor="background1" w:themeShade="80"/>
              <w:sz w:val="18"/>
              <w:szCs w:val="18"/>
            </w:rPr>
            <w:instrText xml:space="preserve"> PAGE   \* MERGEFORMAT </w:instrText>
          </w:r>
          <w:r w:rsidRPr="00CA4A92">
            <w:rPr>
              <w:rFonts w:ascii="Tahoma" w:hAnsi="Tahoma" w:cs="Tahoma"/>
              <w:caps/>
              <w:color w:val="808080" w:themeColor="background1" w:themeShade="80"/>
              <w:sz w:val="18"/>
              <w:szCs w:val="18"/>
            </w:rPr>
            <w:fldChar w:fldCharType="separate"/>
          </w:r>
          <w:r w:rsidR="00C038E4">
            <w:rPr>
              <w:rFonts w:ascii="Tahoma" w:hAnsi="Tahoma" w:cs="Tahoma"/>
              <w:caps/>
              <w:noProof/>
              <w:color w:val="808080" w:themeColor="background1" w:themeShade="80"/>
              <w:sz w:val="18"/>
              <w:szCs w:val="18"/>
            </w:rPr>
            <w:t>2</w:t>
          </w:r>
          <w:r w:rsidRPr="00CA4A92">
            <w:rPr>
              <w:rFonts w:ascii="Tahoma" w:hAnsi="Tahoma" w:cs="Tahoma"/>
              <w:caps/>
              <w:noProof/>
              <w:color w:val="808080" w:themeColor="background1" w:themeShade="80"/>
              <w:sz w:val="18"/>
              <w:szCs w:val="18"/>
            </w:rPr>
            <w:fldChar w:fldCharType="end"/>
          </w:r>
        </w:p>
      </w:tc>
    </w:tr>
  </w:tbl>
  <w:p w:rsidR="0090217B" w:rsidRDefault="0090217B" w:rsidP="002E61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1F0" w:rsidRDefault="003951F0" w:rsidP="006704C5">
      <w:pPr>
        <w:spacing w:after="0" w:line="240" w:lineRule="auto"/>
      </w:pPr>
      <w:r>
        <w:separator/>
      </w:r>
    </w:p>
  </w:footnote>
  <w:footnote w:type="continuationSeparator" w:id="0">
    <w:p w:rsidR="003951F0" w:rsidRDefault="003951F0" w:rsidP="006704C5">
      <w:pPr>
        <w:spacing w:after="0" w:line="240" w:lineRule="auto"/>
      </w:pPr>
      <w:r>
        <w:continuationSeparator/>
      </w:r>
    </w:p>
  </w:footnote>
  <w:footnote w:id="1">
    <w:p w:rsidR="009E2F52" w:rsidRPr="00D66EA7" w:rsidRDefault="009E2F52" w:rsidP="009E2F52">
      <w:pPr>
        <w:pStyle w:val="FootnoteText"/>
        <w:rPr>
          <w:rFonts w:cstheme="minorHAnsi"/>
          <w:sz w:val="18"/>
          <w:szCs w:val="18"/>
        </w:rPr>
      </w:pPr>
      <w:r w:rsidRPr="001831DE">
        <w:rPr>
          <w:rStyle w:val="FootnoteReference"/>
          <w:rFonts w:cstheme="minorHAnsi"/>
        </w:rPr>
        <w:footnoteRef/>
      </w:r>
      <w:r w:rsidRPr="001831DE">
        <w:rPr>
          <w:rStyle w:val="FootnoteReference"/>
          <w:rFonts w:cstheme="minorHAnsi"/>
        </w:rPr>
        <w:t xml:space="preserve"> </w:t>
      </w:r>
      <w:r>
        <w:rPr>
          <w:rFonts w:cstheme="minorHAnsi"/>
          <w:sz w:val="18"/>
          <w:szCs w:val="18"/>
        </w:rPr>
        <w:t>martie 2025</w:t>
      </w:r>
      <w:r w:rsidRPr="00E9750C">
        <w:rPr>
          <w:rFonts w:cstheme="minorHAnsi"/>
          <w:sz w:val="18"/>
          <w:szCs w:val="18"/>
        </w:rPr>
        <w:t>-</w:t>
      </w:r>
      <w:r>
        <w:rPr>
          <w:rFonts w:cstheme="minorHAnsi"/>
          <w:sz w:val="18"/>
          <w:szCs w:val="18"/>
        </w:rPr>
        <w:t xml:space="preserve"> mai 2025</w:t>
      </w:r>
      <w:r w:rsidRPr="00E9750C">
        <w:rPr>
          <w:rFonts w:cstheme="minorHAnsi"/>
          <w:sz w:val="18"/>
          <w:szCs w:val="18"/>
        </w:rPr>
        <w:t>/</w:t>
      </w:r>
      <w:r>
        <w:rPr>
          <w:rFonts w:cstheme="minorHAnsi"/>
          <w:sz w:val="18"/>
          <w:szCs w:val="18"/>
        </w:rPr>
        <w:t>martie</w:t>
      </w:r>
      <w:r w:rsidRPr="00E9750C">
        <w:rPr>
          <w:rFonts w:cstheme="minorHAnsi"/>
          <w:sz w:val="18"/>
          <w:szCs w:val="18"/>
        </w:rPr>
        <w:t xml:space="preserve"> 202</w:t>
      </w:r>
      <w:r>
        <w:rPr>
          <w:rFonts w:cstheme="minorHAnsi"/>
          <w:sz w:val="18"/>
          <w:szCs w:val="18"/>
        </w:rPr>
        <w:t>4</w:t>
      </w:r>
      <w:r w:rsidRPr="00E9750C">
        <w:rPr>
          <w:rFonts w:cstheme="minorHAnsi"/>
          <w:sz w:val="18"/>
          <w:szCs w:val="18"/>
        </w:rPr>
        <w:t>-</w:t>
      </w:r>
      <w:r>
        <w:rPr>
          <w:rFonts w:cstheme="minorHAnsi"/>
          <w:sz w:val="18"/>
          <w:szCs w:val="18"/>
        </w:rPr>
        <w:t xml:space="preserve">mai </w:t>
      </w:r>
      <w:r w:rsidRPr="00E9750C">
        <w:rPr>
          <w:rFonts w:cstheme="minorHAnsi"/>
          <w:sz w:val="18"/>
          <w:szCs w:val="18"/>
        </w:rPr>
        <w:t>202</w:t>
      </w:r>
      <w:r>
        <w:rPr>
          <w:rFonts w:cstheme="minorHAnsi"/>
          <w:sz w:val="18"/>
          <w:szCs w:val="18"/>
        </w:rPr>
        <w:t>4</w:t>
      </w:r>
    </w:p>
  </w:footnote>
  <w:footnote w:id="2">
    <w:p w:rsidR="009E2F52" w:rsidRPr="00031049" w:rsidRDefault="009E2F52" w:rsidP="009E2F52">
      <w:pPr>
        <w:autoSpaceDE w:val="0"/>
        <w:autoSpaceDN w:val="0"/>
        <w:adjustRightInd w:val="0"/>
        <w:jc w:val="both"/>
        <w:rPr>
          <w:rFonts w:eastAsia="Calibri" w:cstheme="minorHAnsi"/>
          <w:sz w:val="20"/>
          <w:szCs w:val="20"/>
        </w:rPr>
      </w:pPr>
      <w:r w:rsidRPr="001831DE">
        <w:rPr>
          <w:rStyle w:val="FootnoteReference"/>
          <w:rFonts w:eastAsia="Calibri" w:cstheme="minorHAnsi"/>
          <w:sz w:val="20"/>
          <w:szCs w:val="20"/>
          <w:lang w:val="en-GB"/>
        </w:rPr>
        <w:footnoteRef/>
      </w:r>
      <w:r w:rsidRPr="001831DE">
        <w:rPr>
          <w:rStyle w:val="FootnoteReference"/>
          <w:rFonts w:eastAsia="Calibri"/>
          <w:sz w:val="20"/>
          <w:szCs w:val="20"/>
          <w:lang w:val="en-GB"/>
        </w:rPr>
        <w:t xml:space="preserve"> </w:t>
      </w:r>
      <w:r>
        <w:rPr>
          <w:rFonts w:eastAsia="Calibri" w:cstheme="minorHAnsi"/>
          <w:sz w:val="20"/>
          <w:szCs w:val="20"/>
        </w:rPr>
        <w:t>Ordonanța de urgență a Guvernului</w:t>
      </w:r>
      <w:r w:rsidRPr="00A44E97">
        <w:rPr>
          <w:rFonts w:eastAsia="Calibri" w:cstheme="minorHAnsi"/>
          <w:sz w:val="20"/>
          <w:szCs w:val="20"/>
        </w:rPr>
        <w:t xml:space="preserve">  </w:t>
      </w:r>
      <w:r>
        <w:rPr>
          <w:rFonts w:eastAsia="Calibri" w:cstheme="minorHAnsi"/>
          <w:sz w:val="20"/>
          <w:szCs w:val="20"/>
        </w:rPr>
        <w:t>n</w:t>
      </w:r>
      <w:r w:rsidRPr="00A44E97">
        <w:rPr>
          <w:rFonts w:eastAsia="Calibri" w:cstheme="minorHAnsi"/>
          <w:sz w:val="20"/>
          <w:szCs w:val="20"/>
        </w:rPr>
        <w:t>r</w:t>
      </w:r>
      <w:r>
        <w:rPr>
          <w:rFonts w:eastAsia="Calibri" w:cstheme="minorHAnsi"/>
          <w:sz w:val="20"/>
          <w:szCs w:val="20"/>
        </w:rPr>
        <w:t xml:space="preserve">. 156/2024 </w:t>
      </w:r>
      <w:r w:rsidRPr="00A44E97">
        <w:rPr>
          <w:rFonts w:eastAsia="Calibri" w:cstheme="minorHAnsi"/>
          <w:sz w:val="20"/>
          <w:szCs w:val="20"/>
        </w:rPr>
        <w:t>privind unele măsuri fiscal-bugetare în domeniul cheltuielilor publice pentru fundamentarea bugetului general consolidat pe anul 2025, pentru modificarea şi completarea unor acte normative, precum şi pentru prorogarea unor termene</w:t>
      </w:r>
    </w:p>
  </w:footnote>
  <w:footnote w:id="3">
    <w:p w:rsidR="009E2F52" w:rsidRPr="0066306E" w:rsidRDefault="009E2F52" w:rsidP="009E2F52">
      <w:pPr>
        <w:pStyle w:val="FootnoteText"/>
        <w:rPr>
          <w:rFonts w:cstheme="minorHAnsi"/>
        </w:rPr>
      </w:pPr>
      <w:r w:rsidRPr="001831DE">
        <w:rPr>
          <w:rStyle w:val="FootnoteReference"/>
          <w:rFonts w:cstheme="minorHAnsi"/>
        </w:rPr>
        <w:footnoteRef/>
      </w:r>
      <w:r w:rsidRPr="001831DE">
        <w:rPr>
          <w:rStyle w:val="FootnoteReference"/>
          <w:rFonts w:cstheme="minorHAnsi"/>
        </w:rPr>
        <w:t xml:space="preserve"> </w:t>
      </w:r>
      <w:r w:rsidRPr="0066306E">
        <w:rPr>
          <w:rFonts w:cstheme="minorHAnsi"/>
        </w:rPr>
        <w:t>H.G nr. 1506/2024 pentru stabilirea salariului de bază minim brut pe ţară garantat în plată</w:t>
      </w:r>
    </w:p>
  </w:footnote>
  <w:footnote w:id="4">
    <w:p w:rsidR="0048674F" w:rsidRPr="005D3DCD" w:rsidRDefault="0048674F" w:rsidP="0048674F">
      <w:pPr>
        <w:pStyle w:val="FootnoteText"/>
        <w:jc w:val="both"/>
        <w:rPr>
          <w:rFonts w:cstheme="minorHAnsi"/>
        </w:rPr>
      </w:pPr>
      <w:r w:rsidRPr="001831DE">
        <w:rPr>
          <w:rStyle w:val="FootnoteReference"/>
          <w:rFonts w:cstheme="minorHAnsi"/>
        </w:rPr>
        <w:footnoteRef/>
      </w:r>
      <w:r w:rsidRPr="001831DE">
        <w:rPr>
          <w:rStyle w:val="FootnoteReference"/>
          <w:rFonts w:cstheme="minorHAnsi"/>
        </w:rPr>
        <w:t xml:space="preserve"> </w:t>
      </w:r>
      <w:r w:rsidRPr="005D3DCD">
        <w:rPr>
          <w:rFonts w:cstheme="minorHAnsi"/>
        </w:rPr>
        <w:t>exclusiv restituiri și majorări de întârziere</w:t>
      </w:r>
    </w:p>
  </w:footnote>
  <w:footnote w:id="5">
    <w:p w:rsidR="0048674F" w:rsidRPr="005D3DCD" w:rsidRDefault="0048674F" w:rsidP="0048674F">
      <w:pPr>
        <w:pStyle w:val="FootnoteText"/>
        <w:jc w:val="both"/>
        <w:rPr>
          <w:rFonts w:cstheme="minorHAnsi"/>
        </w:rPr>
      </w:pPr>
      <w:r w:rsidRPr="001831DE">
        <w:rPr>
          <w:rStyle w:val="FootnoteReference"/>
          <w:rFonts w:cstheme="minorHAnsi"/>
        </w:rPr>
        <w:footnoteRef/>
      </w:r>
      <w:r w:rsidRPr="009B13E2">
        <w:rPr>
          <w:rFonts w:cstheme="minorHAnsi"/>
        </w:rPr>
        <w:t xml:space="preserve"> </w:t>
      </w:r>
      <w:r w:rsidRPr="005D3DCD">
        <w:rPr>
          <w:rFonts w:cstheme="minorHAnsi"/>
        </w:rPr>
        <w:t xml:space="preserve">TVA din operațiuni interne au crescut cu </w:t>
      </w:r>
      <w:r>
        <w:rPr>
          <w:rFonts w:cstheme="minorHAnsi"/>
        </w:rPr>
        <w:t>9,2</w:t>
      </w:r>
      <w:r w:rsidRPr="005D3DCD">
        <w:rPr>
          <w:rFonts w:cstheme="minorHAnsi"/>
        </w:rPr>
        <w:t xml:space="preserve">%, iar TVA din importurile de bunuri au </w:t>
      </w:r>
      <w:r>
        <w:rPr>
          <w:rFonts w:cstheme="minorHAnsi"/>
        </w:rPr>
        <w:t xml:space="preserve">scăzut </w:t>
      </w:r>
      <w:r w:rsidRPr="005D3DCD">
        <w:rPr>
          <w:rFonts w:cstheme="minorHAnsi"/>
        </w:rPr>
        <w:t xml:space="preserve">cu </w:t>
      </w:r>
      <w:r>
        <w:rPr>
          <w:rFonts w:cstheme="minorHAnsi"/>
        </w:rPr>
        <w:t>6,6</w:t>
      </w:r>
      <w:r w:rsidRPr="005D3DCD">
        <w:rPr>
          <w:rFonts w:cstheme="minorHAnsi"/>
        </w:rPr>
        <w:t>%</w:t>
      </w:r>
    </w:p>
  </w:footnote>
  <w:footnote w:id="6">
    <w:p w:rsidR="0048674F" w:rsidRPr="00940EEF" w:rsidRDefault="0048674F" w:rsidP="0048674F">
      <w:pPr>
        <w:pStyle w:val="FootnoteText"/>
        <w:jc w:val="both"/>
        <w:rPr>
          <w:rFonts w:cstheme="minorHAnsi"/>
          <w:highlight w:val="yellow"/>
        </w:rPr>
      </w:pPr>
      <w:r w:rsidRPr="001831DE">
        <w:rPr>
          <w:rStyle w:val="FootnoteReference"/>
          <w:rFonts w:cstheme="minorHAnsi"/>
        </w:rPr>
        <w:footnoteRef/>
      </w:r>
      <w:r w:rsidRPr="00412E1E">
        <w:rPr>
          <w:rStyle w:val="FootnoteReference"/>
          <w:rFonts w:cstheme="minorHAnsi"/>
        </w:rPr>
        <w:t xml:space="preserve"> </w:t>
      </w:r>
      <w:r w:rsidRPr="00412E1E">
        <w:rPr>
          <w:rFonts w:cstheme="minorHAnsi"/>
        </w:rPr>
        <w:t>comunicat de presă INS nr. 171/07 iulie 2025-  Comerț și servicii</w:t>
      </w:r>
    </w:p>
  </w:footnote>
  <w:footnote w:id="7">
    <w:p w:rsidR="0048674F" w:rsidRDefault="0048674F" w:rsidP="0048674F">
      <w:pPr>
        <w:pStyle w:val="FootnoteText"/>
        <w:jc w:val="both"/>
        <w:rPr>
          <w:rFonts w:cstheme="minorHAnsi"/>
        </w:rPr>
      </w:pPr>
      <w:r w:rsidRPr="001831DE">
        <w:rPr>
          <w:rStyle w:val="FootnoteReference"/>
          <w:rFonts w:cstheme="minorHAnsi"/>
        </w:rPr>
        <w:footnoteRef/>
      </w:r>
      <w:r w:rsidRPr="00412E1E">
        <w:rPr>
          <w:rFonts w:eastAsia="SimSun" w:cstheme="minorHAnsi"/>
          <w:color w:val="FF0000"/>
          <w:kern w:val="2"/>
          <w:sz w:val="24"/>
          <w:szCs w:val="24"/>
        </w:rPr>
        <w:t xml:space="preserve"> </w:t>
      </w:r>
      <w:r w:rsidRPr="00412E1E">
        <w:rPr>
          <w:rFonts w:cstheme="minorHAnsi"/>
        </w:rPr>
        <w:t>comunicat de presă INS nr.172/10  iulie 2025 - Comerț internațional cu bunuri (calcule interne)</w:t>
      </w:r>
    </w:p>
  </w:footnote>
  <w:footnote w:id="8">
    <w:p w:rsidR="000F6149" w:rsidRPr="00D516FF" w:rsidRDefault="000F6149" w:rsidP="000F6149">
      <w:pPr>
        <w:pStyle w:val="FootnoteText"/>
        <w:jc w:val="both"/>
      </w:pPr>
      <w:r w:rsidRPr="001831DE">
        <w:rPr>
          <w:rStyle w:val="FootnoteReference"/>
          <w:rFonts w:cstheme="minorHAnsi"/>
        </w:rPr>
        <w:footnoteRef/>
      </w:r>
      <w:r>
        <w:t xml:space="preserve"> </w:t>
      </w:r>
      <w:r w:rsidRPr="00935B9F">
        <w:rPr>
          <w:rFonts w:cstheme="minorHAnsi"/>
        </w:rPr>
        <w:t>n</w:t>
      </w:r>
      <w:r w:rsidRPr="003B4564">
        <w:rPr>
          <w:rFonts w:cstheme="minorHAnsi"/>
        </w:rPr>
        <w:t xml:space="preserve">ivel accize la benzină fără plumb de </w:t>
      </w:r>
      <w:r>
        <w:rPr>
          <w:rFonts w:cstheme="minorHAnsi"/>
        </w:rPr>
        <w:t xml:space="preserve">la 3094,62 </w:t>
      </w:r>
      <w:r w:rsidRPr="003B4564">
        <w:rPr>
          <w:rFonts w:cstheme="minorHAnsi"/>
        </w:rPr>
        <w:t>lei/</w:t>
      </w:r>
      <w:r w:rsidRPr="00776A39">
        <w:rPr>
          <w:rFonts w:cstheme="minorHAnsi"/>
        </w:rPr>
        <w:t xml:space="preserve"> </w:t>
      </w:r>
      <w:r w:rsidRPr="003B4564">
        <w:rPr>
          <w:rFonts w:cstheme="minorHAnsi"/>
        </w:rPr>
        <w:t>ton</w:t>
      </w:r>
      <w:r>
        <w:rPr>
          <w:rFonts w:cstheme="minorHAnsi"/>
        </w:rPr>
        <w:t>ă valabil la 01.07.2024,</w:t>
      </w:r>
      <w:r w:rsidRPr="004E54CB">
        <w:rPr>
          <w:rFonts w:cstheme="minorHAnsi"/>
        </w:rPr>
        <w:t xml:space="preserve"> </w:t>
      </w:r>
      <w:r>
        <w:rPr>
          <w:rFonts w:cstheme="minorHAnsi"/>
        </w:rPr>
        <w:t>la 3284,13 cu 01.01.2025</w:t>
      </w:r>
    </w:p>
  </w:footnote>
  <w:footnote w:id="9">
    <w:p w:rsidR="000F6149" w:rsidRPr="003607A4" w:rsidRDefault="000F6149" w:rsidP="000F6149">
      <w:pPr>
        <w:pStyle w:val="FootnoteText"/>
        <w:jc w:val="both"/>
        <w:rPr>
          <w:rFonts w:cstheme="minorHAnsi"/>
        </w:rPr>
      </w:pPr>
      <w:r w:rsidRPr="001831DE">
        <w:rPr>
          <w:rStyle w:val="FootnoteReference"/>
          <w:rFonts w:cstheme="minorHAnsi"/>
        </w:rPr>
        <w:footnoteRef/>
      </w:r>
      <w:r w:rsidRPr="001831DE">
        <w:rPr>
          <w:rStyle w:val="FootnoteReference"/>
          <w:rFonts w:cstheme="minorHAnsi"/>
        </w:rPr>
        <w:t xml:space="preserve"> </w:t>
      </w:r>
      <w:r>
        <w:rPr>
          <w:rFonts w:cstheme="minorHAnsi"/>
        </w:rPr>
        <w:t xml:space="preserve">nivel accize la motorină de la  2584,49 </w:t>
      </w:r>
      <w:r w:rsidRPr="003B4564">
        <w:rPr>
          <w:rFonts w:cstheme="minorHAnsi"/>
        </w:rPr>
        <w:t>lei/</w:t>
      </w:r>
      <w:r w:rsidRPr="00776A39">
        <w:rPr>
          <w:rFonts w:cstheme="minorHAnsi"/>
        </w:rPr>
        <w:t xml:space="preserve"> </w:t>
      </w:r>
      <w:r w:rsidRPr="003B4564">
        <w:rPr>
          <w:rFonts w:cstheme="minorHAnsi"/>
        </w:rPr>
        <w:t>ton</w:t>
      </w:r>
      <w:r>
        <w:rPr>
          <w:rFonts w:cstheme="minorHAnsi"/>
        </w:rPr>
        <w:t>ă valabil cu 01.07.2024, la 2742,76 lei/tonă cu 01.01.2025</w:t>
      </w:r>
    </w:p>
  </w:footnote>
  <w:footnote w:id="10">
    <w:p w:rsidR="000F6149" w:rsidRPr="00160908" w:rsidRDefault="000F6149" w:rsidP="000F6149">
      <w:pPr>
        <w:pStyle w:val="FootnoteText"/>
      </w:pPr>
      <w:r w:rsidRPr="00160908">
        <w:rPr>
          <w:rStyle w:val="FootnoteReference"/>
          <w:rFonts w:cstheme="minorHAnsi"/>
        </w:rPr>
        <w:footnoteRef/>
      </w:r>
      <w:r w:rsidRPr="00160908">
        <w:rPr>
          <w:rStyle w:val="FootnoteReference"/>
          <w:rFonts w:cstheme="minorHAnsi"/>
        </w:rPr>
        <w:t xml:space="preserve"> </w:t>
      </w:r>
      <w:r>
        <w:rPr>
          <w:rFonts w:cstheme="minorHAnsi"/>
        </w:rPr>
        <w:t>i</w:t>
      </w:r>
      <w:r w:rsidRPr="00160908">
        <w:rPr>
          <w:rFonts w:cstheme="minorHAnsi"/>
        </w:rPr>
        <w:t>mpozit instituit prin Legea nr. 296/2023, modificată prin Legea nr. 290/2024 și O.G. nr. 3/2025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64E"/>
    <w:multiLevelType w:val="hybridMultilevel"/>
    <w:tmpl w:val="75F842A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95743"/>
    <w:multiLevelType w:val="hybridMultilevel"/>
    <w:tmpl w:val="74EE5078"/>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C3341D3"/>
    <w:multiLevelType w:val="hybridMultilevel"/>
    <w:tmpl w:val="EDF43B16"/>
    <w:lvl w:ilvl="0" w:tplc="0409000D">
      <w:start w:val="1"/>
      <w:numFmt w:val="bullet"/>
      <w:lvlText w:val=""/>
      <w:lvlJc w:val="left"/>
      <w:pPr>
        <w:ind w:left="2498" w:hanging="360"/>
      </w:pPr>
      <w:rPr>
        <w:rFonts w:ascii="Wingdings" w:hAnsi="Wingding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3" w15:restartNumberingAfterBreak="0">
    <w:nsid w:val="17474559"/>
    <w:multiLevelType w:val="hybridMultilevel"/>
    <w:tmpl w:val="60F623AE"/>
    <w:lvl w:ilvl="0" w:tplc="A59CE0C4">
      <w:numFmt w:val="bullet"/>
      <w:lvlText w:val="-"/>
      <w:lvlJc w:val="left"/>
      <w:pPr>
        <w:ind w:left="10080" w:hanging="720"/>
      </w:pPr>
      <w:rPr>
        <w:rFonts w:ascii="Tahoma" w:eastAsiaTheme="minorHAnsi" w:hAnsi="Tahoma" w:cs="Tahoma"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4" w15:restartNumberingAfterBreak="0">
    <w:nsid w:val="19AE6EB8"/>
    <w:multiLevelType w:val="hybridMultilevel"/>
    <w:tmpl w:val="A8B84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956CA"/>
    <w:multiLevelType w:val="hybridMultilevel"/>
    <w:tmpl w:val="EC2CF88E"/>
    <w:lvl w:ilvl="0" w:tplc="3BFA61DA">
      <w:start w:val="1"/>
      <w:numFmt w:val="bullet"/>
      <w:lvlText w:val=""/>
      <w:lvlJc w:val="left"/>
      <w:pPr>
        <w:ind w:left="1987" w:hanging="360"/>
      </w:pPr>
      <w:rPr>
        <w:rFonts w:ascii="Wingdings" w:hAnsi="Wingdings" w:hint="default"/>
        <w:color w:val="auto"/>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6" w15:restartNumberingAfterBreak="0">
    <w:nsid w:val="37131563"/>
    <w:multiLevelType w:val="hybridMultilevel"/>
    <w:tmpl w:val="D0501A9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0D316B"/>
    <w:multiLevelType w:val="hybridMultilevel"/>
    <w:tmpl w:val="AC76A1EE"/>
    <w:lvl w:ilvl="0" w:tplc="30126C2E">
      <w:numFmt w:val="bullet"/>
      <w:lvlText w:val="-"/>
      <w:lvlJc w:val="left"/>
      <w:pPr>
        <w:ind w:left="750" w:hanging="39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53E09"/>
    <w:multiLevelType w:val="hybridMultilevel"/>
    <w:tmpl w:val="E67E2118"/>
    <w:lvl w:ilvl="0" w:tplc="04180001">
      <w:start w:val="1"/>
      <w:numFmt w:val="bullet"/>
      <w:lvlText w:val=""/>
      <w:lvlJc w:val="left"/>
      <w:pPr>
        <w:ind w:left="2201" w:hanging="360"/>
      </w:pPr>
      <w:rPr>
        <w:rFonts w:ascii="Symbol" w:hAnsi="Symbol" w:hint="default"/>
      </w:rPr>
    </w:lvl>
    <w:lvl w:ilvl="1" w:tplc="04180003" w:tentative="1">
      <w:start w:val="1"/>
      <w:numFmt w:val="bullet"/>
      <w:lvlText w:val="o"/>
      <w:lvlJc w:val="left"/>
      <w:pPr>
        <w:ind w:left="2921" w:hanging="360"/>
      </w:pPr>
      <w:rPr>
        <w:rFonts w:ascii="Courier New" w:hAnsi="Courier New" w:cs="Courier New" w:hint="default"/>
      </w:rPr>
    </w:lvl>
    <w:lvl w:ilvl="2" w:tplc="04180005" w:tentative="1">
      <w:start w:val="1"/>
      <w:numFmt w:val="bullet"/>
      <w:lvlText w:val=""/>
      <w:lvlJc w:val="left"/>
      <w:pPr>
        <w:ind w:left="3641" w:hanging="360"/>
      </w:pPr>
      <w:rPr>
        <w:rFonts w:ascii="Wingdings" w:hAnsi="Wingdings" w:hint="default"/>
      </w:rPr>
    </w:lvl>
    <w:lvl w:ilvl="3" w:tplc="04180001" w:tentative="1">
      <w:start w:val="1"/>
      <w:numFmt w:val="bullet"/>
      <w:lvlText w:val=""/>
      <w:lvlJc w:val="left"/>
      <w:pPr>
        <w:ind w:left="4361" w:hanging="360"/>
      </w:pPr>
      <w:rPr>
        <w:rFonts w:ascii="Symbol" w:hAnsi="Symbol" w:hint="default"/>
      </w:rPr>
    </w:lvl>
    <w:lvl w:ilvl="4" w:tplc="04180003" w:tentative="1">
      <w:start w:val="1"/>
      <w:numFmt w:val="bullet"/>
      <w:lvlText w:val="o"/>
      <w:lvlJc w:val="left"/>
      <w:pPr>
        <w:ind w:left="5081" w:hanging="360"/>
      </w:pPr>
      <w:rPr>
        <w:rFonts w:ascii="Courier New" w:hAnsi="Courier New" w:cs="Courier New" w:hint="default"/>
      </w:rPr>
    </w:lvl>
    <w:lvl w:ilvl="5" w:tplc="04180005" w:tentative="1">
      <w:start w:val="1"/>
      <w:numFmt w:val="bullet"/>
      <w:lvlText w:val=""/>
      <w:lvlJc w:val="left"/>
      <w:pPr>
        <w:ind w:left="5801" w:hanging="360"/>
      </w:pPr>
      <w:rPr>
        <w:rFonts w:ascii="Wingdings" w:hAnsi="Wingdings" w:hint="default"/>
      </w:rPr>
    </w:lvl>
    <w:lvl w:ilvl="6" w:tplc="04180001" w:tentative="1">
      <w:start w:val="1"/>
      <w:numFmt w:val="bullet"/>
      <w:lvlText w:val=""/>
      <w:lvlJc w:val="left"/>
      <w:pPr>
        <w:ind w:left="6521" w:hanging="360"/>
      </w:pPr>
      <w:rPr>
        <w:rFonts w:ascii="Symbol" w:hAnsi="Symbol" w:hint="default"/>
      </w:rPr>
    </w:lvl>
    <w:lvl w:ilvl="7" w:tplc="04180003" w:tentative="1">
      <w:start w:val="1"/>
      <w:numFmt w:val="bullet"/>
      <w:lvlText w:val="o"/>
      <w:lvlJc w:val="left"/>
      <w:pPr>
        <w:ind w:left="7241" w:hanging="360"/>
      </w:pPr>
      <w:rPr>
        <w:rFonts w:ascii="Courier New" w:hAnsi="Courier New" w:cs="Courier New" w:hint="default"/>
      </w:rPr>
    </w:lvl>
    <w:lvl w:ilvl="8" w:tplc="04180005" w:tentative="1">
      <w:start w:val="1"/>
      <w:numFmt w:val="bullet"/>
      <w:lvlText w:val=""/>
      <w:lvlJc w:val="left"/>
      <w:pPr>
        <w:ind w:left="7961" w:hanging="360"/>
      </w:pPr>
      <w:rPr>
        <w:rFonts w:ascii="Wingdings" w:hAnsi="Wingdings" w:hint="default"/>
      </w:rPr>
    </w:lvl>
  </w:abstractNum>
  <w:abstractNum w:abstractNumId="9" w15:restartNumberingAfterBreak="0">
    <w:nsid w:val="45C017D1"/>
    <w:multiLevelType w:val="hybridMultilevel"/>
    <w:tmpl w:val="E0D6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B1D8C"/>
    <w:multiLevelType w:val="hybridMultilevel"/>
    <w:tmpl w:val="A3C410EA"/>
    <w:lvl w:ilvl="0" w:tplc="6F76A1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968D3"/>
    <w:multiLevelType w:val="hybridMultilevel"/>
    <w:tmpl w:val="B202A21C"/>
    <w:lvl w:ilvl="0" w:tplc="731EB554">
      <w:start w:val="1"/>
      <w:numFmt w:val="bullet"/>
      <w:lvlText w:val=""/>
      <w:lvlJc w:val="left"/>
      <w:pPr>
        <w:ind w:left="1080" w:hanging="72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73916"/>
    <w:multiLevelType w:val="hybridMultilevel"/>
    <w:tmpl w:val="7480F156"/>
    <w:lvl w:ilvl="0" w:tplc="30126C2E">
      <w:numFmt w:val="bullet"/>
      <w:lvlText w:val="-"/>
      <w:lvlJc w:val="left"/>
      <w:pPr>
        <w:ind w:left="750" w:hanging="39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97CC7"/>
    <w:multiLevelType w:val="hybridMultilevel"/>
    <w:tmpl w:val="C51EB1E6"/>
    <w:lvl w:ilvl="0" w:tplc="52C60E8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200E5"/>
    <w:multiLevelType w:val="multilevel"/>
    <w:tmpl w:val="0F52F7EE"/>
    <w:lvl w:ilvl="0">
      <w:start w:val="1"/>
      <w:numFmt w:val="bullet"/>
      <w:lvlText w:val=""/>
      <w:lvlJc w:val="left"/>
      <w:pPr>
        <w:ind w:left="1260" w:hanging="360"/>
      </w:pPr>
      <w:rPr>
        <w:rFonts w:ascii="Wingdings" w:hAnsi="Wingdings" w:cs="Wingdings" w:hint="default"/>
        <w:color w:val="00000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5" w15:restartNumberingAfterBreak="0">
    <w:nsid w:val="6A173B6C"/>
    <w:multiLevelType w:val="hybridMultilevel"/>
    <w:tmpl w:val="4D8C4404"/>
    <w:lvl w:ilvl="0" w:tplc="04180001">
      <w:start w:val="1"/>
      <w:numFmt w:val="bullet"/>
      <w:lvlText w:val=""/>
      <w:lvlJc w:val="left"/>
      <w:pPr>
        <w:ind w:left="720" w:hanging="360"/>
      </w:pPr>
      <w:rPr>
        <w:rFonts w:ascii="Symbol" w:hAnsi="Symbol" w:hint="default"/>
      </w:rPr>
    </w:lvl>
    <w:lvl w:ilvl="1" w:tplc="ADBC729A">
      <w:start w:val="1"/>
      <w:numFmt w:val="bullet"/>
      <w:lvlText w:val=""/>
      <w:lvlJc w:val="left"/>
      <w:pPr>
        <w:ind w:left="1440" w:hanging="360"/>
      </w:pPr>
      <w:rPr>
        <w:rFonts w:ascii="Symbol" w:hAnsi="Symbol"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A420761"/>
    <w:multiLevelType w:val="multilevel"/>
    <w:tmpl w:val="7D20951A"/>
    <w:lvl w:ilvl="0">
      <w:start w:val="1"/>
      <w:numFmt w:val="bullet"/>
      <w:lvlText w:val=""/>
      <w:lvlJc w:val="left"/>
      <w:pPr>
        <w:ind w:left="1996" w:hanging="360"/>
      </w:pPr>
      <w:rPr>
        <w:rFonts w:ascii="Wingdings" w:hAnsi="Wingdings" w:cs="Wingdings"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abstractNum w:abstractNumId="17" w15:restartNumberingAfterBreak="0">
    <w:nsid w:val="7BB8284D"/>
    <w:multiLevelType w:val="hybridMultilevel"/>
    <w:tmpl w:val="0B06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3"/>
  </w:num>
  <w:num w:numId="4">
    <w:abstractNumId w:val="7"/>
  </w:num>
  <w:num w:numId="5">
    <w:abstractNumId w:val="12"/>
  </w:num>
  <w:num w:numId="6">
    <w:abstractNumId w:val="3"/>
  </w:num>
  <w:num w:numId="7">
    <w:abstractNumId w:val="11"/>
  </w:num>
  <w:num w:numId="8">
    <w:abstractNumId w:val="14"/>
  </w:num>
  <w:num w:numId="9">
    <w:abstractNumId w:val="16"/>
  </w:num>
  <w:num w:numId="10">
    <w:abstractNumId w:val="8"/>
  </w:num>
  <w:num w:numId="11">
    <w:abstractNumId w:val="5"/>
  </w:num>
  <w:num w:numId="12">
    <w:abstractNumId w:val="6"/>
  </w:num>
  <w:num w:numId="13">
    <w:abstractNumId w:val="1"/>
  </w:num>
  <w:num w:numId="14">
    <w:abstractNumId w:val="2"/>
  </w:num>
  <w:num w:numId="15">
    <w:abstractNumId w:val="17"/>
  </w:num>
  <w:num w:numId="16">
    <w:abstractNumId w:val="9"/>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23"/>
    <w:rsid w:val="00001E8C"/>
    <w:rsid w:val="00005656"/>
    <w:rsid w:val="00005729"/>
    <w:rsid w:val="00005DE0"/>
    <w:rsid w:val="00006CCB"/>
    <w:rsid w:val="00011138"/>
    <w:rsid w:val="00012C3B"/>
    <w:rsid w:val="000141BF"/>
    <w:rsid w:val="00016F63"/>
    <w:rsid w:val="00017361"/>
    <w:rsid w:val="00020D5F"/>
    <w:rsid w:val="00021A38"/>
    <w:rsid w:val="00021BE4"/>
    <w:rsid w:val="0002471B"/>
    <w:rsid w:val="00024773"/>
    <w:rsid w:val="000248D3"/>
    <w:rsid w:val="00024AD2"/>
    <w:rsid w:val="0002609C"/>
    <w:rsid w:val="00026DEC"/>
    <w:rsid w:val="00030BC0"/>
    <w:rsid w:val="00032A05"/>
    <w:rsid w:val="00035CE6"/>
    <w:rsid w:val="00041D0D"/>
    <w:rsid w:val="000434BF"/>
    <w:rsid w:val="0004428D"/>
    <w:rsid w:val="00052351"/>
    <w:rsid w:val="00053312"/>
    <w:rsid w:val="000557D4"/>
    <w:rsid w:val="000566EC"/>
    <w:rsid w:val="00056BE3"/>
    <w:rsid w:val="000573AD"/>
    <w:rsid w:val="0005779D"/>
    <w:rsid w:val="00061787"/>
    <w:rsid w:val="00062A56"/>
    <w:rsid w:val="00062C16"/>
    <w:rsid w:val="0006321D"/>
    <w:rsid w:val="00066FE7"/>
    <w:rsid w:val="00072CA9"/>
    <w:rsid w:val="00080488"/>
    <w:rsid w:val="0008264F"/>
    <w:rsid w:val="000842A5"/>
    <w:rsid w:val="0008642C"/>
    <w:rsid w:val="00086871"/>
    <w:rsid w:val="00090FD5"/>
    <w:rsid w:val="000913C6"/>
    <w:rsid w:val="000916B5"/>
    <w:rsid w:val="000923D7"/>
    <w:rsid w:val="000942F8"/>
    <w:rsid w:val="000951A2"/>
    <w:rsid w:val="00095242"/>
    <w:rsid w:val="000A2574"/>
    <w:rsid w:val="000A25FA"/>
    <w:rsid w:val="000A386A"/>
    <w:rsid w:val="000A3B0F"/>
    <w:rsid w:val="000A4203"/>
    <w:rsid w:val="000A48D8"/>
    <w:rsid w:val="000A62E1"/>
    <w:rsid w:val="000A680C"/>
    <w:rsid w:val="000A7436"/>
    <w:rsid w:val="000B579B"/>
    <w:rsid w:val="000B5FCE"/>
    <w:rsid w:val="000C30DF"/>
    <w:rsid w:val="000C5478"/>
    <w:rsid w:val="000C7AF8"/>
    <w:rsid w:val="000D0F65"/>
    <w:rsid w:val="000D1820"/>
    <w:rsid w:val="000D293A"/>
    <w:rsid w:val="000D2B64"/>
    <w:rsid w:val="000D317D"/>
    <w:rsid w:val="000D5417"/>
    <w:rsid w:val="000D5A57"/>
    <w:rsid w:val="000D653B"/>
    <w:rsid w:val="000D6BF4"/>
    <w:rsid w:val="000D6F9B"/>
    <w:rsid w:val="000D7561"/>
    <w:rsid w:val="000F0852"/>
    <w:rsid w:val="000F0A63"/>
    <w:rsid w:val="000F10A9"/>
    <w:rsid w:val="000F1E3F"/>
    <w:rsid w:val="000F48B4"/>
    <w:rsid w:val="000F6149"/>
    <w:rsid w:val="000F62DB"/>
    <w:rsid w:val="001005D0"/>
    <w:rsid w:val="001014AD"/>
    <w:rsid w:val="00102D79"/>
    <w:rsid w:val="00107875"/>
    <w:rsid w:val="00111330"/>
    <w:rsid w:val="00116D7D"/>
    <w:rsid w:val="001176FC"/>
    <w:rsid w:val="00121595"/>
    <w:rsid w:val="00121870"/>
    <w:rsid w:val="00122DF5"/>
    <w:rsid w:val="001236DE"/>
    <w:rsid w:val="00124758"/>
    <w:rsid w:val="00125818"/>
    <w:rsid w:val="00141717"/>
    <w:rsid w:val="00142FC5"/>
    <w:rsid w:val="00145872"/>
    <w:rsid w:val="00146C55"/>
    <w:rsid w:val="001506F4"/>
    <w:rsid w:val="00153418"/>
    <w:rsid w:val="001535C1"/>
    <w:rsid w:val="001546A2"/>
    <w:rsid w:val="00155AFB"/>
    <w:rsid w:val="00156388"/>
    <w:rsid w:val="00163874"/>
    <w:rsid w:val="00164710"/>
    <w:rsid w:val="001648BC"/>
    <w:rsid w:val="00170657"/>
    <w:rsid w:val="001707DC"/>
    <w:rsid w:val="00175AD6"/>
    <w:rsid w:val="0017667A"/>
    <w:rsid w:val="00176C2F"/>
    <w:rsid w:val="00177F2F"/>
    <w:rsid w:val="0018055E"/>
    <w:rsid w:val="00180AC2"/>
    <w:rsid w:val="00181707"/>
    <w:rsid w:val="00182B0D"/>
    <w:rsid w:val="00186A0B"/>
    <w:rsid w:val="00187781"/>
    <w:rsid w:val="001915F6"/>
    <w:rsid w:val="00191CC0"/>
    <w:rsid w:val="00194140"/>
    <w:rsid w:val="00197545"/>
    <w:rsid w:val="001A2254"/>
    <w:rsid w:val="001A66AF"/>
    <w:rsid w:val="001B1117"/>
    <w:rsid w:val="001B13BC"/>
    <w:rsid w:val="001B1E6F"/>
    <w:rsid w:val="001B20A6"/>
    <w:rsid w:val="001B435B"/>
    <w:rsid w:val="001B5620"/>
    <w:rsid w:val="001B60DA"/>
    <w:rsid w:val="001B70D2"/>
    <w:rsid w:val="001B7D89"/>
    <w:rsid w:val="001C52B3"/>
    <w:rsid w:val="001C5D69"/>
    <w:rsid w:val="001C6E10"/>
    <w:rsid w:val="001D03AF"/>
    <w:rsid w:val="001D06A7"/>
    <w:rsid w:val="001D29DC"/>
    <w:rsid w:val="001D44C7"/>
    <w:rsid w:val="001D65FC"/>
    <w:rsid w:val="001D6927"/>
    <w:rsid w:val="001E19BB"/>
    <w:rsid w:val="001E1A6F"/>
    <w:rsid w:val="001E4EAE"/>
    <w:rsid w:val="001E6762"/>
    <w:rsid w:val="001F1E8A"/>
    <w:rsid w:val="001F36DD"/>
    <w:rsid w:val="00202269"/>
    <w:rsid w:val="00202E5C"/>
    <w:rsid w:val="00206989"/>
    <w:rsid w:val="00207E04"/>
    <w:rsid w:val="00210FCE"/>
    <w:rsid w:val="00212F98"/>
    <w:rsid w:val="00214764"/>
    <w:rsid w:val="00217F5C"/>
    <w:rsid w:val="002200B1"/>
    <w:rsid w:val="00220A5A"/>
    <w:rsid w:val="00222906"/>
    <w:rsid w:val="00223065"/>
    <w:rsid w:val="002244DA"/>
    <w:rsid w:val="002246A4"/>
    <w:rsid w:val="00225829"/>
    <w:rsid w:val="0022634D"/>
    <w:rsid w:val="00231361"/>
    <w:rsid w:val="00231AE5"/>
    <w:rsid w:val="00232E16"/>
    <w:rsid w:val="00233AC4"/>
    <w:rsid w:val="0023449A"/>
    <w:rsid w:val="00235ACA"/>
    <w:rsid w:val="00237850"/>
    <w:rsid w:val="00240604"/>
    <w:rsid w:val="00241CAA"/>
    <w:rsid w:val="00244ACB"/>
    <w:rsid w:val="00244D97"/>
    <w:rsid w:val="0025301D"/>
    <w:rsid w:val="00253FAE"/>
    <w:rsid w:val="00254C8E"/>
    <w:rsid w:val="002554DF"/>
    <w:rsid w:val="00256684"/>
    <w:rsid w:val="00256949"/>
    <w:rsid w:val="00264789"/>
    <w:rsid w:val="0026505E"/>
    <w:rsid w:val="00267D26"/>
    <w:rsid w:val="00272B9B"/>
    <w:rsid w:val="00273697"/>
    <w:rsid w:val="00274B69"/>
    <w:rsid w:val="00274F7D"/>
    <w:rsid w:val="00275158"/>
    <w:rsid w:val="0029038E"/>
    <w:rsid w:val="00290A07"/>
    <w:rsid w:val="002914A1"/>
    <w:rsid w:val="002915B1"/>
    <w:rsid w:val="0029776C"/>
    <w:rsid w:val="002A7F1B"/>
    <w:rsid w:val="002B01DC"/>
    <w:rsid w:val="002B0928"/>
    <w:rsid w:val="002B0F64"/>
    <w:rsid w:val="002B3CC9"/>
    <w:rsid w:val="002B64BB"/>
    <w:rsid w:val="002C1755"/>
    <w:rsid w:val="002C17E1"/>
    <w:rsid w:val="002C3474"/>
    <w:rsid w:val="002C355B"/>
    <w:rsid w:val="002C3B7D"/>
    <w:rsid w:val="002C50FD"/>
    <w:rsid w:val="002C663C"/>
    <w:rsid w:val="002C7C10"/>
    <w:rsid w:val="002D0BFF"/>
    <w:rsid w:val="002D0C7E"/>
    <w:rsid w:val="002D0E08"/>
    <w:rsid w:val="002D304B"/>
    <w:rsid w:val="002D4811"/>
    <w:rsid w:val="002E36A6"/>
    <w:rsid w:val="002E4754"/>
    <w:rsid w:val="002E4DC6"/>
    <w:rsid w:val="002E5330"/>
    <w:rsid w:val="002E593E"/>
    <w:rsid w:val="002E613A"/>
    <w:rsid w:val="002E7628"/>
    <w:rsid w:val="002E7E35"/>
    <w:rsid w:val="002F2CFC"/>
    <w:rsid w:val="002F44EA"/>
    <w:rsid w:val="002F4790"/>
    <w:rsid w:val="00302BA3"/>
    <w:rsid w:val="00311431"/>
    <w:rsid w:val="00313230"/>
    <w:rsid w:val="00313CA3"/>
    <w:rsid w:val="00315666"/>
    <w:rsid w:val="00322A56"/>
    <w:rsid w:val="00330661"/>
    <w:rsid w:val="003308B1"/>
    <w:rsid w:val="003323E2"/>
    <w:rsid w:val="0033447D"/>
    <w:rsid w:val="00334D05"/>
    <w:rsid w:val="00335354"/>
    <w:rsid w:val="0033573F"/>
    <w:rsid w:val="003371F4"/>
    <w:rsid w:val="00340625"/>
    <w:rsid w:val="00344677"/>
    <w:rsid w:val="00346296"/>
    <w:rsid w:val="0034724E"/>
    <w:rsid w:val="003477B4"/>
    <w:rsid w:val="00353276"/>
    <w:rsid w:val="003565E1"/>
    <w:rsid w:val="00356F6A"/>
    <w:rsid w:val="00360906"/>
    <w:rsid w:val="00360FDC"/>
    <w:rsid w:val="00362EA3"/>
    <w:rsid w:val="00363C11"/>
    <w:rsid w:val="003700C3"/>
    <w:rsid w:val="0037130B"/>
    <w:rsid w:val="00373B8D"/>
    <w:rsid w:val="00373FDE"/>
    <w:rsid w:val="00374899"/>
    <w:rsid w:val="00376542"/>
    <w:rsid w:val="003773F4"/>
    <w:rsid w:val="003774BA"/>
    <w:rsid w:val="003836BC"/>
    <w:rsid w:val="00391CC2"/>
    <w:rsid w:val="00392457"/>
    <w:rsid w:val="00392E3D"/>
    <w:rsid w:val="003951F0"/>
    <w:rsid w:val="0039710E"/>
    <w:rsid w:val="003A18B2"/>
    <w:rsid w:val="003A4F72"/>
    <w:rsid w:val="003A6D4C"/>
    <w:rsid w:val="003B1016"/>
    <w:rsid w:val="003B44A7"/>
    <w:rsid w:val="003C0633"/>
    <w:rsid w:val="003C25D1"/>
    <w:rsid w:val="003C28B1"/>
    <w:rsid w:val="003C4703"/>
    <w:rsid w:val="003C663D"/>
    <w:rsid w:val="003C6E28"/>
    <w:rsid w:val="003D2A0E"/>
    <w:rsid w:val="003D66A9"/>
    <w:rsid w:val="003E621C"/>
    <w:rsid w:val="003F0AE0"/>
    <w:rsid w:val="003F0E7F"/>
    <w:rsid w:val="003F37F1"/>
    <w:rsid w:val="003F4337"/>
    <w:rsid w:val="003F4E84"/>
    <w:rsid w:val="00400409"/>
    <w:rsid w:val="00402F29"/>
    <w:rsid w:val="004071E1"/>
    <w:rsid w:val="00407EFE"/>
    <w:rsid w:val="00410E69"/>
    <w:rsid w:val="00411D71"/>
    <w:rsid w:val="00414D79"/>
    <w:rsid w:val="00415B7E"/>
    <w:rsid w:val="00421F0A"/>
    <w:rsid w:val="00423CAE"/>
    <w:rsid w:val="004246D1"/>
    <w:rsid w:val="004260FF"/>
    <w:rsid w:val="00426972"/>
    <w:rsid w:val="0043013B"/>
    <w:rsid w:val="004320A1"/>
    <w:rsid w:val="00432FF1"/>
    <w:rsid w:val="00434C82"/>
    <w:rsid w:val="00452843"/>
    <w:rsid w:val="00452ACC"/>
    <w:rsid w:val="004546CE"/>
    <w:rsid w:val="00467B36"/>
    <w:rsid w:val="00472E72"/>
    <w:rsid w:val="0047787D"/>
    <w:rsid w:val="004827E6"/>
    <w:rsid w:val="00482979"/>
    <w:rsid w:val="0048352B"/>
    <w:rsid w:val="004840C3"/>
    <w:rsid w:val="00484DB4"/>
    <w:rsid w:val="0048518E"/>
    <w:rsid w:val="0048674F"/>
    <w:rsid w:val="00487677"/>
    <w:rsid w:val="004901D7"/>
    <w:rsid w:val="004901E4"/>
    <w:rsid w:val="004943F0"/>
    <w:rsid w:val="004A1E84"/>
    <w:rsid w:val="004A31C5"/>
    <w:rsid w:val="004B17F8"/>
    <w:rsid w:val="004B3151"/>
    <w:rsid w:val="004B5B8A"/>
    <w:rsid w:val="004B7A33"/>
    <w:rsid w:val="004C373B"/>
    <w:rsid w:val="004C3A0E"/>
    <w:rsid w:val="004C5DB9"/>
    <w:rsid w:val="004C6D1D"/>
    <w:rsid w:val="004D1156"/>
    <w:rsid w:val="004D29BD"/>
    <w:rsid w:val="004D41CA"/>
    <w:rsid w:val="004D5422"/>
    <w:rsid w:val="004D5984"/>
    <w:rsid w:val="004D6936"/>
    <w:rsid w:val="004E0E38"/>
    <w:rsid w:val="004E0EDE"/>
    <w:rsid w:val="004E0F07"/>
    <w:rsid w:val="004E126B"/>
    <w:rsid w:val="004E13C1"/>
    <w:rsid w:val="004E25FC"/>
    <w:rsid w:val="004E2A7B"/>
    <w:rsid w:val="004E3BAE"/>
    <w:rsid w:val="004E4143"/>
    <w:rsid w:val="004F2959"/>
    <w:rsid w:val="004F33F6"/>
    <w:rsid w:val="004F35DA"/>
    <w:rsid w:val="004F7E86"/>
    <w:rsid w:val="00501118"/>
    <w:rsid w:val="00502722"/>
    <w:rsid w:val="00502B73"/>
    <w:rsid w:val="00503F46"/>
    <w:rsid w:val="0050613A"/>
    <w:rsid w:val="00506D31"/>
    <w:rsid w:val="00506ECF"/>
    <w:rsid w:val="005072F2"/>
    <w:rsid w:val="00511104"/>
    <w:rsid w:val="005233AC"/>
    <w:rsid w:val="00526E8B"/>
    <w:rsid w:val="00527A5F"/>
    <w:rsid w:val="005316E8"/>
    <w:rsid w:val="005458DC"/>
    <w:rsid w:val="00547F5F"/>
    <w:rsid w:val="005554D4"/>
    <w:rsid w:val="005623F6"/>
    <w:rsid w:val="00565196"/>
    <w:rsid w:val="005656AD"/>
    <w:rsid w:val="00565CBB"/>
    <w:rsid w:val="00567D77"/>
    <w:rsid w:val="005704E0"/>
    <w:rsid w:val="00571D08"/>
    <w:rsid w:val="00573703"/>
    <w:rsid w:val="00573953"/>
    <w:rsid w:val="00581AF2"/>
    <w:rsid w:val="005842BD"/>
    <w:rsid w:val="0058551F"/>
    <w:rsid w:val="005879EE"/>
    <w:rsid w:val="005922C0"/>
    <w:rsid w:val="005927B9"/>
    <w:rsid w:val="00595DE7"/>
    <w:rsid w:val="005964AB"/>
    <w:rsid w:val="005A2C17"/>
    <w:rsid w:val="005A37CF"/>
    <w:rsid w:val="005A4448"/>
    <w:rsid w:val="005A5A9F"/>
    <w:rsid w:val="005B2E76"/>
    <w:rsid w:val="005B36B4"/>
    <w:rsid w:val="005B6AFF"/>
    <w:rsid w:val="005C04F8"/>
    <w:rsid w:val="005C1DD0"/>
    <w:rsid w:val="005C32C7"/>
    <w:rsid w:val="005D07BD"/>
    <w:rsid w:val="005D3714"/>
    <w:rsid w:val="005D3A4C"/>
    <w:rsid w:val="005D6D51"/>
    <w:rsid w:val="005E58C4"/>
    <w:rsid w:val="005E5AB8"/>
    <w:rsid w:val="005E607E"/>
    <w:rsid w:val="005F1823"/>
    <w:rsid w:val="005F3004"/>
    <w:rsid w:val="005F4DF1"/>
    <w:rsid w:val="00601884"/>
    <w:rsid w:val="00602503"/>
    <w:rsid w:val="0060525E"/>
    <w:rsid w:val="0060609A"/>
    <w:rsid w:val="006112DA"/>
    <w:rsid w:val="006165B6"/>
    <w:rsid w:val="00620465"/>
    <w:rsid w:val="00620B19"/>
    <w:rsid w:val="00622AC2"/>
    <w:rsid w:val="00622B86"/>
    <w:rsid w:val="00622EAC"/>
    <w:rsid w:val="00623A5E"/>
    <w:rsid w:val="00624D5E"/>
    <w:rsid w:val="00625493"/>
    <w:rsid w:val="006254C8"/>
    <w:rsid w:val="006306E1"/>
    <w:rsid w:val="006326E1"/>
    <w:rsid w:val="00633E45"/>
    <w:rsid w:val="0063551B"/>
    <w:rsid w:val="0063711C"/>
    <w:rsid w:val="00640FBB"/>
    <w:rsid w:val="006414CC"/>
    <w:rsid w:val="00643323"/>
    <w:rsid w:val="0064606E"/>
    <w:rsid w:val="006477A6"/>
    <w:rsid w:val="00647AE3"/>
    <w:rsid w:val="006523E6"/>
    <w:rsid w:val="00660150"/>
    <w:rsid w:val="00660290"/>
    <w:rsid w:val="00660554"/>
    <w:rsid w:val="00661A38"/>
    <w:rsid w:val="00661C32"/>
    <w:rsid w:val="00662448"/>
    <w:rsid w:val="00666D81"/>
    <w:rsid w:val="00667C1C"/>
    <w:rsid w:val="00670061"/>
    <w:rsid w:val="006704C5"/>
    <w:rsid w:val="00671CB8"/>
    <w:rsid w:val="00672393"/>
    <w:rsid w:val="006730CA"/>
    <w:rsid w:val="006737B0"/>
    <w:rsid w:val="006741FB"/>
    <w:rsid w:val="00675166"/>
    <w:rsid w:val="00675E23"/>
    <w:rsid w:val="006815B0"/>
    <w:rsid w:val="00682712"/>
    <w:rsid w:val="00682DEE"/>
    <w:rsid w:val="006913E2"/>
    <w:rsid w:val="0069273C"/>
    <w:rsid w:val="00692AF8"/>
    <w:rsid w:val="00692B95"/>
    <w:rsid w:val="00692CE7"/>
    <w:rsid w:val="00694A9A"/>
    <w:rsid w:val="00695E9B"/>
    <w:rsid w:val="00696A35"/>
    <w:rsid w:val="00696BE5"/>
    <w:rsid w:val="006A012D"/>
    <w:rsid w:val="006A0560"/>
    <w:rsid w:val="006A173D"/>
    <w:rsid w:val="006A20D2"/>
    <w:rsid w:val="006A2C26"/>
    <w:rsid w:val="006A2FAF"/>
    <w:rsid w:val="006A3329"/>
    <w:rsid w:val="006A46CF"/>
    <w:rsid w:val="006A6EA8"/>
    <w:rsid w:val="006A7D94"/>
    <w:rsid w:val="006B3457"/>
    <w:rsid w:val="006B50AB"/>
    <w:rsid w:val="006B6A3A"/>
    <w:rsid w:val="006C0750"/>
    <w:rsid w:val="006C08A3"/>
    <w:rsid w:val="006C31A6"/>
    <w:rsid w:val="006C76FA"/>
    <w:rsid w:val="006C7DA9"/>
    <w:rsid w:val="006D1425"/>
    <w:rsid w:val="006D7336"/>
    <w:rsid w:val="006E2931"/>
    <w:rsid w:val="006E331D"/>
    <w:rsid w:val="006E39B6"/>
    <w:rsid w:val="006E734C"/>
    <w:rsid w:val="006F3F63"/>
    <w:rsid w:val="006F6BF2"/>
    <w:rsid w:val="00703ACE"/>
    <w:rsid w:val="0070453D"/>
    <w:rsid w:val="00705D89"/>
    <w:rsid w:val="007108BD"/>
    <w:rsid w:val="00712127"/>
    <w:rsid w:val="007121BE"/>
    <w:rsid w:val="00712417"/>
    <w:rsid w:val="007131CE"/>
    <w:rsid w:val="00713D80"/>
    <w:rsid w:val="00714122"/>
    <w:rsid w:val="00717788"/>
    <w:rsid w:val="00721CAF"/>
    <w:rsid w:val="0072241B"/>
    <w:rsid w:val="00722B03"/>
    <w:rsid w:val="007261F0"/>
    <w:rsid w:val="00731902"/>
    <w:rsid w:val="00731F6B"/>
    <w:rsid w:val="00732434"/>
    <w:rsid w:val="00733B62"/>
    <w:rsid w:val="00733F08"/>
    <w:rsid w:val="00734D13"/>
    <w:rsid w:val="0073637C"/>
    <w:rsid w:val="0073781B"/>
    <w:rsid w:val="00740BCB"/>
    <w:rsid w:val="00740FA8"/>
    <w:rsid w:val="00741531"/>
    <w:rsid w:val="00741961"/>
    <w:rsid w:val="00742502"/>
    <w:rsid w:val="00742F88"/>
    <w:rsid w:val="00744377"/>
    <w:rsid w:val="00744E04"/>
    <w:rsid w:val="00746D5E"/>
    <w:rsid w:val="00750523"/>
    <w:rsid w:val="007507EE"/>
    <w:rsid w:val="00751B0D"/>
    <w:rsid w:val="00751BF9"/>
    <w:rsid w:val="007536F7"/>
    <w:rsid w:val="00753D9F"/>
    <w:rsid w:val="00754831"/>
    <w:rsid w:val="00766A2D"/>
    <w:rsid w:val="00771F9D"/>
    <w:rsid w:val="00780EAB"/>
    <w:rsid w:val="00782EB2"/>
    <w:rsid w:val="00790CFF"/>
    <w:rsid w:val="00790ED9"/>
    <w:rsid w:val="0079184B"/>
    <w:rsid w:val="00791FEB"/>
    <w:rsid w:val="0079445D"/>
    <w:rsid w:val="007975EF"/>
    <w:rsid w:val="007A0021"/>
    <w:rsid w:val="007A0DDC"/>
    <w:rsid w:val="007A23F1"/>
    <w:rsid w:val="007A3AFD"/>
    <w:rsid w:val="007A5BD6"/>
    <w:rsid w:val="007B4E71"/>
    <w:rsid w:val="007B5527"/>
    <w:rsid w:val="007B5BD7"/>
    <w:rsid w:val="007C1785"/>
    <w:rsid w:val="007C6A86"/>
    <w:rsid w:val="007C6F2E"/>
    <w:rsid w:val="007D0985"/>
    <w:rsid w:val="007D381A"/>
    <w:rsid w:val="007D4378"/>
    <w:rsid w:val="007D76CC"/>
    <w:rsid w:val="007D782E"/>
    <w:rsid w:val="007E2111"/>
    <w:rsid w:val="007E295A"/>
    <w:rsid w:val="007E48B7"/>
    <w:rsid w:val="007E6BCA"/>
    <w:rsid w:val="007E6CF5"/>
    <w:rsid w:val="007F440C"/>
    <w:rsid w:val="007F4FE7"/>
    <w:rsid w:val="00800AC8"/>
    <w:rsid w:val="008014B5"/>
    <w:rsid w:val="00804263"/>
    <w:rsid w:val="008045BB"/>
    <w:rsid w:val="00807147"/>
    <w:rsid w:val="00807885"/>
    <w:rsid w:val="00811D17"/>
    <w:rsid w:val="00812166"/>
    <w:rsid w:val="00813174"/>
    <w:rsid w:val="00813BCF"/>
    <w:rsid w:val="008154B0"/>
    <w:rsid w:val="008160DE"/>
    <w:rsid w:val="008201C6"/>
    <w:rsid w:val="0082174B"/>
    <w:rsid w:val="0082715B"/>
    <w:rsid w:val="008272EE"/>
    <w:rsid w:val="0082791D"/>
    <w:rsid w:val="0083203F"/>
    <w:rsid w:val="008343FE"/>
    <w:rsid w:val="008365AB"/>
    <w:rsid w:val="00845E89"/>
    <w:rsid w:val="00854A05"/>
    <w:rsid w:val="00856530"/>
    <w:rsid w:val="00860E4A"/>
    <w:rsid w:val="0086613A"/>
    <w:rsid w:val="0087489E"/>
    <w:rsid w:val="0087633E"/>
    <w:rsid w:val="00877230"/>
    <w:rsid w:val="00883977"/>
    <w:rsid w:val="00883B23"/>
    <w:rsid w:val="0088400F"/>
    <w:rsid w:val="008841E4"/>
    <w:rsid w:val="008849D9"/>
    <w:rsid w:val="00885473"/>
    <w:rsid w:val="00886DFA"/>
    <w:rsid w:val="00890594"/>
    <w:rsid w:val="00895655"/>
    <w:rsid w:val="00896686"/>
    <w:rsid w:val="00896FB3"/>
    <w:rsid w:val="008A2ED1"/>
    <w:rsid w:val="008A34D2"/>
    <w:rsid w:val="008A3F97"/>
    <w:rsid w:val="008A6AFE"/>
    <w:rsid w:val="008B120C"/>
    <w:rsid w:val="008B1FD4"/>
    <w:rsid w:val="008B4202"/>
    <w:rsid w:val="008B44CC"/>
    <w:rsid w:val="008C4402"/>
    <w:rsid w:val="008D4EFA"/>
    <w:rsid w:val="008D5E65"/>
    <w:rsid w:val="008E08AA"/>
    <w:rsid w:val="008E2FC1"/>
    <w:rsid w:val="008E39D6"/>
    <w:rsid w:val="008E4687"/>
    <w:rsid w:val="008E6500"/>
    <w:rsid w:val="008E7299"/>
    <w:rsid w:val="008F1328"/>
    <w:rsid w:val="008F4429"/>
    <w:rsid w:val="008F6106"/>
    <w:rsid w:val="008F636D"/>
    <w:rsid w:val="008F735B"/>
    <w:rsid w:val="008F7A5A"/>
    <w:rsid w:val="009008DE"/>
    <w:rsid w:val="0090217B"/>
    <w:rsid w:val="0090243B"/>
    <w:rsid w:val="00907645"/>
    <w:rsid w:val="00910323"/>
    <w:rsid w:val="00910DD0"/>
    <w:rsid w:val="00910F23"/>
    <w:rsid w:val="0092174A"/>
    <w:rsid w:val="00925E6D"/>
    <w:rsid w:val="009270AB"/>
    <w:rsid w:val="009300C7"/>
    <w:rsid w:val="0093341F"/>
    <w:rsid w:val="00933946"/>
    <w:rsid w:val="00934745"/>
    <w:rsid w:val="00934D73"/>
    <w:rsid w:val="0093611B"/>
    <w:rsid w:val="00936276"/>
    <w:rsid w:val="00936318"/>
    <w:rsid w:val="00936B61"/>
    <w:rsid w:val="00941EEC"/>
    <w:rsid w:val="00943365"/>
    <w:rsid w:val="00943E38"/>
    <w:rsid w:val="00944C2A"/>
    <w:rsid w:val="00950B7A"/>
    <w:rsid w:val="00953534"/>
    <w:rsid w:val="009575D5"/>
    <w:rsid w:val="00964866"/>
    <w:rsid w:val="00964CBD"/>
    <w:rsid w:val="009670AA"/>
    <w:rsid w:val="009714B3"/>
    <w:rsid w:val="009715F5"/>
    <w:rsid w:val="009723DE"/>
    <w:rsid w:val="0097352C"/>
    <w:rsid w:val="00973651"/>
    <w:rsid w:val="009746E7"/>
    <w:rsid w:val="00974E99"/>
    <w:rsid w:val="00975E6F"/>
    <w:rsid w:val="009775C3"/>
    <w:rsid w:val="00977CC9"/>
    <w:rsid w:val="009833EE"/>
    <w:rsid w:val="009838D1"/>
    <w:rsid w:val="009843F2"/>
    <w:rsid w:val="00986F04"/>
    <w:rsid w:val="00993264"/>
    <w:rsid w:val="009A25BD"/>
    <w:rsid w:val="009A2E62"/>
    <w:rsid w:val="009A2FA1"/>
    <w:rsid w:val="009A320D"/>
    <w:rsid w:val="009A3E60"/>
    <w:rsid w:val="009A4D06"/>
    <w:rsid w:val="009A5714"/>
    <w:rsid w:val="009A579A"/>
    <w:rsid w:val="009A5F48"/>
    <w:rsid w:val="009A6166"/>
    <w:rsid w:val="009A7463"/>
    <w:rsid w:val="009B4EFE"/>
    <w:rsid w:val="009B5876"/>
    <w:rsid w:val="009B7E76"/>
    <w:rsid w:val="009C05D2"/>
    <w:rsid w:val="009C2214"/>
    <w:rsid w:val="009C3388"/>
    <w:rsid w:val="009C3BE1"/>
    <w:rsid w:val="009C614B"/>
    <w:rsid w:val="009C6F20"/>
    <w:rsid w:val="009C72B0"/>
    <w:rsid w:val="009D02AB"/>
    <w:rsid w:val="009D126E"/>
    <w:rsid w:val="009D16DA"/>
    <w:rsid w:val="009D6EDB"/>
    <w:rsid w:val="009D71C3"/>
    <w:rsid w:val="009D729F"/>
    <w:rsid w:val="009E2F52"/>
    <w:rsid w:val="009E337B"/>
    <w:rsid w:val="009E35E8"/>
    <w:rsid w:val="009E4B9C"/>
    <w:rsid w:val="009F5BBF"/>
    <w:rsid w:val="00A02EF0"/>
    <w:rsid w:val="00A06E69"/>
    <w:rsid w:val="00A07EEA"/>
    <w:rsid w:val="00A105E1"/>
    <w:rsid w:val="00A131A4"/>
    <w:rsid w:val="00A13FDB"/>
    <w:rsid w:val="00A1466E"/>
    <w:rsid w:val="00A15402"/>
    <w:rsid w:val="00A21C68"/>
    <w:rsid w:val="00A24C6E"/>
    <w:rsid w:val="00A263BF"/>
    <w:rsid w:val="00A37F06"/>
    <w:rsid w:val="00A40E4A"/>
    <w:rsid w:val="00A421E0"/>
    <w:rsid w:val="00A44D76"/>
    <w:rsid w:val="00A45580"/>
    <w:rsid w:val="00A45C4C"/>
    <w:rsid w:val="00A46A47"/>
    <w:rsid w:val="00A51FA7"/>
    <w:rsid w:val="00A5347B"/>
    <w:rsid w:val="00A60A9A"/>
    <w:rsid w:val="00A725CE"/>
    <w:rsid w:val="00A73F57"/>
    <w:rsid w:val="00A74835"/>
    <w:rsid w:val="00A77E5D"/>
    <w:rsid w:val="00A811A1"/>
    <w:rsid w:val="00A819BB"/>
    <w:rsid w:val="00A86B38"/>
    <w:rsid w:val="00A95591"/>
    <w:rsid w:val="00AA06C8"/>
    <w:rsid w:val="00AA6EE5"/>
    <w:rsid w:val="00AB3FB4"/>
    <w:rsid w:val="00AB7B38"/>
    <w:rsid w:val="00AC08DB"/>
    <w:rsid w:val="00AC33D2"/>
    <w:rsid w:val="00AC4064"/>
    <w:rsid w:val="00AC5273"/>
    <w:rsid w:val="00AC7A87"/>
    <w:rsid w:val="00AD3613"/>
    <w:rsid w:val="00AD3A0B"/>
    <w:rsid w:val="00AD433F"/>
    <w:rsid w:val="00AD5997"/>
    <w:rsid w:val="00AD661E"/>
    <w:rsid w:val="00AD74AC"/>
    <w:rsid w:val="00AE2267"/>
    <w:rsid w:val="00AE434D"/>
    <w:rsid w:val="00AE5117"/>
    <w:rsid w:val="00AE54C4"/>
    <w:rsid w:val="00AE579B"/>
    <w:rsid w:val="00AE619D"/>
    <w:rsid w:val="00AF077A"/>
    <w:rsid w:val="00AF0A9B"/>
    <w:rsid w:val="00AF2145"/>
    <w:rsid w:val="00AF3117"/>
    <w:rsid w:val="00AF475F"/>
    <w:rsid w:val="00AF5A15"/>
    <w:rsid w:val="00AF5E19"/>
    <w:rsid w:val="00AF7AEA"/>
    <w:rsid w:val="00B0181F"/>
    <w:rsid w:val="00B03261"/>
    <w:rsid w:val="00B06151"/>
    <w:rsid w:val="00B06A32"/>
    <w:rsid w:val="00B10206"/>
    <w:rsid w:val="00B117B9"/>
    <w:rsid w:val="00B13844"/>
    <w:rsid w:val="00B14A5D"/>
    <w:rsid w:val="00B16FC7"/>
    <w:rsid w:val="00B17760"/>
    <w:rsid w:val="00B23C06"/>
    <w:rsid w:val="00B2507E"/>
    <w:rsid w:val="00B25F58"/>
    <w:rsid w:val="00B261AC"/>
    <w:rsid w:val="00B26476"/>
    <w:rsid w:val="00B27620"/>
    <w:rsid w:val="00B27A1D"/>
    <w:rsid w:val="00B3358B"/>
    <w:rsid w:val="00B339DC"/>
    <w:rsid w:val="00B4077C"/>
    <w:rsid w:val="00B42D64"/>
    <w:rsid w:val="00B42F67"/>
    <w:rsid w:val="00B43EF4"/>
    <w:rsid w:val="00B44140"/>
    <w:rsid w:val="00B44913"/>
    <w:rsid w:val="00B4588B"/>
    <w:rsid w:val="00B50A7D"/>
    <w:rsid w:val="00B50C3C"/>
    <w:rsid w:val="00B519D8"/>
    <w:rsid w:val="00B51A1B"/>
    <w:rsid w:val="00B55707"/>
    <w:rsid w:val="00B561AA"/>
    <w:rsid w:val="00B56642"/>
    <w:rsid w:val="00B60435"/>
    <w:rsid w:val="00B6727A"/>
    <w:rsid w:val="00B67AE1"/>
    <w:rsid w:val="00B67E3C"/>
    <w:rsid w:val="00B734CD"/>
    <w:rsid w:val="00B75414"/>
    <w:rsid w:val="00B800DA"/>
    <w:rsid w:val="00B802A4"/>
    <w:rsid w:val="00B82462"/>
    <w:rsid w:val="00B87BDE"/>
    <w:rsid w:val="00B921B0"/>
    <w:rsid w:val="00B92CB3"/>
    <w:rsid w:val="00B92EB8"/>
    <w:rsid w:val="00BA152F"/>
    <w:rsid w:val="00BA17B1"/>
    <w:rsid w:val="00BA3242"/>
    <w:rsid w:val="00BA3E99"/>
    <w:rsid w:val="00BA47F5"/>
    <w:rsid w:val="00BA63CD"/>
    <w:rsid w:val="00BA66BF"/>
    <w:rsid w:val="00BA678C"/>
    <w:rsid w:val="00BA7231"/>
    <w:rsid w:val="00BB1057"/>
    <w:rsid w:val="00BB649B"/>
    <w:rsid w:val="00BC7A5A"/>
    <w:rsid w:val="00BC7DBF"/>
    <w:rsid w:val="00BD4CA5"/>
    <w:rsid w:val="00BD76A9"/>
    <w:rsid w:val="00BE168E"/>
    <w:rsid w:val="00BE3856"/>
    <w:rsid w:val="00BE4945"/>
    <w:rsid w:val="00BE4BB6"/>
    <w:rsid w:val="00BE4FC7"/>
    <w:rsid w:val="00BE5D00"/>
    <w:rsid w:val="00BE6357"/>
    <w:rsid w:val="00BE7B9B"/>
    <w:rsid w:val="00BF0246"/>
    <w:rsid w:val="00BF0415"/>
    <w:rsid w:val="00BF2FB7"/>
    <w:rsid w:val="00BF41BE"/>
    <w:rsid w:val="00C038E4"/>
    <w:rsid w:val="00C067B1"/>
    <w:rsid w:val="00C06FA2"/>
    <w:rsid w:val="00C12274"/>
    <w:rsid w:val="00C1370B"/>
    <w:rsid w:val="00C145D7"/>
    <w:rsid w:val="00C14792"/>
    <w:rsid w:val="00C16D94"/>
    <w:rsid w:val="00C1718B"/>
    <w:rsid w:val="00C24803"/>
    <w:rsid w:val="00C2489F"/>
    <w:rsid w:val="00C267BD"/>
    <w:rsid w:val="00C27E0B"/>
    <w:rsid w:val="00C361BA"/>
    <w:rsid w:val="00C447E9"/>
    <w:rsid w:val="00C46807"/>
    <w:rsid w:val="00C50AC2"/>
    <w:rsid w:val="00C51147"/>
    <w:rsid w:val="00C541D9"/>
    <w:rsid w:val="00C56676"/>
    <w:rsid w:val="00C6120B"/>
    <w:rsid w:val="00C624BA"/>
    <w:rsid w:val="00C7035B"/>
    <w:rsid w:val="00C71C51"/>
    <w:rsid w:val="00C7250A"/>
    <w:rsid w:val="00C728CC"/>
    <w:rsid w:val="00C75F05"/>
    <w:rsid w:val="00C76E83"/>
    <w:rsid w:val="00C77514"/>
    <w:rsid w:val="00C77B5C"/>
    <w:rsid w:val="00C80231"/>
    <w:rsid w:val="00C83108"/>
    <w:rsid w:val="00C865DA"/>
    <w:rsid w:val="00C86C65"/>
    <w:rsid w:val="00C87154"/>
    <w:rsid w:val="00C8723C"/>
    <w:rsid w:val="00C87486"/>
    <w:rsid w:val="00C877EE"/>
    <w:rsid w:val="00C90455"/>
    <w:rsid w:val="00C92DEA"/>
    <w:rsid w:val="00C9325A"/>
    <w:rsid w:val="00C94070"/>
    <w:rsid w:val="00C96474"/>
    <w:rsid w:val="00C9727F"/>
    <w:rsid w:val="00CA2A40"/>
    <w:rsid w:val="00CA3901"/>
    <w:rsid w:val="00CA4A92"/>
    <w:rsid w:val="00CA4DCF"/>
    <w:rsid w:val="00CA50CD"/>
    <w:rsid w:val="00CA52C0"/>
    <w:rsid w:val="00CA79E1"/>
    <w:rsid w:val="00CA7C81"/>
    <w:rsid w:val="00CB08F7"/>
    <w:rsid w:val="00CB1087"/>
    <w:rsid w:val="00CB4A48"/>
    <w:rsid w:val="00CB50DB"/>
    <w:rsid w:val="00CB5101"/>
    <w:rsid w:val="00CB72EB"/>
    <w:rsid w:val="00CB7882"/>
    <w:rsid w:val="00CC03AF"/>
    <w:rsid w:val="00CC04B4"/>
    <w:rsid w:val="00CC1F6A"/>
    <w:rsid w:val="00CC402A"/>
    <w:rsid w:val="00CC4F2C"/>
    <w:rsid w:val="00CC56B5"/>
    <w:rsid w:val="00CC6F97"/>
    <w:rsid w:val="00CD33CA"/>
    <w:rsid w:val="00CD37CA"/>
    <w:rsid w:val="00CD3EBC"/>
    <w:rsid w:val="00CD578B"/>
    <w:rsid w:val="00CD7C03"/>
    <w:rsid w:val="00CE2B39"/>
    <w:rsid w:val="00CE45BA"/>
    <w:rsid w:val="00CE4909"/>
    <w:rsid w:val="00CE54D7"/>
    <w:rsid w:val="00CE6770"/>
    <w:rsid w:val="00CE721E"/>
    <w:rsid w:val="00CF0B91"/>
    <w:rsid w:val="00CF1ED7"/>
    <w:rsid w:val="00CF2189"/>
    <w:rsid w:val="00CF2B0B"/>
    <w:rsid w:val="00CF4C3A"/>
    <w:rsid w:val="00CF55E5"/>
    <w:rsid w:val="00D0224D"/>
    <w:rsid w:val="00D05158"/>
    <w:rsid w:val="00D061D7"/>
    <w:rsid w:val="00D1037B"/>
    <w:rsid w:val="00D109D6"/>
    <w:rsid w:val="00D1244B"/>
    <w:rsid w:val="00D12554"/>
    <w:rsid w:val="00D13094"/>
    <w:rsid w:val="00D13C76"/>
    <w:rsid w:val="00D16CCD"/>
    <w:rsid w:val="00D215C1"/>
    <w:rsid w:val="00D2421D"/>
    <w:rsid w:val="00D24BB3"/>
    <w:rsid w:val="00D333E6"/>
    <w:rsid w:val="00D342AA"/>
    <w:rsid w:val="00D36298"/>
    <w:rsid w:val="00D374AE"/>
    <w:rsid w:val="00D37654"/>
    <w:rsid w:val="00D40303"/>
    <w:rsid w:val="00D413A5"/>
    <w:rsid w:val="00D43F8B"/>
    <w:rsid w:val="00D506AC"/>
    <w:rsid w:val="00D51842"/>
    <w:rsid w:val="00D60A49"/>
    <w:rsid w:val="00D60BC0"/>
    <w:rsid w:val="00D61C8C"/>
    <w:rsid w:val="00D630AC"/>
    <w:rsid w:val="00D64FFE"/>
    <w:rsid w:val="00D716F8"/>
    <w:rsid w:val="00D719EF"/>
    <w:rsid w:val="00D750B6"/>
    <w:rsid w:val="00D81272"/>
    <w:rsid w:val="00D81D62"/>
    <w:rsid w:val="00D82A4C"/>
    <w:rsid w:val="00D858B2"/>
    <w:rsid w:val="00D86BC6"/>
    <w:rsid w:val="00D870FD"/>
    <w:rsid w:val="00D872D5"/>
    <w:rsid w:val="00D90D07"/>
    <w:rsid w:val="00D91E1D"/>
    <w:rsid w:val="00D96816"/>
    <w:rsid w:val="00DA1CBE"/>
    <w:rsid w:val="00DA35E4"/>
    <w:rsid w:val="00DA4DCA"/>
    <w:rsid w:val="00DB2D92"/>
    <w:rsid w:val="00DB3A55"/>
    <w:rsid w:val="00DB549B"/>
    <w:rsid w:val="00DB67BD"/>
    <w:rsid w:val="00DC09CB"/>
    <w:rsid w:val="00DC67C5"/>
    <w:rsid w:val="00DD03A2"/>
    <w:rsid w:val="00DD1C70"/>
    <w:rsid w:val="00DD32B7"/>
    <w:rsid w:val="00DD3FBA"/>
    <w:rsid w:val="00DD52A5"/>
    <w:rsid w:val="00DD5C43"/>
    <w:rsid w:val="00DE112A"/>
    <w:rsid w:val="00DE15CB"/>
    <w:rsid w:val="00DE2EB1"/>
    <w:rsid w:val="00DE388E"/>
    <w:rsid w:val="00DE5601"/>
    <w:rsid w:val="00DE6286"/>
    <w:rsid w:val="00DF01F7"/>
    <w:rsid w:val="00DF2024"/>
    <w:rsid w:val="00DF4F15"/>
    <w:rsid w:val="00DF5205"/>
    <w:rsid w:val="00DF6426"/>
    <w:rsid w:val="00DF6FAF"/>
    <w:rsid w:val="00DF707F"/>
    <w:rsid w:val="00DF73CB"/>
    <w:rsid w:val="00E001D0"/>
    <w:rsid w:val="00E0129F"/>
    <w:rsid w:val="00E01455"/>
    <w:rsid w:val="00E033D1"/>
    <w:rsid w:val="00E044D0"/>
    <w:rsid w:val="00E103A8"/>
    <w:rsid w:val="00E14C39"/>
    <w:rsid w:val="00E15D34"/>
    <w:rsid w:val="00E16164"/>
    <w:rsid w:val="00E16DED"/>
    <w:rsid w:val="00E21827"/>
    <w:rsid w:val="00E21979"/>
    <w:rsid w:val="00E23BE8"/>
    <w:rsid w:val="00E25FC5"/>
    <w:rsid w:val="00E261B4"/>
    <w:rsid w:val="00E27A1E"/>
    <w:rsid w:val="00E331B0"/>
    <w:rsid w:val="00E33517"/>
    <w:rsid w:val="00E37855"/>
    <w:rsid w:val="00E42080"/>
    <w:rsid w:val="00E42AAB"/>
    <w:rsid w:val="00E42BEC"/>
    <w:rsid w:val="00E46933"/>
    <w:rsid w:val="00E47F7B"/>
    <w:rsid w:val="00E50B43"/>
    <w:rsid w:val="00E511C3"/>
    <w:rsid w:val="00E56254"/>
    <w:rsid w:val="00E74759"/>
    <w:rsid w:val="00E74A8C"/>
    <w:rsid w:val="00E75196"/>
    <w:rsid w:val="00E762E4"/>
    <w:rsid w:val="00E812EF"/>
    <w:rsid w:val="00E82CC6"/>
    <w:rsid w:val="00E84D15"/>
    <w:rsid w:val="00E87431"/>
    <w:rsid w:val="00E92C88"/>
    <w:rsid w:val="00E94A48"/>
    <w:rsid w:val="00E94D84"/>
    <w:rsid w:val="00E95181"/>
    <w:rsid w:val="00E96ED3"/>
    <w:rsid w:val="00EA0392"/>
    <w:rsid w:val="00EA6101"/>
    <w:rsid w:val="00EA7E68"/>
    <w:rsid w:val="00EB0ECB"/>
    <w:rsid w:val="00EB37A1"/>
    <w:rsid w:val="00EB6BD9"/>
    <w:rsid w:val="00EB7155"/>
    <w:rsid w:val="00EC0E42"/>
    <w:rsid w:val="00EC0E89"/>
    <w:rsid w:val="00EC1B1E"/>
    <w:rsid w:val="00EC3F79"/>
    <w:rsid w:val="00EC6E30"/>
    <w:rsid w:val="00EC7BB5"/>
    <w:rsid w:val="00ED10AC"/>
    <w:rsid w:val="00ED29A0"/>
    <w:rsid w:val="00ED2E0A"/>
    <w:rsid w:val="00ED2E85"/>
    <w:rsid w:val="00ED3C31"/>
    <w:rsid w:val="00ED52E6"/>
    <w:rsid w:val="00ED6201"/>
    <w:rsid w:val="00ED6635"/>
    <w:rsid w:val="00ED6AC1"/>
    <w:rsid w:val="00EE3559"/>
    <w:rsid w:val="00EE4334"/>
    <w:rsid w:val="00EE7641"/>
    <w:rsid w:val="00EF2503"/>
    <w:rsid w:val="00EF6134"/>
    <w:rsid w:val="00EF74C2"/>
    <w:rsid w:val="00F000F1"/>
    <w:rsid w:val="00F04A7F"/>
    <w:rsid w:val="00F072D2"/>
    <w:rsid w:val="00F07738"/>
    <w:rsid w:val="00F12863"/>
    <w:rsid w:val="00F13D2C"/>
    <w:rsid w:val="00F14666"/>
    <w:rsid w:val="00F155D7"/>
    <w:rsid w:val="00F156D5"/>
    <w:rsid w:val="00F160D8"/>
    <w:rsid w:val="00F170F2"/>
    <w:rsid w:val="00F17A32"/>
    <w:rsid w:val="00F228D9"/>
    <w:rsid w:val="00F22F81"/>
    <w:rsid w:val="00F24FA0"/>
    <w:rsid w:val="00F2551A"/>
    <w:rsid w:val="00F25BB6"/>
    <w:rsid w:val="00F263F6"/>
    <w:rsid w:val="00F27AD3"/>
    <w:rsid w:val="00F30899"/>
    <w:rsid w:val="00F33025"/>
    <w:rsid w:val="00F34109"/>
    <w:rsid w:val="00F34894"/>
    <w:rsid w:val="00F37AB4"/>
    <w:rsid w:val="00F405DB"/>
    <w:rsid w:val="00F42E28"/>
    <w:rsid w:val="00F43473"/>
    <w:rsid w:val="00F438BF"/>
    <w:rsid w:val="00F46295"/>
    <w:rsid w:val="00F46722"/>
    <w:rsid w:val="00F51834"/>
    <w:rsid w:val="00F53291"/>
    <w:rsid w:val="00F5546F"/>
    <w:rsid w:val="00F5559E"/>
    <w:rsid w:val="00F55606"/>
    <w:rsid w:val="00F578E9"/>
    <w:rsid w:val="00F62C9A"/>
    <w:rsid w:val="00F67270"/>
    <w:rsid w:val="00F71A10"/>
    <w:rsid w:val="00F7321C"/>
    <w:rsid w:val="00F7443E"/>
    <w:rsid w:val="00F8178B"/>
    <w:rsid w:val="00F81DCA"/>
    <w:rsid w:val="00F83B9B"/>
    <w:rsid w:val="00F859E9"/>
    <w:rsid w:val="00F859F4"/>
    <w:rsid w:val="00F85C5B"/>
    <w:rsid w:val="00F90F76"/>
    <w:rsid w:val="00F91725"/>
    <w:rsid w:val="00F94C90"/>
    <w:rsid w:val="00F96070"/>
    <w:rsid w:val="00F972DC"/>
    <w:rsid w:val="00FA06A2"/>
    <w:rsid w:val="00FA10B7"/>
    <w:rsid w:val="00FA11D3"/>
    <w:rsid w:val="00FA122F"/>
    <w:rsid w:val="00FA1E35"/>
    <w:rsid w:val="00FA2524"/>
    <w:rsid w:val="00FB03C6"/>
    <w:rsid w:val="00FB6A82"/>
    <w:rsid w:val="00FC0CA1"/>
    <w:rsid w:val="00FC0E54"/>
    <w:rsid w:val="00FC1C56"/>
    <w:rsid w:val="00FD1E06"/>
    <w:rsid w:val="00FD1F6D"/>
    <w:rsid w:val="00FD656B"/>
    <w:rsid w:val="00FE00AD"/>
    <w:rsid w:val="00FE0E8B"/>
    <w:rsid w:val="00FE1EA0"/>
    <w:rsid w:val="00FE57E7"/>
    <w:rsid w:val="00FE5DCD"/>
    <w:rsid w:val="00FF06B4"/>
    <w:rsid w:val="00FF15AC"/>
    <w:rsid w:val="00FF1D8D"/>
    <w:rsid w:val="00FF29DD"/>
    <w:rsid w:val="00FF30AA"/>
    <w:rsid w:val="00FF60CF"/>
    <w:rsid w:val="00FF695E"/>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4C0D1D3-7248-4A5F-8538-23603F0C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6D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Table of contents numbered,body 2,List_Paragraph,Multilevel para_II,TimesNewRoman 14,heading2,List Paragraph1,Antes de enumeración,Akapit z listą BS,Outlines a.b.c.,Akapit z lista BS,List1,Списък на абзаци,List Paragraph11"/>
    <w:basedOn w:val="Normal"/>
    <w:link w:val="ListParagraphChar"/>
    <w:uiPriority w:val="34"/>
    <w:qFormat/>
    <w:rsid w:val="00F22F81"/>
    <w:pPr>
      <w:ind w:left="720"/>
      <w:contextualSpacing/>
    </w:pPr>
  </w:style>
  <w:style w:type="paragraph" w:styleId="Header">
    <w:name w:val="header"/>
    <w:basedOn w:val="Normal"/>
    <w:link w:val="HeaderChar"/>
    <w:uiPriority w:val="99"/>
    <w:unhideWhenUsed/>
    <w:rsid w:val="00670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4C5"/>
    <w:rPr>
      <w:lang w:val="ro-RO"/>
    </w:rPr>
  </w:style>
  <w:style w:type="paragraph" w:styleId="Footer">
    <w:name w:val="footer"/>
    <w:basedOn w:val="Normal"/>
    <w:link w:val="FooterChar"/>
    <w:uiPriority w:val="99"/>
    <w:unhideWhenUsed/>
    <w:rsid w:val="00670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4C5"/>
    <w:rPr>
      <w:lang w:val="ro-RO"/>
    </w:rPr>
  </w:style>
  <w:style w:type="character" w:styleId="CommentReference">
    <w:name w:val="annotation reference"/>
    <w:basedOn w:val="DefaultParagraphFont"/>
    <w:uiPriority w:val="99"/>
    <w:semiHidden/>
    <w:unhideWhenUsed/>
    <w:rsid w:val="005879EE"/>
    <w:rPr>
      <w:sz w:val="16"/>
      <w:szCs w:val="16"/>
    </w:rPr>
  </w:style>
  <w:style w:type="paragraph" w:styleId="CommentText">
    <w:name w:val="annotation text"/>
    <w:basedOn w:val="Normal"/>
    <w:link w:val="CommentTextChar"/>
    <w:uiPriority w:val="99"/>
    <w:semiHidden/>
    <w:unhideWhenUsed/>
    <w:rsid w:val="005879EE"/>
    <w:pPr>
      <w:spacing w:line="240" w:lineRule="auto"/>
    </w:pPr>
    <w:rPr>
      <w:sz w:val="20"/>
      <w:szCs w:val="20"/>
    </w:rPr>
  </w:style>
  <w:style w:type="character" w:customStyle="1" w:styleId="CommentTextChar">
    <w:name w:val="Comment Text Char"/>
    <w:basedOn w:val="DefaultParagraphFont"/>
    <w:link w:val="CommentText"/>
    <w:uiPriority w:val="99"/>
    <w:semiHidden/>
    <w:rsid w:val="005879EE"/>
    <w:rPr>
      <w:sz w:val="20"/>
      <w:szCs w:val="20"/>
      <w:lang w:val="ro-RO"/>
    </w:rPr>
  </w:style>
  <w:style w:type="paragraph" w:styleId="CommentSubject">
    <w:name w:val="annotation subject"/>
    <w:basedOn w:val="CommentText"/>
    <w:next w:val="CommentText"/>
    <w:link w:val="CommentSubjectChar"/>
    <w:uiPriority w:val="99"/>
    <w:semiHidden/>
    <w:unhideWhenUsed/>
    <w:rsid w:val="005879EE"/>
    <w:rPr>
      <w:b/>
      <w:bCs/>
    </w:rPr>
  </w:style>
  <w:style w:type="character" w:customStyle="1" w:styleId="CommentSubjectChar">
    <w:name w:val="Comment Subject Char"/>
    <w:basedOn w:val="CommentTextChar"/>
    <w:link w:val="CommentSubject"/>
    <w:uiPriority w:val="99"/>
    <w:semiHidden/>
    <w:rsid w:val="005879EE"/>
    <w:rPr>
      <w:b/>
      <w:bCs/>
      <w:sz w:val="20"/>
      <w:szCs w:val="20"/>
      <w:lang w:val="ro-RO"/>
    </w:rPr>
  </w:style>
  <w:style w:type="paragraph" w:styleId="BalloonText">
    <w:name w:val="Balloon Text"/>
    <w:basedOn w:val="Normal"/>
    <w:link w:val="BalloonTextChar"/>
    <w:uiPriority w:val="99"/>
    <w:semiHidden/>
    <w:unhideWhenUsed/>
    <w:rsid w:val="00587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9EE"/>
    <w:rPr>
      <w:rFonts w:ascii="Segoe UI" w:hAnsi="Segoe UI" w:cs="Segoe UI"/>
      <w:sz w:val="18"/>
      <w:szCs w:val="18"/>
      <w:lang w:val="ro-RO"/>
    </w:rPr>
  </w:style>
  <w:style w:type="paragraph" w:styleId="FootnoteText">
    <w:name w:val="footnote text"/>
    <w:aliases w:val="Footnote,Fußnote,Tekst przypisu,Tekst przypisu Znak Znak Znak Znak,Tekst przypisu Znak Znak Znak Znak Znak,Tekst przypisu Znak Znak Znak Znak Znak Znak Znak,Tekst przypisu Znak Znak Znak Znak Znak Znak Znak Znak Zn,fn,single space"/>
    <w:basedOn w:val="Normal"/>
    <w:link w:val="FootnoteTextChar"/>
    <w:uiPriority w:val="99"/>
    <w:unhideWhenUsed/>
    <w:qFormat/>
    <w:rsid w:val="009746E7"/>
    <w:pPr>
      <w:spacing w:after="0" w:line="240" w:lineRule="auto"/>
    </w:pPr>
    <w:rPr>
      <w:sz w:val="20"/>
      <w:szCs w:val="20"/>
    </w:rPr>
  </w:style>
  <w:style w:type="character" w:customStyle="1" w:styleId="FootnoteTextChar">
    <w:name w:val="Footnote Text Char"/>
    <w:aliases w:val="Footnote Char,Fußnote Char,Tekst przypisu Char,Tekst przypisu Znak Znak Znak Znak Char,Tekst przypisu Znak Znak Znak Znak Znak Char,Tekst przypisu Znak Znak Znak Znak Znak Znak Znak Char,fn Char,single space Char"/>
    <w:basedOn w:val="DefaultParagraphFont"/>
    <w:link w:val="FootnoteText"/>
    <w:uiPriority w:val="99"/>
    <w:rsid w:val="009746E7"/>
    <w:rPr>
      <w:sz w:val="20"/>
      <w:szCs w:val="20"/>
      <w:lang w:val="ro-RO"/>
    </w:rPr>
  </w:style>
  <w:style w:type="character" w:styleId="FootnoteReference">
    <w:name w:val="footnote reference"/>
    <w:aliases w:val="BVI fnr Char1 Char Char Char Char Char Char1 Char Caracter Char Char Char Char Char Char,Footnote Reference Number Char Char Char Char Char Char Char1 Char Caracter Char Char Char Char Char Char Char Char Char Char Caracter,BVI,SUPERS"/>
    <w:basedOn w:val="DefaultParagraphFont"/>
    <w:link w:val="SUPERSChar1"/>
    <w:unhideWhenUsed/>
    <w:qFormat/>
    <w:rsid w:val="009746E7"/>
    <w:rPr>
      <w:vertAlign w:val="superscript"/>
    </w:rPr>
  </w:style>
  <w:style w:type="character" w:customStyle="1" w:styleId="FootnoteTextChar1">
    <w:name w:val="Footnote Text Char1"/>
    <w:aliases w:val="Footnote Char1,Fußnote Char1,Tekst przypisu Char1,Tekst przypisu Znak Znak Znak Znak Char1,Tekst przypisu Znak Znak Znak Znak Znak Char1,Tekst przypisu Znak Znak Znak Znak Znak Znak Znak Char1,fn Char1,single space Char1"/>
    <w:uiPriority w:val="99"/>
    <w:locked/>
    <w:rsid w:val="00DB67BD"/>
    <w:rPr>
      <w:rFonts w:eastAsia="Calibri"/>
      <w:lang w:val="en-GB"/>
    </w:rPr>
  </w:style>
  <w:style w:type="character" w:customStyle="1" w:styleId="ListParagraphChar">
    <w:name w:val="List Paragraph Char"/>
    <w:aliases w:val="Normal bullet 2 Char,Table of contents numbered Char,body 2 Char,List_Paragraph Char,Multilevel para_II Char,TimesNewRoman 14 Char,heading2 Char,List Paragraph1 Char,Antes de enumeración Char,Akapit z listą BS Char,List1 Char"/>
    <w:link w:val="ListParagraph"/>
    <w:uiPriority w:val="34"/>
    <w:qFormat/>
    <w:locked/>
    <w:rsid w:val="00DB67BD"/>
    <w:rPr>
      <w:lang w:val="ro-RO"/>
    </w:rPr>
  </w:style>
  <w:style w:type="paragraph" w:customStyle="1" w:styleId="SUPERSChar1">
    <w:name w:val="SUPERS Char1"/>
    <w:basedOn w:val="Normal"/>
    <w:next w:val="Normal"/>
    <w:link w:val="FootnoteReference"/>
    <w:rsid w:val="00DB67BD"/>
    <w:pPr>
      <w:suppressAutoHyphens/>
      <w:spacing w:line="240" w:lineRule="exact"/>
    </w:pPr>
    <w:rPr>
      <w:vertAlign w:val="superscript"/>
      <w:lang w:val="en-US"/>
    </w:rPr>
  </w:style>
  <w:style w:type="paragraph" w:styleId="NormalWeb">
    <w:name w:val="Normal (Web)"/>
    <w:basedOn w:val="Normal"/>
    <w:uiPriority w:val="99"/>
    <w:rsid w:val="00DD52A5"/>
    <w:pPr>
      <w:suppressAutoHyphens/>
      <w:spacing w:after="280" w:line="276" w:lineRule="auto"/>
      <w:ind w:firstLine="709"/>
      <w:jc w:val="both"/>
    </w:pPr>
    <w:rPr>
      <w:rFonts w:ascii="Arial" w:eastAsia="Times New Roman" w:hAnsi="Arial" w:cs="Arial"/>
      <w:color w:val="000000"/>
      <w:sz w:val="24"/>
      <w:szCs w:val="24"/>
      <w:lang w:val="en-US"/>
    </w:rPr>
  </w:style>
  <w:style w:type="paragraph" w:styleId="EndnoteText">
    <w:name w:val="endnote text"/>
    <w:basedOn w:val="Normal"/>
    <w:link w:val="EndnoteTextChar"/>
    <w:uiPriority w:val="99"/>
    <w:semiHidden/>
    <w:unhideWhenUsed/>
    <w:rsid w:val="00D125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2554"/>
    <w:rPr>
      <w:sz w:val="20"/>
      <w:szCs w:val="20"/>
      <w:lang w:val="ro-RO"/>
    </w:rPr>
  </w:style>
  <w:style w:type="character" w:styleId="EndnoteReference">
    <w:name w:val="endnote reference"/>
    <w:basedOn w:val="DefaultParagraphFont"/>
    <w:uiPriority w:val="99"/>
    <w:semiHidden/>
    <w:unhideWhenUsed/>
    <w:rsid w:val="00D12554"/>
    <w:rPr>
      <w:vertAlign w:val="superscript"/>
    </w:rPr>
  </w:style>
  <w:style w:type="character" w:styleId="Hyperlink">
    <w:name w:val="Hyperlink"/>
    <w:basedOn w:val="DefaultParagraphFont"/>
    <w:uiPriority w:val="99"/>
    <w:unhideWhenUsed/>
    <w:rsid w:val="000056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1096">
      <w:bodyDiv w:val="1"/>
      <w:marLeft w:val="0"/>
      <w:marRight w:val="0"/>
      <w:marTop w:val="0"/>
      <w:marBottom w:val="0"/>
      <w:divBdr>
        <w:top w:val="none" w:sz="0" w:space="0" w:color="auto"/>
        <w:left w:val="none" w:sz="0" w:space="0" w:color="auto"/>
        <w:bottom w:val="none" w:sz="0" w:space="0" w:color="auto"/>
        <w:right w:val="none" w:sz="0" w:space="0" w:color="auto"/>
      </w:divBdr>
    </w:div>
    <w:div w:id="149637782">
      <w:bodyDiv w:val="1"/>
      <w:marLeft w:val="0"/>
      <w:marRight w:val="0"/>
      <w:marTop w:val="0"/>
      <w:marBottom w:val="0"/>
      <w:divBdr>
        <w:top w:val="none" w:sz="0" w:space="0" w:color="auto"/>
        <w:left w:val="none" w:sz="0" w:space="0" w:color="auto"/>
        <w:bottom w:val="none" w:sz="0" w:space="0" w:color="auto"/>
        <w:right w:val="none" w:sz="0" w:space="0" w:color="auto"/>
      </w:divBdr>
    </w:div>
    <w:div w:id="257566859">
      <w:bodyDiv w:val="1"/>
      <w:marLeft w:val="0"/>
      <w:marRight w:val="0"/>
      <w:marTop w:val="0"/>
      <w:marBottom w:val="0"/>
      <w:divBdr>
        <w:top w:val="none" w:sz="0" w:space="0" w:color="auto"/>
        <w:left w:val="none" w:sz="0" w:space="0" w:color="auto"/>
        <w:bottom w:val="none" w:sz="0" w:space="0" w:color="auto"/>
        <w:right w:val="none" w:sz="0" w:space="0" w:color="auto"/>
      </w:divBdr>
    </w:div>
    <w:div w:id="329451865">
      <w:bodyDiv w:val="1"/>
      <w:marLeft w:val="0"/>
      <w:marRight w:val="0"/>
      <w:marTop w:val="0"/>
      <w:marBottom w:val="0"/>
      <w:divBdr>
        <w:top w:val="none" w:sz="0" w:space="0" w:color="auto"/>
        <w:left w:val="none" w:sz="0" w:space="0" w:color="auto"/>
        <w:bottom w:val="none" w:sz="0" w:space="0" w:color="auto"/>
        <w:right w:val="none" w:sz="0" w:space="0" w:color="auto"/>
      </w:divBdr>
    </w:div>
    <w:div w:id="381489058">
      <w:bodyDiv w:val="1"/>
      <w:marLeft w:val="0"/>
      <w:marRight w:val="0"/>
      <w:marTop w:val="0"/>
      <w:marBottom w:val="0"/>
      <w:divBdr>
        <w:top w:val="none" w:sz="0" w:space="0" w:color="auto"/>
        <w:left w:val="none" w:sz="0" w:space="0" w:color="auto"/>
        <w:bottom w:val="none" w:sz="0" w:space="0" w:color="auto"/>
        <w:right w:val="none" w:sz="0" w:space="0" w:color="auto"/>
      </w:divBdr>
    </w:div>
    <w:div w:id="408188320">
      <w:bodyDiv w:val="1"/>
      <w:marLeft w:val="0"/>
      <w:marRight w:val="0"/>
      <w:marTop w:val="0"/>
      <w:marBottom w:val="0"/>
      <w:divBdr>
        <w:top w:val="none" w:sz="0" w:space="0" w:color="auto"/>
        <w:left w:val="none" w:sz="0" w:space="0" w:color="auto"/>
        <w:bottom w:val="none" w:sz="0" w:space="0" w:color="auto"/>
        <w:right w:val="none" w:sz="0" w:space="0" w:color="auto"/>
      </w:divBdr>
      <w:divsChild>
        <w:div w:id="647828452">
          <w:marLeft w:val="0"/>
          <w:marRight w:val="0"/>
          <w:marTop w:val="0"/>
          <w:marBottom w:val="0"/>
          <w:divBdr>
            <w:top w:val="none" w:sz="0" w:space="0" w:color="auto"/>
            <w:left w:val="none" w:sz="0" w:space="0" w:color="auto"/>
            <w:bottom w:val="none" w:sz="0" w:space="0" w:color="auto"/>
            <w:right w:val="none" w:sz="0" w:space="0" w:color="auto"/>
          </w:divBdr>
          <w:divsChild>
            <w:div w:id="1462655684">
              <w:marLeft w:val="0"/>
              <w:marRight w:val="0"/>
              <w:marTop w:val="0"/>
              <w:marBottom w:val="0"/>
              <w:divBdr>
                <w:top w:val="none" w:sz="0" w:space="0" w:color="auto"/>
                <w:left w:val="none" w:sz="0" w:space="0" w:color="auto"/>
                <w:bottom w:val="none" w:sz="0" w:space="0" w:color="auto"/>
                <w:right w:val="none" w:sz="0" w:space="0" w:color="auto"/>
              </w:divBdr>
              <w:divsChild>
                <w:div w:id="58552840">
                  <w:marLeft w:val="0"/>
                  <w:marRight w:val="0"/>
                  <w:marTop w:val="0"/>
                  <w:marBottom w:val="0"/>
                  <w:divBdr>
                    <w:top w:val="none" w:sz="0" w:space="0" w:color="auto"/>
                    <w:left w:val="none" w:sz="0" w:space="0" w:color="auto"/>
                    <w:bottom w:val="none" w:sz="0" w:space="0" w:color="auto"/>
                    <w:right w:val="none" w:sz="0" w:space="0" w:color="auto"/>
                  </w:divBdr>
                  <w:divsChild>
                    <w:div w:id="14544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576813">
      <w:bodyDiv w:val="1"/>
      <w:marLeft w:val="0"/>
      <w:marRight w:val="0"/>
      <w:marTop w:val="0"/>
      <w:marBottom w:val="0"/>
      <w:divBdr>
        <w:top w:val="none" w:sz="0" w:space="0" w:color="auto"/>
        <w:left w:val="none" w:sz="0" w:space="0" w:color="auto"/>
        <w:bottom w:val="none" w:sz="0" w:space="0" w:color="auto"/>
        <w:right w:val="none" w:sz="0" w:space="0" w:color="auto"/>
      </w:divBdr>
      <w:divsChild>
        <w:div w:id="1433161564">
          <w:marLeft w:val="0"/>
          <w:marRight w:val="0"/>
          <w:marTop w:val="0"/>
          <w:marBottom w:val="0"/>
          <w:divBdr>
            <w:top w:val="none" w:sz="0" w:space="0" w:color="auto"/>
            <w:left w:val="none" w:sz="0" w:space="0" w:color="auto"/>
            <w:bottom w:val="none" w:sz="0" w:space="0" w:color="auto"/>
            <w:right w:val="none" w:sz="0" w:space="0" w:color="auto"/>
          </w:divBdr>
          <w:divsChild>
            <w:div w:id="746417412">
              <w:marLeft w:val="0"/>
              <w:marRight w:val="0"/>
              <w:marTop w:val="0"/>
              <w:marBottom w:val="0"/>
              <w:divBdr>
                <w:top w:val="none" w:sz="0" w:space="0" w:color="auto"/>
                <w:left w:val="none" w:sz="0" w:space="0" w:color="auto"/>
                <w:bottom w:val="none" w:sz="0" w:space="0" w:color="auto"/>
                <w:right w:val="none" w:sz="0" w:space="0" w:color="auto"/>
              </w:divBdr>
              <w:divsChild>
                <w:div w:id="1749644067">
                  <w:marLeft w:val="0"/>
                  <w:marRight w:val="0"/>
                  <w:marTop w:val="0"/>
                  <w:marBottom w:val="0"/>
                  <w:divBdr>
                    <w:top w:val="none" w:sz="0" w:space="0" w:color="auto"/>
                    <w:left w:val="none" w:sz="0" w:space="0" w:color="auto"/>
                    <w:bottom w:val="none" w:sz="0" w:space="0" w:color="auto"/>
                    <w:right w:val="none" w:sz="0" w:space="0" w:color="auto"/>
                  </w:divBdr>
                  <w:divsChild>
                    <w:div w:id="13880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213">
      <w:bodyDiv w:val="1"/>
      <w:marLeft w:val="0"/>
      <w:marRight w:val="0"/>
      <w:marTop w:val="0"/>
      <w:marBottom w:val="0"/>
      <w:divBdr>
        <w:top w:val="none" w:sz="0" w:space="0" w:color="auto"/>
        <w:left w:val="none" w:sz="0" w:space="0" w:color="auto"/>
        <w:bottom w:val="none" w:sz="0" w:space="0" w:color="auto"/>
        <w:right w:val="none" w:sz="0" w:space="0" w:color="auto"/>
      </w:divBdr>
    </w:div>
    <w:div w:id="582842441">
      <w:bodyDiv w:val="1"/>
      <w:marLeft w:val="0"/>
      <w:marRight w:val="0"/>
      <w:marTop w:val="0"/>
      <w:marBottom w:val="0"/>
      <w:divBdr>
        <w:top w:val="none" w:sz="0" w:space="0" w:color="auto"/>
        <w:left w:val="none" w:sz="0" w:space="0" w:color="auto"/>
        <w:bottom w:val="none" w:sz="0" w:space="0" w:color="auto"/>
        <w:right w:val="none" w:sz="0" w:space="0" w:color="auto"/>
      </w:divBdr>
    </w:div>
    <w:div w:id="604922824">
      <w:bodyDiv w:val="1"/>
      <w:marLeft w:val="0"/>
      <w:marRight w:val="0"/>
      <w:marTop w:val="0"/>
      <w:marBottom w:val="0"/>
      <w:divBdr>
        <w:top w:val="none" w:sz="0" w:space="0" w:color="auto"/>
        <w:left w:val="none" w:sz="0" w:space="0" w:color="auto"/>
        <w:bottom w:val="none" w:sz="0" w:space="0" w:color="auto"/>
        <w:right w:val="none" w:sz="0" w:space="0" w:color="auto"/>
      </w:divBdr>
    </w:div>
    <w:div w:id="753472528">
      <w:bodyDiv w:val="1"/>
      <w:marLeft w:val="0"/>
      <w:marRight w:val="0"/>
      <w:marTop w:val="0"/>
      <w:marBottom w:val="0"/>
      <w:divBdr>
        <w:top w:val="none" w:sz="0" w:space="0" w:color="auto"/>
        <w:left w:val="none" w:sz="0" w:space="0" w:color="auto"/>
        <w:bottom w:val="none" w:sz="0" w:space="0" w:color="auto"/>
        <w:right w:val="none" w:sz="0" w:space="0" w:color="auto"/>
      </w:divBdr>
    </w:div>
    <w:div w:id="768162832">
      <w:bodyDiv w:val="1"/>
      <w:marLeft w:val="0"/>
      <w:marRight w:val="0"/>
      <w:marTop w:val="0"/>
      <w:marBottom w:val="0"/>
      <w:divBdr>
        <w:top w:val="none" w:sz="0" w:space="0" w:color="auto"/>
        <w:left w:val="none" w:sz="0" w:space="0" w:color="auto"/>
        <w:bottom w:val="none" w:sz="0" w:space="0" w:color="auto"/>
        <w:right w:val="none" w:sz="0" w:space="0" w:color="auto"/>
      </w:divBdr>
    </w:div>
    <w:div w:id="873730224">
      <w:bodyDiv w:val="1"/>
      <w:marLeft w:val="0"/>
      <w:marRight w:val="0"/>
      <w:marTop w:val="0"/>
      <w:marBottom w:val="0"/>
      <w:divBdr>
        <w:top w:val="none" w:sz="0" w:space="0" w:color="auto"/>
        <w:left w:val="none" w:sz="0" w:space="0" w:color="auto"/>
        <w:bottom w:val="none" w:sz="0" w:space="0" w:color="auto"/>
        <w:right w:val="none" w:sz="0" w:space="0" w:color="auto"/>
      </w:divBdr>
    </w:div>
    <w:div w:id="888960937">
      <w:bodyDiv w:val="1"/>
      <w:marLeft w:val="0"/>
      <w:marRight w:val="0"/>
      <w:marTop w:val="0"/>
      <w:marBottom w:val="0"/>
      <w:divBdr>
        <w:top w:val="none" w:sz="0" w:space="0" w:color="auto"/>
        <w:left w:val="none" w:sz="0" w:space="0" w:color="auto"/>
        <w:bottom w:val="none" w:sz="0" w:space="0" w:color="auto"/>
        <w:right w:val="none" w:sz="0" w:space="0" w:color="auto"/>
      </w:divBdr>
    </w:div>
    <w:div w:id="924998957">
      <w:bodyDiv w:val="1"/>
      <w:marLeft w:val="0"/>
      <w:marRight w:val="0"/>
      <w:marTop w:val="0"/>
      <w:marBottom w:val="0"/>
      <w:divBdr>
        <w:top w:val="none" w:sz="0" w:space="0" w:color="auto"/>
        <w:left w:val="none" w:sz="0" w:space="0" w:color="auto"/>
        <w:bottom w:val="none" w:sz="0" w:space="0" w:color="auto"/>
        <w:right w:val="none" w:sz="0" w:space="0" w:color="auto"/>
      </w:divBdr>
    </w:div>
    <w:div w:id="1019239907">
      <w:bodyDiv w:val="1"/>
      <w:marLeft w:val="0"/>
      <w:marRight w:val="0"/>
      <w:marTop w:val="0"/>
      <w:marBottom w:val="0"/>
      <w:divBdr>
        <w:top w:val="none" w:sz="0" w:space="0" w:color="auto"/>
        <w:left w:val="none" w:sz="0" w:space="0" w:color="auto"/>
        <w:bottom w:val="none" w:sz="0" w:space="0" w:color="auto"/>
        <w:right w:val="none" w:sz="0" w:space="0" w:color="auto"/>
      </w:divBdr>
    </w:div>
    <w:div w:id="1169441386">
      <w:bodyDiv w:val="1"/>
      <w:marLeft w:val="0"/>
      <w:marRight w:val="0"/>
      <w:marTop w:val="0"/>
      <w:marBottom w:val="0"/>
      <w:divBdr>
        <w:top w:val="none" w:sz="0" w:space="0" w:color="auto"/>
        <w:left w:val="none" w:sz="0" w:space="0" w:color="auto"/>
        <w:bottom w:val="none" w:sz="0" w:space="0" w:color="auto"/>
        <w:right w:val="none" w:sz="0" w:space="0" w:color="auto"/>
      </w:divBdr>
    </w:div>
    <w:div w:id="1175341421">
      <w:bodyDiv w:val="1"/>
      <w:marLeft w:val="0"/>
      <w:marRight w:val="0"/>
      <w:marTop w:val="0"/>
      <w:marBottom w:val="0"/>
      <w:divBdr>
        <w:top w:val="none" w:sz="0" w:space="0" w:color="auto"/>
        <w:left w:val="none" w:sz="0" w:space="0" w:color="auto"/>
        <w:bottom w:val="none" w:sz="0" w:space="0" w:color="auto"/>
        <w:right w:val="none" w:sz="0" w:space="0" w:color="auto"/>
      </w:divBdr>
    </w:div>
    <w:div w:id="1243372905">
      <w:bodyDiv w:val="1"/>
      <w:marLeft w:val="0"/>
      <w:marRight w:val="0"/>
      <w:marTop w:val="0"/>
      <w:marBottom w:val="0"/>
      <w:divBdr>
        <w:top w:val="none" w:sz="0" w:space="0" w:color="auto"/>
        <w:left w:val="none" w:sz="0" w:space="0" w:color="auto"/>
        <w:bottom w:val="none" w:sz="0" w:space="0" w:color="auto"/>
        <w:right w:val="none" w:sz="0" w:space="0" w:color="auto"/>
      </w:divBdr>
    </w:div>
    <w:div w:id="1327434603">
      <w:bodyDiv w:val="1"/>
      <w:marLeft w:val="0"/>
      <w:marRight w:val="0"/>
      <w:marTop w:val="0"/>
      <w:marBottom w:val="0"/>
      <w:divBdr>
        <w:top w:val="none" w:sz="0" w:space="0" w:color="auto"/>
        <w:left w:val="none" w:sz="0" w:space="0" w:color="auto"/>
        <w:bottom w:val="none" w:sz="0" w:space="0" w:color="auto"/>
        <w:right w:val="none" w:sz="0" w:space="0" w:color="auto"/>
      </w:divBdr>
    </w:div>
    <w:div w:id="1778670762">
      <w:bodyDiv w:val="1"/>
      <w:marLeft w:val="0"/>
      <w:marRight w:val="0"/>
      <w:marTop w:val="0"/>
      <w:marBottom w:val="0"/>
      <w:divBdr>
        <w:top w:val="none" w:sz="0" w:space="0" w:color="auto"/>
        <w:left w:val="none" w:sz="0" w:space="0" w:color="auto"/>
        <w:bottom w:val="none" w:sz="0" w:space="0" w:color="auto"/>
        <w:right w:val="none" w:sz="0" w:space="0" w:color="auto"/>
      </w:divBdr>
    </w:div>
    <w:div w:id="1791708713">
      <w:bodyDiv w:val="1"/>
      <w:marLeft w:val="0"/>
      <w:marRight w:val="0"/>
      <w:marTop w:val="0"/>
      <w:marBottom w:val="0"/>
      <w:divBdr>
        <w:top w:val="none" w:sz="0" w:space="0" w:color="auto"/>
        <w:left w:val="none" w:sz="0" w:space="0" w:color="auto"/>
        <w:bottom w:val="none" w:sz="0" w:space="0" w:color="auto"/>
        <w:right w:val="none" w:sz="0" w:space="0" w:color="auto"/>
      </w:divBdr>
    </w:div>
    <w:div w:id="1824615786">
      <w:bodyDiv w:val="1"/>
      <w:marLeft w:val="0"/>
      <w:marRight w:val="0"/>
      <w:marTop w:val="0"/>
      <w:marBottom w:val="0"/>
      <w:divBdr>
        <w:top w:val="none" w:sz="0" w:space="0" w:color="auto"/>
        <w:left w:val="none" w:sz="0" w:space="0" w:color="auto"/>
        <w:bottom w:val="none" w:sz="0" w:space="0" w:color="auto"/>
        <w:right w:val="none" w:sz="0" w:space="0" w:color="auto"/>
      </w:divBdr>
    </w:div>
    <w:div w:id="1905142466">
      <w:bodyDiv w:val="1"/>
      <w:marLeft w:val="0"/>
      <w:marRight w:val="0"/>
      <w:marTop w:val="0"/>
      <w:marBottom w:val="0"/>
      <w:divBdr>
        <w:top w:val="none" w:sz="0" w:space="0" w:color="auto"/>
        <w:left w:val="none" w:sz="0" w:space="0" w:color="auto"/>
        <w:bottom w:val="none" w:sz="0" w:space="0" w:color="auto"/>
        <w:right w:val="none" w:sz="0" w:space="0" w:color="auto"/>
      </w:divBdr>
    </w:div>
    <w:div w:id="1907298014">
      <w:bodyDiv w:val="1"/>
      <w:marLeft w:val="0"/>
      <w:marRight w:val="0"/>
      <w:marTop w:val="0"/>
      <w:marBottom w:val="0"/>
      <w:divBdr>
        <w:top w:val="none" w:sz="0" w:space="0" w:color="auto"/>
        <w:left w:val="none" w:sz="0" w:space="0" w:color="auto"/>
        <w:bottom w:val="none" w:sz="0" w:space="0" w:color="auto"/>
        <w:right w:val="none" w:sz="0" w:space="0" w:color="auto"/>
      </w:divBdr>
    </w:div>
    <w:div w:id="1911844230">
      <w:bodyDiv w:val="1"/>
      <w:marLeft w:val="0"/>
      <w:marRight w:val="0"/>
      <w:marTop w:val="0"/>
      <w:marBottom w:val="0"/>
      <w:divBdr>
        <w:top w:val="none" w:sz="0" w:space="0" w:color="auto"/>
        <w:left w:val="none" w:sz="0" w:space="0" w:color="auto"/>
        <w:bottom w:val="none" w:sz="0" w:space="0" w:color="auto"/>
        <w:right w:val="none" w:sz="0" w:space="0" w:color="auto"/>
      </w:divBdr>
    </w:div>
    <w:div w:id="19302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MFP1934\retea%20on%2010.236.1.89\Executii\Executii%202025\Rapoarte%20LRF%202025\Raport%20Trim%20II\Calcule\grafice%202025.xlsx!Sheet2%20(2)!%5bgrafice%202025.xlsx%5dSheet2%20(2)%20Chart%2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MFP1934\retea%20on%2010.236.1.89\Executii\Executii%202025\Rapoarte%20LRF%202025\Raport%20Trim%20II\Calcule\grafice%202025.xlsx!Sheet2%20(2)!%5bgrafice%202025.xlsx%5dSheet2%20(2)%20Chart%20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file:///\\MFP1934\retea%20on%2010.236.1.89\Executii\Executii%202025\Rapoarte%20LRF%202025\Raport%20Trim%20II\Calcule\grafice%202025.xlsx!Sheet2!%5bgrafice%202025.xlsx%5dSheet2%20Chart%202"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F091545DF5430EA6AAEAE65AB5A483"/>
        <w:category>
          <w:name w:val="General"/>
          <w:gallery w:val="placeholder"/>
        </w:category>
        <w:types>
          <w:type w:val="bbPlcHdr"/>
        </w:types>
        <w:behaviors>
          <w:behavior w:val="content"/>
        </w:behaviors>
        <w:guid w:val="{828B5E21-1880-46AD-86CB-EBC6EFD5E32A}"/>
      </w:docPartPr>
      <w:docPartBody>
        <w:p w:rsidR="00ED5B3A" w:rsidRDefault="005F4EA3" w:rsidP="005F4EA3">
          <w:pPr>
            <w:pStyle w:val="6BF091545DF5430EA6AAEAE65AB5A48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EC30AA"/>
    <w:rsid w:val="000069C4"/>
    <w:rsid w:val="000D3F22"/>
    <w:rsid w:val="00185AED"/>
    <w:rsid w:val="00272F1E"/>
    <w:rsid w:val="00380767"/>
    <w:rsid w:val="003A3581"/>
    <w:rsid w:val="003C565D"/>
    <w:rsid w:val="004A1BA2"/>
    <w:rsid w:val="004C41A1"/>
    <w:rsid w:val="004D7935"/>
    <w:rsid w:val="00521A6A"/>
    <w:rsid w:val="00527ADB"/>
    <w:rsid w:val="005B1E1F"/>
    <w:rsid w:val="005F4EA3"/>
    <w:rsid w:val="005F5A98"/>
    <w:rsid w:val="006569BF"/>
    <w:rsid w:val="00694481"/>
    <w:rsid w:val="007260C7"/>
    <w:rsid w:val="007948C4"/>
    <w:rsid w:val="007E2DAF"/>
    <w:rsid w:val="00824727"/>
    <w:rsid w:val="0086095F"/>
    <w:rsid w:val="009A59A7"/>
    <w:rsid w:val="00A6098D"/>
    <w:rsid w:val="00AA72C7"/>
    <w:rsid w:val="00BA4105"/>
    <w:rsid w:val="00C87E60"/>
    <w:rsid w:val="00DC1E8B"/>
    <w:rsid w:val="00DC6C38"/>
    <w:rsid w:val="00DF7914"/>
    <w:rsid w:val="00E41BD3"/>
    <w:rsid w:val="00EC30AA"/>
    <w:rsid w:val="00ED5B3A"/>
    <w:rsid w:val="00F46396"/>
    <w:rsid w:val="00F876AA"/>
    <w:rsid w:val="00FD75FA"/>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EA3"/>
    <w:rPr>
      <w:color w:val="808080"/>
    </w:rPr>
  </w:style>
  <w:style w:type="paragraph" w:customStyle="1" w:styleId="F8C64A9800D0422085EDA2283C482DCF">
    <w:name w:val="F8C64A9800D0422085EDA2283C482DCF"/>
    <w:rsid w:val="00EC30AA"/>
  </w:style>
  <w:style w:type="paragraph" w:customStyle="1" w:styleId="6BF091545DF5430EA6AAEAE65AB5A483">
    <w:name w:val="6BF091545DF5430EA6AAEAE65AB5A483"/>
    <w:rsid w:val="005F4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8AD8C-7DEB-490A-9BE2-D06345F5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3430</Words>
  <Characters>19551</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Finantelor Publice</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RAPORT PRIVIND EXECUȚIA BUGETARĂ PE AL DOILEA TRIMESTRU AL ANULUI 2025</dc:creator>
  <cp:lastModifiedBy>32645493</cp:lastModifiedBy>
  <cp:revision>5</cp:revision>
  <cp:lastPrinted>2025-08-19T11:51:00Z</cp:lastPrinted>
  <dcterms:created xsi:type="dcterms:W3CDTF">2025-08-19T11:48:00Z</dcterms:created>
  <dcterms:modified xsi:type="dcterms:W3CDTF">2025-08-19T12:00:00Z</dcterms:modified>
</cp:coreProperties>
</file>