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37" w:rsidRDefault="00A43A37"/>
    <w:p w:rsidR="00A43A37" w:rsidRDefault="00A43A37"/>
    <w:tbl>
      <w:tblPr>
        <w:tblW w:w="5000" w:type="pct"/>
        <w:tblBorders>
          <w:top w:val="single" w:sz="4" w:space="0" w:color="auto"/>
          <w:bottom w:val="single" w:sz="4" w:space="0" w:color="auto"/>
        </w:tblBorders>
        <w:tblLook w:val="04A0" w:firstRow="1" w:lastRow="0" w:firstColumn="1" w:lastColumn="0" w:noHBand="0" w:noVBand="1"/>
      </w:tblPr>
      <w:tblGrid>
        <w:gridCol w:w="1628"/>
        <w:gridCol w:w="5815"/>
        <w:gridCol w:w="1583"/>
      </w:tblGrid>
      <w:tr w:rsidR="00095F27" w:rsidTr="00095F27">
        <w:trPr>
          <w:cantSplit/>
          <w:trHeight w:val="2693"/>
        </w:trPr>
        <w:tc>
          <w:tcPr>
            <w:tcW w:w="5000" w:type="pct"/>
            <w:gridSpan w:val="3"/>
            <w:tcBorders>
              <w:top w:val="single" w:sz="4" w:space="0" w:color="auto"/>
              <w:left w:val="nil"/>
              <w:bottom w:val="nil"/>
              <w:right w:val="nil"/>
            </w:tcBorders>
          </w:tcPr>
          <w:p w:rsidR="00095F27" w:rsidRDefault="00095F27">
            <w:pPr>
              <w:pStyle w:val="Parties"/>
              <w:rPr>
                <w:rFonts w:cs="Times New Roman"/>
                <w:b/>
                <w:bCs/>
              </w:rPr>
            </w:pPr>
            <w:r>
              <w:rPr>
                <w:b/>
                <w:bCs/>
              </w:rPr>
              <w:t>COMISIA EUROPEANĂ</w:t>
            </w:r>
          </w:p>
          <w:p w:rsidR="00095F27" w:rsidRDefault="00095F27">
            <w:pPr>
              <w:pStyle w:val="Parties"/>
              <w:rPr>
                <w:rFonts w:cs="Times New Roman"/>
                <w:b/>
                <w:bCs/>
              </w:rPr>
            </w:pPr>
            <w:r>
              <w:rPr>
                <w:b/>
                <w:bCs/>
              </w:rPr>
              <w:t xml:space="preserve">și </w:t>
            </w:r>
          </w:p>
          <w:p w:rsidR="00095F27" w:rsidRDefault="00095F27">
            <w:pPr>
              <w:pStyle w:val="Parties"/>
              <w:rPr>
                <w:rFonts w:cs="Times New Roman"/>
                <w:b/>
                <w:bCs/>
              </w:rPr>
            </w:pPr>
            <w:r>
              <w:rPr>
                <w:b/>
                <w:bCs/>
              </w:rPr>
              <w:t>ROMÂNIA</w:t>
            </w:r>
          </w:p>
          <w:p w:rsidR="00095F27" w:rsidRDefault="00095F27">
            <w:pPr>
              <w:pStyle w:val="Parties"/>
              <w:jc w:val="both"/>
              <w:rPr>
                <w:rFonts w:cs="Times New Roman"/>
                <w:b/>
                <w:bCs/>
              </w:rPr>
            </w:pPr>
          </w:p>
          <w:p w:rsidR="00095F27" w:rsidRDefault="00095F27">
            <w:pPr>
              <w:pStyle w:val="Parties"/>
              <w:rPr>
                <w:rFonts w:cs="Times New Roman"/>
                <w:b/>
                <w:bCs/>
              </w:rPr>
            </w:pPr>
          </w:p>
          <w:p w:rsidR="00095F27" w:rsidRDefault="00095F27">
            <w:pPr>
              <w:pStyle w:val="Parties"/>
              <w:jc w:val="both"/>
              <w:rPr>
                <w:rFonts w:cs="Times New Roman"/>
                <w:b/>
                <w:bCs/>
              </w:rPr>
            </w:pPr>
          </w:p>
          <w:p w:rsidR="00095F27" w:rsidRDefault="00095F27">
            <w:pPr>
              <w:pStyle w:val="Parties"/>
              <w:rPr>
                <w:rFonts w:cs="Times New Roman"/>
                <w:b/>
                <w:bCs/>
              </w:rPr>
            </w:pPr>
          </w:p>
        </w:tc>
      </w:tr>
      <w:tr w:rsidR="00095F27" w:rsidTr="00095F27">
        <w:trPr>
          <w:trHeight w:val="1304"/>
        </w:trPr>
        <w:tc>
          <w:tcPr>
            <w:tcW w:w="902" w:type="pct"/>
            <w:tcBorders>
              <w:top w:val="nil"/>
              <w:left w:val="nil"/>
              <w:bottom w:val="nil"/>
              <w:right w:val="nil"/>
            </w:tcBorders>
            <w:vAlign w:val="center"/>
          </w:tcPr>
          <w:p w:rsidR="00095F27" w:rsidRDefault="00095F27">
            <w:pPr>
              <w:pStyle w:val="Parties"/>
              <w:jc w:val="both"/>
              <w:rPr>
                <w:rFonts w:cs="Times New Roman"/>
              </w:rPr>
            </w:pPr>
          </w:p>
        </w:tc>
        <w:tc>
          <w:tcPr>
            <w:tcW w:w="3221" w:type="pct"/>
            <w:tcBorders>
              <w:top w:val="single" w:sz="4" w:space="0" w:color="auto"/>
              <w:left w:val="nil"/>
              <w:bottom w:val="single" w:sz="4" w:space="0" w:color="auto"/>
              <w:right w:val="nil"/>
            </w:tcBorders>
            <w:vAlign w:val="center"/>
          </w:tcPr>
          <w:p w:rsidR="00095F27" w:rsidRDefault="00095F27">
            <w:pPr>
              <w:pStyle w:val="Parties"/>
              <w:rPr>
                <w:rFonts w:cs="Times New Roman"/>
                <w:b/>
                <w:bCs/>
              </w:rPr>
            </w:pPr>
          </w:p>
          <w:p w:rsidR="00095F27" w:rsidRDefault="00095F27">
            <w:pPr>
              <w:pStyle w:val="Parties"/>
              <w:rPr>
                <w:rFonts w:cs="Times New Roman"/>
                <w:b/>
                <w:bCs/>
              </w:rPr>
            </w:pPr>
            <w:r>
              <w:rPr>
                <w:b/>
              </w:rPr>
              <w:t>ACORD de garanție voluntară în conformitate cu Articolul 11 din Regulamentul</w:t>
            </w:r>
            <w:r>
              <w:t xml:space="preserve"> </w:t>
            </w:r>
            <w:r>
              <w:rPr>
                <w:b/>
                <w:bCs/>
              </w:rPr>
              <w:t>consiliului (UE) 2020/672</w:t>
            </w:r>
          </w:p>
          <w:p w:rsidR="00095F27" w:rsidRDefault="00095F27">
            <w:pPr>
              <w:pStyle w:val="Parties"/>
              <w:rPr>
                <w:rFonts w:cs="Times New Roman"/>
                <w:b/>
                <w:bCs/>
              </w:rPr>
            </w:pPr>
          </w:p>
          <w:p w:rsidR="00095F27" w:rsidRDefault="00095F27">
            <w:pPr>
              <w:pStyle w:val="Parties"/>
              <w:rPr>
                <w:rFonts w:cs="Times New Roman"/>
                <w:b/>
                <w:bCs/>
              </w:rPr>
            </w:pPr>
            <w:r>
              <w:rPr>
                <w:b/>
                <w:bCs/>
              </w:rPr>
              <w:t>SURE - instrument european de sPRIJIN temporar pentru atenuarea riscurilor de șomaj înTR-O situațiE DE urgențĂ CA URMARE A EPIDEMIEI DE COVID-19</w:t>
            </w:r>
          </w:p>
          <w:p w:rsidR="00095F27" w:rsidRDefault="00095F27">
            <w:pPr>
              <w:pStyle w:val="Parties"/>
              <w:rPr>
                <w:rFonts w:cs="Times New Roman"/>
                <w:b/>
                <w:bCs/>
              </w:rPr>
            </w:pPr>
          </w:p>
        </w:tc>
        <w:tc>
          <w:tcPr>
            <w:tcW w:w="877" w:type="pct"/>
            <w:tcBorders>
              <w:top w:val="nil"/>
              <w:left w:val="nil"/>
              <w:bottom w:val="nil"/>
              <w:right w:val="nil"/>
            </w:tcBorders>
            <w:vAlign w:val="center"/>
          </w:tcPr>
          <w:p w:rsidR="00095F27" w:rsidRDefault="00095F27">
            <w:pPr>
              <w:pStyle w:val="Parties"/>
              <w:rPr>
                <w:rFonts w:cs="Times New Roman"/>
              </w:rPr>
            </w:pPr>
          </w:p>
        </w:tc>
      </w:tr>
    </w:tbl>
    <w:p w:rsidR="00095F27" w:rsidRDefault="00095F27" w:rsidP="00095F27">
      <w:pPr>
        <w:rPr>
          <w:rFonts w:cs="Times New Roman"/>
        </w:rPr>
      </w:pPr>
    </w:p>
    <w:p w:rsidR="00095F27" w:rsidRDefault="00095F27" w:rsidP="00095F27">
      <w:pPr>
        <w:spacing w:after="0"/>
        <w:jc w:val="left"/>
        <w:rPr>
          <w:rFonts w:cs="Times New Roman"/>
        </w:rPr>
        <w:sectPr w:rsidR="00095F27">
          <w:footerReference w:type="default" r:id="rId7"/>
          <w:pgSz w:w="11906" w:h="16838"/>
          <w:pgMar w:top="1440" w:right="1440" w:bottom="1440" w:left="1440" w:header="720" w:footer="340" w:gutter="0"/>
          <w:cols w:space="720"/>
        </w:sectPr>
      </w:pPr>
    </w:p>
    <w:tbl>
      <w:tblPr>
        <w:tblW w:w="5000" w:type="pct"/>
        <w:tblLook w:val="04A0" w:firstRow="1" w:lastRow="0" w:firstColumn="1" w:lastColumn="0" w:noHBand="0" w:noVBand="1"/>
      </w:tblPr>
      <w:tblGrid>
        <w:gridCol w:w="4513"/>
        <w:gridCol w:w="4513"/>
      </w:tblGrid>
      <w:tr w:rsidR="00095F27" w:rsidTr="00095F27">
        <w:trPr>
          <w:trHeight w:val="567"/>
        </w:trPr>
        <w:tc>
          <w:tcPr>
            <w:tcW w:w="5000" w:type="pct"/>
            <w:gridSpan w:val="2"/>
            <w:vAlign w:val="center"/>
            <w:hideMark/>
          </w:tcPr>
          <w:p w:rsidR="00095F27" w:rsidRDefault="00095F27">
            <w:pPr>
              <w:pStyle w:val="TOCHeading"/>
              <w:rPr>
                <w:rFonts w:cs="Times New Roman"/>
              </w:rPr>
            </w:pPr>
            <w:r>
              <w:lastRenderedPageBreak/>
              <w:t>CUPRINS</w:t>
            </w:r>
          </w:p>
        </w:tc>
      </w:tr>
      <w:tr w:rsidR="00095F27" w:rsidTr="00095F27">
        <w:trPr>
          <w:trHeight w:hRule="exact" w:val="567"/>
        </w:trPr>
        <w:tc>
          <w:tcPr>
            <w:tcW w:w="2500" w:type="pct"/>
            <w:hideMark/>
          </w:tcPr>
          <w:p w:rsidR="00095F27" w:rsidRDefault="00095F27">
            <w:pPr>
              <w:rPr>
                <w:rFonts w:cs="Times New Roman"/>
              </w:rPr>
            </w:pPr>
            <w:r>
              <w:t>Clauză</w:t>
            </w:r>
          </w:p>
        </w:tc>
        <w:tc>
          <w:tcPr>
            <w:tcW w:w="2500" w:type="pct"/>
            <w:hideMark/>
          </w:tcPr>
          <w:p w:rsidR="00095F27" w:rsidRDefault="00095F27">
            <w:pPr>
              <w:pStyle w:val="NormalRight"/>
              <w:rPr>
                <w:rFonts w:cs="Times New Roman"/>
              </w:rPr>
            </w:pPr>
            <w:r>
              <w:t xml:space="preserve">Pagina </w:t>
            </w:r>
          </w:p>
        </w:tc>
      </w:tr>
    </w:tbl>
    <w:p w:rsidR="00095F27" w:rsidRDefault="00095F27" w:rsidP="00095F27">
      <w:pPr>
        <w:rPr>
          <w:rFonts w:cs="Times New Roman"/>
        </w:rPr>
      </w:pPr>
    </w:p>
    <w:p w:rsidR="00095F27" w:rsidRDefault="00095F27" w:rsidP="00095F27">
      <w:pPr>
        <w:pStyle w:val="TOC1"/>
        <w:rPr>
          <w:rFonts w:asciiTheme="minorHAnsi" w:eastAsiaTheme="minorEastAsia" w:hAnsiTheme="minorHAnsi" w:cstheme="minorBidi"/>
          <w:noProof/>
          <w:sz w:val="22"/>
          <w:szCs w:val="22"/>
          <w:lang w:val="en-US" w:eastAsia="en-US" w:bidi="ar-SA"/>
        </w:rPr>
      </w:pPr>
      <w:r>
        <w:rPr>
          <w:rFonts w:cs="Times New Roman"/>
        </w:rPr>
        <w:fldChar w:fldCharType="begin"/>
      </w:r>
      <w:r>
        <w:rPr>
          <w:rFonts w:cs="Times New Roman"/>
        </w:rPr>
        <w:instrText xml:space="preserve"> TOC \o "1-1" \h \z \u </w:instrText>
      </w:r>
      <w:r>
        <w:rPr>
          <w:rFonts w:cs="Times New Roman"/>
        </w:rPr>
        <w:fldChar w:fldCharType="separate"/>
      </w:r>
      <w:hyperlink r:id="rId8" w:anchor="_Toc40351505" w:history="1">
        <w:r>
          <w:rPr>
            <w:rStyle w:val="Hyperlink"/>
            <w:rFonts w:cs="Times New Roman"/>
            <w:noProof/>
          </w:rPr>
          <w:t>1.</w:t>
        </w:r>
        <w:r>
          <w:rPr>
            <w:rStyle w:val="Hyperlink"/>
            <w:rFonts w:asciiTheme="minorHAnsi" w:eastAsiaTheme="minorEastAsia" w:hAnsiTheme="minorHAnsi" w:cstheme="minorBidi"/>
            <w:noProof/>
            <w:color w:val="auto"/>
            <w:sz w:val="22"/>
            <w:szCs w:val="22"/>
            <w:u w:val="none"/>
            <w:lang w:val="en-US" w:eastAsia="en-US" w:bidi="ar-SA"/>
          </w:rPr>
          <w:tab/>
        </w:r>
        <w:r>
          <w:rPr>
            <w:rStyle w:val="Hyperlink"/>
            <w:noProof/>
          </w:rPr>
          <w:t>Garanția și Despăgubirea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_Toc40351505 \h </w:instrText>
        </w:r>
        <w:r>
          <w:rPr>
            <w:rStyle w:val="Hyperlink"/>
            <w:noProof/>
            <w:webHidden/>
            <w:color w:val="auto"/>
            <w:u w:val="none"/>
          </w:rPr>
        </w:r>
        <w:r>
          <w:rPr>
            <w:rStyle w:val="Hyperlink"/>
            <w:noProof/>
            <w:webHidden/>
            <w:color w:val="auto"/>
            <w:u w:val="none"/>
          </w:rPr>
          <w:fldChar w:fldCharType="separate"/>
        </w:r>
        <w:r w:rsidR="0074346D">
          <w:rPr>
            <w:rStyle w:val="Hyperlink"/>
            <w:noProof/>
            <w:webHidden/>
            <w:color w:val="auto"/>
            <w:u w:val="none"/>
          </w:rPr>
          <w:t>2</w:t>
        </w:r>
        <w:r>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9" w:anchor="_Toc40351506" w:history="1">
        <w:r w:rsidR="00095F27">
          <w:rPr>
            <w:rStyle w:val="Hyperlink"/>
            <w:rFonts w:cs="Times New Roman"/>
            <w:noProof/>
          </w:rPr>
          <w:t>2.</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Păstrarea Drepturilor</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_Toc40351506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4</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0" w:anchor="_Toc40351507" w:history="1">
        <w:r w:rsidR="00095F27">
          <w:rPr>
            <w:rStyle w:val="Hyperlink"/>
            <w:rFonts w:cs="Times New Roman"/>
            <w:noProof/>
          </w:rPr>
          <w:t>3.</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Obligații de Informare</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_Toc40351507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5</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1" w:anchor="_Toc40351508" w:history="1">
        <w:r w:rsidR="00095F27">
          <w:rPr>
            <w:rStyle w:val="Hyperlink"/>
            <w:rFonts w:cs="Times New Roman"/>
            <w:noProof/>
          </w:rPr>
          <w:t>4.</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Beneficiul Acordului de Garanție</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_Toc40351508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5</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2" w:anchor="_Toc40351509" w:history="1">
        <w:r w:rsidR="00095F27">
          <w:rPr>
            <w:rStyle w:val="Hyperlink"/>
            <w:rFonts w:cs="Times New Roman"/>
            <w:noProof/>
          </w:rPr>
          <w:t>5.</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Reducerea și Expirarea Garanției</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_Toc40351509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5</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3" w:anchor="_Toc40351510" w:history="1">
        <w:r w:rsidR="00095F27">
          <w:rPr>
            <w:rStyle w:val="Hyperlink"/>
            <w:rFonts w:cs="Times New Roman"/>
            <w:noProof/>
          </w:rPr>
          <w:t>6.</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Interpretarea conformă și nevalabilitatea parțială</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_Toc40351510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6</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4" w:anchor="_Toc40351511" w:history="1">
        <w:r w:rsidR="00095F27">
          <w:rPr>
            <w:rStyle w:val="Hyperlink"/>
            <w:rFonts w:cs="Times New Roman"/>
            <w:noProof/>
          </w:rPr>
          <w:t>7.</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Notificări</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_Toc40351511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6</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5" w:anchor="_Toc40351512" w:history="1">
        <w:r w:rsidR="00095F27">
          <w:rPr>
            <w:rStyle w:val="Hyperlink"/>
            <w:rFonts w:cs="Times New Roman"/>
            <w:noProof/>
          </w:rPr>
          <w:t>8.</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Interpretarea</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_Toc40351512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7</w:t>
        </w:r>
        <w:r w:rsidR="00095F27">
          <w:rPr>
            <w:rStyle w:val="Hyperlink"/>
            <w:noProof/>
            <w:webHidden/>
            <w:color w:val="auto"/>
            <w:u w:val="none"/>
          </w:rPr>
          <w:fldChar w:fldCharType="end"/>
        </w:r>
      </w:hyperlink>
    </w:p>
    <w:p w:rsidR="00095F27" w:rsidRDefault="00F034FC" w:rsidP="00095F27">
      <w:pPr>
        <w:pStyle w:val="TOC1"/>
        <w:rPr>
          <w:rFonts w:asciiTheme="minorHAnsi" w:eastAsiaTheme="minorEastAsia" w:hAnsiTheme="minorHAnsi" w:cstheme="minorBidi"/>
          <w:noProof/>
          <w:sz w:val="22"/>
          <w:szCs w:val="22"/>
          <w:lang w:val="en-US" w:eastAsia="en-US" w:bidi="ar-SA"/>
        </w:rPr>
      </w:pPr>
      <w:hyperlink r:id="rId16" w:anchor="_Toc40351513" w:history="1">
        <w:r w:rsidR="00095F27">
          <w:rPr>
            <w:rStyle w:val="Hyperlink"/>
            <w:rFonts w:cs="Times New Roman"/>
            <w:noProof/>
          </w:rPr>
          <w:t>9.</w:t>
        </w:r>
        <w:r w:rsidR="00095F27">
          <w:rPr>
            <w:rStyle w:val="Hyperlink"/>
            <w:rFonts w:asciiTheme="minorHAnsi" w:eastAsiaTheme="minorEastAsia" w:hAnsiTheme="minorHAnsi" w:cstheme="minorBidi"/>
            <w:noProof/>
            <w:color w:val="auto"/>
            <w:sz w:val="22"/>
            <w:szCs w:val="22"/>
            <w:u w:val="none"/>
            <w:lang w:val="en-US" w:eastAsia="en-US" w:bidi="ar-SA"/>
          </w:rPr>
          <w:tab/>
        </w:r>
        <w:r w:rsidR="00095F27">
          <w:rPr>
            <w:rStyle w:val="Hyperlink"/>
            <w:noProof/>
          </w:rPr>
          <w:t>Legea și competența jurisdicțională</w:t>
        </w:r>
        <w:r w:rsidR="00095F27">
          <w:rPr>
            <w:rStyle w:val="Hyperlink"/>
            <w:noProof/>
            <w:webHidden/>
            <w:color w:val="auto"/>
            <w:u w:val="none"/>
          </w:rPr>
          <w:tab/>
        </w:r>
        <w:r w:rsidR="00095F27">
          <w:rPr>
            <w:rStyle w:val="Hyperlink"/>
            <w:noProof/>
            <w:webHidden/>
            <w:color w:val="auto"/>
            <w:u w:val="none"/>
          </w:rPr>
          <w:fldChar w:fldCharType="begin"/>
        </w:r>
        <w:r w:rsidR="00095F27">
          <w:rPr>
            <w:rStyle w:val="Hyperlink"/>
            <w:noProof/>
            <w:webHidden/>
            <w:color w:val="auto"/>
            <w:u w:val="none"/>
          </w:rPr>
          <w:instrText xml:space="preserve"> PAGEREF _Toc40351513 \h </w:instrText>
        </w:r>
        <w:r w:rsidR="00095F27">
          <w:rPr>
            <w:rStyle w:val="Hyperlink"/>
            <w:noProof/>
            <w:webHidden/>
            <w:color w:val="auto"/>
            <w:u w:val="none"/>
          </w:rPr>
        </w:r>
        <w:r w:rsidR="00095F27">
          <w:rPr>
            <w:rStyle w:val="Hyperlink"/>
            <w:noProof/>
            <w:webHidden/>
            <w:color w:val="auto"/>
            <w:u w:val="none"/>
          </w:rPr>
          <w:fldChar w:fldCharType="separate"/>
        </w:r>
        <w:r w:rsidR="0074346D">
          <w:rPr>
            <w:rStyle w:val="Hyperlink"/>
            <w:noProof/>
            <w:webHidden/>
            <w:color w:val="auto"/>
            <w:u w:val="none"/>
          </w:rPr>
          <w:t>7</w:t>
        </w:r>
        <w:r w:rsidR="00095F27">
          <w:rPr>
            <w:rStyle w:val="Hyperlink"/>
            <w:noProof/>
            <w:webHidden/>
            <w:color w:val="auto"/>
            <w:u w:val="none"/>
          </w:rPr>
          <w:fldChar w:fldCharType="end"/>
        </w:r>
      </w:hyperlink>
    </w:p>
    <w:p w:rsidR="00095F27" w:rsidRDefault="00095F27" w:rsidP="00095F27">
      <w:pPr>
        <w:rPr>
          <w:rFonts w:cs="Times New Roman"/>
        </w:rPr>
      </w:pPr>
      <w:r>
        <w:rPr>
          <w:rFonts w:cs="Times New Roman"/>
        </w:rPr>
        <w:fldChar w:fldCharType="end"/>
      </w:r>
    </w:p>
    <w:p w:rsidR="00095F27" w:rsidRDefault="00095F27" w:rsidP="00095F27">
      <w:pPr>
        <w:rPr>
          <w:rFonts w:cs="Times New Roman"/>
        </w:rPr>
      </w:pPr>
    </w:p>
    <w:p w:rsidR="00095F27" w:rsidRDefault="00095F27" w:rsidP="00095F27">
      <w:pPr>
        <w:rPr>
          <w:rFonts w:cs="Times New Roman"/>
        </w:rPr>
      </w:pPr>
    </w:p>
    <w:p w:rsidR="00095F27" w:rsidRDefault="00095F27" w:rsidP="00095F27">
      <w:pPr>
        <w:rPr>
          <w:rFonts w:cs="Times New Roman"/>
        </w:rPr>
      </w:pPr>
    </w:p>
    <w:p w:rsidR="00095F27" w:rsidRDefault="00095F27" w:rsidP="00095F27">
      <w:pPr>
        <w:pStyle w:val="BodyText"/>
      </w:pPr>
    </w:p>
    <w:p w:rsidR="00095F27" w:rsidRDefault="00095F27" w:rsidP="00095F27">
      <w:pPr>
        <w:rPr>
          <w:rFonts w:cs="Times New Roman"/>
        </w:rPr>
      </w:pPr>
    </w:p>
    <w:p w:rsidR="00095F27" w:rsidRDefault="00095F27" w:rsidP="00095F27">
      <w:pPr>
        <w:tabs>
          <w:tab w:val="left" w:pos="3708"/>
        </w:tabs>
        <w:rPr>
          <w:rFonts w:cs="Times New Roman"/>
        </w:rPr>
      </w:pPr>
      <w:r>
        <w:rPr>
          <w:rFonts w:cs="Times New Roman"/>
        </w:rPr>
        <w:tab/>
      </w:r>
    </w:p>
    <w:p w:rsidR="00095F27" w:rsidRDefault="00095F27" w:rsidP="00095F27">
      <w:pPr>
        <w:tabs>
          <w:tab w:val="left" w:pos="3708"/>
        </w:tabs>
        <w:rPr>
          <w:rFonts w:cs="Times New Roman"/>
        </w:rPr>
      </w:pPr>
      <w:r>
        <w:rPr>
          <w:rFonts w:cs="Times New Roman"/>
        </w:rPr>
        <w:tab/>
      </w:r>
    </w:p>
    <w:p w:rsidR="00095F27" w:rsidRDefault="00095F27" w:rsidP="00095F27">
      <w:pPr>
        <w:spacing w:after="0"/>
        <w:jc w:val="left"/>
        <w:rPr>
          <w:rFonts w:cs="Times New Roman"/>
        </w:rPr>
        <w:sectPr w:rsidR="00095F27">
          <w:pgSz w:w="11906" w:h="16838"/>
          <w:pgMar w:top="1440" w:right="1440" w:bottom="1440" w:left="1440" w:header="720" w:footer="340" w:gutter="0"/>
          <w:pgNumType w:fmt="lowerRoman"/>
          <w:cols w:space="720"/>
        </w:sectPr>
      </w:pPr>
    </w:p>
    <w:p w:rsidR="00095F27" w:rsidRDefault="00095F27" w:rsidP="00095F27">
      <w:pPr>
        <w:pStyle w:val="BodyText"/>
        <w:rPr>
          <w:rFonts w:cs="Times New Roman"/>
          <w:b/>
          <w:bCs/>
        </w:rPr>
      </w:pPr>
      <w:r>
        <w:rPr>
          <w:b/>
        </w:rPr>
        <w:lastRenderedPageBreak/>
        <w:t>PREZENTUL ACORD DE GARANȚIE</w:t>
      </w:r>
      <w:r>
        <w:t xml:space="preserve"> se încheie între</w:t>
      </w:r>
    </w:p>
    <w:p w:rsidR="00095F27" w:rsidRDefault="00095F27" w:rsidP="00095F27">
      <w:pPr>
        <w:pStyle w:val="SimpleL2"/>
        <w:rPr>
          <w:rFonts w:cs="Times New Roman"/>
        </w:rPr>
      </w:pPr>
      <w:r>
        <w:t>Romania (</w:t>
      </w:r>
      <w:r>
        <w:rPr>
          <w:b/>
        </w:rPr>
        <w:t>“</w:t>
      </w:r>
      <w:proofErr w:type="spellStart"/>
      <w:r>
        <w:rPr>
          <w:b/>
        </w:rPr>
        <w:t>Garantul</w:t>
      </w:r>
      <w:proofErr w:type="spellEnd"/>
      <w:r>
        <w:rPr>
          <w:b/>
        </w:rPr>
        <w:t>”</w:t>
      </w:r>
      <w:r>
        <w:t xml:space="preserve">) </w:t>
      </w:r>
      <w:proofErr w:type="spellStart"/>
      <w:r>
        <w:t>unul</w:t>
      </w:r>
      <w:proofErr w:type="spellEnd"/>
      <w:r>
        <w:t xml:space="preserve"> din </w:t>
      </w:r>
      <w:proofErr w:type="spellStart"/>
      <w:r>
        <w:t>Statele</w:t>
      </w:r>
      <w:proofErr w:type="spellEnd"/>
      <w:r>
        <w:t xml:space="preserve"> </w:t>
      </w:r>
      <w:proofErr w:type="spellStart"/>
      <w:r>
        <w:t>Membre</w:t>
      </w:r>
      <w:proofErr w:type="spellEnd"/>
      <w:r>
        <w:t xml:space="preserve"> ale </w:t>
      </w:r>
      <w:proofErr w:type="spellStart"/>
      <w:r>
        <w:t>Uniunii</w:t>
      </w:r>
      <w:proofErr w:type="spellEnd"/>
      <w:r>
        <w:t xml:space="preserve"> </w:t>
      </w:r>
      <w:proofErr w:type="spellStart"/>
      <w:r>
        <w:t>Europene</w:t>
      </w:r>
      <w:proofErr w:type="spellEnd"/>
      <w:r>
        <w:t xml:space="preserve"> enumerate </w:t>
      </w:r>
      <w:proofErr w:type="spellStart"/>
      <w:r>
        <w:t>în</w:t>
      </w:r>
      <w:proofErr w:type="spellEnd"/>
      <w:r>
        <w:t xml:space="preserve"> </w:t>
      </w:r>
      <w:proofErr w:type="spellStart"/>
      <w:r>
        <w:t>Anexa</w:t>
      </w:r>
      <w:proofErr w:type="spellEnd"/>
      <w:r>
        <w:t xml:space="preserve"> 1; </w:t>
      </w:r>
      <w:proofErr w:type="spellStart"/>
      <w:r>
        <w:t>și</w:t>
      </w:r>
      <w:proofErr w:type="spellEnd"/>
      <w:r>
        <w:t xml:space="preserve"> </w:t>
      </w:r>
    </w:p>
    <w:p w:rsidR="00095F27" w:rsidRDefault="00095F27" w:rsidP="00095F27">
      <w:pPr>
        <w:pStyle w:val="SimpleL2"/>
        <w:rPr>
          <w:b/>
          <w:bCs/>
        </w:rPr>
      </w:pPr>
      <w:proofErr w:type="spellStart"/>
      <w:r>
        <w:t>Comisia</w:t>
      </w:r>
      <w:proofErr w:type="spellEnd"/>
      <w:r>
        <w:t xml:space="preserve"> </w:t>
      </w:r>
      <w:proofErr w:type="spellStart"/>
      <w:r>
        <w:t>Europeană</w:t>
      </w:r>
      <w:proofErr w:type="spellEnd"/>
      <w:r>
        <w:t xml:space="preserve"> (</w:t>
      </w:r>
      <w:r>
        <w:rPr>
          <w:b/>
        </w:rPr>
        <w:t>„</w:t>
      </w:r>
      <w:proofErr w:type="spellStart"/>
      <w:r>
        <w:rPr>
          <w:b/>
        </w:rPr>
        <w:t>Comisia</w:t>
      </w:r>
      <w:proofErr w:type="spellEnd"/>
      <w:r>
        <w:rPr>
          <w:b/>
        </w:rPr>
        <w:t>”</w:t>
      </w:r>
      <w:r>
        <w:t>)</w:t>
      </w:r>
    </w:p>
    <w:p w:rsidR="00095F27" w:rsidRDefault="00095F27" w:rsidP="00095F27">
      <w:pPr>
        <w:pStyle w:val="SimpleL2"/>
        <w:numPr>
          <w:ilvl w:val="0"/>
          <w:numId w:val="0"/>
        </w:numPr>
        <w:tabs>
          <w:tab w:val="left" w:pos="720"/>
        </w:tabs>
        <w:rPr>
          <w:b/>
          <w:bCs/>
        </w:rPr>
      </w:pPr>
      <w:proofErr w:type="spellStart"/>
      <w:r>
        <w:t>Fiecare</w:t>
      </w:r>
      <w:proofErr w:type="spellEnd"/>
      <w:r>
        <w:t xml:space="preserve">, o Parte la </w:t>
      </w:r>
      <w:proofErr w:type="spellStart"/>
      <w:r>
        <w:t>prezentul</w:t>
      </w:r>
      <w:proofErr w:type="spellEnd"/>
      <w:r>
        <w:t xml:space="preserve"> </w:t>
      </w:r>
      <w:proofErr w:type="spellStart"/>
      <w:r>
        <w:t>acord</w:t>
      </w:r>
      <w:proofErr w:type="spellEnd"/>
      <w:r>
        <w:t>.</w:t>
      </w:r>
    </w:p>
    <w:p w:rsidR="00095F27" w:rsidRDefault="00095F27" w:rsidP="00095F27">
      <w:pPr>
        <w:pStyle w:val="BodyText"/>
        <w:rPr>
          <w:rFonts w:cs="Times New Roman"/>
          <w:b/>
          <w:bCs/>
        </w:rPr>
      </w:pPr>
      <w:r>
        <w:rPr>
          <w:b/>
          <w:bCs/>
        </w:rPr>
        <w:t xml:space="preserve">ÎNTRUCÂT </w:t>
      </w:r>
    </w:p>
    <w:p w:rsidR="00095F27" w:rsidRDefault="00095F27" w:rsidP="00095F27">
      <w:pPr>
        <w:pStyle w:val="SimpleL4"/>
      </w:pPr>
      <w:proofErr w:type="spellStart"/>
      <w:r>
        <w:t>Regulamentul</w:t>
      </w:r>
      <w:proofErr w:type="spellEnd"/>
      <w:r>
        <w:t xml:space="preserve"> </w:t>
      </w:r>
      <w:proofErr w:type="spellStart"/>
      <w:r>
        <w:t>Consiliului</w:t>
      </w:r>
      <w:proofErr w:type="spellEnd"/>
      <w:r>
        <w:t xml:space="preserve"> (UE) 2020/672 </w:t>
      </w:r>
      <w:proofErr w:type="spellStart"/>
      <w:r>
        <w:t>privind</w:t>
      </w:r>
      <w:proofErr w:type="spellEnd"/>
      <w:r>
        <w:t xml:space="preserve"> </w:t>
      </w:r>
      <w:proofErr w:type="spellStart"/>
      <w:r>
        <w:t>crearea</w:t>
      </w:r>
      <w:proofErr w:type="spellEnd"/>
      <w:r>
        <w:t xml:space="preserve"> </w:t>
      </w:r>
      <w:proofErr w:type="spellStart"/>
      <w:r>
        <w:t>unui</w:t>
      </w:r>
      <w:proofErr w:type="spellEnd"/>
      <w:r>
        <w:t xml:space="preserve"> instrument </w:t>
      </w:r>
      <w:proofErr w:type="spellStart"/>
      <w:r>
        <w:t>european</w:t>
      </w:r>
      <w:proofErr w:type="spellEnd"/>
      <w:r>
        <w:t xml:space="preserve"> de </w:t>
      </w:r>
      <w:proofErr w:type="spellStart"/>
      <w:r>
        <w:t>susținere</w:t>
      </w:r>
      <w:proofErr w:type="spellEnd"/>
      <w:r>
        <w:t xml:space="preserve"> </w:t>
      </w:r>
      <w:proofErr w:type="spellStart"/>
      <w:r>
        <w:t>temporară</w:t>
      </w:r>
      <w:proofErr w:type="spellEnd"/>
      <w:r>
        <w:t xml:space="preserve"> </w:t>
      </w:r>
      <w:proofErr w:type="spellStart"/>
      <w:r>
        <w:t>pentru</w:t>
      </w:r>
      <w:proofErr w:type="spellEnd"/>
      <w:r>
        <w:t xml:space="preserve"> </w:t>
      </w:r>
      <w:proofErr w:type="spellStart"/>
      <w:r>
        <w:t>atenuarea</w:t>
      </w:r>
      <w:proofErr w:type="spellEnd"/>
      <w:r>
        <w:t xml:space="preserve"> </w:t>
      </w:r>
      <w:proofErr w:type="spellStart"/>
      <w:r>
        <w:t>riscurilor</w:t>
      </w:r>
      <w:proofErr w:type="spellEnd"/>
      <w:r>
        <w:t xml:space="preserve"> de </w:t>
      </w:r>
      <w:proofErr w:type="spellStart"/>
      <w:r>
        <w:t>șomaj</w:t>
      </w:r>
      <w:proofErr w:type="spellEnd"/>
      <w:r>
        <w:t xml:space="preserve"> </w:t>
      </w:r>
      <w:proofErr w:type="spellStart"/>
      <w:r>
        <w:t>într</w:t>
      </w:r>
      <w:proofErr w:type="spellEnd"/>
      <w:r>
        <w:t xml:space="preserve">-o </w:t>
      </w:r>
      <w:proofErr w:type="spellStart"/>
      <w:r>
        <w:t>situație</w:t>
      </w:r>
      <w:proofErr w:type="spellEnd"/>
      <w:r>
        <w:t xml:space="preserve"> de </w:t>
      </w:r>
      <w:proofErr w:type="spellStart"/>
      <w:r>
        <w:t>urgență</w:t>
      </w:r>
      <w:proofErr w:type="spellEnd"/>
      <w:r>
        <w:t xml:space="preserve"> (SURE) </w:t>
      </w:r>
      <w:proofErr w:type="spellStart"/>
      <w:r>
        <w:t>ca</w:t>
      </w:r>
      <w:proofErr w:type="spellEnd"/>
      <w:r>
        <w:t xml:space="preserve"> </w:t>
      </w:r>
      <w:proofErr w:type="spellStart"/>
      <w:r>
        <w:t>urmare</w:t>
      </w:r>
      <w:proofErr w:type="spellEnd"/>
      <w:r>
        <w:t xml:space="preserve"> a </w:t>
      </w:r>
      <w:proofErr w:type="spellStart"/>
      <w:r>
        <w:t>epidemiei</w:t>
      </w:r>
      <w:proofErr w:type="spellEnd"/>
      <w:r>
        <w:t xml:space="preserve"> de COVID-19 (“</w:t>
      </w:r>
      <w:proofErr w:type="spellStart"/>
      <w:r>
        <w:rPr>
          <w:b/>
        </w:rPr>
        <w:t>Regulamentul</w:t>
      </w:r>
      <w:proofErr w:type="spellEnd"/>
      <w:r>
        <w:rPr>
          <w:b/>
        </w:rPr>
        <w:t xml:space="preserve"> </w:t>
      </w:r>
      <w:proofErr w:type="spellStart"/>
      <w:r>
        <w:rPr>
          <w:b/>
        </w:rPr>
        <w:t>Consiliului</w:t>
      </w:r>
      <w:proofErr w:type="spellEnd"/>
      <w:r>
        <w:t xml:space="preserve"> (UE) 2020/672”) </w:t>
      </w:r>
      <w:proofErr w:type="spellStart"/>
      <w:r>
        <w:t>permite</w:t>
      </w:r>
      <w:proofErr w:type="spellEnd"/>
      <w:r>
        <w:t xml:space="preserve"> </w:t>
      </w:r>
      <w:proofErr w:type="spellStart"/>
      <w:r>
        <w:t>Uniunii</w:t>
      </w:r>
      <w:proofErr w:type="spellEnd"/>
      <w:r>
        <w:t xml:space="preserve">, </w:t>
      </w:r>
      <w:proofErr w:type="spellStart"/>
      <w:r>
        <w:t>în</w:t>
      </w:r>
      <w:proofErr w:type="spellEnd"/>
      <w:r>
        <w:t xml:space="preserve"> </w:t>
      </w:r>
      <w:proofErr w:type="spellStart"/>
      <w:r>
        <w:t>circumstanțele</w:t>
      </w:r>
      <w:proofErr w:type="spellEnd"/>
      <w:r>
        <w:t xml:space="preserve"> </w:t>
      </w:r>
      <w:proofErr w:type="spellStart"/>
      <w:r>
        <w:t>prevăzute</w:t>
      </w:r>
      <w:proofErr w:type="spellEnd"/>
      <w:r>
        <w:t xml:space="preserve"> de </w:t>
      </w:r>
      <w:proofErr w:type="spellStart"/>
      <w:r>
        <w:t>Regulament</w:t>
      </w:r>
      <w:proofErr w:type="spellEnd"/>
      <w:r>
        <w:t xml:space="preserve">, </w:t>
      </w:r>
      <w:proofErr w:type="spellStart"/>
      <w:r>
        <w:t>să</w:t>
      </w:r>
      <w:proofErr w:type="spellEnd"/>
      <w:r>
        <w:t xml:space="preserve"> </w:t>
      </w:r>
      <w:proofErr w:type="spellStart"/>
      <w:r>
        <w:t>pună</w:t>
      </w:r>
      <w:proofErr w:type="spellEnd"/>
      <w:r>
        <w:t xml:space="preserve"> la </w:t>
      </w:r>
      <w:proofErr w:type="spellStart"/>
      <w:r>
        <w:t>dispoziția</w:t>
      </w:r>
      <w:proofErr w:type="spellEnd"/>
      <w:r>
        <w:t xml:space="preserve"> </w:t>
      </w:r>
      <w:proofErr w:type="spellStart"/>
      <w:r>
        <w:t>Statelor</w:t>
      </w:r>
      <w:proofErr w:type="spellEnd"/>
      <w:r>
        <w:t xml:space="preserve"> </w:t>
      </w:r>
      <w:proofErr w:type="spellStart"/>
      <w:r>
        <w:t>Membre</w:t>
      </w:r>
      <w:proofErr w:type="spellEnd"/>
      <w:r>
        <w:t xml:space="preserve"> ale </w:t>
      </w:r>
      <w:proofErr w:type="spellStart"/>
      <w:r>
        <w:t>Uniunii</w:t>
      </w:r>
      <w:proofErr w:type="spellEnd"/>
      <w:r>
        <w:t xml:space="preserve"> </w:t>
      </w:r>
      <w:proofErr w:type="spellStart"/>
      <w:r>
        <w:t>Europene</w:t>
      </w:r>
      <w:proofErr w:type="spellEnd"/>
      <w:r>
        <w:t xml:space="preserve"> </w:t>
      </w:r>
      <w:proofErr w:type="spellStart"/>
      <w:r>
        <w:t>asistență</w:t>
      </w:r>
      <w:proofErr w:type="spellEnd"/>
      <w:r>
        <w:t xml:space="preserve"> </w:t>
      </w:r>
      <w:proofErr w:type="spellStart"/>
      <w:r>
        <w:t>financiară</w:t>
      </w:r>
      <w:proofErr w:type="spellEnd"/>
      <w:r>
        <w:t xml:space="preserve"> </w:t>
      </w:r>
      <w:proofErr w:type="spellStart"/>
      <w:r>
        <w:t>în</w:t>
      </w:r>
      <w:proofErr w:type="spellEnd"/>
      <w:r>
        <w:t xml:space="preserve"> </w:t>
      </w:r>
      <w:proofErr w:type="spellStart"/>
      <w:r>
        <w:t>sumă</w:t>
      </w:r>
      <w:proofErr w:type="spellEnd"/>
      <w:r>
        <w:t xml:space="preserve"> de maxim 100 000 000 000 EUR, sub forma </w:t>
      </w:r>
      <w:proofErr w:type="spellStart"/>
      <w:r>
        <w:t>unei</w:t>
      </w:r>
      <w:proofErr w:type="spellEnd"/>
      <w:r>
        <w:t xml:space="preserve"> </w:t>
      </w:r>
      <w:proofErr w:type="spellStart"/>
      <w:r>
        <w:t>facilități</w:t>
      </w:r>
      <w:proofErr w:type="spellEnd"/>
      <w:r>
        <w:t xml:space="preserve"> de </w:t>
      </w:r>
      <w:proofErr w:type="spellStart"/>
      <w:r>
        <w:t>împrumut</w:t>
      </w:r>
      <w:proofErr w:type="spellEnd"/>
      <w:r>
        <w:t xml:space="preserve">, </w:t>
      </w:r>
      <w:proofErr w:type="spellStart"/>
      <w:r>
        <w:t>în</w:t>
      </w:r>
      <w:proofErr w:type="spellEnd"/>
      <w:r>
        <w:t xml:space="preserve"> </w:t>
      </w:r>
      <w:proofErr w:type="spellStart"/>
      <w:r>
        <w:t>conformitate</w:t>
      </w:r>
      <w:proofErr w:type="spellEnd"/>
      <w:r>
        <w:t xml:space="preserve"> cu un </w:t>
      </w:r>
      <w:proofErr w:type="spellStart"/>
      <w:r>
        <w:t>acord</w:t>
      </w:r>
      <w:proofErr w:type="spellEnd"/>
      <w:r>
        <w:t xml:space="preserve"> de </w:t>
      </w:r>
      <w:proofErr w:type="spellStart"/>
      <w:r>
        <w:t>împrumut</w:t>
      </w:r>
      <w:proofErr w:type="spellEnd"/>
      <w:r>
        <w:t xml:space="preserve"> (</w:t>
      </w:r>
      <w:r>
        <w:rPr>
          <w:b/>
        </w:rPr>
        <w:t>„</w:t>
      </w:r>
      <w:proofErr w:type="spellStart"/>
      <w:r>
        <w:rPr>
          <w:b/>
        </w:rPr>
        <w:t>Acord</w:t>
      </w:r>
      <w:proofErr w:type="spellEnd"/>
      <w:r>
        <w:rPr>
          <w:b/>
        </w:rPr>
        <w:t xml:space="preserve"> de </w:t>
      </w:r>
      <w:proofErr w:type="spellStart"/>
      <w:r>
        <w:rPr>
          <w:b/>
        </w:rPr>
        <w:t>Împrumut</w:t>
      </w:r>
      <w:proofErr w:type="spellEnd"/>
      <w:r>
        <w:rPr>
          <w:b/>
        </w:rPr>
        <w:t>”</w:t>
      </w:r>
      <w:r>
        <w:t xml:space="preserve">). Conform </w:t>
      </w:r>
      <w:proofErr w:type="spellStart"/>
      <w:r>
        <w:t>Articolului</w:t>
      </w:r>
      <w:proofErr w:type="spellEnd"/>
      <w:r>
        <w:t xml:space="preserve"> 6(1) din </w:t>
      </w:r>
      <w:proofErr w:type="spellStart"/>
      <w:r>
        <w:t>Regulamentul</w:t>
      </w:r>
      <w:proofErr w:type="spellEnd"/>
      <w:r>
        <w:t xml:space="preserve"> </w:t>
      </w:r>
      <w:proofErr w:type="spellStart"/>
      <w:r>
        <w:t>Consiliului</w:t>
      </w:r>
      <w:proofErr w:type="spellEnd"/>
      <w:r>
        <w:t xml:space="preserve"> (UE) 2020/672, </w:t>
      </w:r>
      <w:proofErr w:type="spellStart"/>
      <w:r>
        <w:t>această</w:t>
      </w:r>
      <w:proofErr w:type="spellEnd"/>
      <w:r>
        <w:t xml:space="preserve"> </w:t>
      </w:r>
      <w:proofErr w:type="spellStart"/>
      <w:r>
        <w:t>asistență</w:t>
      </w:r>
      <w:proofErr w:type="spellEnd"/>
      <w:r>
        <w:t xml:space="preserve"> </w:t>
      </w:r>
      <w:proofErr w:type="spellStart"/>
      <w:r>
        <w:t>financiară</w:t>
      </w:r>
      <w:proofErr w:type="spellEnd"/>
      <w:r>
        <w:t xml:space="preserve"> se </w:t>
      </w:r>
      <w:proofErr w:type="spellStart"/>
      <w:proofErr w:type="gramStart"/>
      <w:r>
        <w:t>va</w:t>
      </w:r>
      <w:proofErr w:type="spellEnd"/>
      <w:proofErr w:type="gramEnd"/>
      <w:r>
        <w:t xml:space="preserve"> </w:t>
      </w:r>
      <w:proofErr w:type="spellStart"/>
      <w:r>
        <w:t>pune</w:t>
      </w:r>
      <w:proofErr w:type="spellEnd"/>
      <w:r>
        <w:t xml:space="preserve"> la </w:t>
      </w:r>
      <w:proofErr w:type="spellStart"/>
      <w:r>
        <w:t>dispoziție</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unei</w:t>
      </w:r>
      <w:proofErr w:type="spellEnd"/>
      <w:r>
        <w:t xml:space="preserve"> </w:t>
      </w:r>
      <w:proofErr w:type="spellStart"/>
      <w:r>
        <w:t>decizii</w:t>
      </w:r>
      <w:proofErr w:type="spellEnd"/>
      <w:r>
        <w:t xml:space="preserve"> de </w:t>
      </w:r>
      <w:proofErr w:type="spellStart"/>
      <w:r>
        <w:t>punere</w:t>
      </w:r>
      <w:proofErr w:type="spellEnd"/>
      <w:r>
        <w:t xml:space="preserve"> </w:t>
      </w:r>
      <w:proofErr w:type="spellStart"/>
      <w:r>
        <w:t>în</w:t>
      </w:r>
      <w:proofErr w:type="spellEnd"/>
      <w:r>
        <w:t xml:space="preserve"> </w:t>
      </w:r>
      <w:proofErr w:type="spellStart"/>
      <w:r>
        <w:t>aplicare</w:t>
      </w:r>
      <w:proofErr w:type="spellEnd"/>
      <w:r>
        <w:t xml:space="preserve">, </w:t>
      </w:r>
      <w:proofErr w:type="spellStart"/>
      <w:r>
        <w:t>adoptată</w:t>
      </w:r>
      <w:proofErr w:type="spellEnd"/>
      <w:r>
        <w:t xml:space="preserve"> de </w:t>
      </w:r>
      <w:proofErr w:type="spellStart"/>
      <w:r>
        <w:t>Consiliu</w:t>
      </w:r>
      <w:proofErr w:type="spellEnd"/>
      <w:r>
        <w:t xml:space="preserve">. </w:t>
      </w:r>
    </w:p>
    <w:p w:rsidR="00095F27" w:rsidRDefault="00095F27" w:rsidP="00095F27">
      <w:pPr>
        <w:pStyle w:val="SimpleL4"/>
      </w:pPr>
      <w:proofErr w:type="spellStart"/>
      <w:r>
        <w:t>Regulamentul</w:t>
      </w:r>
      <w:proofErr w:type="spellEnd"/>
      <w:r>
        <w:t xml:space="preserve"> </w:t>
      </w:r>
      <w:proofErr w:type="spellStart"/>
      <w:r>
        <w:t>Consiliului</w:t>
      </w:r>
      <w:proofErr w:type="spellEnd"/>
      <w:r>
        <w:t xml:space="preserve"> (UE) 2020/</w:t>
      </w:r>
      <w:proofErr w:type="gramStart"/>
      <w:r>
        <w:t>672  a</w:t>
      </w:r>
      <w:proofErr w:type="gramEnd"/>
      <w:r>
        <w:t xml:space="preserve"> </w:t>
      </w:r>
      <w:proofErr w:type="spellStart"/>
      <w:r>
        <w:t>împuternicit</w:t>
      </w:r>
      <w:proofErr w:type="spellEnd"/>
      <w:r>
        <w:t xml:space="preserve"> </w:t>
      </w:r>
      <w:proofErr w:type="spellStart"/>
      <w:r>
        <w:t>Comisia</w:t>
      </w:r>
      <w:proofErr w:type="spellEnd"/>
      <w:r>
        <w:t xml:space="preserve">, </w:t>
      </w:r>
      <w:proofErr w:type="spellStart"/>
      <w:r>
        <w:t>în</w:t>
      </w:r>
      <w:proofErr w:type="spellEnd"/>
      <w:r>
        <w:t xml:space="preserve"> </w:t>
      </w:r>
      <w:proofErr w:type="spellStart"/>
      <w:r>
        <w:t>numele</w:t>
      </w:r>
      <w:proofErr w:type="spellEnd"/>
      <w:r>
        <w:t xml:space="preserve"> </w:t>
      </w:r>
      <w:proofErr w:type="spellStart"/>
      <w:r>
        <w:t>Uniunii</w:t>
      </w:r>
      <w:proofErr w:type="spellEnd"/>
      <w:r>
        <w:t xml:space="preserve">, </w:t>
      </w:r>
      <w:proofErr w:type="spellStart"/>
      <w:r>
        <w:t>să</w:t>
      </w:r>
      <w:proofErr w:type="spellEnd"/>
      <w:r>
        <w:t xml:space="preserve"> </w:t>
      </w:r>
      <w:proofErr w:type="spellStart"/>
      <w:r>
        <w:t>împrumute</w:t>
      </w:r>
      <w:proofErr w:type="spellEnd"/>
      <w:r>
        <w:t xml:space="preserve"> de </w:t>
      </w:r>
      <w:proofErr w:type="spellStart"/>
      <w:r>
        <w:t>pe</w:t>
      </w:r>
      <w:proofErr w:type="spellEnd"/>
      <w:r>
        <w:t xml:space="preserve"> </w:t>
      </w:r>
      <w:proofErr w:type="spellStart"/>
      <w:r>
        <w:t>piețele</w:t>
      </w:r>
      <w:proofErr w:type="spellEnd"/>
      <w:r>
        <w:t xml:space="preserve"> de capital </w:t>
      </w:r>
      <w:proofErr w:type="spellStart"/>
      <w:r>
        <w:t>și</w:t>
      </w:r>
      <w:proofErr w:type="spellEnd"/>
      <w:r>
        <w:t xml:space="preserve"> de la </w:t>
      </w:r>
      <w:proofErr w:type="spellStart"/>
      <w:r>
        <w:t>instituții</w:t>
      </w:r>
      <w:proofErr w:type="spellEnd"/>
      <w:r>
        <w:t xml:space="preserve"> </w:t>
      </w:r>
      <w:proofErr w:type="spellStart"/>
      <w:r>
        <w:t>financiare</w:t>
      </w:r>
      <w:proofErr w:type="spellEnd"/>
      <w:r>
        <w:t xml:space="preserve"> </w:t>
      </w:r>
      <w:proofErr w:type="spellStart"/>
      <w:r>
        <w:t>pentru</w:t>
      </w:r>
      <w:proofErr w:type="spellEnd"/>
      <w:r>
        <w:t xml:space="preserve"> a </w:t>
      </w:r>
      <w:proofErr w:type="spellStart"/>
      <w:r>
        <w:t>finanța</w:t>
      </w:r>
      <w:proofErr w:type="spellEnd"/>
      <w:r>
        <w:t xml:space="preserve"> </w:t>
      </w:r>
      <w:proofErr w:type="spellStart"/>
      <w:r>
        <w:t>facilitățile</w:t>
      </w:r>
      <w:proofErr w:type="spellEnd"/>
      <w:r>
        <w:t xml:space="preserve"> de </w:t>
      </w:r>
      <w:proofErr w:type="spellStart"/>
      <w:r>
        <w:t>împrumut</w:t>
      </w:r>
      <w:proofErr w:type="spellEnd"/>
      <w:r>
        <w:t xml:space="preserve"> („</w:t>
      </w:r>
      <w:proofErr w:type="spellStart"/>
      <w:r>
        <w:rPr>
          <w:b/>
        </w:rPr>
        <w:t>Împrumuturi</w:t>
      </w:r>
      <w:proofErr w:type="spellEnd"/>
      <w:r>
        <w:t xml:space="preserve">”).  </w:t>
      </w:r>
    </w:p>
    <w:p w:rsidR="00095F27" w:rsidRDefault="00095F27" w:rsidP="00095F27">
      <w:pPr>
        <w:pStyle w:val="SimpleL4"/>
      </w:pPr>
      <w:proofErr w:type="spellStart"/>
      <w:r>
        <w:t>În</w:t>
      </w:r>
      <w:proofErr w:type="spellEnd"/>
      <w:r>
        <w:t xml:space="preserve"> </w:t>
      </w:r>
      <w:proofErr w:type="spellStart"/>
      <w:r>
        <w:t>situația</w:t>
      </w:r>
      <w:proofErr w:type="spellEnd"/>
      <w:r>
        <w:t xml:space="preserve"> </w:t>
      </w:r>
      <w:proofErr w:type="spellStart"/>
      <w:r>
        <w:t>neonorării</w:t>
      </w:r>
      <w:proofErr w:type="spellEnd"/>
      <w:r>
        <w:t xml:space="preserve"> </w:t>
      </w:r>
      <w:proofErr w:type="spellStart"/>
      <w:r>
        <w:t>parțiale</w:t>
      </w:r>
      <w:proofErr w:type="spellEnd"/>
      <w:r>
        <w:t xml:space="preserve"> </w:t>
      </w:r>
      <w:proofErr w:type="spellStart"/>
      <w:r>
        <w:t>sau</w:t>
      </w:r>
      <w:proofErr w:type="spellEnd"/>
      <w:r>
        <w:t xml:space="preserve"> </w:t>
      </w:r>
      <w:proofErr w:type="spellStart"/>
      <w:r>
        <w:t>totale</w:t>
      </w:r>
      <w:proofErr w:type="spellEnd"/>
      <w:r>
        <w:t xml:space="preserve"> a </w:t>
      </w:r>
      <w:proofErr w:type="spellStart"/>
      <w:r>
        <w:t>unei</w:t>
      </w:r>
      <w:proofErr w:type="spellEnd"/>
      <w:r>
        <w:t xml:space="preserve"> </w:t>
      </w:r>
      <w:proofErr w:type="spellStart"/>
      <w:r>
        <w:t>plăți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unui</w:t>
      </w:r>
      <w:proofErr w:type="spellEnd"/>
      <w:r>
        <w:t xml:space="preserve"> </w:t>
      </w:r>
      <w:proofErr w:type="spellStart"/>
      <w:r>
        <w:t>Acord</w:t>
      </w:r>
      <w:proofErr w:type="spellEnd"/>
      <w:r>
        <w:t xml:space="preserve"> de </w:t>
      </w:r>
      <w:proofErr w:type="spellStart"/>
      <w:r>
        <w:t>Împrumut</w:t>
      </w:r>
      <w:proofErr w:type="spellEnd"/>
      <w:r>
        <w:t xml:space="preserve">, </w:t>
      </w:r>
      <w:proofErr w:type="spellStart"/>
      <w:r>
        <w:t>Uniunea</w:t>
      </w:r>
      <w:proofErr w:type="spellEnd"/>
      <w:r>
        <w:t xml:space="preserve"> </w:t>
      </w:r>
      <w:proofErr w:type="spellStart"/>
      <w:r>
        <w:t>poate</w:t>
      </w:r>
      <w:proofErr w:type="spellEnd"/>
      <w:r>
        <w:t xml:space="preserve"> </w:t>
      </w:r>
      <w:proofErr w:type="spellStart"/>
      <w:r>
        <w:t>risca</w:t>
      </w:r>
      <w:proofErr w:type="spellEnd"/>
      <w:r>
        <w:t xml:space="preserve"> </w:t>
      </w:r>
      <w:proofErr w:type="spellStart"/>
      <w:proofErr w:type="gramStart"/>
      <w:r>
        <w:t>să</w:t>
      </w:r>
      <w:proofErr w:type="spellEnd"/>
      <w:proofErr w:type="gramEnd"/>
      <w:r>
        <w:t xml:space="preserve"> nu </w:t>
      </w:r>
      <w:proofErr w:type="spellStart"/>
      <w:r>
        <w:t>dispună</w:t>
      </w:r>
      <w:proofErr w:type="spellEnd"/>
      <w:r>
        <w:t xml:space="preserve"> de </w:t>
      </w:r>
      <w:proofErr w:type="spellStart"/>
      <w:r>
        <w:t>suficiente</w:t>
      </w:r>
      <w:proofErr w:type="spellEnd"/>
      <w:r>
        <w:t xml:space="preserve"> </w:t>
      </w:r>
      <w:proofErr w:type="spellStart"/>
      <w:r>
        <w:t>resurse</w:t>
      </w:r>
      <w:proofErr w:type="spellEnd"/>
      <w:r>
        <w:t xml:space="preserve"> </w:t>
      </w:r>
      <w:proofErr w:type="spellStart"/>
      <w:r>
        <w:t>pentru</w:t>
      </w:r>
      <w:proofErr w:type="spellEnd"/>
      <w:r>
        <w:t xml:space="preserve"> a </w:t>
      </w:r>
      <w:proofErr w:type="spellStart"/>
      <w:r>
        <w:t>îndeplini</w:t>
      </w:r>
      <w:proofErr w:type="spellEnd"/>
      <w:r>
        <w:t xml:space="preserve"> </w:t>
      </w:r>
      <w:proofErr w:type="spellStart"/>
      <w:r>
        <w:t>obligațiile</w:t>
      </w:r>
      <w:proofErr w:type="spellEnd"/>
      <w:r>
        <w:t xml:space="preserve"> de </w:t>
      </w:r>
      <w:proofErr w:type="spellStart"/>
      <w:r>
        <w:t>plată</w:t>
      </w:r>
      <w:proofErr w:type="spellEnd"/>
      <w:r>
        <w:t xml:space="preserve"> </w:t>
      </w:r>
      <w:proofErr w:type="spellStart"/>
      <w:r>
        <w:t>născute</w:t>
      </w:r>
      <w:proofErr w:type="spellEnd"/>
      <w:r>
        <w:t xml:space="preserve"> din </w:t>
      </w:r>
      <w:proofErr w:type="spellStart"/>
      <w:r>
        <w:t>Împrumuturi</w:t>
      </w:r>
      <w:proofErr w:type="spellEnd"/>
      <w:r>
        <w:t>.</w:t>
      </w:r>
    </w:p>
    <w:p w:rsidR="00095F27" w:rsidRDefault="00095F27" w:rsidP="00095F27">
      <w:pPr>
        <w:pStyle w:val="SimpleL4"/>
      </w:pPr>
      <w:proofErr w:type="spellStart"/>
      <w:r>
        <w:t>Regulamentul</w:t>
      </w:r>
      <w:proofErr w:type="spellEnd"/>
      <w:r>
        <w:t xml:space="preserve"> </w:t>
      </w:r>
      <w:proofErr w:type="spellStart"/>
      <w:r>
        <w:t>Consiliului</w:t>
      </w:r>
      <w:proofErr w:type="spellEnd"/>
      <w:r>
        <w:t xml:space="preserve"> (UE) 2020/672 </w:t>
      </w:r>
      <w:proofErr w:type="spellStart"/>
      <w:r>
        <w:t>prevede</w:t>
      </w:r>
      <w:proofErr w:type="spellEnd"/>
      <w:r>
        <w:t xml:space="preserve"> </w:t>
      </w:r>
      <w:proofErr w:type="spellStart"/>
      <w:r>
        <w:t>că</w:t>
      </w:r>
      <w:proofErr w:type="spellEnd"/>
      <w:r>
        <w:t xml:space="preserve"> </w:t>
      </w:r>
      <w:proofErr w:type="spellStart"/>
      <w:r>
        <w:t>Statele</w:t>
      </w:r>
      <w:proofErr w:type="spellEnd"/>
      <w:r>
        <w:t xml:space="preserve"> </w:t>
      </w:r>
      <w:proofErr w:type="spellStart"/>
      <w:r>
        <w:t>Membre</w:t>
      </w:r>
      <w:proofErr w:type="spellEnd"/>
      <w:r>
        <w:t xml:space="preserve"> ale </w:t>
      </w:r>
      <w:proofErr w:type="spellStart"/>
      <w:r>
        <w:t>Uniunii</w:t>
      </w:r>
      <w:proofErr w:type="spellEnd"/>
      <w:r>
        <w:t xml:space="preserve"> </w:t>
      </w:r>
      <w:proofErr w:type="spellStart"/>
      <w:r>
        <w:t>Europene</w:t>
      </w:r>
      <w:proofErr w:type="spellEnd"/>
      <w:r>
        <w:t xml:space="preserve"> enumerate </w:t>
      </w:r>
      <w:proofErr w:type="spellStart"/>
      <w:r>
        <w:t>în</w:t>
      </w:r>
      <w:proofErr w:type="spellEnd"/>
      <w:r>
        <w:t xml:space="preserve"> </w:t>
      </w:r>
      <w:proofErr w:type="spellStart"/>
      <w:r>
        <w:t>Anexa</w:t>
      </w:r>
      <w:proofErr w:type="spellEnd"/>
      <w:r>
        <w:t xml:space="preserve"> 1 (</w:t>
      </w:r>
      <w:proofErr w:type="spellStart"/>
      <w:r>
        <w:t>denumite</w:t>
      </w:r>
      <w:proofErr w:type="spellEnd"/>
      <w:r>
        <w:t xml:space="preserve"> </w:t>
      </w:r>
      <w:proofErr w:type="spellStart"/>
      <w:r>
        <w:t>în</w:t>
      </w:r>
      <w:proofErr w:type="spellEnd"/>
      <w:r>
        <w:t xml:space="preserve"> mod </w:t>
      </w:r>
      <w:proofErr w:type="spellStart"/>
      <w:r>
        <w:t>colectiv</w:t>
      </w:r>
      <w:proofErr w:type="spellEnd"/>
      <w:r>
        <w:t xml:space="preserve"> „</w:t>
      </w:r>
      <w:proofErr w:type="spellStart"/>
      <w:r>
        <w:rPr>
          <w:b/>
        </w:rPr>
        <w:t>Garanți</w:t>
      </w:r>
      <w:proofErr w:type="spellEnd"/>
      <w:r>
        <w:t xml:space="preserve">”), pot </w:t>
      </w:r>
      <w:proofErr w:type="spellStart"/>
      <w:r>
        <w:t>contribui</w:t>
      </w:r>
      <w:proofErr w:type="spellEnd"/>
      <w:r>
        <w:t xml:space="preserve"> la SURE </w:t>
      </w:r>
      <w:proofErr w:type="spellStart"/>
      <w:r>
        <w:t>prin</w:t>
      </w:r>
      <w:proofErr w:type="spellEnd"/>
      <w:r>
        <w:t xml:space="preserve"> contra-</w:t>
      </w:r>
      <w:proofErr w:type="spellStart"/>
      <w:r>
        <w:t>garantarea</w:t>
      </w:r>
      <w:proofErr w:type="spellEnd"/>
      <w:r>
        <w:t xml:space="preserve"> </w:t>
      </w:r>
      <w:proofErr w:type="spellStart"/>
      <w:r>
        <w:t>riscului</w:t>
      </w:r>
      <w:proofErr w:type="spellEnd"/>
      <w:r>
        <w:t xml:space="preserve"> </w:t>
      </w:r>
      <w:proofErr w:type="spellStart"/>
      <w:r>
        <w:t>suportat</w:t>
      </w:r>
      <w:proofErr w:type="spellEnd"/>
      <w:r>
        <w:t xml:space="preserve"> de </w:t>
      </w:r>
      <w:proofErr w:type="spellStart"/>
      <w:r>
        <w:t>Uniune</w:t>
      </w:r>
      <w:proofErr w:type="spellEnd"/>
      <w:r>
        <w:t xml:space="preserve"> </w:t>
      </w:r>
      <w:proofErr w:type="spellStart"/>
      <w:r>
        <w:t>și</w:t>
      </w:r>
      <w:proofErr w:type="spellEnd"/>
      <w:r>
        <w:t xml:space="preserve"> </w:t>
      </w:r>
      <w:proofErr w:type="spellStart"/>
      <w:r>
        <w:t>că</w:t>
      </w:r>
      <w:proofErr w:type="spellEnd"/>
      <w:r>
        <w:t xml:space="preserve"> </w:t>
      </w:r>
      <w:proofErr w:type="spellStart"/>
      <w:r>
        <w:t>aceste</w:t>
      </w:r>
      <w:proofErr w:type="spellEnd"/>
      <w:r>
        <w:t xml:space="preserve"> </w:t>
      </w:r>
      <w:proofErr w:type="spellStart"/>
      <w:r>
        <w:t>contribuții</w:t>
      </w:r>
      <w:proofErr w:type="spellEnd"/>
      <w:r>
        <w:t xml:space="preserve"> </w:t>
      </w:r>
      <w:proofErr w:type="spellStart"/>
      <w:r>
        <w:t>vor</w:t>
      </w:r>
      <w:proofErr w:type="spellEnd"/>
      <w:r>
        <w:t xml:space="preserve"> fi </w:t>
      </w:r>
      <w:proofErr w:type="spellStart"/>
      <w:r>
        <w:t>asigurate</w:t>
      </w:r>
      <w:proofErr w:type="spellEnd"/>
      <w:r>
        <w:t xml:space="preserve"> sub forma </w:t>
      </w:r>
      <w:proofErr w:type="spellStart"/>
      <w:r>
        <w:t>unor</w:t>
      </w:r>
      <w:proofErr w:type="spellEnd"/>
      <w:r>
        <w:t xml:space="preserve"> </w:t>
      </w:r>
      <w:proofErr w:type="spellStart"/>
      <w:r>
        <w:t>garanții</w:t>
      </w:r>
      <w:proofErr w:type="spellEnd"/>
      <w:r>
        <w:t xml:space="preserve"> </w:t>
      </w:r>
      <w:proofErr w:type="spellStart"/>
      <w:r>
        <w:t>irevocabile</w:t>
      </w:r>
      <w:proofErr w:type="spellEnd"/>
      <w:r>
        <w:t xml:space="preserve">, </w:t>
      </w:r>
      <w:proofErr w:type="spellStart"/>
      <w:r>
        <w:t>necondiționate</w:t>
      </w:r>
      <w:proofErr w:type="spellEnd"/>
      <w:r>
        <w:t xml:space="preserve"> </w:t>
      </w:r>
      <w:proofErr w:type="spellStart"/>
      <w:r>
        <w:t>și</w:t>
      </w:r>
      <w:proofErr w:type="spellEnd"/>
      <w:r>
        <w:t xml:space="preserve"> la </w:t>
      </w:r>
      <w:proofErr w:type="spellStart"/>
      <w:r>
        <w:t>cerere</w:t>
      </w:r>
      <w:proofErr w:type="spellEnd"/>
      <w:r>
        <w:t xml:space="preserve">. </w:t>
      </w:r>
      <w:proofErr w:type="spellStart"/>
      <w:r>
        <w:t>Articolul</w:t>
      </w:r>
      <w:proofErr w:type="spellEnd"/>
      <w:r>
        <w:t xml:space="preserve"> 11(3) din </w:t>
      </w:r>
      <w:proofErr w:type="spellStart"/>
      <w:r>
        <w:t>Regulamentul</w:t>
      </w:r>
      <w:proofErr w:type="spellEnd"/>
      <w:r>
        <w:t xml:space="preserve"> </w:t>
      </w:r>
      <w:proofErr w:type="spellStart"/>
      <w:r>
        <w:t>Consiliului</w:t>
      </w:r>
      <w:proofErr w:type="spellEnd"/>
      <w:r>
        <w:t xml:space="preserve"> (UE) 2020/672 </w:t>
      </w:r>
      <w:proofErr w:type="spellStart"/>
      <w:r>
        <w:t>prevede</w:t>
      </w:r>
      <w:proofErr w:type="spellEnd"/>
      <w:r>
        <w:t xml:space="preserve"> </w:t>
      </w:r>
      <w:proofErr w:type="spellStart"/>
      <w:r>
        <w:t>faptul</w:t>
      </w:r>
      <w:proofErr w:type="spellEnd"/>
      <w:r>
        <w:t xml:space="preserve"> </w:t>
      </w:r>
      <w:proofErr w:type="spellStart"/>
      <w:r>
        <w:t>că</w:t>
      </w:r>
      <w:proofErr w:type="spellEnd"/>
      <w:r>
        <w:t xml:space="preserve"> se </w:t>
      </w:r>
      <w:proofErr w:type="spellStart"/>
      <w:proofErr w:type="gramStart"/>
      <w:r>
        <w:t>va</w:t>
      </w:r>
      <w:proofErr w:type="spellEnd"/>
      <w:proofErr w:type="gramEnd"/>
      <w:r>
        <w:t xml:space="preserve"> </w:t>
      </w:r>
      <w:proofErr w:type="spellStart"/>
      <w:r>
        <w:t>încheia</w:t>
      </w:r>
      <w:proofErr w:type="spellEnd"/>
      <w:r>
        <w:t xml:space="preserve"> de </w:t>
      </w:r>
      <w:proofErr w:type="spellStart"/>
      <w:r>
        <w:t>către</w:t>
      </w:r>
      <w:proofErr w:type="spellEnd"/>
      <w:r>
        <w:t xml:space="preserve"> </w:t>
      </w:r>
      <w:proofErr w:type="spellStart"/>
      <w:r>
        <w:t>Comisie</w:t>
      </w:r>
      <w:proofErr w:type="spellEnd"/>
      <w:r>
        <w:t xml:space="preserve"> un </w:t>
      </w:r>
      <w:proofErr w:type="spellStart"/>
      <w:r>
        <w:t>acord</w:t>
      </w:r>
      <w:proofErr w:type="spellEnd"/>
      <w:r>
        <w:t xml:space="preserve"> cu un Stat </w:t>
      </w:r>
      <w:proofErr w:type="spellStart"/>
      <w:r>
        <w:t>Membru</w:t>
      </w:r>
      <w:proofErr w:type="spellEnd"/>
      <w:r>
        <w:t xml:space="preserve"> contributor cu </w:t>
      </w:r>
      <w:proofErr w:type="spellStart"/>
      <w:r>
        <w:t>privire</w:t>
      </w:r>
      <w:proofErr w:type="spellEnd"/>
      <w:r>
        <w:t xml:space="preserve"> la </w:t>
      </w:r>
      <w:proofErr w:type="spellStart"/>
      <w:r>
        <w:t>garanția</w:t>
      </w:r>
      <w:proofErr w:type="spellEnd"/>
      <w:r>
        <w:t xml:space="preserve"> </w:t>
      </w:r>
      <w:proofErr w:type="spellStart"/>
      <w:r>
        <w:t>irevocabilă</w:t>
      </w:r>
      <w:proofErr w:type="spellEnd"/>
      <w:r>
        <w:t xml:space="preserve">, </w:t>
      </w:r>
      <w:proofErr w:type="spellStart"/>
      <w:r>
        <w:t>necondiționată</w:t>
      </w:r>
      <w:proofErr w:type="spellEnd"/>
      <w:r>
        <w:t xml:space="preserve"> </w:t>
      </w:r>
      <w:proofErr w:type="spellStart"/>
      <w:r>
        <w:t>și</w:t>
      </w:r>
      <w:proofErr w:type="spellEnd"/>
      <w:r>
        <w:t xml:space="preserve"> la </w:t>
      </w:r>
      <w:proofErr w:type="spellStart"/>
      <w:r>
        <w:t>cerere</w:t>
      </w:r>
      <w:proofErr w:type="spellEnd"/>
      <w:r>
        <w:t xml:space="preserve"> </w:t>
      </w:r>
      <w:proofErr w:type="spellStart"/>
      <w:r>
        <w:t>și</w:t>
      </w:r>
      <w:proofErr w:type="spellEnd"/>
      <w:r>
        <w:t xml:space="preserve"> </w:t>
      </w:r>
      <w:proofErr w:type="spellStart"/>
      <w:r>
        <w:t>că</w:t>
      </w:r>
      <w:proofErr w:type="spellEnd"/>
      <w:r>
        <w:t xml:space="preserve"> </w:t>
      </w:r>
      <w:proofErr w:type="spellStart"/>
      <w:r>
        <w:t>acel</w:t>
      </w:r>
      <w:proofErr w:type="spellEnd"/>
      <w:r>
        <w:t xml:space="preserve"> </w:t>
      </w:r>
      <w:proofErr w:type="spellStart"/>
      <w:r>
        <w:t>acord</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prevadă</w:t>
      </w:r>
      <w:proofErr w:type="spellEnd"/>
      <w:r>
        <w:t xml:space="preserve"> </w:t>
      </w:r>
      <w:proofErr w:type="spellStart"/>
      <w:r>
        <w:t>condițiile</w:t>
      </w:r>
      <w:proofErr w:type="spellEnd"/>
      <w:r>
        <w:t xml:space="preserve"> de </w:t>
      </w:r>
      <w:proofErr w:type="spellStart"/>
      <w:r>
        <w:t>plată</w:t>
      </w:r>
      <w:proofErr w:type="spellEnd"/>
      <w:r>
        <w:t xml:space="preserve"> (un „</w:t>
      </w:r>
      <w:proofErr w:type="spellStart"/>
      <w:r>
        <w:rPr>
          <w:b/>
        </w:rPr>
        <w:t>Acord</w:t>
      </w:r>
      <w:proofErr w:type="spellEnd"/>
      <w:r>
        <w:rPr>
          <w:b/>
        </w:rPr>
        <w:t xml:space="preserve"> de </w:t>
      </w:r>
      <w:proofErr w:type="spellStart"/>
      <w:r>
        <w:rPr>
          <w:b/>
        </w:rPr>
        <w:t>Garanție</w:t>
      </w:r>
      <w:proofErr w:type="spellEnd"/>
      <w:r>
        <w:t xml:space="preserve">”).   </w:t>
      </w:r>
    </w:p>
    <w:p w:rsidR="00095F27" w:rsidRDefault="00095F27" w:rsidP="00095F27">
      <w:pPr>
        <w:pStyle w:val="SimpleL4"/>
      </w:pPr>
      <w:proofErr w:type="spellStart"/>
      <w:r>
        <w:t>Articolul</w:t>
      </w:r>
      <w:proofErr w:type="spellEnd"/>
      <w:r>
        <w:t xml:space="preserve"> 11(4) din </w:t>
      </w:r>
      <w:proofErr w:type="spellStart"/>
      <w:r>
        <w:t>Regulamentul</w:t>
      </w:r>
      <w:proofErr w:type="spellEnd"/>
      <w:r>
        <w:t xml:space="preserve"> </w:t>
      </w:r>
      <w:proofErr w:type="spellStart"/>
      <w:r>
        <w:t>Consiliului</w:t>
      </w:r>
      <w:proofErr w:type="spellEnd"/>
      <w:r>
        <w:t xml:space="preserve"> (UE) 2020/672 </w:t>
      </w:r>
      <w:proofErr w:type="spellStart"/>
      <w:r>
        <w:t>prevede</w:t>
      </w:r>
      <w:proofErr w:type="spellEnd"/>
      <w:r>
        <w:t xml:space="preserve"> </w:t>
      </w:r>
      <w:proofErr w:type="spellStart"/>
      <w:r>
        <w:t>că</w:t>
      </w:r>
      <w:proofErr w:type="spellEnd"/>
      <w:r>
        <w:t xml:space="preserve"> </w:t>
      </w:r>
      <w:proofErr w:type="gramStart"/>
      <w:r>
        <w:t>un</w:t>
      </w:r>
      <w:proofErr w:type="gramEnd"/>
      <w:r>
        <w:t xml:space="preserve"> Stat </w:t>
      </w:r>
      <w:proofErr w:type="spellStart"/>
      <w:r>
        <w:t>Membru</w:t>
      </w:r>
      <w:proofErr w:type="spellEnd"/>
      <w:r>
        <w:t xml:space="preserve"> care nu a </w:t>
      </w:r>
      <w:proofErr w:type="spellStart"/>
      <w:r>
        <w:t>onorat</w:t>
      </w:r>
      <w:proofErr w:type="spellEnd"/>
      <w:r>
        <w:t xml:space="preserve"> o </w:t>
      </w:r>
      <w:proofErr w:type="spellStart"/>
      <w:r>
        <w:t>cerere</w:t>
      </w:r>
      <w:proofErr w:type="spellEnd"/>
      <w:r>
        <w:t xml:space="preserve"> de </w:t>
      </w:r>
      <w:proofErr w:type="spellStart"/>
      <w:r>
        <w:t>executare</w:t>
      </w:r>
      <w:proofErr w:type="spellEnd"/>
      <w:r>
        <w:t xml:space="preserve"> a </w:t>
      </w:r>
      <w:proofErr w:type="spellStart"/>
      <w:r>
        <w:t>garanției</w:t>
      </w:r>
      <w:proofErr w:type="spellEnd"/>
      <w:r>
        <w:t xml:space="preserve"> </w:t>
      </w:r>
      <w:proofErr w:type="spellStart"/>
      <w:r>
        <w:t>va</w:t>
      </w:r>
      <w:proofErr w:type="spellEnd"/>
      <w:r>
        <w:t xml:space="preserve"> </w:t>
      </w:r>
      <w:proofErr w:type="spellStart"/>
      <w:r>
        <w:t>rămâne</w:t>
      </w:r>
      <w:proofErr w:type="spellEnd"/>
      <w:r>
        <w:t xml:space="preserve"> </w:t>
      </w:r>
      <w:proofErr w:type="spellStart"/>
      <w:r>
        <w:t>răspunzător</w:t>
      </w:r>
      <w:proofErr w:type="spellEnd"/>
      <w:r>
        <w:t xml:space="preserve"> </w:t>
      </w:r>
      <w:proofErr w:type="spellStart"/>
      <w:r>
        <w:t>să</w:t>
      </w:r>
      <w:proofErr w:type="spellEnd"/>
      <w:r>
        <w:t xml:space="preserve"> o </w:t>
      </w:r>
      <w:proofErr w:type="spellStart"/>
      <w:r>
        <w:t>onoreze</w:t>
      </w:r>
      <w:proofErr w:type="spellEnd"/>
      <w:r>
        <w:t>.</w:t>
      </w:r>
    </w:p>
    <w:p w:rsidR="00095F27" w:rsidRDefault="00095F27" w:rsidP="00095F27">
      <w:pPr>
        <w:pStyle w:val="SimpleL4"/>
      </w:pPr>
      <w:proofErr w:type="spellStart"/>
      <w:r>
        <w:t>Articolul</w:t>
      </w:r>
      <w:proofErr w:type="spellEnd"/>
      <w:r>
        <w:t xml:space="preserve"> 12(1) din </w:t>
      </w:r>
      <w:proofErr w:type="spellStart"/>
      <w:r>
        <w:t>Regulamentul</w:t>
      </w:r>
      <w:proofErr w:type="spellEnd"/>
      <w:r>
        <w:t xml:space="preserve"> </w:t>
      </w:r>
      <w:proofErr w:type="spellStart"/>
      <w:r>
        <w:t>Consiliului</w:t>
      </w:r>
      <w:proofErr w:type="spellEnd"/>
      <w:r>
        <w:t xml:space="preserve"> (UE) 2020/672 </w:t>
      </w:r>
      <w:proofErr w:type="spellStart"/>
      <w:r>
        <w:t>prevede</w:t>
      </w:r>
      <w:proofErr w:type="spellEnd"/>
      <w:r>
        <w:t xml:space="preserve"> </w:t>
      </w:r>
      <w:proofErr w:type="spellStart"/>
      <w:r>
        <w:t>că</w:t>
      </w:r>
      <w:proofErr w:type="spellEnd"/>
      <w:r>
        <w:t xml:space="preserve"> </w:t>
      </w:r>
      <w:proofErr w:type="spellStart"/>
      <w:r>
        <w:t>asistența</w:t>
      </w:r>
      <w:proofErr w:type="spellEnd"/>
      <w:r>
        <w:t xml:space="preserve"> </w:t>
      </w:r>
      <w:proofErr w:type="spellStart"/>
      <w:r>
        <w:t>financiară</w:t>
      </w:r>
      <w:proofErr w:type="spellEnd"/>
      <w:r>
        <w:t xml:space="preserve"> </w:t>
      </w:r>
      <w:proofErr w:type="spellStart"/>
      <w:proofErr w:type="gramStart"/>
      <w:r>
        <w:t>va</w:t>
      </w:r>
      <w:proofErr w:type="spellEnd"/>
      <w:proofErr w:type="gramEnd"/>
      <w:r>
        <w:t xml:space="preserve"> </w:t>
      </w:r>
      <w:proofErr w:type="spellStart"/>
      <w:r>
        <w:t>deveni</w:t>
      </w:r>
      <w:proofErr w:type="spellEnd"/>
      <w:r>
        <w:t xml:space="preserve"> </w:t>
      </w:r>
      <w:proofErr w:type="spellStart"/>
      <w:r>
        <w:t>disponibilă</w:t>
      </w:r>
      <w:proofErr w:type="spellEnd"/>
      <w:r>
        <w:t xml:space="preserve"> </w:t>
      </w:r>
      <w:proofErr w:type="spellStart"/>
      <w:r>
        <w:t>doar</w:t>
      </w:r>
      <w:proofErr w:type="spellEnd"/>
      <w:r>
        <w:t xml:space="preserve"> </w:t>
      </w:r>
      <w:proofErr w:type="spellStart"/>
      <w:r>
        <w:t>după</w:t>
      </w:r>
      <w:proofErr w:type="spellEnd"/>
      <w:r>
        <w:t xml:space="preserve"> </w:t>
      </w:r>
      <w:proofErr w:type="spellStart"/>
      <w:r>
        <w:t>ce</w:t>
      </w:r>
      <w:proofErr w:type="spellEnd"/>
      <w:r>
        <w:t xml:space="preserve"> </w:t>
      </w:r>
      <w:proofErr w:type="spellStart"/>
      <w:r>
        <w:t>toate</w:t>
      </w:r>
      <w:proofErr w:type="spellEnd"/>
      <w:r>
        <w:t xml:space="preserve"> </w:t>
      </w:r>
      <w:proofErr w:type="spellStart"/>
      <w:r>
        <w:t>Statele</w:t>
      </w:r>
      <w:proofErr w:type="spellEnd"/>
      <w:r>
        <w:t xml:space="preserve"> </w:t>
      </w:r>
      <w:proofErr w:type="spellStart"/>
      <w:r>
        <w:t>Membre</w:t>
      </w:r>
      <w:proofErr w:type="spellEnd"/>
      <w:r>
        <w:t xml:space="preserve"> au </w:t>
      </w:r>
      <w:proofErr w:type="spellStart"/>
      <w:r>
        <w:t>contribuit</w:t>
      </w:r>
      <w:proofErr w:type="spellEnd"/>
      <w:r>
        <w:t xml:space="preserve"> la SURE </w:t>
      </w:r>
      <w:proofErr w:type="spellStart"/>
      <w:r>
        <w:t>prin</w:t>
      </w:r>
      <w:proofErr w:type="spellEnd"/>
      <w:r>
        <w:t xml:space="preserve"> </w:t>
      </w:r>
      <w:proofErr w:type="spellStart"/>
      <w:r>
        <w:t>intermediul</w:t>
      </w:r>
      <w:proofErr w:type="spellEnd"/>
      <w:r>
        <w:t xml:space="preserve"> </w:t>
      </w:r>
      <w:proofErr w:type="spellStart"/>
      <w:r>
        <w:t>unui</w:t>
      </w:r>
      <w:proofErr w:type="spellEnd"/>
      <w:r>
        <w:t xml:space="preserve"> </w:t>
      </w:r>
      <w:proofErr w:type="spellStart"/>
      <w:r>
        <w:t>Acord</w:t>
      </w:r>
      <w:proofErr w:type="spellEnd"/>
      <w:r>
        <w:t xml:space="preserve"> de </w:t>
      </w:r>
      <w:proofErr w:type="spellStart"/>
      <w:r>
        <w:t>Garanție</w:t>
      </w:r>
      <w:proofErr w:type="spellEnd"/>
      <w:r>
        <w:t xml:space="preserve">. </w:t>
      </w:r>
    </w:p>
    <w:p w:rsidR="00095F27" w:rsidRDefault="00095F27" w:rsidP="00095F27">
      <w:pPr>
        <w:pStyle w:val="SimpleL4"/>
      </w:pPr>
      <w:proofErr w:type="spellStart"/>
      <w:r>
        <w:t>Fiecare</w:t>
      </w:r>
      <w:proofErr w:type="spellEnd"/>
      <w:r>
        <w:t xml:space="preserve"> Stat </w:t>
      </w:r>
      <w:proofErr w:type="spellStart"/>
      <w:r>
        <w:t>Membru</w:t>
      </w:r>
      <w:proofErr w:type="spellEnd"/>
      <w:r>
        <w:t xml:space="preserve"> al </w:t>
      </w:r>
      <w:proofErr w:type="spellStart"/>
      <w:r>
        <w:t>Uniunii</w:t>
      </w:r>
      <w:proofErr w:type="spellEnd"/>
      <w:r>
        <w:t xml:space="preserve"> </w:t>
      </w:r>
      <w:proofErr w:type="spellStart"/>
      <w:r>
        <w:t>Europene</w:t>
      </w:r>
      <w:proofErr w:type="spellEnd"/>
      <w:r>
        <w:t xml:space="preserve"> </w:t>
      </w:r>
      <w:proofErr w:type="spellStart"/>
      <w:r>
        <w:t>rămâne</w:t>
      </w:r>
      <w:proofErr w:type="spellEnd"/>
      <w:r>
        <w:t xml:space="preserve"> </w:t>
      </w:r>
      <w:proofErr w:type="spellStart"/>
      <w:r>
        <w:t>pe</w:t>
      </w:r>
      <w:proofErr w:type="spellEnd"/>
      <w:r>
        <w:t xml:space="preserve"> </w:t>
      </w:r>
      <w:proofErr w:type="spellStart"/>
      <w:r>
        <w:t>deplin</w:t>
      </w:r>
      <w:proofErr w:type="spellEnd"/>
      <w:r>
        <w:t xml:space="preserve"> </w:t>
      </w:r>
      <w:proofErr w:type="spellStart"/>
      <w:r>
        <w:t>responsabil</w:t>
      </w:r>
      <w:proofErr w:type="spellEnd"/>
      <w:r>
        <w:t xml:space="preserve">, </w:t>
      </w:r>
      <w:proofErr w:type="spellStart"/>
      <w:r>
        <w:t>în</w:t>
      </w:r>
      <w:proofErr w:type="spellEnd"/>
      <w:r>
        <w:t xml:space="preserve"> mod individual, </w:t>
      </w:r>
      <w:proofErr w:type="spellStart"/>
      <w:r>
        <w:t>pentru</w:t>
      </w:r>
      <w:proofErr w:type="spellEnd"/>
      <w:r>
        <w:t xml:space="preserve"> </w:t>
      </w:r>
      <w:proofErr w:type="spellStart"/>
      <w:r>
        <w:t>angajamentele</w:t>
      </w:r>
      <w:proofErr w:type="spellEnd"/>
      <w:r>
        <w:t xml:space="preserve"> </w:t>
      </w:r>
      <w:proofErr w:type="spellStart"/>
      <w:r>
        <w:t>pe</w:t>
      </w:r>
      <w:proofErr w:type="spellEnd"/>
      <w:r>
        <w:t xml:space="preserve"> care </w:t>
      </w:r>
      <w:proofErr w:type="spellStart"/>
      <w:r>
        <w:t>și</w:t>
      </w:r>
      <w:proofErr w:type="spellEnd"/>
      <w:r>
        <w:t xml:space="preserve"> le-a </w:t>
      </w:r>
      <w:proofErr w:type="spellStart"/>
      <w:r>
        <w:t>asumat</w:t>
      </w:r>
      <w:proofErr w:type="spellEnd"/>
      <w:r>
        <w:t xml:space="preserve"> </w:t>
      </w:r>
      <w:proofErr w:type="spellStart"/>
      <w:r>
        <w:t>printr</w:t>
      </w:r>
      <w:proofErr w:type="spellEnd"/>
      <w:r>
        <w:t xml:space="preserve">-un </w:t>
      </w:r>
      <w:proofErr w:type="spellStart"/>
      <w:r>
        <w:t>Acord</w:t>
      </w:r>
      <w:proofErr w:type="spellEnd"/>
      <w:r>
        <w:t xml:space="preserve"> de </w:t>
      </w:r>
      <w:proofErr w:type="spellStart"/>
      <w:r>
        <w:t>Împrumut</w:t>
      </w:r>
      <w:proofErr w:type="spellEnd"/>
      <w:r>
        <w:t xml:space="preserve"> </w:t>
      </w:r>
      <w:proofErr w:type="spellStart"/>
      <w:r>
        <w:t>sau</w:t>
      </w:r>
      <w:proofErr w:type="spellEnd"/>
      <w:r>
        <w:t xml:space="preserve"> </w:t>
      </w:r>
      <w:proofErr w:type="spellStart"/>
      <w:r>
        <w:t>printr</w:t>
      </w:r>
      <w:proofErr w:type="spellEnd"/>
      <w:r>
        <w:t xml:space="preserve">-un </w:t>
      </w:r>
      <w:proofErr w:type="spellStart"/>
      <w:r>
        <w:t>Acord</w:t>
      </w:r>
      <w:proofErr w:type="spellEnd"/>
      <w:r>
        <w:t xml:space="preserve"> de </w:t>
      </w:r>
      <w:proofErr w:type="spellStart"/>
      <w:r>
        <w:t>Garanție</w:t>
      </w:r>
      <w:proofErr w:type="spellEnd"/>
      <w:r>
        <w:t>.</w:t>
      </w:r>
    </w:p>
    <w:p w:rsidR="00095F27" w:rsidRDefault="00095F27" w:rsidP="00095F27">
      <w:pPr>
        <w:pStyle w:val="SimpleL4"/>
        <w:numPr>
          <w:ilvl w:val="0"/>
          <w:numId w:val="0"/>
        </w:numPr>
        <w:tabs>
          <w:tab w:val="left" w:pos="720"/>
        </w:tabs>
        <w:ind w:left="720"/>
      </w:pPr>
    </w:p>
    <w:p w:rsidR="00095F27" w:rsidRDefault="00095F27" w:rsidP="00095F27">
      <w:pPr>
        <w:pStyle w:val="StandardL1"/>
      </w:pPr>
      <w:bookmarkStart w:id="0" w:name="_Toc38557092"/>
      <w:bookmarkStart w:id="1" w:name="_Toc38557133"/>
      <w:bookmarkStart w:id="2" w:name="_Toc38557157"/>
      <w:bookmarkStart w:id="3" w:name="_Toc38557177"/>
      <w:bookmarkStart w:id="4" w:name="_Toc38568565"/>
      <w:bookmarkStart w:id="5" w:name="_Toc38704892"/>
      <w:bookmarkStart w:id="6" w:name="_Toc40351505"/>
      <w:bookmarkEnd w:id="0"/>
      <w:bookmarkEnd w:id="1"/>
      <w:bookmarkEnd w:id="2"/>
      <w:bookmarkEnd w:id="3"/>
      <w:bookmarkEnd w:id="4"/>
      <w:r>
        <w:lastRenderedPageBreak/>
        <w:t>Garanția și Despăgubirea</w:t>
      </w:r>
      <w:bookmarkEnd w:id="5"/>
      <w:bookmarkEnd w:id="6"/>
      <w:r>
        <w:t xml:space="preserve"> </w:t>
      </w:r>
    </w:p>
    <w:p w:rsidR="00095F27" w:rsidRDefault="00095F27" w:rsidP="00095F27">
      <w:pPr>
        <w:pStyle w:val="StandardL2"/>
        <w:keepNext/>
        <w:rPr>
          <w:rFonts w:cs="Times New Roman"/>
        </w:rPr>
      </w:pPr>
      <w:r>
        <w:t xml:space="preserve">Garanția  </w:t>
      </w:r>
    </w:p>
    <w:p w:rsidR="00095F27" w:rsidRDefault="00095F27" w:rsidP="00095F27">
      <w:pPr>
        <w:pStyle w:val="BodyText1"/>
        <w:keepNext/>
        <w:rPr>
          <w:rFonts w:cs="Times New Roman"/>
          <w:strike/>
        </w:rPr>
      </w:pPr>
      <w:r>
        <w:t>Prin prezentul, Garantul garantează Uniunii, în mod necondiționat și irevocabil, plata datorată și în termen, la cerere, a până la 100 la sută din contribuția sa („</w:t>
      </w:r>
      <w:r>
        <w:rPr>
          <w:b/>
        </w:rPr>
        <w:t>Contribuția Garantată</w:t>
      </w:r>
      <w:r>
        <w:t>”) și se angajează în mod corespunzător să plătească Uniunii, în termen de zece (10) Zile Lucrătoare (sau într-o perioadă mai scurtă, astfel cum este specificat în prezentul Acord de Garanție) de la primirea unei cereri scrise din partea Comisiei în conformitate cu prezentul Acord de Garanție (o „</w:t>
      </w:r>
      <w:r>
        <w:rPr>
          <w:b/>
        </w:rPr>
        <w:t>Cerere</w:t>
      </w:r>
      <w:r>
        <w:t xml:space="preserve">”) până la 100 la sută din Contribuția sa Garantată. </w:t>
      </w:r>
    </w:p>
    <w:p w:rsidR="00095F27" w:rsidRDefault="00095F27" w:rsidP="00095F27">
      <w:pPr>
        <w:pStyle w:val="StandardL2"/>
        <w:rPr>
          <w:rFonts w:cs="Times New Roman"/>
        </w:rPr>
      </w:pPr>
      <w:r>
        <w:t xml:space="preserve">Prezentul Acord de Garanție are legătură exclusiv cu Împrumuturile și Acordurile de Împrumut asociate care sunt autorizate prin o decizie, adoptată de Consiliu, anterior datei de 31 decembrie 2022, luată în baza Regulamentului Consiliului (UE) 2020/672, așa după cum a fost adoptat inițial. Orice alte împrumuturi ale Uniunii de pe piețele de capital și de la instituții financiare și alte acorduri de împrumut nu vor da naștere niciunei pretenții sau obligații în baza prezentului Acord de Garanție. </w:t>
      </w:r>
    </w:p>
    <w:p w:rsidR="00095F27" w:rsidRDefault="00095F27" w:rsidP="00095F27">
      <w:pPr>
        <w:pStyle w:val="StandardL2"/>
        <w:rPr>
          <w:rFonts w:cs="Times New Roman"/>
        </w:rPr>
      </w:pPr>
      <w:bookmarkStart w:id="7" w:name="_Ref263156373"/>
      <w:bookmarkStart w:id="8" w:name="_Ref263156077"/>
      <w:r>
        <w:t xml:space="preserve">Sub rezerva Clauzei 5.1, Contribuția Garantată a Garantului este egală cu valoarea prevăzută în dreptul numelui Garantului în Anexa 1 la prezentul Acord de Garanție.  Procentul Cheie al Contribuției de Garanție a Garantului este egal cu procentul prevăzut în dreptul numelui Garantului în Anexa 2 la prezentul Acord de Garanție. </w:t>
      </w:r>
    </w:p>
    <w:p w:rsidR="00095F27" w:rsidRDefault="00095F27" w:rsidP="00095F27">
      <w:pPr>
        <w:pStyle w:val="StandardL2"/>
        <w:rPr>
          <w:rFonts w:cs="Times New Roman"/>
        </w:rPr>
      </w:pPr>
      <w:r>
        <w:t xml:space="preserve">Valoarea totală cumulată a oricăreia sau a tuturor Sumelor Cerute și Sumelor Suplimentare Cerute Garantului (așa cum sunt definite în Clauzele 1.6 și, respectiv, 1.7) nu poate depăși niciodată Contribuția Garantată a Garantului. Garantul nu va fi ținut răspunzător să plătească o sumă care depășește Contribuția sa Garantată.   </w:t>
      </w:r>
    </w:p>
    <w:p w:rsidR="00095F27" w:rsidRDefault="00095F27" w:rsidP="00095F27">
      <w:pPr>
        <w:pStyle w:val="StandardL2"/>
        <w:rPr>
          <w:rFonts w:cs="Times New Roman"/>
        </w:rPr>
      </w:pPr>
      <w:r>
        <w:t>Obligațiile Garantului din prezentul Acord de Garanție și ale altor Garanți din Acordurile lor de Garanție sunt exclusiv individuale.</w:t>
      </w:r>
    </w:p>
    <w:p w:rsidR="00095F27" w:rsidRDefault="00095F27" w:rsidP="00095F27">
      <w:pPr>
        <w:pStyle w:val="StandardL2"/>
      </w:pPr>
      <w:bookmarkStart w:id="9" w:name="_Ref267405340"/>
      <w:r>
        <w:t>O Cerere în baza prezentei Garanții poate fi făcută de Comisie în orice moment înainte sau după o plată programată de dobândă sau o plată programată de rată de capital sau înainte de sau după scadența unei alte sume (denumite împreună „</w:t>
      </w:r>
      <w:r>
        <w:rPr>
          <w:b/>
        </w:rPr>
        <w:t>Suma Datorată</w:t>
      </w:r>
      <w:r>
        <w:t>”) în baza Împrumuturilor, dacă:</w:t>
      </w:r>
    </w:p>
    <w:p w:rsidR="00095F27" w:rsidRDefault="00095F27" w:rsidP="00095F27">
      <w:pPr>
        <w:pStyle w:val="Schedule1L7"/>
        <w:tabs>
          <w:tab w:val="num" w:pos="1276"/>
        </w:tabs>
        <w:spacing w:line="240" w:lineRule="auto"/>
        <w:ind w:left="1276" w:hanging="567"/>
      </w:pPr>
      <w:proofErr w:type="spellStart"/>
      <w:r>
        <w:t>Uniunea</w:t>
      </w:r>
      <w:proofErr w:type="spellEnd"/>
      <w:r>
        <w:t xml:space="preserve"> (</w:t>
      </w:r>
      <w:proofErr w:type="spellStart"/>
      <w:r>
        <w:t>indiferent</w:t>
      </w:r>
      <w:proofErr w:type="spellEnd"/>
      <w:r>
        <w:t xml:space="preserve"> de </w:t>
      </w:r>
      <w:proofErr w:type="spellStart"/>
      <w:r>
        <w:t>motiv</w:t>
      </w:r>
      <w:proofErr w:type="spellEnd"/>
      <w:r>
        <w:t xml:space="preserve">) nu a </w:t>
      </w:r>
      <w:proofErr w:type="spellStart"/>
      <w:r>
        <w:t>primit</w:t>
      </w:r>
      <w:proofErr w:type="spellEnd"/>
      <w:r>
        <w:t xml:space="preserve"> </w:t>
      </w:r>
      <w:proofErr w:type="spellStart"/>
      <w:r>
        <w:t>în</w:t>
      </w:r>
      <w:proofErr w:type="spellEnd"/>
      <w:r>
        <w:t xml:space="preserve"> </w:t>
      </w:r>
      <w:proofErr w:type="spellStart"/>
      <w:r>
        <w:t>totalitate</w:t>
      </w:r>
      <w:proofErr w:type="spellEnd"/>
      <w:r>
        <w:t xml:space="preserve"> o </w:t>
      </w:r>
      <w:proofErr w:type="spellStart"/>
      <w:r>
        <w:t>plată</w:t>
      </w:r>
      <w:proofErr w:type="spellEnd"/>
      <w:r>
        <w:t xml:space="preserve"> </w:t>
      </w:r>
      <w:proofErr w:type="spellStart"/>
      <w:r>
        <w:t>scadentă</w:t>
      </w:r>
      <w:proofErr w:type="spellEnd"/>
      <w:r>
        <w:t xml:space="preserve">, conform </w:t>
      </w:r>
      <w:proofErr w:type="spellStart"/>
      <w:r>
        <w:t>scadenței</w:t>
      </w:r>
      <w:proofErr w:type="spellEnd"/>
      <w:r>
        <w:t xml:space="preserve"> </w:t>
      </w:r>
      <w:proofErr w:type="spellStart"/>
      <w:r>
        <w:t>prevăzute</w:t>
      </w:r>
      <w:proofErr w:type="spellEnd"/>
      <w:r>
        <w:t xml:space="preserve"> de un </w:t>
      </w:r>
      <w:proofErr w:type="spellStart"/>
      <w:r>
        <w:t>Acord</w:t>
      </w:r>
      <w:proofErr w:type="spellEnd"/>
      <w:r>
        <w:t xml:space="preserve"> de </w:t>
      </w:r>
      <w:proofErr w:type="spellStart"/>
      <w:r>
        <w:t>Împrumut</w:t>
      </w:r>
      <w:proofErr w:type="spellEnd"/>
      <w:r>
        <w:t xml:space="preserve">, de la un Stat </w:t>
      </w:r>
      <w:proofErr w:type="spellStart"/>
      <w:r>
        <w:t>Membru</w:t>
      </w:r>
      <w:proofErr w:type="spellEnd"/>
      <w:r>
        <w:t xml:space="preserve"> al </w:t>
      </w:r>
      <w:proofErr w:type="spellStart"/>
      <w:r>
        <w:t>Uniunii</w:t>
      </w:r>
      <w:proofErr w:type="spellEnd"/>
      <w:r>
        <w:t xml:space="preserve"> </w:t>
      </w:r>
      <w:proofErr w:type="spellStart"/>
      <w:r>
        <w:t>Europene</w:t>
      </w:r>
      <w:proofErr w:type="spellEnd"/>
      <w:r>
        <w:t xml:space="preserve"> </w:t>
      </w:r>
      <w:proofErr w:type="spellStart"/>
      <w:r>
        <w:t>finanțat</w:t>
      </w:r>
      <w:proofErr w:type="spellEnd"/>
      <w:r>
        <w:t xml:space="preserve"> din </w:t>
      </w:r>
      <w:proofErr w:type="spellStart"/>
      <w:r>
        <w:t>Împrumuturi</w:t>
      </w:r>
      <w:proofErr w:type="spellEnd"/>
      <w:r>
        <w:t xml:space="preserve"> </w:t>
      </w:r>
      <w:proofErr w:type="spellStart"/>
      <w:r>
        <w:t>sau</w:t>
      </w:r>
      <w:proofErr w:type="spellEnd"/>
      <w:r>
        <w:t xml:space="preserve"> </w:t>
      </w:r>
      <w:proofErr w:type="spellStart"/>
      <w:r>
        <w:t>este</w:t>
      </w:r>
      <w:proofErr w:type="spellEnd"/>
      <w:r>
        <w:t xml:space="preserve"> </w:t>
      </w:r>
      <w:proofErr w:type="spellStart"/>
      <w:r>
        <w:t>notificată</w:t>
      </w:r>
      <w:proofErr w:type="spellEnd"/>
      <w:r>
        <w:t xml:space="preserve"> de </w:t>
      </w:r>
      <w:proofErr w:type="spellStart"/>
      <w:r>
        <w:t>Statul</w:t>
      </w:r>
      <w:proofErr w:type="spellEnd"/>
      <w:r>
        <w:t xml:space="preserve"> </w:t>
      </w:r>
      <w:proofErr w:type="spellStart"/>
      <w:r>
        <w:t>Membru</w:t>
      </w:r>
      <w:proofErr w:type="spellEnd"/>
      <w:r>
        <w:t xml:space="preserve"> </w:t>
      </w:r>
      <w:proofErr w:type="spellStart"/>
      <w:r>
        <w:t>respectiv</w:t>
      </w:r>
      <w:proofErr w:type="spellEnd"/>
      <w:r>
        <w:t xml:space="preserve"> </w:t>
      </w:r>
      <w:proofErr w:type="spellStart"/>
      <w:r>
        <w:t>sau</w:t>
      </w:r>
      <w:proofErr w:type="spellEnd"/>
      <w:r>
        <w:t xml:space="preserve"> </w:t>
      </w:r>
      <w:proofErr w:type="spellStart"/>
      <w:r>
        <w:t>află</w:t>
      </w:r>
      <w:proofErr w:type="spellEnd"/>
      <w:r>
        <w:t xml:space="preserve"> </w:t>
      </w:r>
      <w:proofErr w:type="spellStart"/>
      <w:r>
        <w:t>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unui</w:t>
      </w:r>
      <w:proofErr w:type="spellEnd"/>
      <w:r>
        <w:t xml:space="preserve"> </w:t>
      </w:r>
      <w:proofErr w:type="spellStart"/>
      <w:r>
        <w:t>eveniment</w:t>
      </w:r>
      <w:proofErr w:type="spellEnd"/>
      <w:r>
        <w:t xml:space="preserve"> de </w:t>
      </w:r>
      <w:proofErr w:type="spellStart"/>
      <w:r>
        <w:t>neplată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Acordului</w:t>
      </w:r>
      <w:proofErr w:type="spellEnd"/>
      <w:r>
        <w:t xml:space="preserve"> de </w:t>
      </w:r>
      <w:proofErr w:type="spellStart"/>
      <w:r>
        <w:t>Împrumut</w:t>
      </w:r>
      <w:proofErr w:type="spellEnd"/>
      <w:r>
        <w:t xml:space="preserve">, </w:t>
      </w:r>
      <w:proofErr w:type="spellStart"/>
      <w:r>
        <w:t>Statul</w:t>
      </w:r>
      <w:proofErr w:type="spellEnd"/>
      <w:r>
        <w:t xml:space="preserve"> </w:t>
      </w:r>
      <w:proofErr w:type="spellStart"/>
      <w:r>
        <w:t>Membru</w:t>
      </w:r>
      <w:proofErr w:type="spellEnd"/>
      <w:r>
        <w:t xml:space="preserve"> </w:t>
      </w:r>
      <w:proofErr w:type="spellStart"/>
      <w:r>
        <w:t>respectiv</w:t>
      </w:r>
      <w:proofErr w:type="spellEnd"/>
      <w:r>
        <w:t xml:space="preserve"> nu </w:t>
      </w:r>
      <w:proofErr w:type="spellStart"/>
      <w:r>
        <w:t>va</w:t>
      </w:r>
      <w:proofErr w:type="spellEnd"/>
      <w:r>
        <w:t xml:space="preserve"> </w:t>
      </w:r>
      <w:proofErr w:type="spellStart"/>
      <w:r>
        <w:t>efectua</w:t>
      </w:r>
      <w:proofErr w:type="spellEnd"/>
      <w:r>
        <w:t xml:space="preserve"> </w:t>
      </w:r>
      <w:proofErr w:type="spellStart"/>
      <w:r>
        <w:t>sau</w:t>
      </w:r>
      <w:proofErr w:type="spellEnd"/>
      <w:r>
        <w:t xml:space="preserve"> nu </w:t>
      </w:r>
      <w:proofErr w:type="spellStart"/>
      <w:r>
        <w:t>va</w:t>
      </w:r>
      <w:proofErr w:type="spellEnd"/>
      <w:r>
        <w:t xml:space="preserve"> </w:t>
      </w:r>
      <w:proofErr w:type="spellStart"/>
      <w:r>
        <w:t>putea</w:t>
      </w:r>
      <w:proofErr w:type="spellEnd"/>
      <w:r>
        <w:t xml:space="preserve"> </w:t>
      </w:r>
      <w:proofErr w:type="spellStart"/>
      <w:r>
        <w:t>efectua</w:t>
      </w:r>
      <w:proofErr w:type="spellEnd"/>
      <w:r>
        <w:t xml:space="preserve"> </w:t>
      </w:r>
      <w:proofErr w:type="spellStart"/>
      <w:r>
        <w:t>în</w:t>
      </w:r>
      <w:proofErr w:type="spellEnd"/>
      <w:r>
        <w:t xml:space="preserve"> </w:t>
      </w:r>
      <w:proofErr w:type="spellStart"/>
      <w:r>
        <w:t>totalitate</w:t>
      </w:r>
      <w:proofErr w:type="spellEnd"/>
      <w:r>
        <w:t xml:space="preserve"> o </w:t>
      </w:r>
      <w:proofErr w:type="spellStart"/>
      <w:r>
        <w:t>plată</w:t>
      </w:r>
      <w:proofErr w:type="spellEnd"/>
      <w:r>
        <w:t xml:space="preserve"> </w:t>
      </w:r>
      <w:proofErr w:type="spellStart"/>
      <w:r>
        <w:t>scadentă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unui</w:t>
      </w:r>
      <w:proofErr w:type="spellEnd"/>
      <w:r>
        <w:t xml:space="preserve"> </w:t>
      </w:r>
      <w:proofErr w:type="spellStart"/>
      <w:r>
        <w:t>astfel</w:t>
      </w:r>
      <w:proofErr w:type="spellEnd"/>
      <w:r>
        <w:t xml:space="preserve"> de </w:t>
      </w:r>
      <w:proofErr w:type="spellStart"/>
      <w:r>
        <w:t>Acord</w:t>
      </w:r>
      <w:proofErr w:type="spellEnd"/>
      <w:r>
        <w:t xml:space="preserve"> de </w:t>
      </w:r>
      <w:proofErr w:type="spellStart"/>
      <w:r>
        <w:t>Împrumut</w:t>
      </w:r>
      <w:proofErr w:type="spellEnd"/>
      <w:r>
        <w:t xml:space="preserve">, conform </w:t>
      </w:r>
      <w:proofErr w:type="spellStart"/>
      <w:r>
        <w:t>scadenței</w:t>
      </w:r>
      <w:proofErr w:type="spellEnd"/>
      <w:r>
        <w:t xml:space="preserve">; </w:t>
      </w:r>
      <w:proofErr w:type="spellStart"/>
      <w:r>
        <w:t>și</w:t>
      </w:r>
      <w:proofErr w:type="spellEnd"/>
      <w:r>
        <w:t xml:space="preserve">  </w:t>
      </w:r>
    </w:p>
    <w:p w:rsidR="00095F27" w:rsidRDefault="00095F27" w:rsidP="00095F27">
      <w:pPr>
        <w:pStyle w:val="Schedule1L7"/>
        <w:tabs>
          <w:tab w:val="num" w:pos="1276"/>
        </w:tabs>
        <w:spacing w:line="240" w:lineRule="auto"/>
        <w:ind w:left="1276" w:hanging="567"/>
      </w:pPr>
      <w:proofErr w:type="gramStart"/>
      <w:r>
        <w:t>o</w:t>
      </w:r>
      <w:proofErr w:type="gramEnd"/>
      <w:r>
        <w:t xml:space="preserve"> </w:t>
      </w:r>
      <w:proofErr w:type="spellStart"/>
      <w:r>
        <w:t>Sumă</w:t>
      </w:r>
      <w:proofErr w:type="spellEnd"/>
      <w:r>
        <w:t xml:space="preserve"> </w:t>
      </w:r>
      <w:proofErr w:type="spellStart"/>
      <w:r>
        <w:t>Datorată</w:t>
      </w:r>
      <w:proofErr w:type="spellEnd"/>
      <w:r>
        <w:t xml:space="preserve"> </w:t>
      </w:r>
      <w:proofErr w:type="spellStart"/>
      <w:r>
        <w:t>este</w:t>
      </w:r>
      <w:proofErr w:type="spellEnd"/>
      <w:r>
        <w:t xml:space="preserve">, a </w:t>
      </w:r>
      <w:proofErr w:type="spellStart"/>
      <w:r>
        <w:t>fost</w:t>
      </w:r>
      <w:proofErr w:type="spellEnd"/>
      <w:r>
        <w:t xml:space="preserve"> </w:t>
      </w:r>
      <w:proofErr w:type="spellStart"/>
      <w:r>
        <w:t>sau</w:t>
      </w:r>
      <w:proofErr w:type="spellEnd"/>
      <w:r>
        <w:t xml:space="preserve"> </w:t>
      </w:r>
      <w:proofErr w:type="spellStart"/>
      <w:r>
        <w:t>va</w:t>
      </w:r>
      <w:proofErr w:type="spellEnd"/>
      <w:r>
        <w:t xml:space="preserve"> fi </w:t>
      </w:r>
      <w:proofErr w:type="spellStart"/>
      <w:r>
        <w:t>scadentă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Împrumuturilor</w:t>
      </w:r>
      <w:proofErr w:type="spellEnd"/>
      <w:r>
        <w:t>.</w:t>
      </w:r>
    </w:p>
    <w:p w:rsidR="00095F27" w:rsidRDefault="00095F27" w:rsidP="00095F27">
      <w:pPr>
        <w:ind w:left="720"/>
        <w:rPr>
          <w:rFonts w:cs="Calibri"/>
          <w:i/>
          <w:iCs/>
          <w:color w:val="1F497D"/>
          <w:sz w:val="22"/>
          <w:szCs w:val="22"/>
        </w:rPr>
      </w:pPr>
      <w:r>
        <w:t xml:space="preserve">Într-o astfel de situație, Comisia va stabili, la propria latitudine, o sumă care să fie cerută Garanților („suma executării garanției”), până la maximul Sumei Datorate, pentru a se asigura că Uniunea deține suficiente resurse pentru a face plata. În stabilirea Sumei Executării Garanției, Comisia va trage orice sumă, care poate fi zero, considerată necesară de către Comisie, la propria latitudine, ținând cont, printre altele, de obligațiile </w:t>
      </w:r>
      <w:r>
        <w:lastRenderedPageBreak/>
        <w:t>contingente totale ale Uniunii (inclusiv în baza Facilității privind Balanța de Plăți) și de sustenabilitatea bugetului Uniunii, care ar putea fi disponibilă în cadrul plafonului de resurse proprii pentru credite de plată.</w:t>
      </w:r>
    </w:p>
    <w:p w:rsidR="00095F27" w:rsidRDefault="00095F27" w:rsidP="00095F27">
      <w:pPr>
        <w:pStyle w:val="StandardL2"/>
        <w:numPr>
          <w:ilvl w:val="0"/>
          <w:numId w:val="0"/>
        </w:numPr>
        <w:tabs>
          <w:tab w:val="left" w:pos="720"/>
        </w:tabs>
        <w:ind w:left="720"/>
        <w:rPr>
          <w:rFonts w:cs="Times New Roman"/>
        </w:rPr>
      </w:pPr>
      <w:r>
        <w:t>Comisia va transmite Cereri către toți Garanții. Cererile vor fi pro rata cu cota relativă a fiecărui Garant în Cheia Contribuției de Garanție.</w:t>
      </w:r>
    </w:p>
    <w:p w:rsidR="00095F27" w:rsidRDefault="00095F27" w:rsidP="00095F27">
      <w:pPr>
        <w:pStyle w:val="StandardL2"/>
        <w:numPr>
          <w:ilvl w:val="0"/>
          <w:numId w:val="0"/>
        </w:numPr>
        <w:tabs>
          <w:tab w:val="left" w:pos="720"/>
        </w:tabs>
        <w:ind w:left="720"/>
        <w:rPr>
          <w:rFonts w:cs="Times New Roman"/>
        </w:rPr>
      </w:pPr>
      <w:r>
        <w:t>Orice Cerere va specifica Suma Datorată, măsura în care au fost trase sume din plafonul de resurse proprii pentru credite de plată și Suma Executată din Garanție și va solicita în scris Garantului să transfere o sumă egală cu Procentul său Cheie al Contribuției de Garanție din Suma Executată din Garanție (această sumă fiind „</w:t>
      </w:r>
      <w:r>
        <w:rPr>
          <w:b/>
        </w:rPr>
        <w:t>Suma Cerută</w:t>
      </w:r>
      <w:r>
        <w:t>”), în valoare netă în contul la care se face referire în Clauza 1.9. Suma Cerută va respecta Clauza 1.4. Garantul garantează în mod necondiționat și irevocabil către Comisie plata datorată și în termen a Sumei Cerute la cerere și Garantul va transfera Suma Cerută în conformitate cu termenii Cererii respective. Transferul se va realiza în termen de zece (10) Zile Lucrătoare.</w:t>
      </w:r>
    </w:p>
    <w:p w:rsidR="00095F27" w:rsidRDefault="00095F27" w:rsidP="00095F27">
      <w:pPr>
        <w:pStyle w:val="BodyText1"/>
      </w:pPr>
      <w:r>
        <w:t xml:space="preserve">Conform Acordului de Împrumut, Statul Membru la care se face referire în Clauza 1.6(i) va informa Comisia în termen de două (2) Zile Lucrătoare de la Cerere cu privire la abilitatea sa de a îndeplini Cererea. </w:t>
      </w:r>
    </w:p>
    <w:p w:rsidR="00095F27" w:rsidRDefault="00095F27" w:rsidP="00095F27">
      <w:pPr>
        <w:pStyle w:val="StandardL2"/>
      </w:pPr>
      <w:r>
        <w:t>În cazul în care oricare unul sau mai mulți Garanți nu plătește Suma Cerută sau Statul Membru la care se face referire în Clauza 1.6(i) a transmis o notificare cu privire la incapacitatea sa de a îndeplini Cererea sau nu a reușit să notifice cu privire la capacitatea sa (suma neplătită fiind „</w:t>
      </w:r>
      <w:r>
        <w:rPr>
          <w:b/>
        </w:rPr>
        <w:t>Deficit Suplimentar</w:t>
      </w:r>
      <w:r>
        <w:t>”), Comisia va lansa o nouă Cerere (sau noi Cereri) (această/aceste Cerere(i) fiind „</w:t>
      </w:r>
      <w:r>
        <w:rPr>
          <w:b/>
        </w:rPr>
        <w:t>Cererea/Cererile Suplimentară(e)</w:t>
      </w:r>
      <w:r>
        <w:t>”) către ceilalți Garanți pentru a plăti Procentul lor Cheie Ajustat de Contribuție de Plată din Deficitul(ele) Suplimentar(e) („</w:t>
      </w:r>
      <w:r>
        <w:rPr>
          <w:b/>
        </w:rPr>
        <w:t>Suma Suplimentară Solicitată</w:t>
      </w:r>
      <w:r>
        <w:t>”). În înțelesul prezentei Clauze</w:t>
      </w:r>
      <w:bookmarkEnd w:id="7"/>
      <w:r>
        <w:t xml:space="preserve"> </w:t>
      </w:r>
      <w:r>
        <w:rPr>
          <w:rFonts w:cs="Times New Roman"/>
        </w:rPr>
        <w:t>1.7</w:t>
      </w:r>
      <w:r>
        <w:t xml:space="preserve">, Procentul Cheie Ajustat din Contribuția de Plată a unui Garant înseamnă Procentul Cheie de Contribuție de Garanție al fiecărui Garant ajustat pe bază </w:t>
      </w:r>
      <w:r>
        <w:rPr>
          <w:i/>
        </w:rPr>
        <w:t>pro rata</w:t>
      </w:r>
      <w:r>
        <w:t xml:space="preserve"> </w:t>
      </w:r>
      <w:r>
        <w:rPr>
          <w:i/>
          <w:iCs/>
        </w:rPr>
        <w:t xml:space="preserve">pari </w:t>
      </w:r>
      <w:proofErr w:type="spellStart"/>
      <w:r>
        <w:rPr>
          <w:i/>
          <w:iCs/>
        </w:rPr>
        <w:t>passu</w:t>
      </w:r>
      <w:proofErr w:type="spellEnd"/>
      <w:r>
        <w:rPr>
          <w:i/>
          <w:iCs/>
        </w:rPr>
        <w:t xml:space="preserve"> </w:t>
      </w:r>
      <w:r>
        <w:t xml:space="preserve">relativ la Garantul(ții) neplătitor(i), fiind exclus(și) astfel încât Procentul Cheie Ajustat al Contribuției sale/lor la Plată să fie egal cu zero în acest scop, astfel că totalul Procentului Cheie Ajustat de Plată al restului Garanților este egal cu 100 la sută.   </w:t>
      </w:r>
    </w:p>
    <w:p w:rsidR="00095F27" w:rsidRDefault="00095F27" w:rsidP="00095F27">
      <w:pPr>
        <w:pStyle w:val="StandardL2"/>
        <w:numPr>
          <w:ilvl w:val="0"/>
          <w:numId w:val="0"/>
        </w:numPr>
        <w:tabs>
          <w:tab w:val="left" w:pos="720"/>
        </w:tabs>
        <w:ind w:left="720"/>
        <w:rPr>
          <w:rFonts w:cs="Times New Roman"/>
        </w:rPr>
      </w:pPr>
      <w:r>
        <w:t xml:space="preserve">Comisia va lansa Cereri Suplimentare către toți Garanții proporțional cu cota relativă a fiecăruia dintre ceilalți Garanți din Cheia de Contribuție pentru Garanție, ajustate astfel încât să nu țină cont de cota relativă a Garantului care nu a reușit să-și onoreze datoria.  </w:t>
      </w:r>
    </w:p>
    <w:p w:rsidR="00095F27" w:rsidRDefault="00095F27" w:rsidP="00095F27">
      <w:pPr>
        <w:pStyle w:val="StandardL2"/>
        <w:numPr>
          <w:ilvl w:val="0"/>
          <w:numId w:val="0"/>
        </w:numPr>
        <w:tabs>
          <w:tab w:val="left" w:pos="720"/>
        </w:tabs>
        <w:ind w:left="720"/>
        <w:rPr>
          <w:rFonts w:cs="Times New Roman"/>
        </w:rPr>
      </w:pPr>
      <w:r>
        <w:t xml:space="preserve">Orice Cerere Suplimentară va specifica Deficitul Suplimentar și va solicita în scris Garantului să transfere o sumă egală cu Suma Suplimentară Cerută, în </w:t>
      </w:r>
      <w:proofErr w:type="spellStart"/>
      <w:r>
        <w:t>valaore</w:t>
      </w:r>
      <w:proofErr w:type="spellEnd"/>
      <w:r>
        <w:t xml:space="preserve"> netă în contul la care se face referire în Clauza 1.9. Suma Suplimentară Cerută va respecta Clauza 1.4. Garantul garantează în mod necondiționat și irevocabil către Comisie plata datorată și în termen a Sumei Suplimentare Cerute la cerere și Garantul va transfera Suma Suplimentară Cerută în conformitate cu termenii Cererii Suplimentare respective. Transferul se va realiza în termen de zece (10) Zile Lucrătoare sau într-un alt termen, astfel încât fonduri suficiente să fi fost plătite în contul specificat în Clauza 1.9 pentru a permite plata în totalitate a Sumei Datorate la data programată de plată sau, în cazul </w:t>
      </w:r>
      <w:r>
        <w:lastRenderedPageBreak/>
        <w:t xml:space="preserve">în care Comisia lansează o astfel de Cerere Suplimentară după data scadenței, înainte de expirarea perioadei de grație pentru neplata sumei respective prevăzute în Împrumuturi (în fiecare caz cu condiția ca Cererea Suplimentară să fie făcută cu mai mult de cinci (5) Zile Lucrătoare anterior datei programate a scadenței pentru suma cerută și, dacă nu așa stau lucrurile, Cererea Suplimentară respectivă va fi achitată nu mai târziu de cea de-a cincea (5-a) Zi Lucrătoare care urmează datei primirii Cererii Suplimentare respective). Prezenta Clauză 1.7 se va aplica în mod cumulativ, </w:t>
      </w:r>
      <w:r>
        <w:rPr>
          <w:i/>
        </w:rPr>
        <w:t>mutatis mutandis</w:t>
      </w:r>
      <w:r>
        <w:t>, dacă unul sau mai mulți Garanți nu-și achită Procentul Cheie Ajustat de Contribuție ce le corespunde dintr-un Deficit Suplimentar.</w:t>
      </w:r>
      <w:bookmarkEnd w:id="9"/>
    </w:p>
    <w:p w:rsidR="00095F27" w:rsidRDefault="00095F27" w:rsidP="00095F27">
      <w:pPr>
        <w:pStyle w:val="StandardL2"/>
      </w:pPr>
      <w:bookmarkStart w:id="10" w:name="_Ref271303741"/>
      <w:r>
        <w:t xml:space="preserve">În urma unei Cereri sau Cereri Suplimentare, Comisia va iniția procedurile de recuperare cu privire la Acordul de Împrumut și, dacă este cazul, cu privire la Acordul de Garanție. Comisia va rambursa Garantului din sumele recuperate de Comisie cu privire la Acordurile de Împrumut sau Acordurile de Garanție. </w:t>
      </w:r>
      <w:bookmarkEnd w:id="8"/>
      <w:bookmarkEnd w:id="10"/>
      <w:r>
        <w:t>Pentru sumele recuperate în urma unei Cereri sau a unei Cereri Suplimentare către Garant, Comisia va solicita, în baza unei notificări, detaliile de plată ale Garantului și, în momentul primirii lor, va despăgubi Garantul în termen de zece (10) Zile Lucrătoare cu suma prevăzută în Cererea sau Cererea Suplimentară respectivă. În cazul unei recuperări în mai multe tranșe, Garantul va fi despăgubit proporțional cu acea contribuție a Garantului la Deficit sau Deficitul Suplimentar. Într-un astfel de caz, se va acorda prioritate rambursării Cererilor Suplimentare și numai după ce acestea sunt acoperite vor fi acoperite și Cererile.</w:t>
      </w:r>
    </w:p>
    <w:p w:rsidR="00095F27" w:rsidRDefault="00095F27" w:rsidP="00095F27">
      <w:pPr>
        <w:pStyle w:val="StandardL2"/>
      </w:pPr>
      <w:r>
        <w:t>Plățile făcute în baza acestui Acord de Garanție se vor efectua în contul identificat în fiecare Cerere.</w:t>
      </w:r>
    </w:p>
    <w:p w:rsidR="00095F27" w:rsidRDefault="00095F27" w:rsidP="00095F27">
      <w:pPr>
        <w:pStyle w:val="StandardL2"/>
      </w:pPr>
      <w:r>
        <w:t>Garantul nu are dreptul să compenseze sau să deducă orice sume datorate lui de către Uniune din orice plăți datorate de Garant în baza acestui Acord de Garanție.</w:t>
      </w:r>
    </w:p>
    <w:p w:rsidR="00095F27" w:rsidRDefault="00095F27" w:rsidP="00095F27">
      <w:pPr>
        <w:pStyle w:val="StandardL1"/>
      </w:pPr>
      <w:bookmarkStart w:id="11" w:name="_Toc40351506"/>
      <w:bookmarkStart w:id="12" w:name="_Toc38704893"/>
      <w:r>
        <w:t>Păstrarea Drepturilor</w:t>
      </w:r>
      <w:bookmarkEnd w:id="11"/>
      <w:bookmarkEnd w:id="12"/>
      <w:r>
        <w:t xml:space="preserve"> </w:t>
      </w:r>
    </w:p>
    <w:p w:rsidR="00095F27" w:rsidRDefault="00095F27" w:rsidP="00095F27">
      <w:pPr>
        <w:pStyle w:val="StandardL2"/>
      </w:pPr>
      <w:r>
        <w:t xml:space="preserve">Obligații continue </w:t>
      </w:r>
    </w:p>
    <w:p w:rsidR="00095F27" w:rsidRDefault="00095F27" w:rsidP="00095F27">
      <w:pPr>
        <w:pStyle w:val="BodyText1"/>
        <w:rPr>
          <w:rFonts w:cs="Times New Roman"/>
        </w:rPr>
      </w:pPr>
      <w:r>
        <w:t xml:space="preserve">Obligațiile Garantului cuprinse în prezentul acord vor constitui și vor fi obligații continue, fără a aduce atingere oricărei reglări de cont sau altei chestiuni sau situații de orice natură și nu se va considera că au fost îndeplinite prin nicio plată intermediară sau îndeplinire a tuturor sau oricărei obligații a Uniunii în baza sau în legătură cu orice Împrumuturi și vor continua să fie în vigoare și să producă efecte atâta timp cât și până când toate sumele datorate de Uniune în legătură cu Împrumuturile au fost achitate și toate celelalte obligații efective sau contingente ale Uniunii în această privință sau în legătură cu aceasta au fost îndeplinite în totalitate, cu condiția ca fiecare Garant să fie răspunzător doar pentru Contribuția sa Garantată. </w:t>
      </w:r>
    </w:p>
    <w:p w:rsidR="00095F27" w:rsidRDefault="00095F27" w:rsidP="00095F27">
      <w:pPr>
        <w:pStyle w:val="StandardL2"/>
        <w:keepNext/>
        <w:rPr>
          <w:rFonts w:cs="Times New Roman"/>
        </w:rPr>
      </w:pPr>
      <w:r>
        <w:t>Obligații nedescărcate de gestiune</w:t>
      </w:r>
    </w:p>
    <w:p w:rsidR="00095F27" w:rsidRDefault="00095F27" w:rsidP="00095F27">
      <w:pPr>
        <w:pStyle w:val="BodyText1"/>
        <w:rPr>
          <w:rFonts w:cs="Times New Roman"/>
        </w:rPr>
      </w:pPr>
      <w:r>
        <w:t xml:space="preserve">Obligațiile Garantului cuprinse în prezentul nu vor fi descărcate, subminate sau afectate în alt mod de:  </w:t>
      </w:r>
    </w:p>
    <w:p w:rsidR="00095F27" w:rsidRDefault="00095F27" w:rsidP="00095F27">
      <w:pPr>
        <w:pStyle w:val="StandardL3"/>
      </w:pPr>
      <w:r>
        <w:rPr>
          <w:i/>
        </w:rPr>
        <w:t>Păsuire, Renunțări sau Consimțăminte:</w:t>
      </w:r>
      <w:r>
        <w:t xml:space="preserve"> timpul sau altă păsuire sau orice renunțare sau consimțământ care se acordă sau se convine să fie acordat Uniunii </w:t>
      </w:r>
      <w:r>
        <w:lastRenderedPageBreak/>
        <w:t xml:space="preserve">sau Comisiei în legătură cu oricare dintre obligațiile acesteia din sau în legătură cu orice Împrumuturi și/sau orice Acord de Împrumut; </w:t>
      </w:r>
    </w:p>
    <w:p w:rsidR="00095F27" w:rsidRDefault="00095F27" w:rsidP="00095F27">
      <w:pPr>
        <w:pStyle w:val="StandardL3"/>
      </w:pPr>
      <w:r>
        <w:rPr>
          <w:i/>
        </w:rPr>
        <w:t>Amendament:</w:t>
      </w:r>
      <w:r>
        <w:t xml:space="preserve"> orice amendament, novație, adăugire, extindere (fie a scadenței, fie de alt fel) sau reafirmare (în fiecare caz, indiferent cât de importantă este și indiferent de natura ei) sau înlocuire, renunțare la sau eliberare de orice obligație a Uniunii din sau în legătură cu orice Împrumuturi sau orice titlu sau altă garanție sau despăgubire în legătură cu acestea, inclusiv, dar fără limitare la orice prelungire sau orice creștere a obligațiilor Uniunii în legătură cu orice Împrumuturi sau adăugarea oricărei noi obligații pentru Uniune, cu condiția ca niciunul dintre lucrurile menționate mai sus să nu determine vreo creștere a obligațiilor Garantului în baza prezentului Acord de Garanție; sau</w:t>
      </w:r>
    </w:p>
    <w:p w:rsidR="00095F27" w:rsidRDefault="00095F27" w:rsidP="00095F27">
      <w:pPr>
        <w:pStyle w:val="StandardL2"/>
        <w:keepNext/>
        <w:rPr>
          <w:rFonts w:cs="Times New Roman"/>
          <w:i/>
          <w:iCs/>
        </w:rPr>
      </w:pPr>
      <w:r>
        <w:rPr>
          <w:i/>
          <w:iCs/>
        </w:rPr>
        <w:t xml:space="preserve">Pari </w:t>
      </w:r>
      <w:proofErr w:type="spellStart"/>
      <w:r>
        <w:rPr>
          <w:i/>
          <w:iCs/>
        </w:rPr>
        <w:t>passu</w:t>
      </w:r>
      <w:proofErr w:type="spellEnd"/>
      <w:r>
        <w:rPr>
          <w:i/>
          <w:iCs/>
        </w:rPr>
        <w:t xml:space="preserve"> </w:t>
      </w:r>
    </w:p>
    <w:p w:rsidR="00095F27" w:rsidRDefault="00095F27" w:rsidP="00095F27">
      <w:pPr>
        <w:pStyle w:val="BodyText1"/>
        <w:rPr>
          <w:rFonts w:cs="Times New Roman"/>
        </w:rPr>
      </w:pPr>
      <w:r>
        <w:t xml:space="preserve">Garantul se angajează ca obligațiile sale din prezentul să fie în orice moment de rang </w:t>
      </w:r>
      <w:r>
        <w:rPr>
          <w:i/>
        </w:rPr>
        <w:t xml:space="preserve">pari </w:t>
      </w:r>
      <w:proofErr w:type="spellStart"/>
      <w:r>
        <w:rPr>
          <w:i/>
        </w:rPr>
        <w:t>passu</w:t>
      </w:r>
      <w:proofErr w:type="spellEnd"/>
      <w:r>
        <w:t xml:space="preserve"> raportat la toate celelalte obligații prezente și viitoare, directe, necondiționate, nesubordonate și negarantate ale Garantului respectiv. </w:t>
      </w:r>
    </w:p>
    <w:p w:rsidR="00095F27" w:rsidRDefault="00095F27" w:rsidP="00095F27">
      <w:pPr>
        <w:pStyle w:val="StandardL2"/>
        <w:keepNext/>
        <w:rPr>
          <w:rFonts w:cs="Times New Roman"/>
        </w:rPr>
      </w:pPr>
      <w:r>
        <w:t>Subrogația în Drepturile Garantului</w:t>
      </w:r>
    </w:p>
    <w:p w:rsidR="00095F27" w:rsidRDefault="00095F27" w:rsidP="00095F27">
      <w:pPr>
        <w:pStyle w:val="BodyText1"/>
        <w:rPr>
          <w:rFonts w:cs="Times New Roman"/>
        </w:rPr>
      </w:pPr>
      <w:r>
        <w:t xml:space="preserve">Acceptând faptul că prezentul Acord de Garanție nu garantează rambursarea unui Acord de Împrumut, Garantul confirmă că nu este îndreptățit la niciun drept de subrogație. </w:t>
      </w:r>
    </w:p>
    <w:p w:rsidR="00095F27" w:rsidRDefault="00095F27" w:rsidP="00095F27">
      <w:pPr>
        <w:pStyle w:val="StandardL1"/>
      </w:pPr>
      <w:bookmarkStart w:id="13" w:name="_Toc38568570"/>
      <w:bookmarkStart w:id="14" w:name="_Toc38568571"/>
      <w:bookmarkStart w:id="15" w:name="_Toc38568572"/>
      <w:bookmarkStart w:id="16" w:name="_Toc38704894"/>
      <w:bookmarkStart w:id="17" w:name="_Toc40351507"/>
      <w:bookmarkEnd w:id="13"/>
      <w:bookmarkEnd w:id="14"/>
      <w:bookmarkEnd w:id="15"/>
      <w:r>
        <w:t xml:space="preserve">Obligații de </w:t>
      </w:r>
      <w:bookmarkEnd w:id="16"/>
      <w:r>
        <w:t>Informare</w:t>
      </w:r>
      <w:bookmarkEnd w:id="17"/>
    </w:p>
    <w:p w:rsidR="00095F27" w:rsidRDefault="00095F27" w:rsidP="00095F27">
      <w:pPr>
        <w:pStyle w:val="StandardL2"/>
        <w:keepNext/>
        <w:rPr>
          <w:rFonts w:cs="Times New Roman"/>
        </w:rPr>
      </w:pPr>
      <w:r>
        <w:t xml:space="preserve">Comisia va informa Secretariatul General al Consiliului Uniunii Europene cu privire la semnarea Acordului de Garanție. </w:t>
      </w:r>
    </w:p>
    <w:p w:rsidR="00095F27" w:rsidRDefault="00095F27" w:rsidP="00095F27">
      <w:pPr>
        <w:pStyle w:val="StandardL2"/>
        <w:keepNext/>
        <w:rPr>
          <w:rFonts w:cs="Times New Roman"/>
        </w:rPr>
      </w:pPr>
      <w:r>
        <w:t xml:space="preserve">Comisia va raporta trimestrial către Garanți cu privire la creanțele restante din Acordurile de Împrumut și la obligațiile în baza Împrumuturilor.  </w:t>
      </w:r>
    </w:p>
    <w:p w:rsidR="00095F27" w:rsidRDefault="00095F27" w:rsidP="00095F27">
      <w:pPr>
        <w:pStyle w:val="StandardL2"/>
        <w:keepNext/>
        <w:rPr>
          <w:rFonts w:cs="Times New Roman"/>
        </w:rPr>
      </w:pPr>
      <w:r>
        <w:t>Comisia va notifica Garanții de îndată ce are cunoștință despre orice eveniment care ar putea fi considerat în mod justificat că ar putea conduce la o cerere de executare a garanției în baza Acordului de Garanție.</w:t>
      </w:r>
    </w:p>
    <w:p w:rsidR="00095F27" w:rsidRDefault="00095F27" w:rsidP="00095F27">
      <w:pPr>
        <w:pStyle w:val="StandardL1"/>
      </w:pPr>
      <w:bookmarkStart w:id="18" w:name="_Toc40351508"/>
      <w:bookmarkStart w:id="19" w:name="_Toc38704895"/>
      <w:r>
        <w:t>Beneficiul ACORDUlui de Garanție</w:t>
      </w:r>
      <w:bookmarkEnd w:id="18"/>
      <w:bookmarkEnd w:id="19"/>
    </w:p>
    <w:p w:rsidR="00095F27" w:rsidRDefault="00095F27" w:rsidP="00095F27">
      <w:pPr>
        <w:pStyle w:val="StandardL2"/>
        <w:keepNext/>
        <w:rPr>
          <w:rFonts w:cs="Times New Roman"/>
        </w:rPr>
      </w:pPr>
      <w:r>
        <w:t xml:space="preserve">Beneficiu </w:t>
      </w:r>
    </w:p>
    <w:p w:rsidR="00095F27" w:rsidRDefault="00095F27" w:rsidP="00095F27">
      <w:pPr>
        <w:pStyle w:val="BodyText1"/>
        <w:rPr>
          <w:rFonts w:cs="Times New Roman"/>
        </w:rPr>
      </w:pPr>
      <w:r>
        <w:t>Garantul va onora prezentul Acord de Garanție la cerere.</w:t>
      </w:r>
    </w:p>
    <w:p w:rsidR="00095F27" w:rsidRDefault="00095F27" w:rsidP="00095F27">
      <w:pPr>
        <w:pStyle w:val="StandardL2"/>
        <w:keepNext/>
        <w:rPr>
          <w:rFonts w:cs="Times New Roman"/>
        </w:rPr>
      </w:pPr>
      <w:r>
        <w:t xml:space="preserve">Cesiunea </w:t>
      </w:r>
    </w:p>
    <w:p w:rsidR="00095F27" w:rsidRDefault="00095F27" w:rsidP="00095F27">
      <w:pPr>
        <w:pStyle w:val="BodyText1"/>
        <w:rPr>
          <w:rFonts w:cs="Times New Roman"/>
        </w:rPr>
      </w:pPr>
      <w:r>
        <w:t xml:space="preserve">Garantul nu va avea dreptul să cesioneze sau să transfere toate sau oricare dintre drepturile, beneficiile și obligațiile sale din prezentul. </w:t>
      </w:r>
    </w:p>
    <w:p w:rsidR="00095F27" w:rsidRDefault="00095F27" w:rsidP="00095F27">
      <w:pPr>
        <w:pStyle w:val="StandardL1"/>
        <w:rPr>
          <w:rFonts w:cs="Times New Roman"/>
        </w:rPr>
      </w:pPr>
      <w:bookmarkStart w:id="20" w:name="_Toc40351509"/>
      <w:r>
        <w:t xml:space="preserve">Reducerea și </w:t>
      </w:r>
      <w:bookmarkStart w:id="21" w:name="_Toc38704896"/>
      <w:r>
        <w:t>Expirarea Garanției</w:t>
      </w:r>
      <w:bookmarkEnd w:id="20"/>
      <w:bookmarkEnd w:id="21"/>
    </w:p>
    <w:p w:rsidR="00095F27" w:rsidRDefault="00095F27" w:rsidP="00095F27">
      <w:pPr>
        <w:pStyle w:val="StandardL2"/>
      </w:pPr>
      <w:r>
        <w:t xml:space="preserve">Începând cu data de 31 decembrie 2025, în cazul în care un raport al Comisiei la care se face referire la Clauza 3.2 prevede că obligațiile restante în baza Împrumuturilor sunt mai mici de 25.000.000.000 EUR, Contribuțiile Garantate din partea Garanților vor fi </w:t>
      </w:r>
      <w:r>
        <w:lastRenderedPageBreak/>
        <w:t xml:space="preserve">reduse în mod irevocabil pe bază </w:t>
      </w:r>
      <w:r>
        <w:rPr>
          <w:i/>
        </w:rPr>
        <w:t>pro rata</w:t>
      </w:r>
      <w:r>
        <w:t xml:space="preserve"> </w:t>
      </w:r>
      <w:r>
        <w:rPr>
          <w:i/>
        </w:rPr>
        <w:t xml:space="preserve">pari </w:t>
      </w:r>
      <w:proofErr w:type="spellStart"/>
      <w:r>
        <w:rPr>
          <w:i/>
        </w:rPr>
        <w:t>passu</w:t>
      </w:r>
      <w:proofErr w:type="spellEnd"/>
      <w:r>
        <w:t>, astfel încât Contribuțiile Garantate totale din partea Garanților să fie egale cu obligațiile restante în cadrul Împrumuturilor. Începând cu data aplicării acesteia, prezenta Clauză 5.1 se va aplica fiecărui raport.</w:t>
      </w:r>
    </w:p>
    <w:p w:rsidR="00095F27" w:rsidRDefault="00095F27" w:rsidP="00095F27">
      <w:pPr>
        <w:pStyle w:val="StandardL2"/>
        <w:rPr>
          <w:rFonts w:cs="Times New Roman"/>
        </w:rPr>
      </w:pPr>
      <w:r>
        <w:t>Sub rezerva Clauzei 5.3, prezentul Acord de Garanție va expira la data („</w:t>
      </w:r>
      <w:r>
        <w:rPr>
          <w:b/>
        </w:rPr>
        <w:t>Data Expirării</w:t>
      </w:r>
      <w:r>
        <w:t>”) care este prima dintre (i) data la care toate Împrumuturile au fost plătite în totalitate în mod irevocabil, nu mai pot fi emise alte Împrumuturi în baza Regulamentul Consiliului (UE) 2020/672 și oricare și toate obligațiile Garantului au fost plătite în totalitate și în mod irevocabil și (ii) 31 decembrie 2053.</w:t>
      </w:r>
    </w:p>
    <w:p w:rsidR="00095F27" w:rsidRDefault="00095F27" w:rsidP="00095F27">
      <w:pPr>
        <w:pStyle w:val="StandardL2"/>
        <w:rPr>
          <w:rFonts w:cs="Times New Roman"/>
        </w:rPr>
      </w:pPr>
      <w:r>
        <w:t xml:space="preserve">În cazul oricărei Cereri sau Cereri Suplimentare în baza prezentului Acord de Garanție, obligația Comisiei de a despăgubi Garantul din sumele recuperate în conformitate cu Clauza 1.8 va continua până când se realizează o despăgubire totală, indiferent dacă s-a ajuns la Data Expirării. </w:t>
      </w:r>
    </w:p>
    <w:p w:rsidR="00095F27" w:rsidRDefault="00095F27" w:rsidP="00095F27">
      <w:pPr>
        <w:pStyle w:val="StandardL1"/>
      </w:pPr>
      <w:bookmarkStart w:id="22" w:name="_Toc40351510"/>
      <w:bookmarkStart w:id="23" w:name="_Toc38704897"/>
      <w:r>
        <w:t>Interpretarea conformă și nevalabilitatea parțială</w:t>
      </w:r>
      <w:bookmarkEnd w:id="22"/>
      <w:bookmarkEnd w:id="23"/>
      <w:r>
        <w:t xml:space="preserve"> </w:t>
      </w:r>
    </w:p>
    <w:p w:rsidR="00095F27" w:rsidRDefault="00095F27" w:rsidP="00095F27">
      <w:pPr>
        <w:pStyle w:val="BodyText1"/>
        <w:rPr>
          <w:rFonts w:cs="Times New Roman"/>
        </w:rPr>
      </w:pPr>
      <w:r>
        <w:t xml:space="preserve">Toate prevederile prezentului se vor interpreta, în caz de dubii, astfel încât să fie conforme cu legea aplicabilă. Dacă, în orice moment, oricare prevedere din prezentul este sau devine ilegală, nevalabilă sau neaplicabilă în baza legii aplicabile, legalitatea, valabilitatea sau aplicabilitatea restului prevederilor din prezentul nu va fi afectată sau subminată în niciun fel prin aceasta. </w:t>
      </w:r>
    </w:p>
    <w:p w:rsidR="00095F27" w:rsidRDefault="00095F27" w:rsidP="00095F27">
      <w:pPr>
        <w:pStyle w:val="StandardL1"/>
      </w:pPr>
      <w:bookmarkStart w:id="24" w:name="_Toc40351511"/>
      <w:bookmarkStart w:id="25" w:name="_Toc38704898"/>
      <w:r>
        <w:t>Notificări</w:t>
      </w:r>
      <w:bookmarkEnd w:id="24"/>
      <w:bookmarkEnd w:id="25"/>
      <w:r>
        <w:t xml:space="preserve"> </w:t>
      </w:r>
    </w:p>
    <w:p w:rsidR="00095F27" w:rsidRDefault="00095F27" w:rsidP="00095F27">
      <w:pPr>
        <w:pStyle w:val="StandardL2"/>
        <w:keepNext/>
        <w:rPr>
          <w:rFonts w:cs="Times New Roman"/>
        </w:rPr>
      </w:pPr>
      <w:bookmarkStart w:id="26" w:name="_Ref263172740"/>
      <w:r>
        <w:t>Adresa pentru notificări</w:t>
      </w:r>
      <w:bookmarkEnd w:id="26"/>
      <w:r>
        <w:t xml:space="preserve"> </w:t>
      </w:r>
    </w:p>
    <w:p w:rsidR="00095F27" w:rsidRDefault="00095F27" w:rsidP="00095F27">
      <w:pPr>
        <w:pStyle w:val="BodyText1"/>
        <w:rPr>
          <w:rFonts w:cs="Times New Roman"/>
        </w:rPr>
      </w:pPr>
      <w:r>
        <w:t xml:space="preserve">Toate notificările, cererile și alte comunicări adresate Garantului în baza prezentului se vor efectua în scris (prin scrisoare sau fax sau e-mail) și vor fi trimise Garantului la: </w:t>
      </w:r>
    </w:p>
    <w:p w:rsidR="00095F27" w:rsidRDefault="00095F27" w:rsidP="00095F27">
      <w:pPr>
        <w:pStyle w:val="BodyText1"/>
        <w:rPr>
          <w:rFonts w:cs="Times New Roman"/>
        </w:rPr>
      </w:pPr>
      <w:r>
        <w:t>Bulevardul Libertății, nr. 16, sector 5, București, cod poștal 050706</w:t>
      </w:r>
    </w:p>
    <w:p w:rsidR="00095F27" w:rsidRDefault="00095F27" w:rsidP="00095F27">
      <w:pPr>
        <w:pStyle w:val="BodyText1"/>
        <w:rPr>
          <w:rFonts w:cs="Times New Roman"/>
        </w:rPr>
      </w:pPr>
      <w:r>
        <w:t xml:space="preserve">Fax: </w:t>
      </w:r>
      <w:r>
        <w:tab/>
      </w:r>
      <w:r>
        <w:tab/>
      </w:r>
      <w:r>
        <w:tab/>
        <w:t>+4021 3126792</w:t>
      </w:r>
    </w:p>
    <w:p w:rsidR="00095F27" w:rsidRDefault="00095F27" w:rsidP="00095F27">
      <w:pPr>
        <w:pStyle w:val="BodyText1"/>
        <w:rPr>
          <w:rFonts w:cs="Times New Roman"/>
        </w:rPr>
      </w:pPr>
      <w:r>
        <w:t xml:space="preserve">E-mail: </w:t>
      </w:r>
      <w:r>
        <w:tab/>
      </w:r>
      <w:r>
        <w:tab/>
        <w:t>secretariat.dgrfi@mfinante.gov.ro</w:t>
      </w:r>
    </w:p>
    <w:p w:rsidR="00095F27" w:rsidRPr="00B317F1" w:rsidRDefault="00095F27" w:rsidP="00095F27">
      <w:pPr>
        <w:pStyle w:val="BodyText1"/>
        <w:rPr>
          <w:rFonts w:cs="Times New Roman"/>
        </w:rPr>
      </w:pPr>
      <w:r w:rsidRPr="00B317F1">
        <w:t xml:space="preserve">În atenția: </w:t>
      </w:r>
      <w:r w:rsidRPr="00B317F1">
        <w:tab/>
      </w:r>
      <w:r w:rsidRPr="00B317F1">
        <w:tab/>
        <w:t>Direcției generale relații financiare internaționale</w:t>
      </w:r>
    </w:p>
    <w:p w:rsidR="00095F27" w:rsidRPr="00B317F1" w:rsidRDefault="00095F27" w:rsidP="00095F27">
      <w:pPr>
        <w:pStyle w:val="BodyText1"/>
        <w:rPr>
          <w:rFonts w:cs="Times New Roman"/>
        </w:rPr>
      </w:pPr>
      <w:r w:rsidRPr="00B317F1">
        <w:t>Cu un exemplar la:</w:t>
      </w:r>
      <w:r w:rsidRPr="00B317F1">
        <w:tab/>
        <w:t>Comisia Europeană</w:t>
      </w:r>
    </w:p>
    <w:p w:rsidR="00095F27" w:rsidRPr="00B317F1" w:rsidRDefault="00095F27" w:rsidP="00095F27">
      <w:pPr>
        <w:pStyle w:val="BodyText1"/>
        <w:rPr>
          <w:rFonts w:cs="Times New Roman"/>
        </w:rPr>
      </w:pPr>
      <w:r w:rsidRPr="00B317F1">
        <w:t xml:space="preserve">Fax: </w:t>
      </w:r>
      <w:r w:rsidRPr="00B317F1">
        <w:tab/>
      </w:r>
      <w:r w:rsidRPr="00B317F1">
        <w:tab/>
      </w:r>
      <w:r w:rsidRPr="00B317F1">
        <w:tab/>
        <w:t>+</w:t>
      </w:r>
      <w:r w:rsidR="00B317F1">
        <w:t xml:space="preserve"> 352 4301 31 065</w:t>
      </w:r>
      <w:r w:rsidRPr="00B317F1">
        <w:t xml:space="preserve"> </w:t>
      </w:r>
    </w:p>
    <w:p w:rsidR="00095F27" w:rsidRPr="00B317F1" w:rsidRDefault="00095F27" w:rsidP="00095F27">
      <w:pPr>
        <w:pStyle w:val="BodyText1"/>
        <w:rPr>
          <w:rFonts w:cs="Times New Roman"/>
        </w:rPr>
      </w:pPr>
      <w:r w:rsidRPr="00B317F1">
        <w:t>E-mail:</w:t>
      </w:r>
      <w:r w:rsidRPr="00B317F1">
        <w:tab/>
      </w:r>
      <w:r w:rsidRPr="00B317F1">
        <w:tab/>
      </w:r>
      <w:r w:rsidRPr="00B317F1">
        <w:tab/>
      </w:r>
      <w:r w:rsidR="00B317F1">
        <w:t>budg-e-back-office@ec.europe.eu</w:t>
      </w:r>
    </w:p>
    <w:p w:rsidR="00095F27" w:rsidRDefault="00095F27" w:rsidP="00095F27">
      <w:pPr>
        <w:pStyle w:val="BodyText1"/>
        <w:rPr>
          <w:rFonts w:cs="Times New Roman"/>
        </w:rPr>
      </w:pPr>
      <w:r w:rsidRPr="00B317F1">
        <w:t xml:space="preserve">În atenția: </w:t>
      </w:r>
      <w:r w:rsidRPr="00B317F1">
        <w:tab/>
      </w:r>
      <w:r w:rsidRPr="00B317F1">
        <w:tab/>
      </w:r>
      <w:proofErr w:type="spellStart"/>
      <w:r w:rsidR="00423806">
        <w:t>Budg</w:t>
      </w:r>
      <w:proofErr w:type="spellEnd"/>
      <w:r w:rsidR="00423806">
        <w:t xml:space="preserve"> E Back Office</w:t>
      </w:r>
      <w:r>
        <w:t xml:space="preserve"> </w:t>
      </w:r>
    </w:p>
    <w:p w:rsidR="00095F27" w:rsidRDefault="00095F27" w:rsidP="00095F27">
      <w:pPr>
        <w:pStyle w:val="BodyText1"/>
        <w:rPr>
          <w:rFonts w:cs="Times New Roman"/>
        </w:rPr>
      </w:pPr>
      <w:r>
        <w:t xml:space="preserve">sau, în legătură cu Garantul, la orice altă adresă sau orice alt număr de fax sau în atenția oricărei alte persoane sau a oricărui alt departament pe care Garantul le-a notificat Comisiei în maniera prevăzută pentru transmiterea notificărilor. </w:t>
      </w:r>
    </w:p>
    <w:p w:rsidR="00095F27" w:rsidRDefault="00095F27" w:rsidP="00095F27">
      <w:pPr>
        <w:pStyle w:val="StandardL2"/>
        <w:keepNext/>
        <w:rPr>
          <w:rFonts w:cs="Times New Roman"/>
        </w:rPr>
      </w:pPr>
      <w:r>
        <w:lastRenderedPageBreak/>
        <w:t>Efectivitatea</w:t>
      </w:r>
    </w:p>
    <w:p w:rsidR="00095F27" w:rsidRDefault="00095F27" w:rsidP="00095F27">
      <w:pPr>
        <w:pStyle w:val="BodyText1"/>
        <w:rPr>
          <w:rFonts w:cs="Times New Roman"/>
        </w:rPr>
      </w:pPr>
      <w:r>
        <w:t xml:space="preserve">Fiecare notificare, cerere sau altă comunicare transmisă în conformitate cu Clauza </w:t>
      </w:r>
      <w:r>
        <w:rPr>
          <w:rFonts w:cs="Times New Roman"/>
        </w:rPr>
        <w:fldChar w:fldCharType="begin"/>
      </w:r>
      <w:r>
        <w:rPr>
          <w:rFonts w:cs="Times New Roman"/>
        </w:rPr>
        <w:instrText xml:space="preserve"> REF _Ref263172740 \r \h  \* MERGEFORMAT </w:instrText>
      </w:r>
      <w:r>
        <w:rPr>
          <w:rFonts w:cs="Times New Roman"/>
        </w:rPr>
      </w:r>
      <w:r>
        <w:rPr>
          <w:rFonts w:cs="Times New Roman"/>
        </w:rPr>
        <w:fldChar w:fldCharType="separate"/>
      </w:r>
      <w:r w:rsidR="0074346D">
        <w:rPr>
          <w:rFonts w:cs="Times New Roman"/>
        </w:rPr>
        <w:t>7.1</w:t>
      </w:r>
      <w:r>
        <w:rPr>
          <w:rFonts w:cs="Times New Roman"/>
        </w:rPr>
        <w:fldChar w:fldCharType="end"/>
      </w:r>
      <w:r>
        <w:t xml:space="preserve"> (</w:t>
      </w:r>
      <w:r>
        <w:rPr>
          <w:i/>
          <w:iCs/>
        </w:rPr>
        <w:t>Adresa pentru notificări</w:t>
      </w:r>
      <w:r>
        <w:t xml:space="preserve">) va produce efecte în momentul primirii sale efective de către Garant, </w:t>
      </w:r>
      <w:r>
        <w:rPr>
          <w:i/>
        </w:rPr>
        <w:t>cu condiția ca</w:t>
      </w:r>
      <w:r>
        <w:t xml:space="preserve"> orice astfel de notificare, cerere sau altă comunicare ce ar produce altfel efecte după ora 16 în oricare zi sau într-o zi care nu este o Zi Lucrătoare, să nu producă efecte până la ora 10 în Ziua Lucrătoare imediat următoare.   </w:t>
      </w:r>
    </w:p>
    <w:p w:rsidR="00095F27" w:rsidRDefault="00095F27" w:rsidP="00095F27">
      <w:pPr>
        <w:pStyle w:val="StandardL1"/>
      </w:pPr>
      <w:bookmarkStart w:id="27" w:name="_Toc40351512"/>
      <w:bookmarkStart w:id="28" w:name="_Toc38704899"/>
      <w:r>
        <w:t>Interpretarea</w:t>
      </w:r>
      <w:bookmarkEnd w:id="27"/>
      <w:bookmarkEnd w:id="28"/>
    </w:p>
    <w:p w:rsidR="00095F27" w:rsidRDefault="00095F27" w:rsidP="00095F27">
      <w:pPr>
        <w:pStyle w:val="StandardL2"/>
        <w:keepNext/>
      </w:pPr>
      <w:r>
        <w:t xml:space="preserve">Definiții </w:t>
      </w:r>
    </w:p>
    <w:p w:rsidR="00095F27" w:rsidRDefault="00095F27" w:rsidP="00095F27">
      <w:pPr>
        <w:pStyle w:val="BodyText1"/>
        <w:rPr>
          <w:rFonts w:cs="Times New Roman"/>
        </w:rPr>
      </w:pPr>
      <w:r>
        <w:t>În prezentul Acord de Garanție:</w:t>
      </w:r>
    </w:p>
    <w:p w:rsidR="00095F27" w:rsidRDefault="00095F27" w:rsidP="00095F27">
      <w:pPr>
        <w:pStyle w:val="BodyText1"/>
      </w:pPr>
      <w:r>
        <w:t>„</w:t>
      </w:r>
      <w:r>
        <w:rPr>
          <w:b/>
        </w:rPr>
        <w:t>Zi Lucrătoare</w:t>
      </w:r>
      <w:r>
        <w:t>” va însemna o zi în care băncile comerciale și piețele de schimb valutar sunt deschise sau li se solicită să fie deschise în Luxemburg.</w:t>
      </w:r>
    </w:p>
    <w:p w:rsidR="00095F27" w:rsidRDefault="00095F27" w:rsidP="00095F27">
      <w:pPr>
        <w:pStyle w:val="StandardL2"/>
        <w:keepNext/>
      </w:pPr>
      <w:r>
        <w:t xml:space="preserve">Alte contracte </w:t>
      </w:r>
    </w:p>
    <w:p w:rsidR="00095F27" w:rsidRDefault="00095F27" w:rsidP="00095F27">
      <w:pPr>
        <w:pStyle w:val="BodyText1"/>
        <w:rPr>
          <w:rFonts w:cs="Times New Roman"/>
        </w:rPr>
      </w:pPr>
      <w:r>
        <w:t xml:space="preserve">Toate referirile din prezentul Acord de Garanție la un acord, instrument sau alt document vor fi interpretate ca referiri la acel acord, instrument sau alt document, așa cum el poate fi, în mod periodic, modificat, completat, reafirmat, extins, înlocuit sau novat. </w:t>
      </w:r>
    </w:p>
    <w:p w:rsidR="00095F27" w:rsidRDefault="00095F27" w:rsidP="00095F27">
      <w:pPr>
        <w:pStyle w:val="StandardL1"/>
      </w:pPr>
      <w:bookmarkStart w:id="29" w:name="_Toc40351513"/>
      <w:bookmarkStart w:id="30" w:name="_Toc38704900"/>
      <w:bookmarkStart w:id="31" w:name="_Ref263167380"/>
      <w:r>
        <w:t>Legea și competența</w:t>
      </w:r>
      <w:bookmarkEnd w:id="29"/>
      <w:bookmarkEnd w:id="30"/>
      <w:bookmarkEnd w:id="31"/>
      <w:r>
        <w:t xml:space="preserve"> </w:t>
      </w:r>
    </w:p>
    <w:p w:rsidR="00095F27" w:rsidRDefault="00095F27" w:rsidP="00095F27">
      <w:pPr>
        <w:pStyle w:val="StandardL2"/>
        <w:keepNext/>
        <w:rPr>
          <w:rFonts w:cs="Times New Roman"/>
        </w:rPr>
      </w:pPr>
      <w:r>
        <w:t xml:space="preserve">Legea aplicabilă </w:t>
      </w:r>
    </w:p>
    <w:p w:rsidR="00095F27" w:rsidRDefault="00095F27" w:rsidP="00095F27">
      <w:pPr>
        <w:pStyle w:val="BodyText1"/>
        <w:rPr>
          <w:rFonts w:cs="Times New Roman"/>
        </w:rPr>
      </w:pPr>
      <w:r>
        <w:t xml:space="preserve">Prezentul Acord de Garanție și orice obligații necontractuale care decurg din sau în legătură cu prezentul vor fi guvernate de și interpretate în conformitate cu legislația Uniunii Europene, suplimentată, dacă este necesar, de legislația luxemburgheză. </w:t>
      </w:r>
    </w:p>
    <w:p w:rsidR="00095F27" w:rsidRDefault="00095F27" w:rsidP="00095F27">
      <w:pPr>
        <w:pStyle w:val="StandardL2"/>
        <w:keepNext/>
        <w:rPr>
          <w:rFonts w:cs="Times New Roman"/>
        </w:rPr>
      </w:pPr>
      <w:bookmarkStart w:id="32" w:name="_Ref267496668"/>
      <w:r>
        <w:t>Competența exclusivă</w:t>
      </w:r>
      <w:bookmarkEnd w:id="32"/>
    </w:p>
    <w:p w:rsidR="00095F27" w:rsidRDefault="00095F27" w:rsidP="00095F27">
      <w:pPr>
        <w:pStyle w:val="BodyText1"/>
        <w:rPr>
          <w:rFonts w:cs="Times New Roman"/>
        </w:rPr>
      </w:pPr>
      <w:r>
        <w:t>Curtea de Justiție a Uniunii Europene, în conformitate cu Articolul 272 din Tratatul privind Funcționarea Uniunii Europene, va avea competența exclusivă pentru a soluționa orice dispută (o „</w:t>
      </w:r>
      <w:r>
        <w:rPr>
          <w:b/>
        </w:rPr>
        <w:t>Dispută</w:t>
      </w:r>
      <w:r>
        <w:t>”) care se naște din sau în legătură cu prezentul Acord de Garanție (inclusiv o dispută referitoare la existența, valabilitatea sau încetarea prezentului Acord de Garanție sau cu orice obligație necontractuală ce rezultă din sau în legătură cu prezentul Acord de Garanție) sau cu consecințele nulității sale.</w:t>
      </w:r>
    </w:p>
    <w:p w:rsidR="00095F27" w:rsidRDefault="00095F27" w:rsidP="00095F27">
      <w:pPr>
        <w:pStyle w:val="BodyText"/>
      </w:pPr>
      <w:r>
        <w:t>Toate Clauzele și toți termenii prevăzuți în prezentul au fost luați la cunoștință și semnați în mod corespunzător de România și de Comisie. Prezentul Acord de Garanție va intra în vigoare la data semnării sale de ambele Părți și de îndată ce România a înștiințat Comisia că au fost întrunite toate formalitățile în conformitate cu prevederile constituționale și legale în vederea asumării valide a tuturor obligațiilor sale în cadrul Acordului de Garanție.</w:t>
      </w:r>
    </w:p>
    <w:p w:rsidR="00402BA1" w:rsidRDefault="00402BA1" w:rsidP="00095F27">
      <w:pPr>
        <w:pStyle w:val="BodyText"/>
      </w:pPr>
    </w:p>
    <w:p w:rsidR="00402BA1" w:rsidRDefault="00402BA1" w:rsidP="00095F27">
      <w:pPr>
        <w:pStyle w:val="BodyText"/>
      </w:pPr>
    </w:p>
    <w:p w:rsidR="00402BA1" w:rsidRDefault="00402BA1" w:rsidP="00095F27">
      <w:pPr>
        <w:pStyle w:val="BodyText"/>
      </w:pPr>
    </w:p>
    <w:p w:rsidR="00095F27" w:rsidRDefault="00095F27" w:rsidP="00095F27">
      <w:pPr>
        <w:pStyle w:val="BodyText"/>
        <w:rPr>
          <w:rFonts w:cs="Times New Roman"/>
        </w:rPr>
      </w:pPr>
      <w:r>
        <w:lastRenderedPageBreak/>
        <w:t>Întocmit în două exemplare originale, unul pentru Garant și unul pentru Comisie.</w:t>
      </w:r>
    </w:p>
    <w:p w:rsidR="00402BA1" w:rsidRDefault="00402BA1" w:rsidP="00095F27">
      <w:pPr>
        <w:pStyle w:val="BodyText"/>
        <w:rPr>
          <w:b/>
        </w:rPr>
      </w:pPr>
    </w:p>
    <w:p w:rsidR="00402BA1" w:rsidRDefault="00402BA1" w:rsidP="00095F27">
      <w:pPr>
        <w:pStyle w:val="BodyText"/>
        <w:rPr>
          <w:b/>
        </w:rPr>
      </w:pPr>
    </w:p>
    <w:p w:rsidR="00095F27" w:rsidRDefault="00095F27" w:rsidP="00095F27">
      <w:pPr>
        <w:pStyle w:val="BodyText"/>
        <w:rPr>
          <w:rFonts w:cs="Times New Roman"/>
        </w:rPr>
      </w:pPr>
      <w:r>
        <w:rPr>
          <w:b/>
        </w:rPr>
        <w:t>SEMNAT</w:t>
      </w:r>
      <w:r>
        <w:t xml:space="preserve"> ca și garanție </w:t>
      </w:r>
    </w:p>
    <w:p w:rsidR="002335DC" w:rsidRDefault="00095F27" w:rsidP="00095F27">
      <w:pPr>
        <w:pStyle w:val="BodyText"/>
        <w:jc w:val="left"/>
        <w:rPr>
          <w:b/>
          <w:bCs/>
        </w:rPr>
      </w:pPr>
      <w:r>
        <w:rPr>
          <w:b/>
          <w:bCs/>
        </w:rPr>
        <w:t>de România</w:t>
      </w:r>
    </w:p>
    <w:p w:rsidR="00095F27" w:rsidRPr="002335DC" w:rsidRDefault="001952E1" w:rsidP="00095F27">
      <w:pPr>
        <w:pStyle w:val="BodyText"/>
        <w:jc w:val="left"/>
        <w:rPr>
          <w:b/>
          <w:bCs/>
        </w:rPr>
      </w:pPr>
      <w:r>
        <w:rPr>
          <w:b/>
          <w:bCs/>
        </w:rPr>
        <w:t xml:space="preserve"> </w:t>
      </w:r>
      <w:r w:rsidR="00095F27">
        <w:t>Reprezentată de:</w:t>
      </w:r>
    </w:p>
    <w:p w:rsidR="00402BA1" w:rsidRDefault="002335DC" w:rsidP="00095F27">
      <w:pPr>
        <w:pStyle w:val="BodyText"/>
        <w:jc w:val="left"/>
      </w:pPr>
      <w:r>
        <w:t xml:space="preserve"> Florin </w:t>
      </w:r>
      <w:r w:rsidR="00095F27">
        <w:t xml:space="preserve">Vasile </w:t>
      </w:r>
      <w:proofErr w:type="spellStart"/>
      <w:r w:rsidR="00095F27">
        <w:t>Cîțu</w:t>
      </w:r>
      <w:proofErr w:type="spellEnd"/>
      <w:r w:rsidR="001952E1">
        <w:t>,</w:t>
      </w:r>
    </w:p>
    <w:p w:rsidR="00095F27" w:rsidRDefault="002335DC" w:rsidP="00095F27">
      <w:pPr>
        <w:pStyle w:val="BodyText"/>
        <w:jc w:val="left"/>
      </w:pPr>
      <w:r>
        <w:t xml:space="preserve"> </w:t>
      </w:r>
      <w:r w:rsidR="00095F27">
        <w:t>Ministrul Finanțelor Publice</w:t>
      </w:r>
    </w:p>
    <w:p w:rsidR="00095F27" w:rsidRDefault="002335DC" w:rsidP="00095F27">
      <w:pPr>
        <w:pStyle w:val="BodyText"/>
        <w:jc w:val="left"/>
        <w:rPr>
          <w:rFonts w:cs="Times New Roman"/>
        </w:rPr>
      </w:pPr>
      <w:r>
        <w:rPr>
          <w:rFonts w:cs="Times New Roman"/>
        </w:rPr>
        <w:t xml:space="preserve"> </w:t>
      </w:r>
      <w:r w:rsidR="00095F27">
        <w:rPr>
          <w:rFonts w:cs="Times New Roman"/>
        </w:rPr>
        <w:t>22 iunie 2020</w:t>
      </w:r>
    </w:p>
    <w:p w:rsidR="00402BA1" w:rsidRDefault="00402BA1" w:rsidP="00095F27">
      <w:pPr>
        <w:pStyle w:val="BodyText"/>
        <w:jc w:val="left"/>
        <w:rPr>
          <w:rFonts w:cs="Times New Roman"/>
        </w:rPr>
      </w:pPr>
    </w:p>
    <w:p w:rsidR="00402BA1" w:rsidRDefault="00402BA1" w:rsidP="00095F27">
      <w:pPr>
        <w:pStyle w:val="BodyText"/>
        <w:jc w:val="left"/>
        <w:rPr>
          <w:rFonts w:cs="Times New Roman"/>
        </w:rPr>
      </w:pPr>
    </w:p>
    <w:p w:rsidR="00402BA1" w:rsidRDefault="00402BA1" w:rsidP="00095F27">
      <w:pPr>
        <w:pStyle w:val="BodyText"/>
        <w:jc w:val="left"/>
        <w:rPr>
          <w:rFonts w:cs="Times New Roman"/>
        </w:rPr>
      </w:pPr>
    </w:p>
    <w:p w:rsidR="00095F27" w:rsidRPr="00423806" w:rsidRDefault="00095F27" w:rsidP="00095F27">
      <w:pPr>
        <w:pStyle w:val="BodyText"/>
        <w:jc w:val="left"/>
        <w:rPr>
          <w:rFonts w:cs="Times New Roman"/>
        </w:rPr>
      </w:pPr>
      <w:r w:rsidRPr="00423806">
        <w:rPr>
          <w:b/>
        </w:rPr>
        <w:t>SEMNAT</w:t>
      </w:r>
      <w:r w:rsidRPr="00423806">
        <w:t xml:space="preserve"> ca și garanție </w:t>
      </w:r>
    </w:p>
    <w:p w:rsidR="00402BA1" w:rsidRPr="00423806" w:rsidRDefault="00095F27" w:rsidP="00095F27">
      <w:pPr>
        <w:pStyle w:val="BodyText"/>
        <w:jc w:val="left"/>
        <w:rPr>
          <w:b/>
          <w:bCs/>
        </w:rPr>
      </w:pPr>
      <w:r w:rsidRPr="00423806">
        <w:rPr>
          <w:b/>
          <w:bCs/>
        </w:rPr>
        <w:t>de Comisia Europeană</w:t>
      </w:r>
    </w:p>
    <w:p w:rsidR="00095F27" w:rsidRPr="00423806" w:rsidRDefault="001952E1" w:rsidP="00095F27">
      <w:pPr>
        <w:pStyle w:val="BodyText"/>
        <w:jc w:val="left"/>
      </w:pPr>
      <w:r w:rsidRPr="00423806">
        <w:rPr>
          <w:b/>
          <w:bCs/>
        </w:rPr>
        <w:t xml:space="preserve"> </w:t>
      </w:r>
      <w:r w:rsidR="00095F27" w:rsidRPr="00423806">
        <w:t>Reprezentată de:</w:t>
      </w:r>
    </w:p>
    <w:p w:rsidR="001952E1" w:rsidRPr="00423806" w:rsidRDefault="00423806" w:rsidP="00095F27">
      <w:pPr>
        <w:pStyle w:val="BodyText"/>
        <w:jc w:val="left"/>
      </w:pPr>
      <w:r>
        <w:t xml:space="preserve">Johannes Hahn, Comisar European pentru Buget </w:t>
      </w:r>
      <w:r w:rsidR="00E932BB">
        <w:t>ș</w:t>
      </w:r>
      <w:r w:rsidR="0074346D">
        <w:t>i Administrație</w:t>
      </w:r>
    </w:p>
    <w:p w:rsidR="00095F27" w:rsidRDefault="001952E1" w:rsidP="001952E1">
      <w:pPr>
        <w:pStyle w:val="BodyText"/>
        <w:jc w:val="left"/>
        <w:rPr>
          <w:rFonts w:cs="Times New Roman"/>
        </w:rPr>
        <w:sectPr w:rsidR="00095F27">
          <w:pgSz w:w="11906" w:h="16838"/>
          <w:pgMar w:top="1440" w:right="1440" w:bottom="1440" w:left="1440" w:header="720" w:footer="340" w:gutter="0"/>
          <w:pgNumType w:start="1"/>
          <w:cols w:space="720"/>
        </w:sectPr>
      </w:pPr>
      <w:r w:rsidRPr="00423806">
        <w:t>15 iulie 2020</w:t>
      </w:r>
      <w:bookmarkStart w:id="33" w:name="_GoBack"/>
      <w:bookmarkEnd w:id="33"/>
    </w:p>
    <w:p w:rsidR="00095F27" w:rsidRDefault="00095F27" w:rsidP="00095F27">
      <w:pPr>
        <w:jc w:val="center"/>
        <w:rPr>
          <w:b/>
        </w:rPr>
      </w:pPr>
      <w:r>
        <w:rPr>
          <w:b/>
        </w:rPr>
        <w:lastRenderedPageBreak/>
        <w:t>ANEXA 1</w:t>
      </w:r>
      <w:r>
        <w:rPr>
          <w:b/>
        </w:rPr>
        <w:br/>
        <w:t>CONTRIBUȚIA GARANTATĂ</w:t>
      </w:r>
    </w:p>
    <w:tbl>
      <w:tblPr>
        <w:tblW w:w="8897" w:type="dxa"/>
        <w:tblLook w:val="04A0" w:firstRow="1" w:lastRow="0" w:firstColumn="1" w:lastColumn="0" w:noHBand="0" w:noVBand="1"/>
      </w:tblPr>
      <w:tblGrid>
        <w:gridCol w:w="3240"/>
        <w:gridCol w:w="2137"/>
        <w:gridCol w:w="3520"/>
      </w:tblGrid>
      <w:tr w:rsidR="00095F27" w:rsidTr="00095F27">
        <w:trPr>
          <w:trHeight w:val="315"/>
        </w:trPr>
        <w:tc>
          <w:tcPr>
            <w:tcW w:w="3240" w:type="dxa"/>
            <w:noWrap/>
            <w:hideMark/>
          </w:tcPr>
          <w:p w:rsidR="00402BA1" w:rsidRDefault="00402BA1" w:rsidP="00402BA1">
            <w:pPr>
              <w:spacing w:after="0"/>
              <w:rPr>
                <w:b/>
                <w:bCs/>
              </w:rPr>
            </w:pPr>
          </w:p>
          <w:p w:rsidR="00095F27" w:rsidRDefault="00095F27" w:rsidP="00402BA1">
            <w:pPr>
              <w:spacing w:after="0"/>
              <w:rPr>
                <w:b/>
                <w:bCs/>
              </w:rPr>
            </w:pPr>
            <w:r>
              <w:rPr>
                <w:b/>
                <w:bCs/>
              </w:rPr>
              <w:t>Statul Membru</w:t>
            </w:r>
          </w:p>
        </w:tc>
        <w:tc>
          <w:tcPr>
            <w:tcW w:w="2137" w:type="dxa"/>
          </w:tcPr>
          <w:p w:rsidR="00095F27" w:rsidRDefault="00095F27">
            <w:pPr>
              <w:spacing w:after="0"/>
              <w:jc w:val="center"/>
              <w:rPr>
                <w:b/>
                <w:bCs/>
              </w:rPr>
            </w:pPr>
          </w:p>
        </w:tc>
        <w:tc>
          <w:tcPr>
            <w:tcW w:w="3520" w:type="dxa"/>
            <w:hideMark/>
          </w:tcPr>
          <w:p w:rsidR="00095F27" w:rsidRDefault="00095F27">
            <w:pPr>
              <w:spacing w:after="0"/>
              <w:jc w:val="center"/>
              <w:rPr>
                <w:b/>
                <w:bCs/>
              </w:rPr>
            </w:pPr>
            <w:r>
              <w:rPr>
                <w:b/>
                <w:bCs/>
              </w:rPr>
              <w:br/>
            </w:r>
            <w:r w:rsidR="00402BA1">
              <w:rPr>
                <w:b/>
                <w:bCs/>
              </w:rPr>
              <w:t xml:space="preserve">       </w:t>
            </w:r>
            <w:r>
              <w:rPr>
                <w:b/>
                <w:bCs/>
              </w:rPr>
              <w:t>Suma (EUR)</w:t>
            </w:r>
          </w:p>
        </w:tc>
      </w:tr>
      <w:tr w:rsidR="00095F27" w:rsidTr="00095F27">
        <w:trPr>
          <w:trHeight w:val="315"/>
        </w:trPr>
        <w:tc>
          <w:tcPr>
            <w:tcW w:w="3240" w:type="dxa"/>
            <w:noWrap/>
            <w:hideMark/>
          </w:tcPr>
          <w:p w:rsidR="00095F27" w:rsidRDefault="00095F27">
            <w:pPr>
              <w:spacing w:after="0" w:line="276" w:lineRule="auto"/>
            </w:pPr>
            <w:r>
              <w:t>Regatul Belgiei</w:t>
            </w:r>
          </w:p>
          <w:p w:rsidR="00095F27" w:rsidRDefault="00095F27">
            <w:pPr>
              <w:spacing w:after="0" w:line="276" w:lineRule="auto"/>
            </w:pPr>
            <w:r>
              <w:t>Republica Bulgaria</w:t>
            </w:r>
          </w:p>
          <w:p w:rsidR="00095F27" w:rsidRDefault="00095F27">
            <w:pPr>
              <w:spacing w:after="0" w:line="276" w:lineRule="auto"/>
            </w:pPr>
            <w:r>
              <w:t>Republica Cehă</w:t>
            </w:r>
          </w:p>
          <w:p w:rsidR="00095F27" w:rsidRDefault="00095F27">
            <w:pPr>
              <w:spacing w:after="0" w:line="276" w:lineRule="auto"/>
            </w:pPr>
            <w:r>
              <w:t>Regatul Danemarcei</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838 224 250</w:t>
            </w:r>
          </w:p>
          <w:p w:rsidR="00095F27" w:rsidRDefault="00095F27">
            <w:pPr>
              <w:spacing w:after="0" w:line="276" w:lineRule="auto"/>
              <w:ind w:right="567"/>
              <w:jc w:val="right"/>
            </w:pPr>
            <w:r>
              <w:t>107 466 500</w:t>
            </w:r>
          </w:p>
          <w:p w:rsidR="00095F27" w:rsidRDefault="00095F27">
            <w:pPr>
              <w:spacing w:after="0" w:line="276" w:lineRule="auto"/>
              <w:ind w:right="567"/>
              <w:jc w:val="right"/>
            </w:pPr>
            <w:r>
              <w:t>374 538 500</w:t>
            </w:r>
          </w:p>
          <w:p w:rsidR="00095F27" w:rsidRDefault="00095F27">
            <w:pPr>
              <w:spacing w:after="0" w:line="276" w:lineRule="auto"/>
              <w:ind w:right="567"/>
              <w:jc w:val="right"/>
            </w:pPr>
            <w:r>
              <w:t>563 837 750</w:t>
            </w:r>
          </w:p>
        </w:tc>
      </w:tr>
      <w:tr w:rsidR="00095F27" w:rsidTr="00095F27">
        <w:trPr>
          <w:trHeight w:val="315"/>
        </w:trPr>
        <w:tc>
          <w:tcPr>
            <w:tcW w:w="3240" w:type="dxa"/>
            <w:noWrap/>
            <w:hideMark/>
          </w:tcPr>
          <w:p w:rsidR="00095F27" w:rsidRDefault="00095F27">
            <w:pPr>
              <w:spacing w:after="0" w:line="276" w:lineRule="auto"/>
            </w:pPr>
            <w:r>
              <w:t>Republica Federală</w:t>
            </w:r>
            <w:r w:rsidR="00C843FB">
              <w:t xml:space="preserve"> </w:t>
            </w:r>
            <w:r>
              <w:t>Germani</w:t>
            </w:r>
            <w:r w:rsidR="00C843FB">
              <w:t>a</w:t>
            </w:r>
          </w:p>
          <w:p w:rsidR="00095F27" w:rsidRDefault="00095F27">
            <w:pPr>
              <w:spacing w:after="0" w:line="276" w:lineRule="auto"/>
            </w:pPr>
            <w:r>
              <w:t xml:space="preserve">Republica Estonia  </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6 383 820 000</w:t>
            </w:r>
          </w:p>
          <w:p w:rsidR="00095F27" w:rsidRDefault="00095F27">
            <w:pPr>
              <w:spacing w:after="0" w:line="276" w:lineRule="auto"/>
              <w:ind w:right="567"/>
              <w:jc w:val="right"/>
            </w:pPr>
            <w:r>
              <w:t>48 716 500</w:t>
            </w:r>
          </w:p>
        </w:tc>
      </w:tr>
      <w:tr w:rsidR="00095F27" w:rsidTr="00095F27">
        <w:trPr>
          <w:trHeight w:val="315"/>
        </w:trPr>
        <w:tc>
          <w:tcPr>
            <w:tcW w:w="3240" w:type="dxa"/>
            <w:noWrap/>
            <w:hideMark/>
          </w:tcPr>
          <w:p w:rsidR="00095F27" w:rsidRDefault="00095F27">
            <w:pPr>
              <w:spacing w:after="0" w:line="276" w:lineRule="auto"/>
            </w:pPr>
            <w:r>
              <w:t>Irlanda</w:t>
            </w:r>
          </w:p>
          <w:p w:rsidR="00095F27" w:rsidRDefault="00095F27">
            <w:pPr>
              <w:spacing w:after="0" w:line="276" w:lineRule="auto"/>
            </w:pPr>
            <w:r>
              <w:t xml:space="preserve">Republica Elenă </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483 401 250</w:t>
            </w:r>
          </w:p>
          <w:p w:rsidR="00095F27" w:rsidRDefault="00095F27">
            <w:pPr>
              <w:spacing w:after="0" w:line="276" w:lineRule="auto"/>
              <w:ind w:right="567"/>
              <w:jc w:val="right"/>
            </w:pPr>
            <w:r>
              <w:t>342 618 750</w:t>
            </w:r>
          </w:p>
        </w:tc>
      </w:tr>
      <w:tr w:rsidR="00095F27" w:rsidTr="00095F27">
        <w:trPr>
          <w:trHeight w:val="315"/>
        </w:trPr>
        <w:tc>
          <w:tcPr>
            <w:tcW w:w="3240" w:type="dxa"/>
            <w:noWrap/>
            <w:hideMark/>
          </w:tcPr>
          <w:p w:rsidR="00095F27" w:rsidRDefault="00095F27">
            <w:pPr>
              <w:spacing w:after="0" w:line="276" w:lineRule="auto"/>
            </w:pPr>
            <w:r>
              <w:t>Regatul Spaniei</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2 252 890 750</w:t>
            </w:r>
          </w:p>
        </w:tc>
      </w:tr>
      <w:tr w:rsidR="00095F27" w:rsidTr="00095F27">
        <w:trPr>
          <w:trHeight w:val="315"/>
        </w:trPr>
        <w:tc>
          <w:tcPr>
            <w:tcW w:w="3240" w:type="dxa"/>
            <w:noWrap/>
            <w:hideMark/>
          </w:tcPr>
          <w:p w:rsidR="00095F27" w:rsidRDefault="00095F27">
            <w:pPr>
              <w:spacing w:after="0" w:line="276" w:lineRule="auto"/>
            </w:pPr>
            <w:r>
              <w:t>Republica Franceză</w:t>
            </w:r>
          </w:p>
          <w:p w:rsidR="00095F27" w:rsidRDefault="00095F27">
            <w:pPr>
              <w:spacing w:after="0" w:line="276" w:lineRule="auto"/>
            </w:pPr>
            <w:r>
              <w:t>Republica Croația</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4 406 976 250</w:t>
            </w:r>
          </w:p>
          <w:p w:rsidR="00095F27" w:rsidRDefault="00095F27">
            <w:pPr>
              <w:spacing w:after="0" w:line="276" w:lineRule="auto"/>
              <w:ind w:right="567"/>
              <w:jc w:val="right"/>
            </w:pPr>
            <w:r>
              <w:t>95 693 500</w:t>
            </w:r>
          </w:p>
        </w:tc>
      </w:tr>
      <w:tr w:rsidR="00095F27" w:rsidTr="00095F27">
        <w:trPr>
          <w:trHeight w:val="315"/>
        </w:trPr>
        <w:tc>
          <w:tcPr>
            <w:tcW w:w="3240" w:type="dxa"/>
            <w:noWrap/>
            <w:hideMark/>
          </w:tcPr>
          <w:p w:rsidR="00095F27" w:rsidRDefault="00095F27">
            <w:pPr>
              <w:spacing w:after="0" w:line="276" w:lineRule="auto"/>
            </w:pPr>
            <w:r>
              <w:t>Republica Italiană</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3 183 786 000</w:t>
            </w:r>
          </w:p>
        </w:tc>
      </w:tr>
      <w:tr w:rsidR="00095F27" w:rsidTr="00095F27">
        <w:trPr>
          <w:trHeight w:val="315"/>
        </w:trPr>
        <w:tc>
          <w:tcPr>
            <w:tcW w:w="3240" w:type="dxa"/>
            <w:noWrap/>
            <w:hideMark/>
          </w:tcPr>
          <w:p w:rsidR="00095F27" w:rsidRDefault="00095F27">
            <w:pPr>
              <w:spacing w:after="0" w:line="276" w:lineRule="auto"/>
            </w:pPr>
            <w:r>
              <w:t>Republica Cipru</w:t>
            </w:r>
          </w:p>
          <w:p w:rsidR="00095F27" w:rsidRDefault="00095F27">
            <w:pPr>
              <w:spacing w:after="0" w:line="276" w:lineRule="auto"/>
            </w:pPr>
            <w:r>
              <w:t>Republica Letonia</w:t>
            </w:r>
          </w:p>
          <w:p w:rsidR="00095F27" w:rsidRDefault="00095F27">
            <w:pPr>
              <w:spacing w:after="0" w:line="276" w:lineRule="auto"/>
            </w:pPr>
            <w:r>
              <w:t xml:space="preserve">Republica Lituania </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38 114 750</w:t>
            </w:r>
          </w:p>
          <w:p w:rsidR="00095F27" w:rsidRDefault="00095F27">
            <w:pPr>
              <w:spacing w:after="0" w:line="276" w:lineRule="auto"/>
              <w:ind w:right="567"/>
              <w:jc w:val="right"/>
            </w:pPr>
            <w:r>
              <w:t>57 070 750</w:t>
            </w:r>
          </w:p>
          <w:p w:rsidR="00095F27" w:rsidRDefault="00095F27">
            <w:pPr>
              <w:spacing w:after="0" w:line="276" w:lineRule="auto"/>
              <w:ind w:right="567"/>
              <w:jc w:val="right"/>
            </w:pPr>
            <w:r>
              <w:t xml:space="preserve">83 953 500 </w:t>
            </w:r>
          </w:p>
        </w:tc>
      </w:tr>
      <w:tr w:rsidR="00095F27" w:rsidTr="00095F27">
        <w:trPr>
          <w:trHeight w:val="315"/>
        </w:trPr>
        <w:tc>
          <w:tcPr>
            <w:tcW w:w="3240" w:type="dxa"/>
            <w:noWrap/>
            <w:hideMark/>
          </w:tcPr>
          <w:p w:rsidR="00095F27" w:rsidRDefault="00095F27">
            <w:pPr>
              <w:spacing w:after="0" w:line="276" w:lineRule="auto"/>
            </w:pPr>
            <w:r>
              <w:t>Marele Ducat de Luxemburg</w:t>
            </w:r>
          </w:p>
          <w:p w:rsidR="00095F27" w:rsidRDefault="00095F27">
            <w:pPr>
              <w:spacing w:after="0" w:line="276" w:lineRule="auto"/>
            </w:pPr>
            <w:r>
              <w:t xml:space="preserve">Ungaria </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76 856 750</w:t>
            </w:r>
          </w:p>
          <w:p w:rsidR="00095F27" w:rsidRDefault="00095F27">
            <w:pPr>
              <w:spacing w:after="0" w:line="276" w:lineRule="auto"/>
              <w:ind w:right="567"/>
              <w:jc w:val="right"/>
            </w:pPr>
            <w:r>
              <w:t>249 596 000</w:t>
            </w:r>
          </w:p>
        </w:tc>
      </w:tr>
      <w:tr w:rsidR="00095F27" w:rsidTr="00095F27">
        <w:trPr>
          <w:trHeight w:val="315"/>
        </w:trPr>
        <w:tc>
          <w:tcPr>
            <w:tcW w:w="3240" w:type="dxa"/>
            <w:noWrap/>
            <w:hideMark/>
          </w:tcPr>
          <w:p w:rsidR="00095F27" w:rsidRDefault="00095F27">
            <w:pPr>
              <w:spacing w:after="0" w:line="276" w:lineRule="auto"/>
            </w:pPr>
            <w:r>
              <w:t>Republica Malta</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23 044 250</w:t>
            </w:r>
          </w:p>
        </w:tc>
      </w:tr>
      <w:tr w:rsidR="00095F27" w:rsidTr="00095F27">
        <w:trPr>
          <w:trHeight w:val="315"/>
        </w:trPr>
        <w:tc>
          <w:tcPr>
            <w:tcW w:w="3240" w:type="dxa"/>
            <w:noWrap/>
            <w:hideMark/>
          </w:tcPr>
          <w:p w:rsidR="00095F27" w:rsidRDefault="00095F27">
            <w:pPr>
              <w:spacing w:after="0" w:line="276" w:lineRule="auto"/>
            </w:pPr>
            <w:r>
              <w:t>Regatul Țărilor de Jos</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1 441 199 500</w:t>
            </w:r>
          </w:p>
        </w:tc>
      </w:tr>
      <w:tr w:rsidR="00095F27" w:rsidTr="00095F27">
        <w:trPr>
          <w:trHeight w:val="315"/>
        </w:trPr>
        <w:tc>
          <w:tcPr>
            <w:tcW w:w="3240" w:type="dxa"/>
            <w:noWrap/>
            <w:hideMark/>
          </w:tcPr>
          <w:p w:rsidR="00095F27" w:rsidRDefault="00095F27">
            <w:pPr>
              <w:spacing w:after="0" w:line="276" w:lineRule="auto"/>
            </w:pPr>
            <w:r>
              <w:t>Republica Austria</w:t>
            </w:r>
          </w:p>
          <w:p w:rsidR="00095F27" w:rsidRDefault="00095F27">
            <w:pPr>
              <w:spacing w:after="0" w:line="276" w:lineRule="auto"/>
            </w:pPr>
            <w:r>
              <w:t xml:space="preserve">Republica Polonă </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717 215 750</w:t>
            </w:r>
          </w:p>
          <w:p w:rsidR="00095F27" w:rsidRDefault="00095F27">
            <w:pPr>
              <w:spacing w:after="0" w:line="276" w:lineRule="auto"/>
              <w:ind w:right="567"/>
              <w:jc w:val="right"/>
            </w:pPr>
            <w:r>
              <w:t>930 103 250</w:t>
            </w:r>
          </w:p>
        </w:tc>
      </w:tr>
      <w:tr w:rsidR="00095F27" w:rsidTr="00095F27">
        <w:trPr>
          <w:trHeight w:val="315"/>
        </w:trPr>
        <w:tc>
          <w:tcPr>
            <w:tcW w:w="3240" w:type="dxa"/>
            <w:noWrap/>
            <w:hideMark/>
          </w:tcPr>
          <w:p w:rsidR="00095F27" w:rsidRDefault="00095F27">
            <w:pPr>
              <w:spacing w:after="0" w:line="276" w:lineRule="auto"/>
            </w:pPr>
            <w:r>
              <w:t>Republica Portugheză</w:t>
            </w:r>
          </w:p>
          <w:p w:rsidR="00095F27" w:rsidRDefault="00095F27">
            <w:pPr>
              <w:spacing w:after="0" w:line="276" w:lineRule="auto"/>
            </w:pPr>
            <w:r>
              <w:t>România</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365 571 000</w:t>
            </w:r>
          </w:p>
          <w:p w:rsidR="00095F27" w:rsidRDefault="00095F27">
            <w:pPr>
              <w:spacing w:after="0" w:line="276" w:lineRule="auto"/>
              <w:ind w:right="567"/>
              <w:jc w:val="right"/>
            </w:pPr>
            <w:r>
              <w:t>393 384 250</w:t>
            </w:r>
          </w:p>
        </w:tc>
      </w:tr>
      <w:tr w:rsidR="00095F27" w:rsidTr="00095F27">
        <w:trPr>
          <w:trHeight w:val="315"/>
        </w:trPr>
        <w:tc>
          <w:tcPr>
            <w:tcW w:w="3240" w:type="dxa"/>
            <w:noWrap/>
            <w:hideMark/>
          </w:tcPr>
          <w:p w:rsidR="00095F27" w:rsidRDefault="00095F27">
            <w:pPr>
              <w:spacing w:after="0" w:line="276" w:lineRule="auto"/>
            </w:pPr>
            <w:r>
              <w:t>Republica Slovenia</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88 126 500</w:t>
            </w:r>
          </w:p>
        </w:tc>
      </w:tr>
      <w:tr w:rsidR="00095F27" w:rsidTr="00095F27">
        <w:trPr>
          <w:trHeight w:val="315"/>
        </w:trPr>
        <w:tc>
          <w:tcPr>
            <w:tcW w:w="3240" w:type="dxa"/>
            <w:noWrap/>
            <w:hideMark/>
          </w:tcPr>
          <w:p w:rsidR="00095F27" w:rsidRDefault="00095F27">
            <w:pPr>
              <w:spacing w:after="0" w:line="276" w:lineRule="auto"/>
            </w:pPr>
            <w:r>
              <w:t>Republica Slovacă</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173 516 250</w:t>
            </w:r>
          </w:p>
        </w:tc>
      </w:tr>
      <w:tr w:rsidR="00095F27" w:rsidTr="00095F27">
        <w:trPr>
          <w:trHeight w:val="360"/>
        </w:trPr>
        <w:tc>
          <w:tcPr>
            <w:tcW w:w="3240" w:type="dxa"/>
            <w:noWrap/>
            <w:hideMark/>
          </w:tcPr>
          <w:p w:rsidR="00095F27" w:rsidRDefault="00095F27">
            <w:pPr>
              <w:spacing w:after="0" w:line="276" w:lineRule="auto"/>
            </w:pPr>
            <w:r>
              <w:t>Republica Finlanda</w:t>
            </w:r>
          </w:p>
          <w:p w:rsidR="00095F27" w:rsidRDefault="00095F27">
            <w:pPr>
              <w:spacing w:after="0" w:line="276" w:lineRule="auto"/>
            </w:pPr>
            <w:r>
              <w:t>Regatul Suediei</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431 740 250</w:t>
            </w:r>
          </w:p>
          <w:p w:rsidR="00095F27" w:rsidRDefault="00095F27">
            <w:pPr>
              <w:spacing w:after="0" w:line="276" w:lineRule="auto"/>
              <w:ind w:right="567"/>
              <w:jc w:val="right"/>
              <w:rPr>
                <w:u w:val="single"/>
              </w:rPr>
            </w:pPr>
            <w:r>
              <w:rPr>
                <w:u w:val="single"/>
              </w:rPr>
              <w:t>848 537 250</w:t>
            </w:r>
          </w:p>
        </w:tc>
      </w:tr>
      <w:tr w:rsidR="00095F27" w:rsidTr="00095F27">
        <w:trPr>
          <w:trHeight w:val="315"/>
        </w:trPr>
        <w:tc>
          <w:tcPr>
            <w:tcW w:w="3240" w:type="dxa"/>
            <w:noWrap/>
            <w:hideMark/>
          </w:tcPr>
          <w:p w:rsidR="00095F27" w:rsidRDefault="00095F27">
            <w:pPr>
              <w:spacing w:after="0" w:line="276" w:lineRule="auto"/>
              <w:rPr>
                <w:b/>
              </w:rPr>
            </w:pPr>
            <w:r>
              <w:rPr>
                <w:b/>
              </w:rPr>
              <w:t>Total</w:t>
            </w:r>
          </w:p>
        </w:tc>
        <w:tc>
          <w:tcPr>
            <w:tcW w:w="2137" w:type="dxa"/>
          </w:tcPr>
          <w:p w:rsidR="00095F27" w:rsidRDefault="00095F27">
            <w:pPr>
              <w:spacing w:after="0" w:line="276" w:lineRule="auto"/>
              <w:ind w:right="567"/>
              <w:jc w:val="right"/>
            </w:pPr>
          </w:p>
        </w:tc>
        <w:tc>
          <w:tcPr>
            <w:tcW w:w="3520" w:type="dxa"/>
            <w:hideMark/>
          </w:tcPr>
          <w:p w:rsidR="00095F27" w:rsidRDefault="00095F27">
            <w:pPr>
              <w:spacing w:after="0" w:line="276" w:lineRule="auto"/>
              <w:ind w:right="567"/>
              <w:jc w:val="right"/>
            </w:pPr>
            <w:r>
              <w:t>25 000 000 000</w:t>
            </w:r>
          </w:p>
        </w:tc>
      </w:tr>
    </w:tbl>
    <w:p w:rsidR="00095F27" w:rsidRDefault="00095F27" w:rsidP="00095F27">
      <w:pPr>
        <w:jc w:val="center"/>
      </w:pPr>
    </w:p>
    <w:p w:rsidR="00215E10" w:rsidRDefault="00215E10" w:rsidP="00095F27">
      <w:pPr>
        <w:jc w:val="center"/>
      </w:pPr>
    </w:p>
    <w:p w:rsidR="00215E10" w:rsidRDefault="00215E10" w:rsidP="00095F27">
      <w:pPr>
        <w:jc w:val="center"/>
      </w:pPr>
    </w:p>
    <w:p w:rsidR="00215E10" w:rsidRDefault="00215E10" w:rsidP="00215E10">
      <w:pPr>
        <w:tabs>
          <w:tab w:val="left" w:pos="3027"/>
        </w:tabs>
      </w:pPr>
      <w:r>
        <w:tab/>
      </w:r>
    </w:p>
    <w:p w:rsidR="00095F27" w:rsidRDefault="00095F27" w:rsidP="00095F27">
      <w:pPr>
        <w:jc w:val="center"/>
        <w:rPr>
          <w:b/>
          <w:bCs/>
        </w:rPr>
      </w:pPr>
      <w:r w:rsidRPr="00215E10">
        <w:br w:type="page"/>
      </w:r>
      <w:r>
        <w:rPr>
          <w:b/>
        </w:rPr>
        <w:lastRenderedPageBreak/>
        <w:t>ANEXA 2</w:t>
      </w:r>
      <w:r>
        <w:rPr>
          <w:b/>
        </w:rPr>
        <w:br/>
        <w:t>CHEIA CONTRIBUȚIEI LA GARANȚIE</w:t>
      </w:r>
    </w:p>
    <w:p w:rsidR="00095F27" w:rsidRDefault="00095F27" w:rsidP="00095F27">
      <w:pPr>
        <w:spacing w:after="0"/>
        <w:jc w:val="center"/>
      </w:pPr>
      <w:r>
        <w:t>(cotele procentuale relative ale Statelor Membre în Venitul Național Brut al Uniunii, așa cum rezultă din coloana (1) din Tabelul 3 al Părții A „Introducere și finanțarea bugetului general al Uniunii” din partea de venituri a bugetului pentru anul 2020 prevăzută în bugetul general al Uniunii Europene pentru anul financiar 2020, așa cum a fost acesta adoptat la data de 27 noiembrie 2019)</w:t>
      </w:r>
    </w:p>
    <w:tbl>
      <w:tblPr>
        <w:tblW w:w="8897" w:type="dxa"/>
        <w:tblLook w:val="04A0" w:firstRow="1" w:lastRow="0" w:firstColumn="1" w:lastColumn="0" w:noHBand="0" w:noVBand="1"/>
      </w:tblPr>
      <w:tblGrid>
        <w:gridCol w:w="3240"/>
        <w:gridCol w:w="2137"/>
        <w:gridCol w:w="3520"/>
      </w:tblGrid>
      <w:tr w:rsidR="00095F27" w:rsidRPr="00696D74" w:rsidTr="00095F27">
        <w:trPr>
          <w:trHeight w:val="315"/>
        </w:trPr>
        <w:tc>
          <w:tcPr>
            <w:tcW w:w="3240" w:type="dxa"/>
            <w:noWrap/>
            <w:hideMark/>
          </w:tcPr>
          <w:p w:rsidR="00215E10" w:rsidRPr="00A43A37" w:rsidRDefault="00215E10" w:rsidP="00215E10">
            <w:pPr>
              <w:spacing w:after="0"/>
              <w:rPr>
                <w:b/>
                <w:bCs/>
              </w:rPr>
            </w:pPr>
          </w:p>
          <w:p w:rsidR="00095F27" w:rsidRPr="00A43A37" w:rsidRDefault="00095F27" w:rsidP="00215E10">
            <w:pPr>
              <w:spacing w:after="0"/>
              <w:rPr>
                <w:b/>
                <w:bCs/>
              </w:rPr>
            </w:pPr>
            <w:r w:rsidRPr="00A43A37">
              <w:rPr>
                <w:b/>
                <w:bCs/>
              </w:rPr>
              <w:t>Statul Membru</w:t>
            </w:r>
          </w:p>
        </w:tc>
        <w:tc>
          <w:tcPr>
            <w:tcW w:w="2137" w:type="dxa"/>
          </w:tcPr>
          <w:p w:rsidR="00095F27" w:rsidRPr="00A43A37" w:rsidRDefault="00095F27">
            <w:pPr>
              <w:spacing w:after="0"/>
              <w:jc w:val="center"/>
              <w:rPr>
                <w:b/>
                <w:bCs/>
              </w:rPr>
            </w:pPr>
          </w:p>
        </w:tc>
        <w:tc>
          <w:tcPr>
            <w:tcW w:w="3520" w:type="dxa"/>
            <w:hideMark/>
          </w:tcPr>
          <w:p w:rsidR="00095F27" w:rsidRPr="00A43A37" w:rsidRDefault="00095F27">
            <w:pPr>
              <w:spacing w:after="0"/>
              <w:jc w:val="center"/>
              <w:rPr>
                <w:b/>
                <w:bCs/>
              </w:rPr>
            </w:pPr>
            <w:r w:rsidRPr="00A43A37">
              <w:rPr>
                <w:b/>
                <w:bCs/>
              </w:rPr>
              <w:br/>
              <w:t>Procentul Cheie de Contribuție al Garantului</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Regatul Belgiei</w:t>
            </w:r>
          </w:p>
          <w:p w:rsidR="00095F27" w:rsidRPr="00A43A37" w:rsidRDefault="00095F27">
            <w:pPr>
              <w:spacing w:after="0" w:line="276" w:lineRule="auto"/>
            </w:pPr>
            <w:r w:rsidRPr="00A43A37">
              <w:t>Republica Bulgaria</w:t>
            </w:r>
          </w:p>
          <w:p w:rsidR="00095F27" w:rsidRPr="00A43A37" w:rsidRDefault="00095F27">
            <w:pPr>
              <w:spacing w:after="0" w:line="276" w:lineRule="auto"/>
            </w:pPr>
            <w:r w:rsidRPr="00A43A37">
              <w:t>Republica Cehă</w:t>
            </w:r>
          </w:p>
          <w:p w:rsidR="00095F27" w:rsidRPr="00A43A37" w:rsidRDefault="00095F27">
            <w:pPr>
              <w:spacing w:after="0" w:line="276" w:lineRule="auto"/>
            </w:pPr>
            <w:r w:rsidRPr="00A43A37">
              <w:t>Regatul Danemarcei</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3,352 897%</w:t>
            </w:r>
          </w:p>
          <w:p w:rsidR="00095F27" w:rsidRPr="00A43A37" w:rsidRDefault="00095F27">
            <w:pPr>
              <w:spacing w:after="0" w:line="276" w:lineRule="auto"/>
              <w:ind w:right="567"/>
              <w:jc w:val="right"/>
            </w:pPr>
            <w:r w:rsidRPr="00A43A37">
              <w:t>0,429 866%</w:t>
            </w:r>
          </w:p>
          <w:p w:rsidR="00095F27" w:rsidRPr="00A43A37" w:rsidRDefault="00095F27">
            <w:pPr>
              <w:spacing w:after="0" w:line="276" w:lineRule="auto"/>
              <w:ind w:right="567"/>
              <w:jc w:val="right"/>
            </w:pPr>
            <w:r w:rsidRPr="00A43A37">
              <w:t>1,498 154%</w:t>
            </w:r>
          </w:p>
          <w:p w:rsidR="00095F27" w:rsidRPr="00A43A37" w:rsidRDefault="00095F27">
            <w:pPr>
              <w:spacing w:after="0" w:line="276" w:lineRule="auto"/>
              <w:ind w:right="567"/>
              <w:jc w:val="right"/>
            </w:pPr>
            <w:r w:rsidRPr="00A43A37">
              <w:t>2,255 351%</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w:t>
            </w:r>
            <w:r w:rsidR="00215E10" w:rsidRPr="00A43A37">
              <w:t xml:space="preserve"> F</w:t>
            </w:r>
            <w:r w:rsidR="00C843FB" w:rsidRPr="00A43A37">
              <w:t>ederală Germania</w:t>
            </w:r>
          </w:p>
          <w:p w:rsidR="00095F27" w:rsidRPr="00A43A37" w:rsidRDefault="00095F27">
            <w:pPr>
              <w:spacing w:after="0" w:line="276" w:lineRule="auto"/>
            </w:pPr>
            <w:r w:rsidRPr="00A43A37">
              <w:t xml:space="preserve">Republica Estonia  </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25,535 280%</w:t>
            </w:r>
          </w:p>
          <w:p w:rsidR="00095F27" w:rsidRPr="00A43A37" w:rsidRDefault="00095F27">
            <w:pPr>
              <w:spacing w:after="0" w:line="276" w:lineRule="auto"/>
              <w:ind w:right="567"/>
              <w:jc w:val="right"/>
            </w:pPr>
            <w:r w:rsidRPr="00A43A37">
              <w:t>0,194 866%</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Irlanda</w:t>
            </w:r>
          </w:p>
          <w:p w:rsidR="00095F27" w:rsidRPr="00A43A37" w:rsidRDefault="00095F27">
            <w:pPr>
              <w:spacing w:after="0" w:line="276" w:lineRule="auto"/>
            </w:pPr>
            <w:r w:rsidRPr="00A43A37">
              <w:t xml:space="preserve">Republica Elenă </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1,933 605%</w:t>
            </w:r>
          </w:p>
          <w:p w:rsidR="00095F27" w:rsidRPr="00A43A37" w:rsidRDefault="00095F27">
            <w:pPr>
              <w:spacing w:after="0" w:line="276" w:lineRule="auto"/>
              <w:ind w:right="567"/>
              <w:jc w:val="right"/>
            </w:pPr>
            <w:r w:rsidRPr="00A43A37">
              <w:t>1,370 475%</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Regatul Spaniei</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9,011 563%</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Franceză</w:t>
            </w:r>
          </w:p>
          <w:p w:rsidR="00095F27" w:rsidRPr="00A43A37" w:rsidRDefault="00095F27">
            <w:pPr>
              <w:spacing w:after="0" w:line="276" w:lineRule="auto"/>
            </w:pPr>
            <w:r w:rsidRPr="00A43A37">
              <w:t>Republica Croația</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17,627 905%</w:t>
            </w:r>
          </w:p>
          <w:p w:rsidR="00095F27" w:rsidRPr="00A43A37" w:rsidRDefault="00095F27">
            <w:pPr>
              <w:spacing w:after="0" w:line="276" w:lineRule="auto"/>
              <w:ind w:right="567"/>
              <w:jc w:val="right"/>
            </w:pPr>
            <w:r w:rsidRPr="00A43A37">
              <w:t>0,382 774%</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Italiană</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12,735 144%</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Cipru</w:t>
            </w:r>
          </w:p>
          <w:p w:rsidR="00095F27" w:rsidRPr="00A43A37" w:rsidRDefault="00095F27">
            <w:pPr>
              <w:spacing w:after="0" w:line="276" w:lineRule="auto"/>
            </w:pPr>
            <w:r w:rsidRPr="00A43A37">
              <w:t>Republica Letonia</w:t>
            </w:r>
          </w:p>
          <w:p w:rsidR="00095F27" w:rsidRPr="00A43A37" w:rsidRDefault="00095F27">
            <w:pPr>
              <w:spacing w:after="0" w:line="276" w:lineRule="auto"/>
            </w:pPr>
            <w:r w:rsidRPr="00A43A37">
              <w:t xml:space="preserve">Republica Lituania </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0,152 459%</w:t>
            </w:r>
          </w:p>
          <w:p w:rsidR="00095F27" w:rsidRPr="00A43A37" w:rsidRDefault="00095F27">
            <w:pPr>
              <w:spacing w:after="0" w:line="276" w:lineRule="auto"/>
              <w:ind w:right="567"/>
              <w:jc w:val="right"/>
            </w:pPr>
            <w:r w:rsidRPr="00A43A37">
              <w:t>0,228 283%</w:t>
            </w:r>
          </w:p>
          <w:p w:rsidR="00095F27" w:rsidRPr="00A43A37" w:rsidRDefault="00095F27">
            <w:pPr>
              <w:spacing w:after="0" w:line="276" w:lineRule="auto"/>
              <w:ind w:right="567"/>
              <w:jc w:val="right"/>
            </w:pPr>
            <w:r w:rsidRPr="00A43A37">
              <w:t xml:space="preserve">0,335 814% </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Marele Ducat de Luxemburg</w:t>
            </w:r>
          </w:p>
          <w:p w:rsidR="00095F27" w:rsidRPr="00A43A37" w:rsidRDefault="00095F27">
            <w:pPr>
              <w:spacing w:after="0" w:line="276" w:lineRule="auto"/>
            </w:pPr>
            <w:r w:rsidRPr="00A43A37">
              <w:t xml:space="preserve">Ungaria </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0,307 427%</w:t>
            </w:r>
          </w:p>
          <w:p w:rsidR="00095F27" w:rsidRPr="00A43A37" w:rsidRDefault="00095F27">
            <w:pPr>
              <w:spacing w:after="0" w:line="276" w:lineRule="auto"/>
              <w:ind w:right="567"/>
              <w:jc w:val="right"/>
            </w:pPr>
            <w:r w:rsidRPr="00A43A37">
              <w:t>0,998 384%</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Malta</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0,092 177%</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Regatul Țărilor de Jos</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5,764 798%</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Austria</w:t>
            </w:r>
          </w:p>
          <w:p w:rsidR="00095F27" w:rsidRPr="00A43A37" w:rsidRDefault="00095F27" w:rsidP="00C843FB">
            <w:pPr>
              <w:spacing w:after="0" w:line="276" w:lineRule="auto"/>
            </w:pPr>
            <w:r w:rsidRPr="00A43A37">
              <w:t>Republica Polon</w:t>
            </w:r>
            <w:r w:rsidR="00C843FB" w:rsidRPr="00A43A37">
              <w:t>ă</w:t>
            </w:r>
            <w:r w:rsidRPr="00A43A37">
              <w:t xml:space="preserve"> </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2,868 863%</w:t>
            </w:r>
          </w:p>
          <w:p w:rsidR="00095F27" w:rsidRPr="00A43A37" w:rsidRDefault="00095F27">
            <w:pPr>
              <w:spacing w:after="0" w:line="276" w:lineRule="auto"/>
              <w:ind w:right="567"/>
              <w:jc w:val="right"/>
            </w:pPr>
            <w:r w:rsidRPr="00A43A37">
              <w:t>3,720 413%</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Portugheză</w:t>
            </w:r>
          </w:p>
          <w:p w:rsidR="00095F27" w:rsidRPr="00A43A37" w:rsidRDefault="00095F27">
            <w:pPr>
              <w:spacing w:after="0" w:line="276" w:lineRule="auto"/>
            </w:pPr>
            <w:r w:rsidRPr="00A43A37">
              <w:t>România</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1,462 284%</w:t>
            </w:r>
          </w:p>
          <w:p w:rsidR="00095F27" w:rsidRPr="00A43A37" w:rsidRDefault="00095F27">
            <w:pPr>
              <w:spacing w:after="0" w:line="276" w:lineRule="auto"/>
              <w:ind w:right="567"/>
              <w:jc w:val="right"/>
            </w:pPr>
            <w:r w:rsidRPr="00A43A37">
              <w:t>1,573 537%</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Slovenia</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0,352 506%</w:t>
            </w:r>
          </w:p>
        </w:tc>
      </w:tr>
      <w:tr w:rsidR="00095F27" w:rsidRPr="00696D74" w:rsidTr="00095F27">
        <w:trPr>
          <w:trHeight w:val="315"/>
        </w:trPr>
        <w:tc>
          <w:tcPr>
            <w:tcW w:w="3240" w:type="dxa"/>
            <w:noWrap/>
            <w:hideMark/>
          </w:tcPr>
          <w:p w:rsidR="00095F27" w:rsidRPr="00A43A37" w:rsidRDefault="00095F27">
            <w:pPr>
              <w:spacing w:after="0" w:line="276" w:lineRule="auto"/>
            </w:pPr>
            <w:r w:rsidRPr="00A43A37">
              <w:t>Republica Slovacă</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0,694 065%</w:t>
            </w:r>
          </w:p>
        </w:tc>
      </w:tr>
      <w:tr w:rsidR="00095F27" w:rsidRPr="00696D74" w:rsidTr="00095F27">
        <w:trPr>
          <w:trHeight w:val="360"/>
        </w:trPr>
        <w:tc>
          <w:tcPr>
            <w:tcW w:w="3240" w:type="dxa"/>
            <w:noWrap/>
            <w:hideMark/>
          </w:tcPr>
          <w:p w:rsidR="00095F27" w:rsidRPr="00A43A37" w:rsidRDefault="00095F27">
            <w:pPr>
              <w:spacing w:after="0" w:line="276" w:lineRule="auto"/>
            </w:pPr>
            <w:r w:rsidRPr="00A43A37">
              <w:t>Republica Finlanda</w:t>
            </w:r>
          </w:p>
          <w:p w:rsidR="00095F27" w:rsidRPr="00A43A37" w:rsidRDefault="00095F27">
            <w:pPr>
              <w:spacing w:after="0" w:line="276" w:lineRule="auto"/>
            </w:pPr>
            <w:r w:rsidRPr="00A43A37">
              <w:t>Regatul Suediei</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1,726 961%</w:t>
            </w:r>
          </w:p>
          <w:p w:rsidR="00095F27" w:rsidRPr="00A43A37" w:rsidRDefault="00095F27">
            <w:pPr>
              <w:spacing w:after="0" w:line="276" w:lineRule="auto"/>
              <w:ind w:right="567"/>
              <w:jc w:val="right"/>
              <w:rPr>
                <w:u w:val="single"/>
              </w:rPr>
            </w:pPr>
            <w:r w:rsidRPr="00A43A37">
              <w:rPr>
                <w:u w:val="single"/>
              </w:rPr>
              <w:t>3,394 149%</w:t>
            </w:r>
          </w:p>
        </w:tc>
      </w:tr>
      <w:tr w:rsidR="00095F27" w:rsidRPr="00696D74" w:rsidTr="00095F27">
        <w:trPr>
          <w:trHeight w:val="315"/>
        </w:trPr>
        <w:tc>
          <w:tcPr>
            <w:tcW w:w="3240" w:type="dxa"/>
            <w:noWrap/>
            <w:hideMark/>
          </w:tcPr>
          <w:p w:rsidR="00095F27" w:rsidRPr="00A43A37" w:rsidRDefault="00095F27">
            <w:pPr>
              <w:spacing w:after="0" w:line="276" w:lineRule="auto"/>
              <w:rPr>
                <w:b/>
              </w:rPr>
            </w:pPr>
            <w:r w:rsidRPr="00A43A37">
              <w:rPr>
                <w:b/>
              </w:rPr>
              <w:t>Total</w:t>
            </w:r>
          </w:p>
        </w:tc>
        <w:tc>
          <w:tcPr>
            <w:tcW w:w="2137" w:type="dxa"/>
          </w:tcPr>
          <w:p w:rsidR="00095F27" w:rsidRPr="00A43A37" w:rsidRDefault="00095F27">
            <w:pPr>
              <w:spacing w:after="0" w:line="276" w:lineRule="auto"/>
              <w:ind w:right="567"/>
              <w:jc w:val="right"/>
            </w:pPr>
          </w:p>
        </w:tc>
        <w:tc>
          <w:tcPr>
            <w:tcW w:w="3520" w:type="dxa"/>
            <w:hideMark/>
          </w:tcPr>
          <w:p w:rsidR="00095F27" w:rsidRPr="00A43A37" w:rsidRDefault="00095F27">
            <w:pPr>
              <w:spacing w:after="0" w:line="276" w:lineRule="auto"/>
              <w:ind w:right="567"/>
              <w:jc w:val="right"/>
            </w:pPr>
            <w:r w:rsidRPr="00A43A37">
              <w:t>100,000 000%</w:t>
            </w:r>
          </w:p>
        </w:tc>
      </w:tr>
      <w:tr w:rsidR="00095F27" w:rsidTr="00095F27">
        <w:trPr>
          <w:trHeight w:val="315"/>
        </w:trPr>
        <w:tc>
          <w:tcPr>
            <w:tcW w:w="3240" w:type="dxa"/>
            <w:noWrap/>
          </w:tcPr>
          <w:p w:rsidR="00095F27" w:rsidRDefault="00095F27">
            <w:pPr>
              <w:spacing w:after="0"/>
            </w:pPr>
          </w:p>
        </w:tc>
        <w:tc>
          <w:tcPr>
            <w:tcW w:w="2137" w:type="dxa"/>
          </w:tcPr>
          <w:p w:rsidR="00095F27" w:rsidRDefault="00095F27">
            <w:pPr>
              <w:spacing w:after="0"/>
              <w:ind w:right="567"/>
              <w:jc w:val="right"/>
            </w:pPr>
          </w:p>
        </w:tc>
        <w:tc>
          <w:tcPr>
            <w:tcW w:w="3520" w:type="dxa"/>
          </w:tcPr>
          <w:p w:rsidR="00095F27" w:rsidRDefault="00095F27">
            <w:pPr>
              <w:spacing w:after="0"/>
              <w:ind w:right="567"/>
              <w:jc w:val="right"/>
            </w:pPr>
          </w:p>
        </w:tc>
      </w:tr>
    </w:tbl>
    <w:p w:rsidR="00976FA1" w:rsidRDefault="00976FA1"/>
    <w:sectPr w:rsidR="00976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FC" w:rsidRDefault="00F034FC" w:rsidP="0039690A">
      <w:pPr>
        <w:spacing w:after="0" w:line="240" w:lineRule="auto"/>
      </w:pPr>
      <w:r>
        <w:separator/>
      </w:r>
    </w:p>
  </w:endnote>
  <w:endnote w:type="continuationSeparator" w:id="0">
    <w:p w:rsidR="00F034FC" w:rsidRDefault="00F034FC" w:rsidP="0039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42211"/>
      <w:docPartObj>
        <w:docPartGallery w:val="Page Numbers (Bottom of Page)"/>
        <w:docPartUnique/>
      </w:docPartObj>
    </w:sdtPr>
    <w:sdtEndPr>
      <w:rPr>
        <w:noProof/>
      </w:rPr>
    </w:sdtEndPr>
    <w:sdtContent>
      <w:p w:rsidR="00C13142" w:rsidRDefault="00C13142">
        <w:pPr>
          <w:pStyle w:val="Footer"/>
          <w:jc w:val="center"/>
        </w:pPr>
        <w:r>
          <w:fldChar w:fldCharType="begin"/>
        </w:r>
        <w:r>
          <w:instrText xml:space="preserve"> PAGE   \* MERGEFORMAT </w:instrText>
        </w:r>
        <w:r>
          <w:fldChar w:fldCharType="separate"/>
        </w:r>
        <w:r w:rsidR="0074346D">
          <w:rPr>
            <w:noProof/>
          </w:rPr>
          <w:t>11</w:t>
        </w:r>
        <w:r>
          <w:rPr>
            <w:noProof/>
          </w:rPr>
          <w:fldChar w:fldCharType="end"/>
        </w:r>
      </w:p>
    </w:sdtContent>
  </w:sdt>
  <w:p w:rsidR="00402BA1" w:rsidRDefault="00402BA1" w:rsidP="00402BA1">
    <w:pPr>
      <w:pStyle w:val="Footer"/>
    </w:pPr>
  </w:p>
  <w:p w:rsidR="00402BA1" w:rsidRPr="000B19F3" w:rsidRDefault="00402BA1" w:rsidP="00402BA1">
    <w:pPr>
      <w:pStyle w:val="Footer"/>
      <w:jc w:val="right"/>
      <w:rPr>
        <w:noProof/>
        <w:sz w:val="20"/>
      </w:rPr>
    </w:pPr>
    <w:r w:rsidRPr="000B19F3">
      <w:rPr>
        <w:noProof/>
        <w:sz w:val="20"/>
      </w:rPr>
      <w:t>Traducere oficială/autorizată</w:t>
    </w:r>
  </w:p>
  <w:p w:rsidR="00402BA1" w:rsidRPr="000B19F3" w:rsidRDefault="00402BA1" w:rsidP="00402BA1">
    <w:pPr>
      <w:pStyle w:val="Footer"/>
      <w:jc w:val="right"/>
      <w:rPr>
        <w:sz w:val="20"/>
      </w:rPr>
    </w:pPr>
    <w:r w:rsidRPr="000B19F3">
      <w:rPr>
        <w:noProof/>
        <w:sz w:val="20"/>
      </w:rPr>
      <w:t xml:space="preserve">       din limba engleză</w:t>
    </w:r>
  </w:p>
  <w:p w:rsidR="00402BA1" w:rsidRPr="000B19F3" w:rsidRDefault="00402BA1" w:rsidP="00402BA1">
    <w:pPr>
      <w:pStyle w:val="Footer"/>
      <w:jc w:val="right"/>
      <w:rPr>
        <w:sz w:val="20"/>
      </w:rPr>
    </w:pPr>
  </w:p>
  <w:p w:rsidR="0039690A" w:rsidRDefault="0039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FC" w:rsidRDefault="00F034FC" w:rsidP="0039690A">
      <w:pPr>
        <w:spacing w:after="0" w:line="240" w:lineRule="auto"/>
      </w:pPr>
      <w:r>
        <w:separator/>
      </w:r>
    </w:p>
  </w:footnote>
  <w:footnote w:type="continuationSeparator" w:id="0">
    <w:p w:rsidR="00F034FC" w:rsidRDefault="00F034FC" w:rsidP="0039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CBE"/>
    <w:multiLevelType w:val="multilevel"/>
    <w:tmpl w:val="E8EC38D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1">
    <w:nsid w:val="44B04F58"/>
    <w:multiLevelType w:val="multilevel"/>
    <w:tmpl w:val="8940F9CE"/>
    <w:name w:val="Simple List"/>
    <w:lvl w:ilvl="0">
      <w:start w:val="1"/>
      <w:numFmt w:val="decimal"/>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webHidden w:val="0"/>
        <w:color w:val="auto"/>
        <w:sz w:val="24"/>
        <w:u w:val="none"/>
        <w:effect w:val="none"/>
        <w:vertAlign w:val="baseline"/>
        <w:specVanish w:val="0"/>
      </w:rPr>
    </w:lvl>
    <w:lvl w:ilvl="1">
      <w:start w:val="1"/>
      <w:numFmt w:val="upperLetter"/>
      <w:pStyle w:val="Schedule1L2"/>
      <w:suff w:val="nothing"/>
      <w:lvlText w:val="Part %2"/>
      <w:lvlJc w:val="left"/>
      <w:pPr>
        <w:tabs>
          <w:tab w:val="num" w:pos="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
    <w:nsid w:val="73F42733"/>
    <w:multiLevelType w:val="multilevel"/>
    <w:tmpl w:val="E7288B12"/>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27"/>
    <w:rsid w:val="00095F27"/>
    <w:rsid w:val="001952E1"/>
    <w:rsid w:val="00215E10"/>
    <w:rsid w:val="002335DC"/>
    <w:rsid w:val="002E42DF"/>
    <w:rsid w:val="0039690A"/>
    <w:rsid w:val="00402BA1"/>
    <w:rsid w:val="00423806"/>
    <w:rsid w:val="004D6BAB"/>
    <w:rsid w:val="00696D74"/>
    <w:rsid w:val="0074346D"/>
    <w:rsid w:val="00976FA1"/>
    <w:rsid w:val="00A43A37"/>
    <w:rsid w:val="00A818D0"/>
    <w:rsid w:val="00B317F1"/>
    <w:rsid w:val="00C01791"/>
    <w:rsid w:val="00C13142"/>
    <w:rsid w:val="00C1319E"/>
    <w:rsid w:val="00C843FB"/>
    <w:rsid w:val="00D8721F"/>
    <w:rsid w:val="00E20E21"/>
    <w:rsid w:val="00E932BB"/>
    <w:rsid w:val="00F0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D7473-8BA4-419E-A796-E0E4C40F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27"/>
    <w:pPr>
      <w:spacing w:line="256" w:lineRule="auto"/>
      <w:jc w:val="both"/>
    </w:pPr>
    <w:rPr>
      <w:rFonts w:ascii="Times New Roman" w:eastAsia="SimSun" w:hAnsi="Times New Roman" w:cs="tim"/>
      <w:sz w:val="24"/>
      <w:szCs w:val="24"/>
      <w:lang w:val="ro-RO" w:eastAsia="zh-CN" w:bidi="ar-AE"/>
    </w:rPr>
  </w:style>
  <w:style w:type="paragraph" w:styleId="Heading1">
    <w:name w:val="heading 1"/>
    <w:basedOn w:val="Normal"/>
    <w:next w:val="Normal"/>
    <w:link w:val="Heading1Char"/>
    <w:uiPriority w:val="9"/>
    <w:qFormat/>
    <w:rsid w:val="00095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5F27"/>
    <w:rPr>
      <w:color w:val="0000FF"/>
      <w:u w:val="single"/>
    </w:rPr>
  </w:style>
  <w:style w:type="paragraph" w:styleId="BodyText">
    <w:name w:val="Body Text"/>
    <w:basedOn w:val="Normal"/>
    <w:link w:val="BodyTextChar"/>
    <w:uiPriority w:val="99"/>
    <w:unhideWhenUsed/>
    <w:qFormat/>
    <w:rsid w:val="00095F27"/>
    <w:rPr>
      <w:lang w:eastAsia="en-GB"/>
    </w:rPr>
  </w:style>
  <w:style w:type="character" w:customStyle="1" w:styleId="BodyTextChar">
    <w:name w:val="Body Text Char"/>
    <w:basedOn w:val="DefaultParagraphFont"/>
    <w:link w:val="BodyText"/>
    <w:uiPriority w:val="99"/>
    <w:rsid w:val="00095F27"/>
    <w:rPr>
      <w:rFonts w:ascii="Times New Roman" w:eastAsia="SimSun" w:hAnsi="Times New Roman" w:cs="tim"/>
      <w:sz w:val="24"/>
      <w:szCs w:val="24"/>
      <w:lang w:val="ro-RO" w:eastAsia="en-GB" w:bidi="ar-AE"/>
    </w:rPr>
  </w:style>
  <w:style w:type="paragraph" w:styleId="TOC1">
    <w:name w:val="toc 1"/>
    <w:basedOn w:val="Normal"/>
    <w:next w:val="BodyText"/>
    <w:autoRedefine/>
    <w:uiPriority w:val="39"/>
    <w:semiHidden/>
    <w:unhideWhenUsed/>
    <w:rsid w:val="00095F27"/>
    <w:pPr>
      <w:keepLines/>
      <w:tabs>
        <w:tab w:val="right" w:leader="dot" w:pos="9016"/>
      </w:tabs>
      <w:adjustRightInd w:val="0"/>
      <w:snapToGrid w:val="0"/>
      <w:spacing w:before="100" w:after="0"/>
      <w:ind w:left="720" w:hanging="720"/>
    </w:pPr>
  </w:style>
  <w:style w:type="character" w:customStyle="1" w:styleId="Heading1Char">
    <w:name w:val="Heading 1 Char"/>
    <w:basedOn w:val="DefaultParagraphFont"/>
    <w:link w:val="Heading1"/>
    <w:uiPriority w:val="9"/>
    <w:rsid w:val="00095F27"/>
    <w:rPr>
      <w:rFonts w:asciiTheme="majorHAnsi" w:eastAsiaTheme="majorEastAsia" w:hAnsiTheme="majorHAnsi" w:cstheme="majorBidi"/>
      <w:color w:val="2E74B5" w:themeColor="accent1" w:themeShade="BF"/>
      <w:sz w:val="32"/>
      <w:szCs w:val="32"/>
      <w:lang w:val="ro-RO" w:eastAsia="zh-CN" w:bidi="ar-AE"/>
    </w:rPr>
  </w:style>
  <w:style w:type="paragraph" w:styleId="TOCHeading">
    <w:name w:val="TOC Heading"/>
    <w:basedOn w:val="Normal"/>
    <w:next w:val="Normal"/>
    <w:uiPriority w:val="39"/>
    <w:semiHidden/>
    <w:unhideWhenUsed/>
    <w:qFormat/>
    <w:rsid w:val="00095F27"/>
    <w:pPr>
      <w:jc w:val="center"/>
    </w:pPr>
    <w:rPr>
      <w:b/>
      <w:bCs/>
      <w:caps/>
    </w:rPr>
  </w:style>
  <w:style w:type="paragraph" w:customStyle="1" w:styleId="Parties">
    <w:name w:val="Parties"/>
    <w:basedOn w:val="Normal"/>
    <w:uiPriority w:val="99"/>
    <w:semiHidden/>
    <w:rsid w:val="00095F27"/>
    <w:pPr>
      <w:jc w:val="center"/>
    </w:pPr>
    <w:rPr>
      <w:caps/>
    </w:rPr>
  </w:style>
  <w:style w:type="paragraph" w:customStyle="1" w:styleId="BodyText1">
    <w:name w:val="Body Text 1"/>
    <w:basedOn w:val="Normal"/>
    <w:uiPriority w:val="99"/>
    <w:semiHidden/>
    <w:qFormat/>
    <w:rsid w:val="00095F27"/>
    <w:pPr>
      <w:ind w:left="720"/>
    </w:pPr>
    <w:rPr>
      <w:lang w:eastAsia="en-GB"/>
    </w:rPr>
  </w:style>
  <w:style w:type="paragraph" w:customStyle="1" w:styleId="NormalRight">
    <w:name w:val="NormalRight"/>
    <w:basedOn w:val="Normal"/>
    <w:uiPriority w:val="1"/>
    <w:semiHidden/>
    <w:qFormat/>
    <w:rsid w:val="00095F27"/>
    <w:pPr>
      <w:spacing w:after="0"/>
      <w:jc w:val="right"/>
    </w:pPr>
  </w:style>
  <w:style w:type="paragraph" w:customStyle="1" w:styleId="StandardL1">
    <w:name w:val="Standard L1"/>
    <w:basedOn w:val="Normal"/>
    <w:next w:val="BodyText1"/>
    <w:uiPriority w:val="99"/>
    <w:semiHidden/>
    <w:rsid w:val="00095F27"/>
    <w:pPr>
      <w:keepNext/>
      <w:numPr>
        <w:numId w:val="1"/>
      </w:numPr>
      <w:jc w:val="left"/>
      <w:outlineLvl w:val="0"/>
    </w:pPr>
    <w:rPr>
      <w:b/>
      <w:bCs/>
      <w:caps/>
      <w:lang w:eastAsia="en-GB"/>
    </w:rPr>
  </w:style>
  <w:style w:type="paragraph" w:customStyle="1" w:styleId="StandardL2">
    <w:name w:val="Standard L2"/>
    <w:basedOn w:val="Normal"/>
    <w:next w:val="BodyText1"/>
    <w:uiPriority w:val="99"/>
    <w:semiHidden/>
    <w:rsid w:val="00095F27"/>
    <w:pPr>
      <w:numPr>
        <w:ilvl w:val="1"/>
        <w:numId w:val="1"/>
      </w:numPr>
      <w:outlineLvl w:val="1"/>
    </w:pPr>
    <w:rPr>
      <w:lang w:eastAsia="en-GB"/>
    </w:rPr>
  </w:style>
  <w:style w:type="paragraph" w:customStyle="1" w:styleId="StandardL3">
    <w:name w:val="Standard L3"/>
    <w:basedOn w:val="Normal"/>
    <w:next w:val="BodyText2"/>
    <w:uiPriority w:val="99"/>
    <w:semiHidden/>
    <w:rsid w:val="00095F27"/>
    <w:pPr>
      <w:numPr>
        <w:ilvl w:val="2"/>
        <w:numId w:val="1"/>
      </w:numPr>
      <w:outlineLvl w:val="2"/>
    </w:pPr>
    <w:rPr>
      <w:lang w:eastAsia="en-GB"/>
    </w:rPr>
  </w:style>
  <w:style w:type="paragraph" w:customStyle="1" w:styleId="StandardL4">
    <w:name w:val="Standard L4"/>
    <w:basedOn w:val="Normal"/>
    <w:next w:val="BodyText3"/>
    <w:uiPriority w:val="99"/>
    <w:semiHidden/>
    <w:rsid w:val="00095F27"/>
    <w:pPr>
      <w:numPr>
        <w:ilvl w:val="3"/>
        <w:numId w:val="1"/>
      </w:numPr>
      <w:outlineLvl w:val="3"/>
    </w:pPr>
    <w:rPr>
      <w:lang w:eastAsia="en-GB"/>
    </w:rPr>
  </w:style>
  <w:style w:type="paragraph" w:customStyle="1" w:styleId="StandardL5">
    <w:name w:val="Standard L5"/>
    <w:basedOn w:val="Normal"/>
    <w:next w:val="Normal"/>
    <w:uiPriority w:val="99"/>
    <w:semiHidden/>
    <w:rsid w:val="00095F27"/>
    <w:pPr>
      <w:numPr>
        <w:ilvl w:val="4"/>
        <w:numId w:val="1"/>
      </w:numPr>
      <w:outlineLvl w:val="4"/>
    </w:pPr>
    <w:rPr>
      <w:lang w:eastAsia="en-GB"/>
    </w:rPr>
  </w:style>
  <w:style w:type="paragraph" w:customStyle="1" w:styleId="StandardL6">
    <w:name w:val="Standard L6"/>
    <w:basedOn w:val="Normal"/>
    <w:next w:val="Normal"/>
    <w:uiPriority w:val="99"/>
    <w:semiHidden/>
    <w:rsid w:val="00095F27"/>
    <w:pPr>
      <w:numPr>
        <w:ilvl w:val="5"/>
        <w:numId w:val="1"/>
      </w:numPr>
      <w:outlineLvl w:val="5"/>
    </w:pPr>
    <w:rPr>
      <w:lang w:eastAsia="en-GB"/>
    </w:rPr>
  </w:style>
  <w:style w:type="paragraph" w:customStyle="1" w:styleId="StandardL7">
    <w:name w:val="Standard L7"/>
    <w:basedOn w:val="Normal"/>
    <w:next w:val="Normal"/>
    <w:uiPriority w:val="99"/>
    <w:semiHidden/>
    <w:rsid w:val="00095F27"/>
    <w:pPr>
      <w:numPr>
        <w:ilvl w:val="6"/>
        <w:numId w:val="1"/>
      </w:numPr>
      <w:outlineLvl w:val="6"/>
    </w:pPr>
    <w:rPr>
      <w:lang w:eastAsia="en-GB"/>
    </w:rPr>
  </w:style>
  <w:style w:type="paragraph" w:customStyle="1" w:styleId="StandardL8">
    <w:name w:val="Standard L8"/>
    <w:basedOn w:val="Normal"/>
    <w:next w:val="BodyText2"/>
    <w:uiPriority w:val="99"/>
    <w:semiHidden/>
    <w:rsid w:val="00095F27"/>
    <w:pPr>
      <w:numPr>
        <w:ilvl w:val="7"/>
        <w:numId w:val="1"/>
      </w:numPr>
      <w:outlineLvl w:val="7"/>
    </w:pPr>
    <w:rPr>
      <w:lang w:eastAsia="en-GB"/>
    </w:rPr>
  </w:style>
  <w:style w:type="paragraph" w:customStyle="1" w:styleId="StandardL9">
    <w:name w:val="Standard L9"/>
    <w:basedOn w:val="Normal"/>
    <w:next w:val="BodyText3"/>
    <w:uiPriority w:val="99"/>
    <w:semiHidden/>
    <w:rsid w:val="00095F27"/>
    <w:pPr>
      <w:numPr>
        <w:ilvl w:val="8"/>
        <w:numId w:val="1"/>
      </w:numPr>
      <w:outlineLvl w:val="8"/>
    </w:pPr>
    <w:rPr>
      <w:lang w:eastAsia="en-GB"/>
    </w:rPr>
  </w:style>
  <w:style w:type="paragraph" w:customStyle="1" w:styleId="Schedule1L9">
    <w:name w:val="Schedule 1 L9"/>
    <w:basedOn w:val="Normal"/>
    <w:next w:val="Normal"/>
    <w:uiPriority w:val="99"/>
    <w:semiHidden/>
    <w:rsid w:val="00095F27"/>
    <w:pPr>
      <w:numPr>
        <w:ilvl w:val="8"/>
        <w:numId w:val="2"/>
      </w:numPr>
      <w:spacing w:line="288" w:lineRule="auto"/>
      <w:outlineLvl w:val="8"/>
    </w:pPr>
  </w:style>
  <w:style w:type="paragraph" w:customStyle="1" w:styleId="Schedule1L8">
    <w:name w:val="Schedule 1 L8"/>
    <w:basedOn w:val="Normal"/>
    <w:next w:val="Normal"/>
    <w:uiPriority w:val="99"/>
    <w:semiHidden/>
    <w:rsid w:val="00095F27"/>
    <w:pPr>
      <w:numPr>
        <w:ilvl w:val="7"/>
        <w:numId w:val="2"/>
      </w:numPr>
      <w:spacing w:line="288" w:lineRule="auto"/>
      <w:outlineLvl w:val="7"/>
    </w:pPr>
  </w:style>
  <w:style w:type="character" w:customStyle="1" w:styleId="Schedule1L7Char">
    <w:name w:val="Schedule 1 L7 Char"/>
    <w:link w:val="Schedule1L7"/>
    <w:semiHidden/>
    <w:locked/>
    <w:rsid w:val="00095F27"/>
    <w:rPr>
      <w:rFonts w:ascii="tim" w:hAnsi="tim" w:cs="tim"/>
      <w:sz w:val="24"/>
      <w:szCs w:val="24"/>
      <w:lang w:eastAsia="zh-CN" w:bidi="ar-AE"/>
    </w:rPr>
  </w:style>
  <w:style w:type="paragraph" w:customStyle="1" w:styleId="Schedule1L7">
    <w:name w:val="Schedule 1 L7"/>
    <w:basedOn w:val="Normal"/>
    <w:next w:val="Normal"/>
    <w:link w:val="Schedule1L7Char"/>
    <w:semiHidden/>
    <w:rsid w:val="00095F27"/>
    <w:pPr>
      <w:numPr>
        <w:ilvl w:val="6"/>
        <w:numId w:val="2"/>
      </w:numPr>
      <w:spacing w:line="288" w:lineRule="auto"/>
      <w:outlineLvl w:val="6"/>
    </w:pPr>
    <w:rPr>
      <w:rFonts w:ascii="tim" w:eastAsiaTheme="minorHAnsi" w:hAnsi="tim"/>
      <w:lang w:val="en-US"/>
    </w:rPr>
  </w:style>
  <w:style w:type="paragraph" w:customStyle="1" w:styleId="Schedule1L6">
    <w:name w:val="Schedule 1 L6"/>
    <w:basedOn w:val="Normal"/>
    <w:next w:val="BodyText3"/>
    <w:uiPriority w:val="99"/>
    <w:semiHidden/>
    <w:rsid w:val="00095F27"/>
    <w:pPr>
      <w:numPr>
        <w:ilvl w:val="5"/>
        <w:numId w:val="2"/>
      </w:numPr>
      <w:spacing w:line="288" w:lineRule="auto"/>
      <w:outlineLvl w:val="5"/>
    </w:pPr>
  </w:style>
  <w:style w:type="paragraph" w:customStyle="1" w:styleId="Schedule1L5">
    <w:name w:val="Schedule 1 L5"/>
    <w:basedOn w:val="Normal"/>
    <w:next w:val="BodyText2"/>
    <w:uiPriority w:val="99"/>
    <w:semiHidden/>
    <w:rsid w:val="00095F27"/>
    <w:pPr>
      <w:numPr>
        <w:ilvl w:val="4"/>
        <w:numId w:val="2"/>
      </w:numPr>
      <w:spacing w:line="288" w:lineRule="auto"/>
      <w:outlineLvl w:val="4"/>
    </w:pPr>
  </w:style>
  <w:style w:type="paragraph" w:customStyle="1" w:styleId="Schedule1L4">
    <w:name w:val="Schedule 1 L4"/>
    <w:basedOn w:val="Normal"/>
    <w:next w:val="BodyText1"/>
    <w:uiPriority w:val="99"/>
    <w:semiHidden/>
    <w:rsid w:val="00095F27"/>
    <w:pPr>
      <w:numPr>
        <w:ilvl w:val="3"/>
        <w:numId w:val="2"/>
      </w:numPr>
      <w:spacing w:line="288" w:lineRule="auto"/>
      <w:outlineLvl w:val="3"/>
    </w:pPr>
  </w:style>
  <w:style w:type="paragraph" w:customStyle="1" w:styleId="Schedule1L3">
    <w:name w:val="Schedule 1 L3"/>
    <w:basedOn w:val="Normal"/>
    <w:next w:val="BodyText1"/>
    <w:uiPriority w:val="99"/>
    <w:semiHidden/>
    <w:rsid w:val="00095F27"/>
    <w:pPr>
      <w:numPr>
        <w:ilvl w:val="2"/>
        <w:numId w:val="2"/>
      </w:numPr>
      <w:spacing w:line="288" w:lineRule="auto"/>
      <w:outlineLvl w:val="2"/>
    </w:pPr>
  </w:style>
  <w:style w:type="paragraph" w:customStyle="1" w:styleId="Schedule1L2">
    <w:name w:val="Schedule 1 L2"/>
    <w:basedOn w:val="Normal"/>
    <w:next w:val="BodyText"/>
    <w:uiPriority w:val="99"/>
    <w:semiHidden/>
    <w:rsid w:val="00095F27"/>
    <w:pPr>
      <w:numPr>
        <w:ilvl w:val="1"/>
        <w:numId w:val="2"/>
      </w:numPr>
      <w:spacing w:line="288" w:lineRule="auto"/>
      <w:jc w:val="center"/>
      <w:outlineLvl w:val="1"/>
    </w:pPr>
    <w:rPr>
      <w:b/>
      <w:caps/>
    </w:rPr>
  </w:style>
  <w:style w:type="paragraph" w:customStyle="1" w:styleId="Schedule1L1">
    <w:name w:val="Schedule 1 L1"/>
    <w:basedOn w:val="Normal"/>
    <w:next w:val="BodyText"/>
    <w:uiPriority w:val="99"/>
    <w:semiHidden/>
    <w:rsid w:val="00095F27"/>
    <w:pPr>
      <w:keepNext/>
      <w:pageBreakBefore/>
      <w:numPr>
        <w:numId w:val="2"/>
      </w:numPr>
      <w:spacing w:line="288" w:lineRule="auto"/>
      <w:jc w:val="center"/>
      <w:outlineLvl w:val="0"/>
    </w:pPr>
    <w:rPr>
      <w:b/>
      <w:caps/>
    </w:rPr>
  </w:style>
  <w:style w:type="paragraph" w:customStyle="1" w:styleId="SimpleL9">
    <w:name w:val="Simple L9"/>
    <w:basedOn w:val="Normal"/>
    <w:uiPriority w:val="99"/>
    <w:semiHidden/>
    <w:rsid w:val="00095F27"/>
    <w:pPr>
      <w:numPr>
        <w:ilvl w:val="8"/>
        <w:numId w:val="3"/>
      </w:numPr>
      <w:spacing w:line="288" w:lineRule="auto"/>
      <w:outlineLvl w:val="8"/>
    </w:pPr>
  </w:style>
  <w:style w:type="paragraph" w:customStyle="1" w:styleId="SimpleL8">
    <w:name w:val="Simple L8"/>
    <w:basedOn w:val="Normal"/>
    <w:uiPriority w:val="99"/>
    <w:semiHidden/>
    <w:rsid w:val="00095F27"/>
    <w:pPr>
      <w:numPr>
        <w:ilvl w:val="7"/>
        <w:numId w:val="3"/>
      </w:numPr>
      <w:tabs>
        <w:tab w:val="num" w:pos="360"/>
      </w:tabs>
      <w:spacing w:line="288" w:lineRule="auto"/>
      <w:outlineLvl w:val="7"/>
    </w:pPr>
  </w:style>
  <w:style w:type="paragraph" w:customStyle="1" w:styleId="SimpleL7">
    <w:name w:val="Simple L7"/>
    <w:basedOn w:val="Normal"/>
    <w:uiPriority w:val="99"/>
    <w:semiHidden/>
    <w:rsid w:val="00095F27"/>
    <w:pPr>
      <w:numPr>
        <w:ilvl w:val="6"/>
        <w:numId w:val="3"/>
      </w:numPr>
      <w:spacing w:line="288" w:lineRule="auto"/>
      <w:outlineLvl w:val="6"/>
    </w:pPr>
  </w:style>
  <w:style w:type="paragraph" w:customStyle="1" w:styleId="SimpleL6">
    <w:name w:val="Simple L6"/>
    <w:basedOn w:val="Normal"/>
    <w:uiPriority w:val="99"/>
    <w:semiHidden/>
    <w:rsid w:val="00095F27"/>
    <w:pPr>
      <w:numPr>
        <w:ilvl w:val="5"/>
        <w:numId w:val="3"/>
      </w:numPr>
      <w:spacing w:line="288" w:lineRule="auto"/>
      <w:outlineLvl w:val="5"/>
    </w:pPr>
  </w:style>
  <w:style w:type="paragraph" w:customStyle="1" w:styleId="SimpleL5">
    <w:name w:val="Simple L5"/>
    <w:basedOn w:val="Normal"/>
    <w:uiPriority w:val="99"/>
    <w:semiHidden/>
    <w:rsid w:val="00095F27"/>
    <w:pPr>
      <w:numPr>
        <w:ilvl w:val="4"/>
        <w:numId w:val="3"/>
      </w:numPr>
      <w:spacing w:line="288" w:lineRule="auto"/>
      <w:outlineLvl w:val="4"/>
    </w:pPr>
  </w:style>
  <w:style w:type="character" w:customStyle="1" w:styleId="SimpleL4Char">
    <w:name w:val="Simple L4 Char"/>
    <w:link w:val="SimpleL4"/>
    <w:semiHidden/>
    <w:locked/>
    <w:rsid w:val="00095F27"/>
    <w:rPr>
      <w:rFonts w:ascii="tim" w:hAnsi="tim" w:cs="tim"/>
      <w:sz w:val="24"/>
      <w:szCs w:val="24"/>
      <w:lang w:eastAsia="zh-CN" w:bidi="ar-AE"/>
    </w:rPr>
  </w:style>
  <w:style w:type="paragraph" w:customStyle="1" w:styleId="SimpleL4">
    <w:name w:val="Simple L4"/>
    <w:basedOn w:val="Normal"/>
    <w:link w:val="SimpleL4Char"/>
    <w:semiHidden/>
    <w:rsid w:val="00095F27"/>
    <w:pPr>
      <w:numPr>
        <w:ilvl w:val="3"/>
        <w:numId w:val="3"/>
      </w:numPr>
      <w:outlineLvl w:val="3"/>
    </w:pPr>
    <w:rPr>
      <w:rFonts w:ascii="tim" w:eastAsiaTheme="minorHAnsi" w:hAnsi="tim"/>
      <w:lang w:val="en-US"/>
    </w:rPr>
  </w:style>
  <w:style w:type="paragraph" w:customStyle="1" w:styleId="SimpleL3">
    <w:name w:val="Simple L3"/>
    <w:basedOn w:val="Normal"/>
    <w:uiPriority w:val="99"/>
    <w:semiHidden/>
    <w:rsid w:val="00095F27"/>
    <w:pPr>
      <w:numPr>
        <w:ilvl w:val="2"/>
        <w:numId w:val="3"/>
      </w:numPr>
      <w:spacing w:line="288" w:lineRule="auto"/>
      <w:outlineLvl w:val="2"/>
    </w:pPr>
  </w:style>
  <w:style w:type="character" w:customStyle="1" w:styleId="SimpleL2Char">
    <w:name w:val="Simple L2 Char"/>
    <w:link w:val="SimpleL2"/>
    <w:semiHidden/>
    <w:locked/>
    <w:rsid w:val="00095F27"/>
    <w:rPr>
      <w:rFonts w:ascii="tim" w:hAnsi="tim" w:cs="tim"/>
      <w:sz w:val="24"/>
      <w:szCs w:val="24"/>
      <w:lang w:eastAsia="zh-CN" w:bidi="ar-AE"/>
    </w:rPr>
  </w:style>
  <w:style w:type="paragraph" w:customStyle="1" w:styleId="SimpleL2">
    <w:name w:val="Simple L2"/>
    <w:basedOn w:val="Normal"/>
    <w:link w:val="SimpleL2Char"/>
    <w:semiHidden/>
    <w:rsid w:val="00095F27"/>
    <w:pPr>
      <w:numPr>
        <w:ilvl w:val="1"/>
        <w:numId w:val="3"/>
      </w:numPr>
      <w:outlineLvl w:val="1"/>
    </w:pPr>
    <w:rPr>
      <w:rFonts w:ascii="tim" w:eastAsiaTheme="minorHAnsi" w:hAnsi="tim"/>
      <w:lang w:val="en-US"/>
    </w:rPr>
  </w:style>
  <w:style w:type="paragraph" w:customStyle="1" w:styleId="SimpleL1">
    <w:name w:val="Simple L1"/>
    <w:basedOn w:val="Normal"/>
    <w:uiPriority w:val="99"/>
    <w:semiHidden/>
    <w:rsid w:val="00095F27"/>
    <w:pPr>
      <w:numPr>
        <w:numId w:val="3"/>
      </w:numPr>
      <w:spacing w:line="288" w:lineRule="auto"/>
      <w:outlineLvl w:val="0"/>
    </w:pPr>
  </w:style>
  <w:style w:type="paragraph" w:styleId="BodyText2">
    <w:name w:val="Body Text 2"/>
    <w:basedOn w:val="Normal"/>
    <w:link w:val="BodyText2Char"/>
    <w:uiPriority w:val="99"/>
    <w:semiHidden/>
    <w:unhideWhenUsed/>
    <w:rsid w:val="00095F27"/>
    <w:pPr>
      <w:spacing w:after="120" w:line="480" w:lineRule="auto"/>
    </w:pPr>
  </w:style>
  <w:style w:type="character" w:customStyle="1" w:styleId="BodyText2Char">
    <w:name w:val="Body Text 2 Char"/>
    <w:basedOn w:val="DefaultParagraphFont"/>
    <w:link w:val="BodyText2"/>
    <w:uiPriority w:val="99"/>
    <w:semiHidden/>
    <w:rsid w:val="00095F27"/>
    <w:rPr>
      <w:rFonts w:ascii="Times New Roman" w:eastAsia="SimSun" w:hAnsi="Times New Roman" w:cs="tim"/>
      <w:sz w:val="24"/>
      <w:szCs w:val="24"/>
      <w:lang w:val="ro-RO" w:eastAsia="zh-CN" w:bidi="ar-AE"/>
    </w:rPr>
  </w:style>
  <w:style w:type="paragraph" w:styleId="BodyText3">
    <w:name w:val="Body Text 3"/>
    <w:basedOn w:val="Normal"/>
    <w:link w:val="BodyText3Char"/>
    <w:uiPriority w:val="99"/>
    <w:semiHidden/>
    <w:unhideWhenUsed/>
    <w:rsid w:val="00095F27"/>
    <w:pPr>
      <w:spacing w:after="120"/>
    </w:pPr>
    <w:rPr>
      <w:sz w:val="16"/>
      <w:szCs w:val="16"/>
    </w:rPr>
  </w:style>
  <w:style w:type="character" w:customStyle="1" w:styleId="BodyText3Char">
    <w:name w:val="Body Text 3 Char"/>
    <w:basedOn w:val="DefaultParagraphFont"/>
    <w:link w:val="BodyText3"/>
    <w:uiPriority w:val="99"/>
    <w:semiHidden/>
    <w:rsid w:val="00095F27"/>
    <w:rPr>
      <w:rFonts w:ascii="Times New Roman" w:eastAsia="SimSun" w:hAnsi="Times New Roman" w:cs="tim"/>
      <w:sz w:val="16"/>
      <w:szCs w:val="16"/>
      <w:lang w:val="ro-RO" w:eastAsia="zh-CN" w:bidi="ar-AE"/>
    </w:rPr>
  </w:style>
  <w:style w:type="paragraph" w:styleId="Header">
    <w:name w:val="header"/>
    <w:basedOn w:val="Normal"/>
    <w:link w:val="HeaderChar"/>
    <w:uiPriority w:val="99"/>
    <w:unhideWhenUsed/>
    <w:rsid w:val="0039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0A"/>
    <w:rPr>
      <w:rFonts w:ascii="Times New Roman" w:eastAsia="SimSun" w:hAnsi="Times New Roman" w:cs="tim"/>
      <w:sz w:val="24"/>
      <w:szCs w:val="24"/>
      <w:lang w:val="ro-RO" w:eastAsia="zh-CN" w:bidi="ar-AE"/>
    </w:rPr>
  </w:style>
  <w:style w:type="paragraph" w:styleId="Footer">
    <w:name w:val="footer"/>
    <w:basedOn w:val="Normal"/>
    <w:link w:val="FooterChar"/>
    <w:uiPriority w:val="99"/>
    <w:unhideWhenUsed/>
    <w:rsid w:val="0039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0A"/>
    <w:rPr>
      <w:rFonts w:ascii="Times New Roman" w:eastAsia="SimSun" w:hAnsi="Times New Roman" w:cs="tim"/>
      <w:sz w:val="24"/>
      <w:szCs w:val="24"/>
      <w:lang w:val="ro-RO" w:eastAsia="zh-CN" w:bidi="ar-AE"/>
    </w:rPr>
  </w:style>
  <w:style w:type="paragraph" w:styleId="BalloonText">
    <w:name w:val="Balloon Text"/>
    <w:basedOn w:val="Normal"/>
    <w:link w:val="BalloonTextChar"/>
    <w:uiPriority w:val="99"/>
    <w:semiHidden/>
    <w:unhideWhenUsed/>
    <w:rsid w:val="00696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D74"/>
    <w:rPr>
      <w:rFonts w:ascii="Segoe UI" w:eastAsia="SimSun" w:hAnsi="Segoe UI" w:cs="Segoe UI"/>
      <w:sz w:val="18"/>
      <w:szCs w:val="18"/>
      <w:lang w:val="ro-RO"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7308506\Desktop\Acord%20de%20garantie%20Romania%20CE%20iunie%202020%20final.docx" TargetMode="External"/><Relationship Id="rId13" Type="http://schemas.openxmlformats.org/officeDocument/2006/relationships/hyperlink" Target="file:///C:\Users\37308506\Desktop\Acord%20de%20garantie%20Romania%20CE%20iunie%202020%20final.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Users\37308506\Desktop\Acord%20de%20garantie%20Romania%20CE%20iunie%202020%20final.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37308506\Desktop\Acord%20de%20garantie%20Romania%20CE%20iunie%202020%20fin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37308506\Desktop\Acord%20de%20garantie%20Romania%20CE%20iunie%202020%20final.docx" TargetMode="External"/><Relationship Id="rId5" Type="http://schemas.openxmlformats.org/officeDocument/2006/relationships/footnotes" Target="footnotes.xml"/><Relationship Id="rId15" Type="http://schemas.openxmlformats.org/officeDocument/2006/relationships/hyperlink" Target="file:///C:\Users\37308506\Desktop\Acord%20de%20garantie%20Romania%20CE%20iunie%202020%20final.docx" TargetMode="External"/><Relationship Id="rId10" Type="http://schemas.openxmlformats.org/officeDocument/2006/relationships/hyperlink" Target="file:///C:\Users\37308506\Desktop\Acord%20de%20garantie%20Romania%20CE%20iunie%202020%20final.docx" TargetMode="External"/><Relationship Id="rId4" Type="http://schemas.openxmlformats.org/officeDocument/2006/relationships/webSettings" Target="webSettings.xml"/><Relationship Id="rId9" Type="http://schemas.openxmlformats.org/officeDocument/2006/relationships/hyperlink" Target="file:///C:\Users\37308506\Desktop\Acord%20de%20garantie%20Romania%20CE%20iunie%202020%20final.docx" TargetMode="External"/><Relationship Id="rId14" Type="http://schemas.openxmlformats.org/officeDocument/2006/relationships/hyperlink" Target="file:///C:\Users\37308506\Desktop\Acord%20de%20garantie%20Romania%20CE%20iunie%202020%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AURELIA-LUMINITA TUDOR</dc:creator>
  <cp:keywords/>
  <dc:description/>
  <cp:lastModifiedBy>AURELIA-LUMINITA TUDOR</cp:lastModifiedBy>
  <cp:revision>11</cp:revision>
  <cp:lastPrinted>2020-07-17T06:52:00Z</cp:lastPrinted>
  <dcterms:created xsi:type="dcterms:W3CDTF">2020-07-15T12:39:00Z</dcterms:created>
  <dcterms:modified xsi:type="dcterms:W3CDTF">2020-07-17T06:53:00Z</dcterms:modified>
</cp:coreProperties>
</file>