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CB" w:rsidRDefault="007F5CCB" w:rsidP="001F7A29">
      <w:pPr>
        <w:pStyle w:val="Title"/>
        <w:rPr>
          <w:rFonts w:ascii="Arial" w:hAnsi="Arial" w:cs="Arial"/>
          <w:sz w:val="24"/>
          <w:szCs w:val="24"/>
          <w:lang w:val="ro-RO"/>
        </w:rPr>
      </w:pPr>
    </w:p>
    <w:p w:rsidR="007F5CCB" w:rsidRDefault="007F5CCB" w:rsidP="001F7A29">
      <w:pPr>
        <w:pStyle w:val="Title"/>
        <w:rPr>
          <w:rFonts w:ascii="Arial" w:hAnsi="Arial" w:cs="Arial"/>
          <w:sz w:val="24"/>
          <w:szCs w:val="24"/>
          <w:lang w:val="ro-RO"/>
        </w:rPr>
      </w:pPr>
    </w:p>
    <w:p w:rsidR="007F5CCB" w:rsidRPr="00DE14B3" w:rsidRDefault="00046A81" w:rsidP="00D172B9">
      <w:pPr>
        <w:pStyle w:val="Title"/>
        <w:rPr>
          <w:rFonts w:ascii="Arial" w:hAnsi="Arial" w:cs="Arial"/>
          <w:sz w:val="24"/>
          <w:szCs w:val="24"/>
          <w:lang w:val="ro-RO"/>
        </w:rPr>
      </w:pPr>
      <w:r>
        <w:rPr>
          <w:rFonts w:ascii="Arial" w:hAnsi="Arial" w:cs="Arial"/>
          <w:sz w:val="24"/>
          <w:szCs w:val="24"/>
          <w:lang w:val="ro-RO"/>
        </w:rPr>
        <w:t>NOTĂ</w:t>
      </w:r>
      <w:r w:rsidR="001F7A29" w:rsidRPr="00DE14B3">
        <w:rPr>
          <w:rFonts w:ascii="Arial" w:hAnsi="Arial" w:cs="Arial"/>
          <w:sz w:val="24"/>
          <w:szCs w:val="24"/>
          <w:lang w:val="ro-RO"/>
        </w:rPr>
        <w:t xml:space="preserve">  DE  FUNDAMENTARE</w:t>
      </w:r>
    </w:p>
    <w:p w:rsidR="001F7A29" w:rsidRPr="00DE14B3" w:rsidRDefault="001F7A29" w:rsidP="001F7A29">
      <w:pPr>
        <w:pStyle w:val="Title"/>
        <w:jc w:val="left"/>
        <w:rPr>
          <w:rFonts w:ascii="Arial" w:hAnsi="Arial" w:cs="Arial"/>
          <w:sz w:val="24"/>
          <w:szCs w:val="24"/>
          <w:lang w:val="ro-RO"/>
        </w:rPr>
      </w:pPr>
    </w:p>
    <w:tbl>
      <w:tblPr>
        <w:tblW w:w="10094" w:type="dxa"/>
        <w:tblInd w:w="-601" w:type="dxa"/>
        <w:tblBorders>
          <w:top w:val="single" w:sz="4" w:space="0" w:color="auto"/>
          <w:left w:val="single" w:sz="4" w:space="0" w:color="auto"/>
          <w:bottom w:val="single" w:sz="4" w:space="0" w:color="auto"/>
          <w:right w:val="single" w:sz="4" w:space="0" w:color="auto"/>
        </w:tblBorders>
        <w:tblLook w:val="0000"/>
      </w:tblPr>
      <w:tblGrid>
        <w:gridCol w:w="2689"/>
        <w:gridCol w:w="2088"/>
        <w:gridCol w:w="997"/>
        <w:gridCol w:w="734"/>
        <w:gridCol w:w="733"/>
        <w:gridCol w:w="701"/>
        <w:gridCol w:w="700"/>
        <w:gridCol w:w="1452"/>
      </w:tblGrid>
      <w:tr w:rsidR="008A1683" w:rsidRPr="00DE14B3" w:rsidTr="00A57A3A">
        <w:trPr>
          <w:trHeight w:val="2137"/>
        </w:trPr>
        <w:tc>
          <w:tcPr>
            <w:tcW w:w="10094" w:type="dxa"/>
            <w:gridSpan w:val="8"/>
            <w:tcBorders>
              <w:top w:val="single" w:sz="4" w:space="0" w:color="auto"/>
              <w:left w:val="single" w:sz="4" w:space="0" w:color="auto"/>
              <w:right w:val="single" w:sz="4" w:space="0" w:color="auto"/>
            </w:tcBorders>
          </w:tcPr>
          <w:p w:rsidR="007F5CCB" w:rsidRDefault="007F5CCB" w:rsidP="00291821">
            <w:pPr>
              <w:pStyle w:val="Title"/>
              <w:rPr>
                <w:rFonts w:ascii="Arial" w:hAnsi="Arial" w:cs="Arial"/>
                <w:sz w:val="24"/>
                <w:szCs w:val="24"/>
                <w:lang w:val="ro-RO"/>
              </w:rPr>
            </w:pPr>
          </w:p>
          <w:p w:rsidR="008A1683" w:rsidRPr="00DE14B3" w:rsidRDefault="008A1683" w:rsidP="00291821">
            <w:pPr>
              <w:pStyle w:val="Title"/>
              <w:rPr>
                <w:rFonts w:ascii="Arial" w:hAnsi="Arial" w:cs="Arial"/>
                <w:sz w:val="24"/>
                <w:szCs w:val="24"/>
                <w:lang w:val="ro-RO"/>
              </w:rPr>
            </w:pPr>
            <w:r w:rsidRPr="00DE14B3">
              <w:rPr>
                <w:rFonts w:ascii="Arial" w:hAnsi="Arial" w:cs="Arial"/>
                <w:sz w:val="24"/>
                <w:szCs w:val="24"/>
                <w:lang w:val="ro-RO"/>
              </w:rPr>
              <w:t>SECŢIUNEA 1</w:t>
            </w:r>
          </w:p>
          <w:p w:rsidR="008A1683" w:rsidRPr="00DE14B3" w:rsidRDefault="008A1683" w:rsidP="00291821">
            <w:pPr>
              <w:pStyle w:val="Title"/>
              <w:rPr>
                <w:rFonts w:ascii="Arial" w:hAnsi="Arial" w:cs="Arial"/>
                <w:sz w:val="24"/>
                <w:szCs w:val="24"/>
                <w:lang w:val="ro-RO"/>
              </w:rPr>
            </w:pPr>
            <w:r w:rsidRPr="00DE14B3">
              <w:rPr>
                <w:rFonts w:ascii="Arial" w:hAnsi="Arial" w:cs="Arial"/>
                <w:sz w:val="24"/>
                <w:szCs w:val="24"/>
                <w:lang w:val="ro-RO"/>
              </w:rPr>
              <w:t>TITLUL PROIECTULUI DE ACT NORMATIV</w:t>
            </w:r>
          </w:p>
          <w:p w:rsidR="008A1683" w:rsidRPr="00DE14B3" w:rsidRDefault="008A1683" w:rsidP="00291821">
            <w:pPr>
              <w:pStyle w:val="Title"/>
              <w:rPr>
                <w:rFonts w:ascii="Arial" w:hAnsi="Arial" w:cs="Arial"/>
                <w:sz w:val="24"/>
                <w:szCs w:val="24"/>
                <w:lang w:val="ro-RO"/>
              </w:rPr>
            </w:pPr>
          </w:p>
          <w:p w:rsidR="008A1683" w:rsidRPr="00DE14B3" w:rsidRDefault="008A1683" w:rsidP="00291821">
            <w:pPr>
              <w:jc w:val="center"/>
              <w:rPr>
                <w:rFonts w:ascii="Arial" w:hAnsi="Arial" w:cs="Arial"/>
                <w:b/>
                <w:sz w:val="24"/>
                <w:szCs w:val="24"/>
              </w:rPr>
            </w:pPr>
            <w:r w:rsidRPr="00DE14B3">
              <w:rPr>
                <w:rFonts w:ascii="Arial" w:hAnsi="Arial" w:cs="Arial"/>
                <w:b/>
                <w:sz w:val="24"/>
                <w:szCs w:val="24"/>
              </w:rPr>
              <w:t xml:space="preserve">HOTĂRÂRE A GUVERNULUI </w:t>
            </w:r>
          </w:p>
          <w:p w:rsidR="008A1683" w:rsidRDefault="002E7A4C" w:rsidP="007F5CCB">
            <w:pPr>
              <w:autoSpaceDE w:val="0"/>
              <w:autoSpaceDN w:val="0"/>
              <w:adjustRightInd w:val="0"/>
              <w:spacing w:after="0" w:line="240" w:lineRule="auto"/>
              <w:jc w:val="center"/>
              <w:rPr>
                <w:rFonts w:ascii="Arial" w:hAnsi="Arial" w:cs="Arial"/>
                <w:color w:val="000000" w:themeColor="text1"/>
                <w:sz w:val="24"/>
                <w:szCs w:val="24"/>
              </w:rPr>
            </w:pPr>
            <w:r w:rsidRPr="00051264">
              <w:rPr>
                <w:rFonts w:ascii="Arial" w:hAnsi="Arial" w:cs="Arial"/>
                <w:color w:val="000000" w:themeColor="text1"/>
                <w:sz w:val="24"/>
                <w:szCs w:val="24"/>
              </w:rPr>
              <w:t>pentru modificarea Hotărârii Guvernului nr. 534/2007 privind înfiinţarea, atribuţiile, competenţele şi modul de funcţionare ale Comitetului Interministerial de Finanţări, Garanţii şi Asigurări şi reglementarea operaţiunilor de finanţare, garantare şi asigurare efectuate de Banca de Export-Import a României EXIMBANK - S.A. în numele şi în contul statului</w:t>
            </w:r>
          </w:p>
          <w:p w:rsidR="007F5CCB" w:rsidRDefault="007F5CCB" w:rsidP="007F5CCB">
            <w:pPr>
              <w:autoSpaceDE w:val="0"/>
              <w:autoSpaceDN w:val="0"/>
              <w:adjustRightInd w:val="0"/>
              <w:spacing w:after="0" w:line="240" w:lineRule="auto"/>
              <w:jc w:val="center"/>
              <w:rPr>
                <w:rFonts w:ascii="Arial" w:hAnsi="Arial" w:cs="Arial"/>
                <w:color w:val="000000" w:themeColor="text1"/>
                <w:sz w:val="24"/>
                <w:szCs w:val="24"/>
              </w:rPr>
            </w:pPr>
          </w:p>
          <w:p w:rsidR="007F5CCB" w:rsidRPr="00DE14B3" w:rsidRDefault="007F5CCB" w:rsidP="007F5CCB">
            <w:pPr>
              <w:autoSpaceDE w:val="0"/>
              <w:autoSpaceDN w:val="0"/>
              <w:adjustRightInd w:val="0"/>
              <w:spacing w:after="0" w:line="240" w:lineRule="auto"/>
              <w:jc w:val="center"/>
              <w:rPr>
                <w:rFonts w:ascii="Arial" w:hAnsi="Arial" w:cs="Arial"/>
                <w:sz w:val="24"/>
                <w:szCs w:val="24"/>
              </w:rPr>
            </w:pPr>
          </w:p>
        </w:tc>
      </w:tr>
      <w:tr w:rsidR="001F7A29" w:rsidRPr="00DE14B3" w:rsidTr="00202A27">
        <w:tc>
          <w:tcPr>
            <w:tcW w:w="10094" w:type="dxa"/>
            <w:gridSpan w:val="8"/>
            <w:tcBorders>
              <w:top w:val="single" w:sz="4" w:space="0" w:color="auto"/>
              <w:left w:val="single" w:sz="4" w:space="0" w:color="auto"/>
              <w:bottom w:val="single" w:sz="4" w:space="0" w:color="auto"/>
              <w:right w:val="single" w:sz="4" w:space="0" w:color="auto"/>
            </w:tcBorders>
          </w:tcPr>
          <w:p w:rsidR="007F5CCB" w:rsidRDefault="007F5CCB" w:rsidP="00291821">
            <w:pPr>
              <w:pStyle w:val="Heading2"/>
              <w:spacing w:before="0" w:after="0"/>
              <w:jc w:val="center"/>
              <w:rPr>
                <w:rFonts w:ascii="Arial" w:hAnsi="Arial" w:cs="Arial"/>
                <w:szCs w:val="24"/>
              </w:rPr>
            </w:pPr>
          </w:p>
          <w:p w:rsidR="001F7A29" w:rsidRPr="00DE14B3" w:rsidRDefault="001F7A29" w:rsidP="00291821">
            <w:pPr>
              <w:pStyle w:val="Heading2"/>
              <w:spacing w:before="0" w:after="0"/>
              <w:jc w:val="center"/>
              <w:rPr>
                <w:rFonts w:ascii="Arial" w:hAnsi="Arial" w:cs="Arial"/>
                <w:szCs w:val="24"/>
                <w:lang w:eastAsia="en-US"/>
              </w:rPr>
            </w:pPr>
            <w:r w:rsidRPr="00DE14B3">
              <w:rPr>
                <w:rFonts w:ascii="Arial" w:hAnsi="Arial" w:cs="Arial"/>
                <w:szCs w:val="24"/>
              </w:rPr>
              <w:t>SECŢIUNEA A 2-A</w:t>
            </w:r>
          </w:p>
          <w:p w:rsidR="007F5CCB" w:rsidRPr="00DE14B3" w:rsidRDefault="001F7A29" w:rsidP="00985EC0">
            <w:pPr>
              <w:jc w:val="center"/>
              <w:rPr>
                <w:rFonts w:ascii="Arial" w:hAnsi="Arial" w:cs="Arial"/>
                <w:b/>
                <w:sz w:val="24"/>
                <w:szCs w:val="24"/>
              </w:rPr>
            </w:pPr>
            <w:r w:rsidRPr="00DE14B3">
              <w:rPr>
                <w:rFonts w:ascii="Arial" w:hAnsi="Arial" w:cs="Arial"/>
                <w:b/>
                <w:sz w:val="24"/>
                <w:szCs w:val="24"/>
              </w:rPr>
              <w:t>MOTIVUL EMITERII ACTULUI NORMATIV</w:t>
            </w:r>
          </w:p>
        </w:tc>
      </w:tr>
      <w:tr w:rsidR="001F7A29" w:rsidRPr="00DE14B3" w:rsidTr="00D03265">
        <w:trPr>
          <w:trHeight w:val="1792"/>
        </w:trPr>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spacing w:before="120"/>
              <w:rPr>
                <w:rFonts w:ascii="Arial" w:hAnsi="Arial" w:cs="Arial"/>
                <w:b/>
                <w:color w:val="000000" w:themeColor="text1"/>
                <w:sz w:val="24"/>
                <w:szCs w:val="24"/>
              </w:rPr>
            </w:pPr>
            <w:r w:rsidRPr="00202A27">
              <w:rPr>
                <w:rFonts w:ascii="Arial" w:hAnsi="Arial" w:cs="Arial"/>
                <w:b/>
                <w:color w:val="000000" w:themeColor="text1"/>
                <w:sz w:val="24"/>
                <w:szCs w:val="24"/>
              </w:rPr>
              <w:t xml:space="preserve">1. Descrierea situaţiei actuale       </w:t>
            </w:r>
          </w:p>
        </w:tc>
        <w:tc>
          <w:tcPr>
            <w:tcW w:w="7405" w:type="dxa"/>
            <w:gridSpan w:val="7"/>
            <w:tcBorders>
              <w:top w:val="single" w:sz="4" w:space="0" w:color="auto"/>
              <w:left w:val="single" w:sz="4" w:space="0" w:color="auto"/>
              <w:bottom w:val="single" w:sz="4" w:space="0" w:color="auto"/>
              <w:right w:val="single" w:sz="4" w:space="0" w:color="auto"/>
            </w:tcBorders>
          </w:tcPr>
          <w:p w:rsidR="00DA27C6" w:rsidRDefault="00EE5883" w:rsidP="00EE5883">
            <w:pPr>
              <w:jc w:val="both"/>
              <w:rPr>
                <w:rFonts w:ascii="Arial" w:hAnsi="Arial" w:cs="Arial"/>
                <w:color w:val="000000" w:themeColor="text1"/>
                <w:sz w:val="24"/>
                <w:szCs w:val="24"/>
              </w:rPr>
            </w:pPr>
            <w:r>
              <w:rPr>
                <w:rFonts w:ascii="Arial" w:hAnsi="Arial" w:cs="Arial"/>
                <w:color w:val="000000" w:themeColor="text1"/>
                <w:sz w:val="24"/>
                <w:szCs w:val="24"/>
              </w:rPr>
              <w:t xml:space="preserve">Organizarea și funcționarea Comitetului Interministerial de Finanțări, garanții și Asigurări, atribuțiile și competențele Comitetului Interministerial de Finanțări, Garanții și Asigurări precum și reglementarea operațiunilor de finanțare, garantare și asigurare efectuate sunt stabilite prin Hotărârea Guvernului nr. 534/2007 </w:t>
            </w:r>
            <w:r w:rsidRPr="00051264">
              <w:rPr>
                <w:rFonts w:ascii="Arial" w:hAnsi="Arial" w:cs="Arial"/>
                <w:color w:val="000000" w:themeColor="text1"/>
                <w:sz w:val="24"/>
                <w:szCs w:val="24"/>
              </w:rPr>
              <w:t>privind înfiinţarea, atribuţiile, competenţele şi modul de funcţionare ale Comitetului Interministerial de Finanţări, Garanţii şi Asigurări şi reglementarea operaţiunilor de finanţare, garantare şi asigurare efectuate de Banca de Export-Import a României EXIMBANK - S.A. în numele şi în contul statului</w:t>
            </w:r>
            <w:r>
              <w:rPr>
                <w:rFonts w:ascii="Arial" w:hAnsi="Arial" w:cs="Arial"/>
                <w:color w:val="000000" w:themeColor="text1"/>
                <w:sz w:val="24"/>
                <w:szCs w:val="24"/>
              </w:rPr>
              <w:t>, cu modificările și completările ulterioare.</w:t>
            </w:r>
          </w:p>
          <w:p w:rsidR="00EE5883" w:rsidRDefault="005F07D9" w:rsidP="00EE5883">
            <w:pPr>
              <w:jc w:val="both"/>
              <w:rPr>
                <w:rFonts w:ascii="Arial" w:hAnsi="Arial" w:cs="Arial"/>
                <w:color w:val="000000" w:themeColor="text1"/>
                <w:sz w:val="24"/>
                <w:szCs w:val="24"/>
              </w:rPr>
            </w:pPr>
            <w:r>
              <w:rPr>
                <w:rFonts w:ascii="Arial" w:hAnsi="Arial" w:cs="Arial"/>
                <w:color w:val="000000" w:themeColor="text1"/>
                <w:sz w:val="24"/>
                <w:szCs w:val="24"/>
              </w:rPr>
              <w:t>Totodată, Comitetul I</w:t>
            </w:r>
            <w:r w:rsidR="00EE5883">
              <w:rPr>
                <w:rFonts w:ascii="Arial" w:hAnsi="Arial" w:cs="Arial"/>
                <w:color w:val="000000" w:themeColor="text1"/>
                <w:sz w:val="24"/>
                <w:szCs w:val="24"/>
              </w:rPr>
              <w:t xml:space="preserve">nterministerial de Finanțări, </w:t>
            </w:r>
            <w:r>
              <w:rPr>
                <w:rFonts w:ascii="Arial" w:hAnsi="Arial" w:cs="Arial"/>
                <w:color w:val="000000" w:themeColor="text1"/>
                <w:sz w:val="24"/>
                <w:szCs w:val="24"/>
              </w:rPr>
              <w:t>G</w:t>
            </w:r>
            <w:r w:rsidR="00EE5883">
              <w:rPr>
                <w:rFonts w:ascii="Arial" w:hAnsi="Arial" w:cs="Arial"/>
                <w:color w:val="000000" w:themeColor="text1"/>
                <w:sz w:val="24"/>
                <w:szCs w:val="24"/>
              </w:rPr>
              <w:t xml:space="preserve">aranții și </w:t>
            </w:r>
            <w:r>
              <w:rPr>
                <w:rFonts w:ascii="Arial" w:hAnsi="Arial" w:cs="Arial"/>
                <w:color w:val="000000" w:themeColor="text1"/>
                <w:sz w:val="24"/>
                <w:szCs w:val="24"/>
              </w:rPr>
              <w:t>A</w:t>
            </w:r>
            <w:r w:rsidR="00EE5883">
              <w:rPr>
                <w:rFonts w:ascii="Arial" w:hAnsi="Arial" w:cs="Arial"/>
                <w:color w:val="000000" w:themeColor="text1"/>
                <w:sz w:val="24"/>
                <w:szCs w:val="24"/>
              </w:rPr>
              <w:t xml:space="preserve">sigurări funcționează cu respectarea dispozițiilor Legii nr. 96/2000 privind organizarea și funcționarea Băncii de Export-Import a României EXIMBANK-S.A., </w:t>
            </w:r>
            <w:r w:rsidR="00073052">
              <w:rPr>
                <w:rFonts w:ascii="Arial" w:hAnsi="Arial" w:cs="Arial"/>
                <w:color w:val="000000" w:themeColor="text1"/>
                <w:sz w:val="24"/>
                <w:szCs w:val="24"/>
              </w:rPr>
              <w:t xml:space="preserve">republicată, </w:t>
            </w:r>
            <w:r w:rsidR="00EE5883">
              <w:rPr>
                <w:rFonts w:ascii="Arial" w:hAnsi="Arial" w:cs="Arial"/>
                <w:color w:val="000000" w:themeColor="text1"/>
                <w:sz w:val="24"/>
                <w:szCs w:val="24"/>
              </w:rPr>
              <w:t>cu completă</w:t>
            </w:r>
            <w:r w:rsidR="00073052">
              <w:rPr>
                <w:rFonts w:ascii="Arial" w:hAnsi="Arial" w:cs="Arial"/>
                <w:color w:val="000000" w:themeColor="text1"/>
                <w:sz w:val="24"/>
                <w:szCs w:val="24"/>
              </w:rPr>
              <w:t>rile și modificările ulterioare</w:t>
            </w:r>
            <w:r w:rsidR="00EE5883">
              <w:rPr>
                <w:rFonts w:ascii="Arial" w:hAnsi="Arial" w:cs="Arial"/>
                <w:color w:val="000000" w:themeColor="text1"/>
                <w:sz w:val="24"/>
                <w:szCs w:val="24"/>
              </w:rPr>
              <w:t>.</w:t>
            </w:r>
          </w:p>
          <w:p w:rsidR="00EE5883" w:rsidRDefault="00EE5883" w:rsidP="00EE5883">
            <w:pPr>
              <w:jc w:val="both"/>
              <w:rPr>
                <w:rFonts w:ascii="Arial" w:hAnsi="Arial" w:cs="Arial"/>
                <w:color w:val="000000" w:themeColor="text1"/>
                <w:sz w:val="24"/>
                <w:szCs w:val="24"/>
              </w:rPr>
            </w:pPr>
            <w:r>
              <w:rPr>
                <w:rFonts w:ascii="Arial" w:hAnsi="Arial" w:cs="Arial"/>
                <w:color w:val="000000" w:themeColor="text1"/>
                <w:sz w:val="24"/>
                <w:szCs w:val="24"/>
              </w:rPr>
              <w:t>Banca de Export-Import a României EXIMBANK-S.A. are misiunea de a susține mediul de afaceri românesc, de a-și diversifica oferta de produse în numele și contul statului precum și de a mări numărul produselor destinate susținerii financiare a domeniilor prioritare.</w:t>
            </w:r>
          </w:p>
          <w:p w:rsidR="005F07D9" w:rsidRDefault="00EE5883" w:rsidP="00EE5883">
            <w:pPr>
              <w:jc w:val="both"/>
              <w:rPr>
                <w:rFonts w:ascii="Arial" w:hAnsi="Arial" w:cs="Arial"/>
                <w:color w:val="000000" w:themeColor="text1"/>
                <w:sz w:val="24"/>
                <w:szCs w:val="24"/>
              </w:rPr>
            </w:pPr>
            <w:r>
              <w:rPr>
                <w:rFonts w:ascii="Arial" w:hAnsi="Arial" w:cs="Arial"/>
                <w:color w:val="000000" w:themeColor="text1"/>
                <w:sz w:val="24"/>
                <w:szCs w:val="24"/>
              </w:rPr>
              <w:t xml:space="preserve">Activitatea de stimulare a dezvoltării sectoriale și regionale precum și susținerea strategiei naționale de export se desfășoară de Banca de Export-Import a României EXIMBANK-S.A., </w:t>
            </w:r>
            <w:r w:rsidR="005F07D9">
              <w:rPr>
                <w:rFonts w:ascii="Arial" w:hAnsi="Arial" w:cs="Arial"/>
                <w:color w:val="000000" w:themeColor="text1"/>
                <w:sz w:val="24"/>
                <w:szCs w:val="24"/>
              </w:rPr>
              <w:t xml:space="preserve">sub coordonarea Comitetului Interministerial de Finanțări, Garanții și Asigurări care </w:t>
            </w:r>
            <w:r w:rsidR="005F07D9">
              <w:rPr>
                <w:rFonts w:ascii="Arial" w:hAnsi="Arial" w:cs="Arial"/>
                <w:color w:val="000000" w:themeColor="text1"/>
                <w:sz w:val="24"/>
                <w:szCs w:val="24"/>
              </w:rPr>
              <w:lastRenderedPageBreak/>
              <w:t>este organul de decizie, cu privire la activitatea desfășurată de EXIMBANK-S.A., în numele și contul statului.</w:t>
            </w:r>
          </w:p>
          <w:p w:rsidR="00EE5883" w:rsidRPr="00202A27" w:rsidRDefault="005F07D9" w:rsidP="00EE5883">
            <w:pPr>
              <w:jc w:val="both"/>
              <w:rPr>
                <w:rFonts w:ascii="Arial" w:hAnsi="Arial" w:cs="Arial"/>
                <w:color w:val="000000" w:themeColor="text1"/>
                <w:sz w:val="24"/>
                <w:szCs w:val="24"/>
              </w:rPr>
            </w:pPr>
            <w:r>
              <w:rPr>
                <w:rFonts w:ascii="Arial" w:hAnsi="Arial" w:cs="Arial"/>
                <w:color w:val="000000" w:themeColor="text1"/>
                <w:sz w:val="24"/>
                <w:szCs w:val="24"/>
              </w:rPr>
              <w:t>Componența Comitetului Interministerial de Finanțări, Garanții și Asigurări este</w:t>
            </w:r>
            <w:r w:rsidR="00AB7F3D">
              <w:rPr>
                <w:rFonts w:ascii="Arial" w:hAnsi="Arial" w:cs="Arial"/>
                <w:color w:val="000000" w:themeColor="text1"/>
                <w:sz w:val="24"/>
                <w:szCs w:val="24"/>
              </w:rPr>
              <w:t xml:space="preserve"> stabilită conform Anexei 1 din </w:t>
            </w:r>
            <w:r>
              <w:rPr>
                <w:rFonts w:ascii="Arial" w:hAnsi="Arial" w:cs="Arial"/>
                <w:color w:val="000000" w:themeColor="text1"/>
                <w:sz w:val="24"/>
                <w:szCs w:val="24"/>
              </w:rPr>
              <w:t>Hotărârea Guvernului nr. 534/2007 cu modificările și completările ulterioare.</w:t>
            </w:r>
          </w:p>
        </w:tc>
      </w:tr>
      <w:tr w:rsidR="005F07D9" w:rsidRPr="00DE14B3" w:rsidTr="00202A27">
        <w:tc>
          <w:tcPr>
            <w:tcW w:w="2689" w:type="dxa"/>
            <w:tcBorders>
              <w:top w:val="single" w:sz="4" w:space="0" w:color="auto"/>
              <w:left w:val="single" w:sz="4" w:space="0" w:color="auto"/>
              <w:bottom w:val="single" w:sz="4" w:space="0" w:color="auto"/>
              <w:right w:val="single" w:sz="4" w:space="0" w:color="auto"/>
            </w:tcBorders>
          </w:tcPr>
          <w:p w:rsidR="007F5CCB" w:rsidRDefault="007F5CCB" w:rsidP="00291821">
            <w:pPr>
              <w:spacing w:before="120"/>
              <w:rPr>
                <w:rFonts w:ascii="Arial" w:hAnsi="Arial" w:cs="Arial"/>
                <w:b/>
                <w:color w:val="000000" w:themeColor="text1"/>
                <w:sz w:val="24"/>
                <w:szCs w:val="24"/>
              </w:rPr>
            </w:pPr>
          </w:p>
          <w:p w:rsidR="005F07D9" w:rsidRPr="00202A27" w:rsidRDefault="005F07D9" w:rsidP="00291821">
            <w:pPr>
              <w:spacing w:before="120"/>
              <w:rPr>
                <w:rFonts w:ascii="Arial" w:hAnsi="Arial" w:cs="Arial"/>
                <w:b/>
                <w:color w:val="000000" w:themeColor="text1"/>
                <w:sz w:val="24"/>
                <w:szCs w:val="24"/>
              </w:rPr>
            </w:pPr>
            <w:r>
              <w:rPr>
                <w:rFonts w:ascii="Arial" w:hAnsi="Arial" w:cs="Arial"/>
                <w:b/>
                <w:color w:val="000000" w:themeColor="text1"/>
                <w:sz w:val="24"/>
                <w:szCs w:val="24"/>
              </w:rPr>
              <w:t>2. Schimbări preconizate</w:t>
            </w:r>
          </w:p>
        </w:tc>
        <w:tc>
          <w:tcPr>
            <w:tcW w:w="7405" w:type="dxa"/>
            <w:gridSpan w:val="7"/>
            <w:tcBorders>
              <w:top w:val="single" w:sz="4" w:space="0" w:color="auto"/>
              <w:left w:val="single" w:sz="4" w:space="0" w:color="auto"/>
              <w:bottom w:val="single" w:sz="4" w:space="0" w:color="auto"/>
              <w:right w:val="single" w:sz="4" w:space="0" w:color="auto"/>
            </w:tcBorders>
          </w:tcPr>
          <w:p w:rsidR="00D03265" w:rsidRDefault="00AB7F3D" w:rsidP="004806D4">
            <w:pPr>
              <w:jc w:val="both"/>
              <w:rPr>
                <w:rFonts w:ascii="Arial" w:hAnsi="Arial" w:cs="Arial"/>
                <w:color w:val="000000" w:themeColor="text1"/>
                <w:sz w:val="24"/>
                <w:szCs w:val="24"/>
              </w:rPr>
            </w:pPr>
            <w:r>
              <w:rPr>
                <w:rFonts w:ascii="Arial" w:hAnsi="Arial" w:cs="Arial"/>
                <w:color w:val="000000" w:themeColor="text1"/>
                <w:sz w:val="24"/>
                <w:szCs w:val="24"/>
              </w:rPr>
              <w:t>În ceea ce privește componența</w:t>
            </w:r>
            <w:r w:rsidR="002A63C9">
              <w:rPr>
                <w:rFonts w:ascii="Arial" w:hAnsi="Arial" w:cs="Arial"/>
                <w:color w:val="000000" w:themeColor="text1"/>
                <w:sz w:val="24"/>
                <w:szCs w:val="24"/>
              </w:rPr>
              <w:t xml:space="preserve"> CIFGA </w:t>
            </w:r>
            <w:r w:rsidR="007B1D79">
              <w:rPr>
                <w:rFonts w:ascii="Arial" w:hAnsi="Arial" w:cs="Arial"/>
                <w:color w:val="000000" w:themeColor="text1"/>
                <w:sz w:val="24"/>
                <w:szCs w:val="24"/>
              </w:rPr>
              <w:t>institu</w:t>
            </w:r>
            <w:r w:rsidR="00BF5AC3">
              <w:rPr>
                <w:rFonts w:ascii="Arial" w:hAnsi="Arial" w:cs="Arial"/>
                <w:color w:val="000000" w:themeColor="text1"/>
                <w:sz w:val="24"/>
                <w:szCs w:val="24"/>
              </w:rPr>
              <w:t>ț</w:t>
            </w:r>
            <w:r w:rsidR="007B1D79">
              <w:rPr>
                <w:rFonts w:ascii="Arial" w:hAnsi="Arial" w:cs="Arial"/>
                <w:color w:val="000000" w:themeColor="text1"/>
                <w:sz w:val="24"/>
                <w:szCs w:val="24"/>
              </w:rPr>
              <w:t>iile care  au reprezentanți  r</w:t>
            </w:r>
            <w:r w:rsidR="00BF5AC3">
              <w:rPr>
                <w:rFonts w:ascii="Arial" w:hAnsi="Arial" w:cs="Arial"/>
                <w:color w:val="000000" w:themeColor="text1"/>
                <w:sz w:val="24"/>
                <w:szCs w:val="24"/>
              </w:rPr>
              <w:t>ă</w:t>
            </w:r>
            <w:r w:rsidR="007B1D79">
              <w:rPr>
                <w:rFonts w:ascii="Arial" w:hAnsi="Arial" w:cs="Arial"/>
                <w:color w:val="000000" w:themeColor="text1"/>
                <w:sz w:val="24"/>
                <w:szCs w:val="24"/>
              </w:rPr>
              <w:t>m</w:t>
            </w:r>
            <w:r w:rsidR="00BF5AC3">
              <w:rPr>
                <w:rFonts w:ascii="Arial" w:hAnsi="Arial" w:cs="Arial"/>
                <w:color w:val="000000" w:themeColor="text1"/>
                <w:sz w:val="24"/>
                <w:szCs w:val="24"/>
              </w:rPr>
              <w:t>ân aceleaș</w:t>
            </w:r>
            <w:r w:rsidR="007B1D79">
              <w:rPr>
                <w:rFonts w:ascii="Arial" w:hAnsi="Arial" w:cs="Arial"/>
                <w:color w:val="000000" w:themeColor="text1"/>
                <w:sz w:val="24"/>
                <w:szCs w:val="24"/>
              </w:rPr>
              <w:t>i</w:t>
            </w:r>
            <w:r w:rsidR="0026617B">
              <w:rPr>
                <w:rFonts w:ascii="Arial" w:hAnsi="Arial" w:cs="Arial"/>
                <w:color w:val="000000" w:themeColor="text1"/>
                <w:sz w:val="24"/>
                <w:szCs w:val="24"/>
              </w:rPr>
              <w:t>,modific</w:t>
            </w:r>
            <w:r w:rsidR="00BF5AC3">
              <w:rPr>
                <w:rFonts w:ascii="Arial" w:hAnsi="Arial" w:cs="Arial"/>
                <w:color w:val="000000" w:themeColor="text1"/>
                <w:sz w:val="24"/>
                <w:szCs w:val="24"/>
              </w:rPr>
              <w:t>ă</w:t>
            </w:r>
            <w:r w:rsidR="0026617B">
              <w:rPr>
                <w:rFonts w:ascii="Arial" w:hAnsi="Arial" w:cs="Arial"/>
                <w:color w:val="000000" w:themeColor="text1"/>
                <w:sz w:val="24"/>
                <w:szCs w:val="24"/>
              </w:rPr>
              <w:t xml:space="preserve">rile care intervin sunt cele referitoare la functia </w:t>
            </w:r>
            <w:r w:rsidR="004F3A8B">
              <w:rPr>
                <w:rFonts w:ascii="Arial" w:hAnsi="Arial" w:cs="Arial"/>
                <w:color w:val="000000" w:themeColor="text1"/>
                <w:sz w:val="24"/>
                <w:szCs w:val="24"/>
              </w:rPr>
              <w:t xml:space="preserve">de Președinte. </w:t>
            </w:r>
            <w:r>
              <w:rPr>
                <w:rFonts w:ascii="Arial" w:hAnsi="Arial" w:cs="Arial"/>
                <w:color w:val="000000" w:themeColor="text1"/>
                <w:sz w:val="24"/>
                <w:szCs w:val="24"/>
              </w:rPr>
              <w:t xml:space="preserve">Funcția de Președintea fost inițial deținută de secretarul de stat coordonator al Direcției generale de trezorerie și datorie publică iar prin modificările ulterioare aduse Anexei 1 din Hotărârea Guvernului nr. 534/2007a fost </w:t>
            </w:r>
            <w:r w:rsidR="00BF5AC3">
              <w:rPr>
                <w:rFonts w:ascii="Arial" w:hAnsi="Arial" w:cs="Arial"/>
                <w:color w:val="000000" w:themeColor="text1"/>
                <w:sz w:val="24"/>
                <w:szCs w:val="24"/>
              </w:rPr>
              <w:t>î</w:t>
            </w:r>
            <w:r w:rsidR="0026617B">
              <w:rPr>
                <w:rFonts w:ascii="Arial" w:hAnsi="Arial" w:cs="Arial"/>
                <w:color w:val="000000" w:themeColor="text1"/>
                <w:sz w:val="24"/>
                <w:szCs w:val="24"/>
              </w:rPr>
              <w:t>nlocui</w:t>
            </w:r>
            <w:r>
              <w:rPr>
                <w:rFonts w:ascii="Arial" w:hAnsi="Arial" w:cs="Arial"/>
                <w:color w:val="000000" w:themeColor="text1"/>
                <w:sz w:val="24"/>
                <w:szCs w:val="24"/>
              </w:rPr>
              <w:t>t departamentul</w:t>
            </w:r>
            <w:r w:rsidR="0026617B">
              <w:rPr>
                <w:rFonts w:ascii="Arial" w:hAnsi="Arial" w:cs="Arial"/>
                <w:color w:val="000000" w:themeColor="text1"/>
                <w:sz w:val="24"/>
                <w:szCs w:val="24"/>
              </w:rPr>
              <w:t xml:space="preserve"> din </w:t>
            </w:r>
            <w:r>
              <w:rPr>
                <w:rFonts w:ascii="Arial" w:hAnsi="Arial" w:cs="Arial"/>
                <w:color w:val="000000" w:themeColor="text1"/>
                <w:sz w:val="24"/>
                <w:szCs w:val="24"/>
              </w:rPr>
              <w:t xml:space="preserve">cadrul </w:t>
            </w:r>
            <w:r w:rsidR="0026617B">
              <w:rPr>
                <w:rFonts w:ascii="Arial" w:hAnsi="Arial" w:cs="Arial"/>
                <w:color w:val="000000" w:themeColor="text1"/>
                <w:sz w:val="24"/>
                <w:szCs w:val="24"/>
              </w:rPr>
              <w:t>Ministerul</w:t>
            </w:r>
            <w:r>
              <w:rPr>
                <w:rFonts w:ascii="Arial" w:hAnsi="Arial" w:cs="Arial"/>
                <w:color w:val="000000" w:themeColor="text1"/>
                <w:sz w:val="24"/>
                <w:szCs w:val="24"/>
              </w:rPr>
              <w:t>ui</w:t>
            </w:r>
            <w:r w:rsidR="0026617B">
              <w:rPr>
                <w:rFonts w:ascii="Arial" w:hAnsi="Arial" w:cs="Arial"/>
                <w:color w:val="000000" w:themeColor="text1"/>
                <w:sz w:val="24"/>
                <w:szCs w:val="24"/>
              </w:rPr>
              <w:t xml:space="preserve"> Finantelor Publice al c</w:t>
            </w:r>
            <w:r w:rsidR="00BF5AC3">
              <w:rPr>
                <w:rFonts w:ascii="Arial" w:hAnsi="Arial" w:cs="Arial"/>
                <w:color w:val="000000" w:themeColor="text1"/>
                <w:sz w:val="24"/>
                <w:szCs w:val="24"/>
              </w:rPr>
              <w:t>ărui coordonator va deț</w:t>
            </w:r>
            <w:r w:rsidR="0026617B">
              <w:rPr>
                <w:rFonts w:ascii="Arial" w:hAnsi="Arial" w:cs="Arial"/>
                <w:color w:val="000000" w:themeColor="text1"/>
                <w:sz w:val="24"/>
                <w:szCs w:val="24"/>
              </w:rPr>
              <w:t>ine func</w:t>
            </w:r>
            <w:r w:rsidR="00BF5AC3">
              <w:rPr>
                <w:rFonts w:ascii="Arial" w:hAnsi="Arial" w:cs="Arial"/>
                <w:color w:val="000000" w:themeColor="text1"/>
                <w:sz w:val="24"/>
                <w:szCs w:val="24"/>
              </w:rPr>
              <w:t>ția de Preș</w:t>
            </w:r>
            <w:r w:rsidR="004806D4">
              <w:rPr>
                <w:rFonts w:ascii="Arial" w:hAnsi="Arial" w:cs="Arial"/>
                <w:color w:val="000000" w:themeColor="text1"/>
                <w:sz w:val="24"/>
                <w:szCs w:val="24"/>
              </w:rPr>
              <w:t xml:space="preserve">edinte CIFGA </w:t>
            </w:r>
            <w:r>
              <w:rPr>
                <w:rFonts w:ascii="Arial" w:hAnsi="Arial" w:cs="Arial"/>
                <w:color w:val="000000" w:themeColor="text1"/>
                <w:sz w:val="24"/>
                <w:szCs w:val="24"/>
              </w:rPr>
              <w:t xml:space="preserve">în sensul că, în prezent, </w:t>
            </w:r>
            <w:r w:rsidR="0026617B">
              <w:rPr>
                <w:rFonts w:ascii="Arial" w:hAnsi="Arial" w:cs="Arial"/>
                <w:color w:val="000000" w:themeColor="text1"/>
                <w:sz w:val="24"/>
                <w:szCs w:val="24"/>
              </w:rPr>
              <w:t xml:space="preserve">acesta </w:t>
            </w:r>
            <w:r>
              <w:rPr>
                <w:rFonts w:ascii="Arial" w:hAnsi="Arial" w:cs="Arial"/>
                <w:color w:val="000000" w:themeColor="text1"/>
                <w:sz w:val="24"/>
                <w:szCs w:val="24"/>
              </w:rPr>
              <w:t>este</w:t>
            </w:r>
            <w:r w:rsidR="0026617B">
              <w:rPr>
                <w:rFonts w:ascii="Arial" w:hAnsi="Arial" w:cs="Arial"/>
                <w:color w:val="000000" w:themeColor="text1"/>
                <w:sz w:val="24"/>
                <w:szCs w:val="24"/>
              </w:rPr>
              <w:t xml:space="preserve"> coordon</w:t>
            </w:r>
            <w:r w:rsidR="004E4B3E">
              <w:rPr>
                <w:rFonts w:ascii="Arial" w:hAnsi="Arial" w:cs="Arial"/>
                <w:color w:val="000000" w:themeColor="text1"/>
                <w:sz w:val="24"/>
                <w:szCs w:val="24"/>
              </w:rPr>
              <w:t>atorul Departamentului de buget</w:t>
            </w:r>
            <w:r w:rsidR="00D03265">
              <w:rPr>
                <w:rFonts w:ascii="Arial" w:hAnsi="Arial" w:cs="Arial"/>
                <w:color w:val="000000" w:themeColor="text1"/>
                <w:sz w:val="24"/>
                <w:szCs w:val="24"/>
              </w:rPr>
              <w:t xml:space="preserve">, numit prin Ordin al </w:t>
            </w:r>
            <w:r w:rsidR="003F579B">
              <w:rPr>
                <w:rFonts w:ascii="Arial" w:hAnsi="Arial" w:cs="Arial"/>
                <w:color w:val="000000" w:themeColor="text1"/>
                <w:sz w:val="24"/>
                <w:szCs w:val="24"/>
              </w:rPr>
              <w:t>M</w:t>
            </w:r>
            <w:r w:rsidR="00D03265">
              <w:rPr>
                <w:rFonts w:ascii="Arial" w:hAnsi="Arial" w:cs="Arial"/>
                <w:color w:val="000000" w:themeColor="text1"/>
                <w:sz w:val="24"/>
                <w:szCs w:val="24"/>
              </w:rPr>
              <w:t>inistrului</w:t>
            </w:r>
            <w:r w:rsidR="00501E5A">
              <w:rPr>
                <w:rFonts w:ascii="Arial" w:hAnsi="Arial" w:cs="Arial"/>
                <w:color w:val="000000" w:themeColor="text1"/>
                <w:sz w:val="24"/>
                <w:szCs w:val="24"/>
              </w:rPr>
              <w:t xml:space="preserve"> F</w:t>
            </w:r>
            <w:r w:rsidR="003F579B">
              <w:rPr>
                <w:rFonts w:ascii="Arial" w:hAnsi="Arial" w:cs="Arial"/>
                <w:color w:val="000000" w:themeColor="text1"/>
                <w:sz w:val="24"/>
                <w:szCs w:val="24"/>
              </w:rPr>
              <w:t>inanțelor Publice</w:t>
            </w:r>
            <w:r w:rsidR="00D03265">
              <w:rPr>
                <w:rFonts w:ascii="Arial" w:hAnsi="Arial" w:cs="Arial"/>
                <w:color w:val="000000" w:themeColor="text1"/>
                <w:sz w:val="24"/>
                <w:szCs w:val="24"/>
              </w:rPr>
              <w:t>.</w:t>
            </w:r>
          </w:p>
          <w:p w:rsidR="00D03265" w:rsidRDefault="004806D4" w:rsidP="004806D4">
            <w:pPr>
              <w:jc w:val="both"/>
              <w:rPr>
                <w:rFonts w:ascii="Arial" w:hAnsi="Arial" w:cs="Arial"/>
                <w:color w:val="000000" w:themeColor="text1"/>
                <w:sz w:val="24"/>
                <w:szCs w:val="24"/>
              </w:rPr>
            </w:pPr>
            <w:r>
              <w:rPr>
                <w:rFonts w:ascii="Arial" w:hAnsi="Arial" w:cs="Arial"/>
                <w:color w:val="000000" w:themeColor="text1"/>
                <w:sz w:val="24"/>
                <w:szCs w:val="24"/>
              </w:rPr>
              <w:t>În prezent ambele departamente menționate sunt sub directa coordonare a min</w:t>
            </w:r>
            <w:bookmarkStart w:id="0" w:name="_GoBack"/>
            <w:bookmarkEnd w:id="0"/>
            <w:r>
              <w:rPr>
                <w:rFonts w:ascii="Arial" w:hAnsi="Arial" w:cs="Arial"/>
                <w:color w:val="000000" w:themeColor="text1"/>
                <w:sz w:val="24"/>
                <w:szCs w:val="24"/>
              </w:rPr>
              <w:t>istrului finanțelor publice.</w:t>
            </w:r>
          </w:p>
          <w:p w:rsidR="00795A03" w:rsidRPr="00795A03" w:rsidRDefault="004806D4" w:rsidP="004806D4">
            <w:pPr>
              <w:jc w:val="both"/>
              <w:rPr>
                <w:rFonts w:ascii="Arial" w:hAnsi="Arial" w:cs="Arial"/>
                <w:color w:val="000000" w:themeColor="text1"/>
                <w:sz w:val="24"/>
                <w:szCs w:val="24"/>
              </w:rPr>
            </w:pPr>
            <w:r>
              <w:rPr>
                <w:rFonts w:ascii="Arial" w:hAnsi="Arial" w:cs="Arial"/>
                <w:color w:val="000000" w:themeColor="text1"/>
                <w:sz w:val="24"/>
                <w:szCs w:val="24"/>
              </w:rPr>
              <w:t>În scopul unei coordonări eficiente a activității decizionale a CIFGA precum și vederea excluderii unor eventuale blocaje în luarea deciziilor, propunem modificarea Anexei 1 a Hotărârii Guvernului nr.534</w:t>
            </w:r>
            <w:r w:rsidR="0095656D">
              <w:rPr>
                <w:rFonts w:ascii="Arial" w:hAnsi="Arial" w:cs="Arial"/>
                <w:color w:val="000000" w:themeColor="text1"/>
                <w:sz w:val="24"/>
                <w:szCs w:val="24"/>
              </w:rPr>
              <w:t>/</w:t>
            </w:r>
            <w:r>
              <w:rPr>
                <w:rFonts w:ascii="Arial" w:hAnsi="Arial" w:cs="Arial"/>
                <w:color w:val="000000" w:themeColor="text1"/>
                <w:sz w:val="24"/>
                <w:szCs w:val="24"/>
              </w:rPr>
              <w:t xml:space="preserve">2007 în sensul </w:t>
            </w:r>
            <w:r w:rsidR="005546C8">
              <w:rPr>
                <w:rFonts w:ascii="Arial" w:hAnsi="Arial" w:cs="Arial"/>
                <w:color w:val="000000" w:themeColor="text1"/>
                <w:sz w:val="24"/>
                <w:szCs w:val="24"/>
              </w:rPr>
              <w:t xml:space="preserve">că, în componența CIFGA, funcția de Președinte poate fi deținută de </w:t>
            </w:r>
            <w:r w:rsidR="00795A03">
              <w:rPr>
                <w:rFonts w:ascii="Arial" w:hAnsi="Arial" w:cs="Arial"/>
                <w:color w:val="000000" w:themeColor="text1"/>
                <w:sz w:val="24"/>
                <w:szCs w:val="24"/>
              </w:rPr>
              <w:t xml:space="preserve">Secretarul </w:t>
            </w:r>
            <w:r w:rsidR="00795A03" w:rsidRPr="00795A03">
              <w:rPr>
                <w:rFonts w:ascii="Arial" w:hAnsi="Arial" w:cs="Arial"/>
                <w:color w:val="000000" w:themeColor="text1"/>
                <w:sz w:val="24"/>
                <w:szCs w:val="24"/>
              </w:rPr>
              <w:t xml:space="preserve">de Stat </w:t>
            </w:r>
            <w:r w:rsidR="00795A03">
              <w:rPr>
                <w:rFonts w:ascii="Arial" w:hAnsi="Arial" w:cs="Arial"/>
                <w:color w:val="000000" w:themeColor="text1"/>
                <w:sz w:val="24"/>
                <w:szCs w:val="24"/>
              </w:rPr>
              <w:t>di</w:t>
            </w:r>
            <w:r w:rsidR="00795A03" w:rsidRPr="00795A03">
              <w:rPr>
                <w:rFonts w:ascii="Arial" w:hAnsi="Arial" w:cs="Arial"/>
                <w:color w:val="000000" w:themeColor="text1"/>
                <w:sz w:val="24"/>
                <w:szCs w:val="24"/>
              </w:rPr>
              <w:t>n Ministerul Finanțelor Publice, coordonator al Departamentului de datorie publică/Departamentului de buget. În cazul în care nu este desemnat un Secretar de Stat cu atribuții de coordonare de datorie publică/buget, Ministrul Finanțelor Publice va desemna prin Ordin un alt Secretar de Stat care să exercite atribuțiile de Președinte CIFGA</w:t>
            </w:r>
            <w:r w:rsidR="00501E5A">
              <w:rPr>
                <w:rFonts w:ascii="Arial" w:hAnsi="Arial" w:cs="Arial"/>
                <w:color w:val="000000" w:themeColor="text1"/>
                <w:sz w:val="24"/>
                <w:szCs w:val="24"/>
              </w:rPr>
              <w:t>.</w:t>
            </w:r>
          </w:p>
          <w:p w:rsidR="00795A03" w:rsidRDefault="000B7380" w:rsidP="005F07D9">
            <w:pPr>
              <w:jc w:val="both"/>
              <w:rPr>
                <w:rFonts w:ascii="Arial" w:hAnsi="Arial" w:cs="Arial"/>
                <w:color w:val="000000" w:themeColor="text1"/>
                <w:sz w:val="24"/>
                <w:szCs w:val="24"/>
              </w:rPr>
            </w:pPr>
            <w:r>
              <w:rPr>
                <w:rFonts w:ascii="Arial" w:hAnsi="Arial" w:cs="Arial"/>
                <w:color w:val="000000" w:themeColor="text1"/>
                <w:sz w:val="24"/>
                <w:szCs w:val="24"/>
              </w:rPr>
              <w:t>Modificările aduse sunt în măsură să crească operativitatea în luarea deciziilor, a</w:t>
            </w:r>
            <w:r w:rsidR="0086300C">
              <w:rPr>
                <w:rFonts w:ascii="Arial" w:hAnsi="Arial" w:cs="Arial"/>
                <w:color w:val="000000" w:themeColor="text1"/>
                <w:sz w:val="24"/>
                <w:szCs w:val="24"/>
              </w:rPr>
              <w:t xml:space="preserve">nexa cu privire la componența  CIFGA </w:t>
            </w:r>
            <w:r>
              <w:rPr>
                <w:rFonts w:ascii="Arial" w:hAnsi="Arial" w:cs="Arial"/>
                <w:color w:val="000000" w:themeColor="text1"/>
                <w:sz w:val="24"/>
                <w:szCs w:val="24"/>
              </w:rPr>
              <w:t>modificându-se</w:t>
            </w:r>
            <w:r w:rsidR="006A6A2B">
              <w:rPr>
                <w:rFonts w:ascii="Arial" w:hAnsi="Arial" w:cs="Arial"/>
                <w:color w:val="000000" w:themeColor="text1"/>
                <w:sz w:val="24"/>
                <w:szCs w:val="24"/>
              </w:rPr>
              <w:t xml:space="preserve"> astfel:</w:t>
            </w:r>
            <w:r w:rsidR="0086300C">
              <w:rPr>
                <w:rFonts w:ascii="Arial" w:hAnsi="Arial" w:cs="Arial"/>
                <w:color w:val="000000" w:themeColor="text1"/>
                <w:sz w:val="24"/>
                <w:szCs w:val="24"/>
              </w:rPr>
              <w:t xml:space="preserve">Poziția 1 - </w:t>
            </w:r>
            <w:r w:rsidR="005F07D9">
              <w:rPr>
                <w:rFonts w:ascii="Arial" w:hAnsi="Arial" w:cs="Arial"/>
                <w:color w:val="000000" w:themeColor="text1"/>
                <w:sz w:val="24"/>
                <w:szCs w:val="24"/>
              </w:rPr>
              <w:t xml:space="preserve">Președintele Comitetului CIFGA va fi </w:t>
            </w:r>
            <w:r w:rsidR="00795A03">
              <w:rPr>
                <w:rFonts w:ascii="Arial" w:hAnsi="Arial" w:cs="Arial"/>
                <w:color w:val="000000" w:themeColor="text1"/>
                <w:sz w:val="24"/>
                <w:szCs w:val="24"/>
              </w:rPr>
              <w:t xml:space="preserve">Secretarul </w:t>
            </w:r>
            <w:r w:rsidR="00795A03" w:rsidRPr="00795A03">
              <w:rPr>
                <w:rFonts w:ascii="Arial" w:hAnsi="Arial" w:cs="Arial"/>
                <w:color w:val="000000" w:themeColor="text1"/>
                <w:sz w:val="24"/>
                <w:szCs w:val="24"/>
              </w:rPr>
              <w:t>de Stat din Ministerul Finanțelor Publice, coordonator al Departamentului de datorie publică/Departamentului de buget. În cazul în care nu este desemnat un Secretar de Stat cu atribuții de coordonare de datorie publică/buget, Ministrul Finanțelor Publice va desemna prin Ordin un alt Secretar de Stat care să exercite atribuțiile de Președinte CIFGA</w:t>
            </w:r>
            <w:r w:rsidR="00501E5A">
              <w:rPr>
                <w:rFonts w:ascii="Arial" w:hAnsi="Arial" w:cs="Arial"/>
                <w:color w:val="000000" w:themeColor="text1"/>
                <w:sz w:val="24"/>
                <w:szCs w:val="24"/>
              </w:rPr>
              <w:t>.</w:t>
            </w:r>
          </w:p>
          <w:p w:rsidR="0086300C" w:rsidRDefault="009E462B" w:rsidP="005F07D9">
            <w:pPr>
              <w:jc w:val="both"/>
              <w:rPr>
                <w:rFonts w:ascii="Arial" w:hAnsi="Arial" w:cs="Arial"/>
                <w:color w:val="000000" w:themeColor="text1"/>
                <w:sz w:val="24"/>
                <w:szCs w:val="24"/>
              </w:rPr>
            </w:pPr>
            <w:r>
              <w:rPr>
                <w:rFonts w:ascii="Arial" w:hAnsi="Arial" w:cs="Arial"/>
                <w:color w:val="000000" w:themeColor="text1"/>
                <w:sz w:val="24"/>
                <w:szCs w:val="24"/>
              </w:rPr>
              <w:t xml:space="preserve">Restul pozițiilor </w:t>
            </w:r>
            <w:r w:rsidR="00303982">
              <w:rPr>
                <w:rFonts w:ascii="Arial" w:hAnsi="Arial" w:cs="Arial"/>
                <w:color w:val="000000" w:themeColor="text1"/>
                <w:sz w:val="24"/>
                <w:szCs w:val="24"/>
              </w:rPr>
              <w:t>1-15,</w:t>
            </w:r>
            <w:r>
              <w:rPr>
                <w:rFonts w:ascii="Arial" w:hAnsi="Arial" w:cs="Arial"/>
                <w:color w:val="000000" w:themeColor="text1"/>
                <w:sz w:val="24"/>
                <w:szCs w:val="24"/>
              </w:rPr>
              <w:t xml:space="preserve"> referitoare la membrii și funcțiile acestora în componența CIFGA, rămân nemodificate.</w:t>
            </w:r>
          </w:p>
          <w:p w:rsidR="007F5CCB" w:rsidRDefault="000D4776" w:rsidP="00795A03">
            <w:pPr>
              <w:jc w:val="both"/>
              <w:rPr>
                <w:rFonts w:ascii="Arial" w:hAnsi="Arial" w:cs="Arial"/>
                <w:color w:val="000000" w:themeColor="text1"/>
                <w:sz w:val="24"/>
                <w:szCs w:val="24"/>
              </w:rPr>
            </w:pPr>
            <w:r>
              <w:rPr>
                <w:rFonts w:ascii="Arial" w:hAnsi="Arial" w:cs="Arial"/>
                <w:color w:val="000000" w:themeColor="text1"/>
                <w:sz w:val="24"/>
                <w:szCs w:val="24"/>
              </w:rPr>
              <w:lastRenderedPageBreak/>
              <w:t>Conf</w:t>
            </w:r>
            <w:r w:rsidR="00BF2757">
              <w:rPr>
                <w:rFonts w:ascii="Arial" w:hAnsi="Arial" w:cs="Arial"/>
                <w:color w:val="000000" w:themeColor="text1"/>
                <w:sz w:val="24"/>
                <w:szCs w:val="24"/>
              </w:rPr>
              <w:t>o</w:t>
            </w:r>
            <w:r>
              <w:rPr>
                <w:rFonts w:ascii="Arial" w:hAnsi="Arial" w:cs="Arial"/>
                <w:color w:val="000000" w:themeColor="text1"/>
                <w:sz w:val="24"/>
                <w:szCs w:val="24"/>
              </w:rPr>
              <w:t>r</w:t>
            </w:r>
            <w:r w:rsidR="00BF2757">
              <w:rPr>
                <w:rFonts w:ascii="Arial" w:hAnsi="Arial" w:cs="Arial"/>
                <w:color w:val="000000" w:themeColor="text1"/>
                <w:sz w:val="24"/>
                <w:szCs w:val="24"/>
              </w:rPr>
              <w:t>m Ordonanței de Urgență a Guvernului nr.68/2019, privind stabilirea unor măsuri la nivelul administrației publice centrale și pentru modificarea și completarea unor acte normative, prin care a fost aprobată noua structură a Guvernului, a fost modificată corespunz</w:t>
            </w:r>
            <w:r>
              <w:rPr>
                <w:rFonts w:ascii="Arial" w:hAnsi="Arial" w:cs="Arial"/>
                <w:color w:val="000000" w:themeColor="text1"/>
                <w:sz w:val="24"/>
                <w:szCs w:val="24"/>
              </w:rPr>
              <w:t>ător denumirea instituțiilor ai</w:t>
            </w:r>
            <w:r w:rsidR="00BF2757">
              <w:rPr>
                <w:rFonts w:ascii="Arial" w:hAnsi="Arial" w:cs="Arial"/>
                <w:color w:val="000000" w:themeColor="text1"/>
                <w:sz w:val="24"/>
                <w:szCs w:val="24"/>
              </w:rPr>
              <w:t xml:space="preserve"> căror reprezentanți sunt desemnați în CIFGA.</w:t>
            </w:r>
          </w:p>
        </w:tc>
      </w:tr>
      <w:tr w:rsidR="001F7A29" w:rsidRPr="00DE14B3" w:rsidTr="00202A27">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rPr>
                <w:rFonts w:ascii="Arial" w:hAnsi="Arial" w:cs="Arial"/>
                <w:b/>
                <w:color w:val="000000" w:themeColor="text1"/>
                <w:sz w:val="24"/>
                <w:szCs w:val="24"/>
              </w:rPr>
            </w:pPr>
            <w:r w:rsidRPr="00202A27">
              <w:rPr>
                <w:rFonts w:ascii="Arial" w:hAnsi="Arial" w:cs="Arial"/>
                <w:b/>
                <w:color w:val="000000" w:themeColor="text1"/>
                <w:sz w:val="24"/>
                <w:szCs w:val="24"/>
              </w:rPr>
              <w:lastRenderedPageBreak/>
              <w:t xml:space="preserve">3. Alte informaţii                 </w:t>
            </w:r>
          </w:p>
        </w:tc>
        <w:tc>
          <w:tcPr>
            <w:tcW w:w="7405" w:type="dxa"/>
            <w:gridSpan w:val="7"/>
            <w:tcBorders>
              <w:top w:val="single" w:sz="4" w:space="0" w:color="auto"/>
              <w:left w:val="single" w:sz="4" w:space="0" w:color="auto"/>
              <w:bottom w:val="single" w:sz="4" w:space="0" w:color="auto"/>
              <w:right w:val="single" w:sz="4" w:space="0" w:color="auto"/>
            </w:tcBorders>
          </w:tcPr>
          <w:p w:rsidR="001F7A29" w:rsidRPr="00202A27" w:rsidRDefault="001F7A29" w:rsidP="00291821">
            <w:pPr>
              <w:jc w:val="both"/>
              <w:rPr>
                <w:rFonts w:ascii="Arial" w:hAnsi="Arial" w:cs="Arial"/>
                <w:color w:val="000000" w:themeColor="text1"/>
                <w:sz w:val="24"/>
                <w:szCs w:val="24"/>
              </w:rPr>
            </w:pPr>
            <w:r w:rsidRPr="00202A27">
              <w:rPr>
                <w:rFonts w:ascii="Arial" w:hAnsi="Arial" w:cs="Arial"/>
                <w:color w:val="000000" w:themeColor="text1"/>
                <w:sz w:val="24"/>
                <w:szCs w:val="24"/>
              </w:rPr>
              <w:t>Nu este cazul.</w:t>
            </w:r>
          </w:p>
        </w:tc>
      </w:tr>
      <w:tr w:rsidR="001F7A29" w:rsidRPr="00DE14B3" w:rsidTr="00202A27">
        <w:tc>
          <w:tcPr>
            <w:tcW w:w="10094" w:type="dxa"/>
            <w:gridSpan w:val="8"/>
            <w:tcBorders>
              <w:top w:val="single" w:sz="4" w:space="0" w:color="auto"/>
              <w:left w:val="single" w:sz="4" w:space="0" w:color="auto"/>
              <w:bottom w:val="single" w:sz="4" w:space="0" w:color="auto"/>
              <w:right w:val="single" w:sz="4" w:space="0" w:color="auto"/>
            </w:tcBorders>
          </w:tcPr>
          <w:p w:rsidR="007F5CCB" w:rsidRDefault="001F7A29" w:rsidP="007F5CCB">
            <w:pPr>
              <w:jc w:val="center"/>
              <w:rPr>
                <w:rFonts w:ascii="Arial" w:hAnsi="Arial" w:cs="Arial"/>
                <w:b/>
                <w:color w:val="000000" w:themeColor="text1"/>
                <w:sz w:val="24"/>
                <w:szCs w:val="24"/>
              </w:rPr>
            </w:pPr>
            <w:r w:rsidRPr="00202A27">
              <w:rPr>
                <w:rFonts w:ascii="Arial" w:hAnsi="Arial" w:cs="Arial"/>
                <w:b/>
                <w:color w:val="000000" w:themeColor="text1"/>
                <w:sz w:val="24"/>
                <w:szCs w:val="24"/>
              </w:rPr>
              <w:t>SECŢIUNEA A 3-A</w:t>
            </w:r>
          </w:p>
          <w:p w:rsidR="007F5CCB" w:rsidRPr="00202A27" w:rsidRDefault="001F7A29" w:rsidP="00D172B9">
            <w:pPr>
              <w:jc w:val="center"/>
              <w:rPr>
                <w:rFonts w:ascii="Arial" w:hAnsi="Arial" w:cs="Arial"/>
                <w:b/>
                <w:color w:val="000000" w:themeColor="text1"/>
                <w:sz w:val="24"/>
                <w:szCs w:val="24"/>
              </w:rPr>
            </w:pPr>
            <w:r w:rsidRPr="00202A27">
              <w:rPr>
                <w:rFonts w:ascii="Arial" w:hAnsi="Arial" w:cs="Arial"/>
                <w:b/>
                <w:color w:val="000000" w:themeColor="text1"/>
                <w:sz w:val="24"/>
                <w:szCs w:val="24"/>
              </w:rPr>
              <w:t>IMPACTUL SOCIOECONOMIC AL PROIECTULUI DE ACT NORMATIV</w:t>
            </w:r>
          </w:p>
        </w:tc>
      </w:tr>
      <w:tr w:rsidR="001F7A29" w:rsidRPr="00DE14B3" w:rsidTr="00202A27">
        <w:trPr>
          <w:trHeight w:val="654"/>
        </w:trPr>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rPr>
                <w:rFonts w:ascii="Arial" w:hAnsi="Arial" w:cs="Arial"/>
                <w:b/>
                <w:color w:val="000000" w:themeColor="text1"/>
                <w:sz w:val="24"/>
                <w:szCs w:val="24"/>
              </w:rPr>
            </w:pPr>
            <w:r w:rsidRPr="00202A27">
              <w:rPr>
                <w:rFonts w:ascii="Arial" w:hAnsi="Arial" w:cs="Arial"/>
                <w:b/>
                <w:color w:val="000000" w:themeColor="text1"/>
                <w:sz w:val="24"/>
                <w:szCs w:val="24"/>
              </w:rPr>
              <w:t xml:space="preserve">1. Impactul macroeconomic   </w:t>
            </w:r>
          </w:p>
        </w:tc>
        <w:tc>
          <w:tcPr>
            <w:tcW w:w="7405" w:type="dxa"/>
            <w:gridSpan w:val="7"/>
            <w:tcBorders>
              <w:top w:val="single" w:sz="4" w:space="0" w:color="auto"/>
              <w:left w:val="single" w:sz="4" w:space="0" w:color="auto"/>
              <w:bottom w:val="single" w:sz="4" w:space="0" w:color="auto"/>
              <w:right w:val="single" w:sz="4" w:space="0" w:color="auto"/>
            </w:tcBorders>
          </w:tcPr>
          <w:p w:rsidR="001F7A29" w:rsidRPr="00202A27" w:rsidRDefault="001F7A29" w:rsidP="00291821">
            <w:pPr>
              <w:jc w:val="both"/>
              <w:rPr>
                <w:rFonts w:ascii="Arial" w:hAnsi="Arial" w:cs="Arial"/>
                <w:color w:val="000000" w:themeColor="text1"/>
                <w:sz w:val="24"/>
                <w:szCs w:val="24"/>
              </w:rPr>
            </w:pPr>
            <w:r w:rsidRPr="00202A27">
              <w:rPr>
                <w:rFonts w:ascii="Arial" w:hAnsi="Arial" w:cs="Arial"/>
                <w:color w:val="000000" w:themeColor="text1"/>
                <w:sz w:val="24"/>
                <w:szCs w:val="24"/>
              </w:rPr>
              <w:t xml:space="preserve">Nu este cazul. </w:t>
            </w:r>
          </w:p>
        </w:tc>
      </w:tr>
      <w:tr w:rsidR="001F7A29" w:rsidRPr="00DE14B3" w:rsidTr="00202A27">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rPr>
                <w:rFonts w:ascii="Arial" w:hAnsi="Arial" w:cs="Arial"/>
                <w:b/>
                <w:color w:val="000000" w:themeColor="text1"/>
                <w:sz w:val="24"/>
                <w:szCs w:val="24"/>
              </w:rPr>
            </w:pPr>
            <w:r w:rsidRPr="00202A27">
              <w:rPr>
                <w:rFonts w:ascii="Arial" w:hAnsi="Arial" w:cs="Arial"/>
                <w:b/>
                <w:color w:val="000000" w:themeColor="text1"/>
                <w:sz w:val="24"/>
                <w:szCs w:val="24"/>
              </w:rPr>
              <w:t>1^1 Impactul asupra mediului concurenţial şi domeniului ajutoarelor de stat</w:t>
            </w:r>
          </w:p>
        </w:tc>
        <w:tc>
          <w:tcPr>
            <w:tcW w:w="7405" w:type="dxa"/>
            <w:gridSpan w:val="7"/>
            <w:tcBorders>
              <w:top w:val="single" w:sz="4" w:space="0" w:color="auto"/>
              <w:left w:val="single" w:sz="4" w:space="0" w:color="auto"/>
              <w:bottom w:val="single" w:sz="4" w:space="0" w:color="auto"/>
              <w:right w:val="single" w:sz="4" w:space="0" w:color="auto"/>
            </w:tcBorders>
          </w:tcPr>
          <w:p w:rsidR="001F7A29" w:rsidRPr="00202A27" w:rsidRDefault="001F7A29" w:rsidP="00291821">
            <w:pPr>
              <w:jc w:val="both"/>
              <w:rPr>
                <w:rFonts w:ascii="Arial" w:hAnsi="Arial" w:cs="Arial"/>
                <w:color w:val="000000" w:themeColor="text1"/>
                <w:sz w:val="24"/>
                <w:szCs w:val="24"/>
              </w:rPr>
            </w:pPr>
            <w:r w:rsidRPr="00202A27">
              <w:rPr>
                <w:rFonts w:ascii="Arial" w:hAnsi="Arial" w:cs="Arial"/>
                <w:color w:val="000000" w:themeColor="text1"/>
                <w:sz w:val="24"/>
                <w:szCs w:val="24"/>
              </w:rPr>
              <w:t>Nu este cazul.</w:t>
            </w:r>
          </w:p>
        </w:tc>
      </w:tr>
      <w:tr w:rsidR="001F7A29" w:rsidRPr="00DE14B3" w:rsidTr="00202A27">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rPr>
                <w:rFonts w:ascii="Arial" w:hAnsi="Arial" w:cs="Arial"/>
                <w:b/>
                <w:color w:val="000000" w:themeColor="text1"/>
                <w:sz w:val="24"/>
                <w:szCs w:val="24"/>
              </w:rPr>
            </w:pPr>
            <w:r w:rsidRPr="00202A27">
              <w:rPr>
                <w:rFonts w:ascii="Arial" w:hAnsi="Arial" w:cs="Arial"/>
                <w:b/>
                <w:color w:val="000000" w:themeColor="text1"/>
                <w:sz w:val="24"/>
                <w:szCs w:val="24"/>
              </w:rPr>
              <w:t>2. Impactul asupra mediului de afaceri</w:t>
            </w:r>
          </w:p>
        </w:tc>
        <w:tc>
          <w:tcPr>
            <w:tcW w:w="7405" w:type="dxa"/>
            <w:gridSpan w:val="7"/>
            <w:tcBorders>
              <w:top w:val="single" w:sz="4" w:space="0" w:color="auto"/>
              <w:left w:val="single" w:sz="4" w:space="0" w:color="auto"/>
              <w:bottom w:val="single" w:sz="4" w:space="0" w:color="auto"/>
              <w:right w:val="single" w:sz="4" w:space="0" w:color="auto"/>
            </w:tcBorders>
          </w:tcPr>
          <w:p w:rsidR="001F7A29" w:rsidRPr="00202A27" w:rsidRDefault="001F7A29" w:rsidP="00291821">
            <w:pPr>
              <w:jc w:val="both"/>
              <w:rPr>
                <w:rFonts w:ascii="Arial" w:hAnsi="Arial" w:cs="Arial"/>
                <w:color w:val="000000" w:themeColor="text1"/>
                <w:sz w:val="24"/>
                <w:szCs w:val="24"/>
              </w:rPr>
            </w:pPr>
            <w:r w:rsidRPr="00202A27">
              <w:rPr>
                <w:rFonts w:ascii="Arial" w:hAnsi="Arial" w:cs="Arial"/>
                <w:color w:val="000000" w:themeColor="text1"/>
                <w:sz w:val="24"/>
                <w:szCs w:val="24"/>
              </w:rPr>
              <w:t>Nu este cazul.</w:t>
            </w:r>
          </w:p>
        </w:tc>
      </w:tr>
      <w:tr w:rsidR="00EB21B9" w:rsidRPr="00DE14B3" w:rsidTr="00202A27">
        <w:tc>
          <w:tcPr>
            <w:tcW w:w="2689" w:type="dxa"/>
            <w:tcBorders>
              <w:top w:val="single" w:sz="4" w:space="0" w:color="auto"/>
              <w:left w:val="single" w:sz="4" w:space="0" w:color="auto"/>
              <w:bottom w:val="single" w:sz="4" w:space="0" w:color="auto"/>
              <w:right w:val="single" w:sz="4" w:space="0" w:color="auto"/>
            </w:tcBorders>
          </w:tcPr>
          <w:p w:rsidR="00EB21B9" w:rsidRPr="00387CA8" w:rsidRDefault="00EB21B9" w:rsidP="00EB21B9">
            <w:pPr>
              <w:rPr>
                <w:rFonts w:ascii="Arial" w:hAnsi="Arial" w:cs="Arial"/>
                <w:b/>
                <w:color w:val="000000" w:themeColor="text1"/>
                <w:sz w:val="24"/>
                <w:szCs w:val="24"/>
              </w:rPr>
            </w:pPr>
            <w:r>
              <w:rPr>
                <w:rFonts w:ascii="Arial" w:hAnsi="Arial" w:cs="Arial"/>
                <w:b/>
                <w:color w:val="000000" w:themeColor="text1"/>
                <w:sz w:val="24"/>
                <w:szCs w:val="24"/>
              </w:rPr>
              <w:t>2</w:t>
            </w:r>
            <w:r w:rsidRPr="00387CA8">
              <w:rPr>
                <w:rFonts w:ascii="Arial" w:hAnsi="Arial" w:cs="Arial"/>
                <w:b/>
                <w:color w:val="000000" w:themeColor="text1"/>
                <w:sz w:val="24"/>
                <w:szCs w:val="24"/>
              </w:rPr>
              <w:t>^</w:t>
            </w:r>
            <w:r>
              <w:rPr>
                <w:rFonts w:ascii="Arial" w:hAnsi="Arial" w:cs="Arial"/>
                <w:b/>
                <w:color w:val="000000" w:themeColor="text1"/>
                <w:sz w:val="24"/>
                <w:szCs w:val="24"/>
              </w:rPr>
              <w:t>1. Impactul asupra sarcinilor administrative</w:t>
            </w:r>
          </w:p>
        </w:tc>
        <w:tc>
          <w:tcPr>
            <w:tcW w:w="7405" w:type="dxa"/>
            <w:gridSpan w:val="7"/>
            <w:tcBorders>
              <w:top w:val="single" w:sz="4" w:space="0" w:color="auto"/>
              <w:left w:val="single" w:sz="4" w:space="0" w:color="auto"/>
              <w:bottom w:val="single" w:sz="4" w:space="0" w:color="auto"/>
              <w:right w:val="single" w:sz="4" w:space="0" w:color="auto"/>
            </w:tcBorders>
          </w:tcPr>
          <w:p w:rsidR="00EB21B9" w:rsidRPr="00387CA8" w:rsidRDefault="00EB21B9" w:rsidP="00EB21B9">
            <w:pPr>
              <w:jc w:val="both"/>
              <w:rPr>
                <w:rFonts w:ascii="Arial" w:hAnsi="Arial" w:cs="Arial"/>
                <w:color w:val="000000" w:themeColor="text1"/>
                <w:sz w:val="24"/>
                <w:szCs w:val="24"/>
              </w:rPr>
            </w:pPr>
            <w:r w:rsidRPr="00387CA8">
              <w:rPr>
                <w:rFonts w:ascii="Arial" w:hAnsi="Arial" w:cs="Arial"/>
                <w:color w:val="000000" w:themeColor="text1"/>
                <w:sz w:val="24"/>
                <w:szCs w:val="24"/>
              </w:rPr>
              <w:t>Nu este cazul.</w:t>
            </w:r>
          </w:p>
        </w:tc>
      </w:tr>
      <w:tr w:rsidR="00EB21B9" w:rsidRPr="00DE14B3" w:rsidTr="00202A27">
        <w:tc>
          <w:tcPr>
            <w:tcW w:w="2689" w:type="dxa"/>
            <w:tcBorders>
              <w:top w:val="single" w:sz="4" w:space="0" w:color="auto"/>
              <w:left w:val="single" w:sz="4" w:space="0" w:color="auto"/>
              <w:bottom w:val="single" w:sz="4" w:space="0" w:color="auto"/>
              <w:right w:val="single" w:sz="4" w:space="0" w:color="auto"/>
            </w:tcBorders>
          </w:tcPr>
          <w:p w:rsidR="00EB21B9" w:rsidRPr="00387CA8" w:rsidRDefault="00EB21B9" w:rsidP="00EB21B9">
            <w:pPr>
              <w:rPr>
                <w:rFonts w:ascii="Arial" w:hAnsi="Arial" w:cs="Arial"/>
                <w:b/>
                <w:color w:val="000000" w:themeColor="text1"/>
                <w:sz w:val="24"/>
                <w:szCs w:val="24"/>
              </w:rPr>
            </w:pPr>
            <w:r>
              <w:rPr>
                <w:rFonts w:ascii="Arial" w:hAnsi="Arial" w:cs="Arial"/>
                <w:b/>
                <w:color w:val="000000" w:themeColor="text1"/>
                <w:sz w:val="24"/>
                <w:szCs w:val="24"/>
              </w:rPr>
              <w:t>2</w:t>
            </w:r>
            <w:r w:rsidRPr="00387CA8">
              <w:rPr>
                <w:rFonts w:ascii="Arial" w:hAnsi="Arial" w:cs="Arial"/>
                <w:b/>
                <w:color w:val="000000" w:themeColor="text1"/>
                <w:sz w:val="24"/>
                <w:szCs w:val="24"/>
              </w:rPr>
              <w:t>^</w:t>
            </w:r>
            <w:r>
              <w:rPr>
                <w:rFonts w:ascii="Arial" w:hAnsi="Arial" w:cs="Arial"/>
                <w:b/>
                <w:color w:val="000000" w:themeColor="text1"/>
                <w:sz w:val="24"/>
                <w:szCs w:val="24"/>
              </w:rPr>
              <w:t>2. Impactul asupra întreprinderilor mici și mijlocii</w:t>
            </w:r>
          </w:p>
        </w:tc>
        <w:tc>
          <w:tcPr>
            <w:tcW w:w="7405" w:type="dxa"/>
            <w:gridSpan w:val="7"/>
            <w:tcBorders>
              <w:top w:val="single" w:sz="4" w:space="0" w:color="auto"/>
              <w:left w:val="single" w:sz="4" w:space="0" w:color="auto"/>
              <w:bottom w:val="single" w:sz="4" w:space="0" w:color="auto"/>
              <w:right w:val="single" w:sz="4" w:space="0" w:color="auto"/>
            </w:tcBorders>
          </w:tcPr>
          <w:p w:rsidR="00EB21B9" w:rsidRPr="00387CA8" w:rsidRDefault="00EB21B9" w:rsidP="00EB21B9">
            <w:pPr>
              <w:jc w:val="both"/>
              <w:rPr>
                <w:rFonts w:ascii="Arial" w:hAnsi="Arial" w:cs="Arial"/>
                <w:color w:val="000000" w:themeColor="text1"/>
                <w:sz w:val="24"/>
                <w:szCs w:val="24"/>
              </w:rPr>
            </w:pPr>
            <w:r w:rsidRPr="00387CA8">
              <w:rPr>
                <w:rFonts w:ascii="Arial" w:hAnsi="Arial" w:cs="Arial"/>
                <w:color w:val="000000" w:themeColor="text1"/>
                <w:sz w:val="24"/>
                <w:szCs w:val="24"/>
              </w:rPr>
              <w:t>Nu este cazul.</w:t>
            </w:r>
          </w:p>
        </w:tc>
      </w:tr>
      <w:tr w:rsidR="001F7A29" w:rsidRPr="00DE14B3" w:rsidTr="00202A27">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rPr>
                <w:rFonts w:ascii="Arial" w:hAnsi="Arial" w:cs="Arial"/>
                <w:b/>
                <w:color w:val="000000" w:themeColor="text1"/>
                <w:sz w:val="24"/>
                <w:szCs w:val="24"/>
              </w:rPr>
            </w:pPr>
            <w:r w:rsidRPr="00202A27">
              <w:rPr>
                <w:rFonts w:ascii="Arial" w:hAnsi="Arial" w:cs="Arial"/>
                <w:b/>
                <w:color w:val="000000" w:themeColor="text1"/>
                <w:sz w:val="24"/>
                <w:szCs w:val="24"/>
              </w:rPr>
              <w:t xml:space="preserve">3. Impactul social                     </w:t>
            </w:r>
          </w:p>
        </w:tc>
        <w:tc>
          <w:tcPr>
            <w:tcW w:w="7405" w:type="dxa"/>
            <w:gridSpan w:val="7"/>
            <w:tcBorders>
              <w:top w:val="single" w:sz="4" w:space="0" w:color="auto"/>
              <w:left w:val="single" w:sz="4" w:space="0" w:color="auto"/>
              <w:bottom w:val="single" w:sz="4" w:space="0" w:color="auto"/>
              <w:right w:val="single" w:sz="4" w:space="0" w:color="auto"/>
            </w:tcBorders>
          </w:tcPr>
          <w:p w:rsidR="001F7A29" w:rsidRPr="00202A27" w:rsidRDefault="001F7A29" w:rsidP="00291821">
            <w:pPr>
              <w:spacing w:after="0" w:line="240" w:lineRule="auto"/>
              <w:jc w:val="both"/>
              <w:rPr>
                <w:rFonts w:ascii="Arial" w:hAnsi="Arial" w:cs="Arial"/>
                <w:color w:val="000000" w:themeColor="text1"/>
                <w:sz w:val="24"/>
                <w:szCs w:val="24"/>
              </w:rPr>
            </w:pPr>
          </w:p>
        </w:tc>
      </w:tr>
      <w:tr w:rsidR="001F7A29" w:rsidRPr="00DE14B3" w:rsidTr="00202A27">
        <w:trPr>
          <w:trHeight w:val="552"/>
        </w:trPr>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rPr>
                <w:rFonts w:ascii="Arial" w:hAnsi="Arial" w:cs="Arial"/>
                <w:b/>
                <w:color w:val="000000" w:themeColor="text1"/>
                <w:sz w:val="24"/>
                <w:szCs w:val="24"/>
              </w:rPr>
            </w:pPr>
            <w:r w:rsidRPr="00202A27">
              <w:rPr>
                <w:rFonts w:ascii="Arial" w:hAnsi="Arial" w:cs="Arial"/>
                <w:b/>
                <w:color w:val="000000" w:themeColor="text1"/>
                <w:sz w:val="24"/>
                <w:szCs w:val="24"/>
              </w:rPr>
              <w:t xml:space="preserve">4. Impactul asupra mediului </w:t>
            </w:r>
          </w:p>
        </w:tc>
        <w:tc>
          <w:tcPr>
            <w:tcW w:w="7405" w:type="dxa"/>
            <w:gridSpan w:val="7"/>
            <w:tcBorders>
              <w:top w:val="single" w:sz="4" w:space="0" w:color="auto"/>
              <w:left w:val="single" w:sz="4" w:space="0" w:color="auto"/>
              <w:bottom w:val="single" w:sz="4" w:space="0" w:color="auto"/>
              <w:right w:val="single" w:sz="4" w:space="0" w:color="auto"/>
            </w:tcBorders>
          </w:tcPr>
          <w:p w:rsidR="001F7A29" w:rsidRPr="00202A27" w:rsidRDefault="001F7A29" w:rsidP="00291821">
            <w:pPr>
              <w:spacing w:after="0" w:line="240" w:lineRule="auto"/>
              <w:jc w:val="both"/>
              <w:rPr>
                <w:rFonts w:ascii="Arial" w:hAnsi="Arial" w:cs="Arial"/>
                <w:color w:val="000000" w:themeColor="text1"/>
                <w:sz w:val="24"/>
                <w:szCs w:val="24"/>
              </w:rPr>
            </w:pPr>
            <w:r w:rsidRPr="00202A27">
              <w:rPr>
                <w:rFonts w:ascii="Arial" w:hAnsi="Arial" w:cs="Arial"/>
                <w:color w:val="000000" w:themeColor="text1"/>
                <w:sz w:val="24"/>
                <w:szCs w:val="24"/>
              </w:rPr>
              <w:t>Nu e cazul.</w:t>
            </w:r>
          </w:p>
          <w:p w:rsidR="001F7A29" w:rsidRPr="00202A27" w:rsidRDefault="001F7A29" w:rsidP="00291821">
            <w:pPr>
              <w:spacing w:after="0" w:line="240" w:lineRule="auto"/>
              <w:jc w:val="both"/>
              <w:rPr>
                <w:rFonts w:ascii="Arial" w:hAnsi="Arial" w:cs="Arial"/>
                <w:color w:val="000000" w:themeColor="text1"/>
                <w:sz w:val="24"/>
                <w:szCs w:val="24"/>
              </w:rPr>
            </w:pPr>
          </w:p>
        </w:tc>
      </w:tr>
      <w:tr w:rsidR="001F7A29" w:rsidRPr="00DE14B3" w:rsidTr="00202A27">
        <w:tc>
          <w:tcPr>
            <w:tcW w:w="2689" w:type="dxa"/>
            <w:tcBorders>
              <w:top w:val="single" w:sz="4" w:space="0" w:color="auto"/>
              <w:left w:val="single" w:sz="4" w:space="0" w:color="auto"/>
              <w:bottom w:val="single" w:sz="4" w:space="0" w:color="auto"/>
              <w:right w:val="single" w:sz="4" w:space="0" w:color="auto"/>
            </w:tcBorders>
          </w:tcPr>
          <w:p w:rsidR="001F7A29" w:rsidRPr="00202A27" w:rsidRDefault="001F7A29" w:rsidP="00291821">
            <w:pPr>
              <w:rPr>
                <w:rFonts w:ascii="Arial" w:hAnsi="Arial" w:cs="Arial"/>
                <w:b/>
                <w:color w:val="000000" w:themeColor="text1"/>
                <w:sz w:val="24"/>
                <w:szCs w:val="24"/>
              </w:rPr>
            </w:pPr>
            <w:r w:rsidRPr="00202A27">
              <w:rPr>
                <w:rFonts w:ascii="Arial" w:hAnsi="Arial" w:cs="Arial"/>
                <w:b/>
                <w:color w:val="000000" w:themeColor="text1"/>
                <w:sz w:val="24"/>
                <w:szCs w:val="24"/>
              </w:rPr>
              <w:t xml:space="preserve">5. Alte informaţii                     </w:t>
            </w:r>
          </w:p>
        </w:tc>
        <w:tc>
          <w:tcPr>
            <w:tcW w:w="7405" w:type="dxa"/>
            <w:gridSpan w:val="7"/>
            <w:tcBorders>
              <w:top w:val="single" w:sz="4" w:space="0" w:color="auto"/>
              <w:left w:val="single" w:sz="4" w:space="0" w:color="auto"/>
              <w:bottom w:val="single" w:sz="4" w:space="0" w:color="auto"/>
              <w:right w:val="single" w:sz="4" w:space="0" w:color="auto"/>
            </w:tcBorders>
          </w:tcPr>
          <w:p w:rsidR="001F7A29" w:rsidRPr="00202A27" w:rsidRDefault="001F7A29" w:rsidP="00291821">
            <w:pPr>
              <w:jc w:val="both"/>
              <w:rPr>
                <w:rFonts w:ascii="Arial" w:hAnsi="Arial" w:cs="Arial"/>
                <w:color w:val="000000" w:themeColor="text1"/>
                <w:sz w:val="24"/>
                <w:szCs w:val="24"/>
              </w:rPr>
            </w:pPr>
            <w:r w:rsidRPr="00202A27">
              <w:rPr>
                <w:rFonts w:ascii="Arial" w:hAnsi="Arial" w:cs="Arial"/>
                <w:color w:val="000000" w:themeColor="text1"/>
                <w:sz w:val="24"/>
                <w:szCs w:val="24"/>
              </w:rPr>
              <w:t>Nu au fost identificate</w:t>
            </w:r>
          </w:p>
        </w:tc>
      </w:tr>
      <w:tr w:rsidR="001F7A29" w:rsidRPr="00DE14B3" w:rsidTr="00202A27">
        <w:tc>
          <w:tcPr>
            <w:tcW w:w="10094" w:type="dxa"/>
            <w:gridSpan w:val="8"/>
            <w:tcBorders>
              <w:top w:val="single" w:sz="4" w:space="0" w:color="auto"/>
              <w:left w:val="single" w:sz="4" w:space="0" w:color="auto"/>
              <w:bottom w:val="single" w:sz="4" w:space="0" w:color="auto"/>
              <w:right w:val="single" w:sz="4" w:space="0" w:color="auto"/>
            </w:tcBorders>
          </w:tcPr>
          <w:p w:rsidR="001F7A29" w:rsidRPr="00202A27" w:rsidRDefault="001F7A29" w:rsidP="00D172B9">
            <w:pPr>
              <w:autoSpaceDE w:val="0"/>
              <w:autoSpaceDN w:val="0"/>
              <w:adjustRightInd w:val="0"/>
              <w:jc w:val="center"/>
              <w:rPr>
                <w:rFonts w:ascii="Arial" w:hAnsi="Arial" w:cs="Arial"/>
                <w:b/>
                <w:color w:val="000000" w:themeColor="text1"/>
                <w:sz w:val="24"/>
                <w:szCs w:val="24"/>
              </w:rPr>
            </w:pPr>
            <w:r w:rsidRPr="00202A27">
              <w:rPr>
                <w:rFonts w:ascii="Arial" w:hAnsi="Arial" w:cs="Arial"/>
                <w:b/>
                <w:color w:val="000000" w:themeColor="text1"/>
                <w:sz w:val="24"/>
                <w:szCs w:val="24"/>
              </w:rPr>
              <w:t>SECŢIUNEA A 4-A</w:t>
            </w:r>
          </w:p>
          <w:p w:rsidR="000D4776" w:rsidRPr="00D172B9" w:rsidRDefault="001F7A29" w:rsidP="00D172B9">
            <w:pPr>
              <w:autoSpaceDE w:val="0"/>
              <w:autoSpaceDN w:val="0"/>
              <w:adjustRightInd w:val="0"/>
              <w:jc w:val="center"/>
              <w:rPr>
                <w:rFonts w:ascii="Arial" w:hAnsi="Arial" w:cs="Arial"/>
                <w:b/>
                <w:color w:val="000000" w:themeColor="text1"/>
                <w:sz w:val="24"/>
                <w:szCs w:val="24"/>
              </w:rPr>
            </w:pPr>
            <w:r w:rsidRPr="00202A27">
              <w:rPr>
                <w:rFonts w:ascii="Arial" w:hAnsi="Arial" w:cs="Arial"/>
                <w:b/>
                <w:color w:val="000000" w:themeColor="text1"/>
                <w:sz w:val="24"/>
                <w:szCs w:val="24"/>
              </w:rPr>
              <w:t>IMPACTUL FINANCIAR ASUPRA BUGETULUI GENERAL CONSOLIDAT, ATÂT PE TERMEN SCURT, PENTRU ANUL CURENT, CÂT ŞI PE TERMEN LUNG (PE 5 ANI)</w:t>
            </w:r>
          </w:p>
          <w:p w:rsidR="001F7A29" w:rsidRPr="00202A27" w:rsidRDefault="001F7A29" w:rsidP="00291821">
            <w:pPr>
              <w:pStyle w:val="BodyText"/>
              <w:spacing w:before="0" w:after="0"/>
              <w:jc w:val="center"/>
              <w:rPr>
                <w:rFonts w:ascii="Arial" w:hAnsi="Arial" w:cs="Arial"/>
                <w:color w:val="000000" w:themeColor="text1"/>
                <w:szCs w:val="24"/>
              </w:rPr>
            </w:pPr>
            <w:r w:rsidRPr="00202A27">
              <w:rPr>
                <w:rFonts w:ascii="Arial" w:hAnsi="Arial" w:cs="Arial"/>
                <w:b/>
                <w:color w:val="000000" w:themeColor="text1"/>
                <w:szCs w:val="24"/>
              </w:rPr>
              <w:t>- mii lei -</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Indicatori</w:t>
            </w:r>
          </w:p>
        </w:tc>
        <w:tc>
          <w:tcPr>
            <w:tcW w:w="997"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Anul curent</w:t>
            </w:r>
          </w:p>
        </w:tc>
        <w:tc>
          <w:tcPr>
            <w:tcW w:w="2868" w:type="dxa"/>
            <w:gridSpan w:val="4"/>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Următorii 4 ani</w:t>
            </w:r>
          </w:p>
        </w:tc>
        <w:tc>
          <w:tcPr>
            <w:tcW w:w="1452"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Media pe 5 ani</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lastRenderedPageBreak/>
              <w:t>1</w:t>
            </w:r>
          </w:p>
        </w:tc>
        <w:tc>
          <w:tcPr>
            <w:tcW w:w="997"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2</w:t>
            </w:r>
          </w:p>
        </w:tc>
        <w:tc>
          <w:tcPr>
            <w:tcW w:w="734"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3</w:t>
            </w:r>
          </w:p>
        </w:tc>
        <w:tc>
          <w:tcPr>
            <w:tcW w:w="733"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5</w:t>
            </w:r>
          </w:p>
        </w:tc>
        <w:tc>
          <w:tcPr>
            <w:tcW w:w="700"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6</w:t>
            </w:r>
          </w:p>
        </w:tc>
        <w:tc>
          <w:tcPr>
            <w:tcW w:w="1452" w:type="dxa"/>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i/>
                <w:sz w:val="24"/>
                <w:szCs w:val="24"/>
              </w:rPr>
            </w:pPr>
            <w:r w:rsidRPr="00DE14B3">
              <w:rPr>
                <w:rFonts w:ascii="Arial" w:hAnsi="Arial" w:cs="Arial"/>
                <w:b/>
                <w:i/>
                <w:sz w:val="24"/>
                <w:szCs w:val="24"/>
              </w:rPr>
              <w:t>7</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1. Modificări ale veniturilor bugetare, plus/minus, din care:</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a) buget de stat, din acesta:</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 xml:space="preserve">  (i) impozit pe profit</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 xml:space="preserve">  (ii) impozit pe venit</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b) bugete locale:</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 xml:space="preserve">  (i) impozit pe profit</w:t>
            </w:r>
          </w:p>
          <w:p w:rsidR="001F7A29" w:rsidRPr="00DE14B3" w:rsidRDefault="001F7A29" w:rsidP="00291821">
            <w:pPr>
              <w:rPr>
                <w:rFonts w:ascii="Arial" w:hAnsi="Arial" w:cs="Arial"/>
                <w:sz w:val="24"/>
                <w:szCs w:val="24"/>
              </w:rPr>
            </w:pPr>
            <w:r w:rsidRPr="00DE14B3">
              <w:rPr>
                <w:rFonts w:ascii="Arial" w:hAnsi="Arial" w:cs="Arial"/>
                <w:sz w:val="24"/>
                <w:szCs w:val="24"/>
              </w:rPr>
              <w:t>c) bugetul asigurărilor sociale de stat:</w:t>
            </w:r>
          </w:p>
          <w:p w:rsidR="001F7A29" w:rsidRPr="00DE14B3" w:rsidRDefault="001F7A29" w:rsidP="00291821">
            <w:pPr>
              <w:rPr>
                <w:rFonts w:ascii="Arial" w:hAnsi="Arial" w:cs="Arial"/>
                <w:sz w:val="24"/>
                <w:szCs w:val="24"/>
              </w:rPr>
            </w:pPr>
            <w:r w:rsidRPr="00DE14B3">
              <w:rPr>
                <w:rFonts w:ascii="Arial" w:hAnsi="Arial" w:cs="Arial"/>
                <w:sz w:val="24"/>
                <w:szCs w:val="24"/>
              </w:rPr>
              <w:t xml:space="preserve">  (i) contribuţii de asigurări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2. Modificări ale cheltuielilor bugetare, plus/minus, din care:</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a) buget de stat, din acesta:</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 xml:space="preserve">  (i) cheltuieli de personal</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 xml:space="preserve">  (ii) bunuri şi servicii</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b) bugete locale:</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 xml:space="preserve">  (i) cheltuieli de personal</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 xml:space="preserve">  (ii) bunuri şi servicii</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c) bugetul asigurărilor sociale de stat:</w:t>
            </w:r>
          </w:p>
          <w:p w:rsidR="001F7A29" w:rsidRPr="00DE14B3" w:rsidRDefault="001F7A29" w:rsidP="00291821">
            <w:pPr>
              <w:rPr>
                <w:rFonts w:ascii="Arial" w:hAnsi="Arial" w:cs="Arial"/>
                <w:sz w:val="24"/>
                <w:szCs w:val="24"/>
              </w:rPr>
            </w:pPr>
            <w:r w:rsidRPr="00DE14B3">
              <w:rPr>
                <w:rFonts w:ascii="Arial" w:hAnsi="Arial" w:cs="Arial"/>
                <w:sz w:val="24"/>
                <w:szCs w:val="24"/>
              </w:rPr>
              <w:t xml:space="preserve">  (i) cheltuieli de personal</w:t>
            </w:r>
          </w:p>
          <w:p w:rsidR="001F7A29" w:rsidRPr="00DE14B3" w:rsidRDefault="001F7A29" w:rsidP="00291821">
            <w:pPr>
              <w:rPr>
                <w:rFonts w:ascii="Arial" w:hAnsi="Arial" w:cs="Arial"/>
                <w:sz w:val="24"/>
                <w:szCs w:val="24"/>
              </w:rPr>
            </w:pPr>
            <w:r w:rsidRPr="00DE14B3">
              <w:rPr>
                <w:rFonts w:ascii="Arial" w:hAnsi="Arial" w:cs="Arial"/>
                <w:sz w:val="24"/>
                <w:szCs w:val="24"/>
              </w:rPr>
              <w:t xml:space="preserve">  (ii) bunuri şi servicii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3. Impact financiar, plus/minus, din care:</w:t>
            </w:r>
          </w:p>
          <w:p w:rsidR="001F7A29" w:rsidRPr="00DE14B3" w:rsidRDefault="001F7A29" w:rsidP="00291821">
            <w:pPr>
              <w:rPr>
                <w:rFonts w:ascii="Arial" w:hAnsi="Arial" w:cs="Arial"/>
                <w:sz w:val="24"/>
                <w:szCs w:val="24"/>
              </w:rPr>
            </w:pPr>
            <w:r w:rsidRPr="00DE14B3">
              <w:rPr>
                <w:rFonts w:ascii="Arial" w:hAnsi="Arial" w:cs="Arial"/>
                <w:sz w:val="24"/>
                <w:szCs w:val="24"/>
              </w:rPr>
              <w:t>a) buget de stat</w:t>
            </w:r>
          </w:p>
          <w:p w:rsidR="001F7A29" w:rsidRPr="00DE14B3" w:rsidRDefault="001F7A29" w:rsidP="00291821">
            <w:pPr>
              <w:rPr>
                <w:rFonts w:ascii="Arial" w:hAnsi="Arial" w:cs="Arial"/>
                <w:sz w:val="24"/>
                <w:szCs w:val="24"/>
              </w:rPr>
            </w:pPr>
            <w:r w:rsidRPr="00DE14B3">
              <w:rPr>
                <w:rFonts w:ascii="Arial" w:hAnsi="Arial" w:cs="Arial"/>
                <w:sz w:val="24"/>
                <w:szCs w:val="24"/>
              </w:rPr>
              <w:t xml:space="preserve">b) bugete locale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rPr>
                <w:rFonts w:ascii="Arial" w:hAnsi="Arial" w:cs="Arial"/>
                <w:sz w:val="24"/>
                <w:szCs w:val="24"/>
              </w:rPr>
            </w:pPr>
            <w:r w:rsidRPr="00DE14B3">
              <w:rPr>
                <w:rFonts w:ascii="Arial" w:hAnsi="Arial" w:cs="Arial"/>
                <w:sz w:val="24"/>
                <w:szCs w:val="24"/>
              </w:rPr>
              <w:t xml:space="preserve">4. Propuneri pentru acoperirea creşterii cheltuielilor bugetare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rPr>
                <w:rFonts w:ascii="Arial" w:hAnsi="Arial" w:cs="Arial"/>
                <w:sz w:val="24"/>
                <w:szCs w:val="24"/>
              </w:rPr>
            </w:pPr>
            <w:r w:rsidRPr="00DE14B3">
              <w:rPr>
                <w:rFonts w:ascii="Arial" w:hAnsi="Arial" w:cs="Arial"/>
                <w:sz w:val="24"/>
                <w:szCs w:val="24"/>
              </w:rPr>
              <w:t xml:space="preserve">5. Propuneri pentru a compensa reducerea veniturilor bugetare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rPr>
                <w:rFonts w:ascii="Arial" w:hAnsi="Arial" w:cs="Arial"/>
                <w:sz w:val="24"/>
                <w:szCs w:val="24"/>
              </w:rPr>
            </w:pPr>
            <w:r w:rsidRPr="00DE14B3">
              <w:rPr>
                <w:rFonts w:ascii="Arial" w:hAnsi="Arial" w:cs="Arial"/>
                <w:sz w:val="24"/>
                <w:szCs w:val="24"/>
              </w:rPr>
              <w:t xml:space="preserve">6. Calcule detaliate privind fundamentarea </w:t>
            </w:r>
            <w:r w:rsidRPr="00DE14B3">
              <w:rPr>
                <w:rFonts w:ascii="Arial" w:hAnsi="Arial" w:cs="Arial"/>
                <w:sz w:val="24"/>
                <w:szCs w:val="24"/>
              </w:rPr>
              <w:lastRenderedPageBreak/>
              <w:t xml:space="preserve">modificărilor veniturilor şi/sau cheltuielilor bugetare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lastRenderedPageBreak/>
              <w:t xml:space="preserve">Proiectul de act normativ nu se referă la acest </w:t>
            </w:r>
            <w:r w:rsidRPr="00DE14B3">
              <w:rPr>
                <w:rFonts w:ascii="Arial" w:hAnsi="Arial" w:cs="Arial"/>
                <w:sz w:val="24"/>
                <w:szCs w:val="24"/>
              </w:rPr>
              <w:lastRenderedPageBreak/>
              <w:t>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rPr>
                <w:rFonts w:ascii="Arial" w:hAnsi="Arial" w:cs="Arial"/>
                <w:sz w:val="24"/>
                <w:szCs w:val="24"/>
              </w:rPr>
            </w:pPr>
            <w:r w:rsidRPr="00DE14B3">
              <w:rPr>
                <w:rFonts w:ascii="Arial" w:hAnsi="Arial" w:cs="Arial"/>
                <w:sz w:val="24"/>
                <w:szCs w:val="24"/>
              </w:rPr>
              <w:lastRenderedPageBreak/>
              <w:t xml:space="preserve">7. Alte informaţii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Nu este cazul.</w:t>
            </w:r>
          </w:p>
        </w:tc>
      </w:tr>
      <w:tr w:rsidR="001F7A29" w:rsidRPr="00DE14B3" w:rsidTr="00202A27">
        <w:tc>
          <w:tcPr>
            <w:tcW w:w="10094" w:type="dxa"/>
            <w:gridSpan w:val="8"/>
            <w:tcBorders>
              <w:top w:val="single" w:sz="4" w:space="0" w:color="auto"/>
              <w:left w:val="single" w:sz="4" w:space="0" w:color="auto"/>
              <w:bottom w:val="single" w:sz="4" w:space="0" w:color="auto"/>
              <w:right w:val="single" w:sz="4" w:space="0" w:color="auto"/>
            </w:tcBorders>
          </w:tcPr>
          <w:p w:rsidR="001F7A29" w:rsidRPr="00DE14B3" w:rsidRDefault="001F7A29" w:rsidP="00D172B9">
            <w:pPr>
              <w:jc w:val="center"/>
              <w:rPr>
                <w:rFonts w:ascii="Arial" w:hAnsi="Arial" w:cs="Arial"/>
                <w:b/>
                <w:sz w:val="24"/>
                <w:szCs w:val="24"/>
              </w:rPr>
            </w:pPr>
            <w:r w:rsidRPr="00DE14B3">
              <w:rPr>
                <w:rFonts w:ascii="Arial" w:hAnsi="Arial" w:cs="Arial"/>
                <w:b/>
                <w:sz w:val="24"/>
                <w:szCs w:val="24"/>
              </w:rPr>
              <w:t>SECŢIUNEA A 5-A</w:t>
            </w:r>
          </w:p>
          <w:p w:rsidR="007F5CCB" w:rsidRPr="00DE14B3" w:rsidRDefault="001F7A29" w:rsidP="00D172B9">
            <w:pPr>
              <w:jc w:val="center"/>
              <w:rPr>
                <w:rFonts w:ascii="Arial" w:hAnsi="Arial" w:cs="Arial"/>
                <w:b/>
                <w:sz w:val="24"/>
                <w:szCs w:val="24"/>
              </w:rPr>
            </w:pPr>
            <w:r w:rsidRPr="00DE14B3">
              <w:rPr>
                <w:rFonts w:ascii="Arial" w:hAnsi="Arial" w:cs="Arial"/>
                <w:b/>
                <w:sz w:val="24"/>
                <w:szCs w:val="24"/>
              </w:rPr>
              <w:t>EFECTELE PROIECTULUI DE ACT NORMATIV ASUPRA LEGISLAŢIEI ÎN VIGOARE</w:t>
            </w:r>
          </w:p>
        </w:tc>
      </w:tr>
      <w:tr w:rsidR="0081006F"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81006F" w:rsidRPr="00CF596C" w:rsidRDefault="0081006F" w:rsidP="0081006F">
            <w:pPr>
              <w:pStyle w:val="ListParagraph"/>
              <w:numPr>
                <w:ilvl w:val="0"/>
                <w:numId w:val="4"/>
              </w:numPr>
              <w:autoSpaceDE w:val="0"/>
              <w:autoSpaceDN w:val="0"/>
              <w:adjustRightInd w:val="0"/>
              <w:spacing w:after="0" w:line="240" w:lineRule="auto"/>
              <w:ind w:left="0" w:firstLine="0"/>
              <w:jc w:val="both"/>
              <w:rPr>
                <w:rFonts w:ascii="Courier New" w:eastAsia="Times New Roman" w:hAnsi="Courier New" w:cs="Courier New"/>
                <w:sz w:val="20"/>
                <w:szCs w:val="20"/>
                <w:lang w:val="en-US"/>
              </w:rPr>
            </w:pPr>
            <w:r w:rsidRPr="00CF596C">
              <w:rPr>
                <w:rFonts w:ascii="Arial" w:eastAsia="Times New Roman" w:hAnsi="Arial" w:cs="Arial"/>
                <w:b/>
                <w:sz w:val="24"/>
                <w:szCs w:val="24"/>
                <w:lang w:val="en-US"/>
              </w:rPr>
              <w:t xml:space="preserve">Măsuri normative necesare pentruaplicarea prevederilor  proiectului de act </w:t>
            </w:r>
            <w:r>
              <w:rPr>
                <w:rFonts w:ascii="Arial" w:eastAsia="Times New Roman" w:hAnsi="Arial" w:cs="Arial"/>
                <w:b/>
                <w:sz w:val="24"/>
                <w:szCs w:val="24"/>
                <w:lang w:val="en-US"/>
              </w:rPr>
              <w:t>normativ</w:t>
            </w:r>
            <w:r w:rsidRPr="00CF596C">
              <w:rPr>
                <w:rFonts w:ascii="Courier New" w:eastAsia="Times New Roman" w:hAnsi="Courier New" w:cs="Courier New"/>
                <w:sz w:val="20"/>
                <w:szCs w:val="20"/>
                <w:lang w:val="en-US"/>
              </w:rPr>
              <w:t>:</w:t>
            </w:r>
          </w:p>
          <w:p w:rsidR="0081006F" w:rsidRDefault="00BE5C35" w:rsidP="0081006F">
            <w:pPr>
              <w:pStyle w:val="ListParagraph"/>
              <w:numPr>
                <w:ilvl w:val="0"/>
                <w:numId w:val="5"/>
              </w:numPr>
              <w:autoSpaceDE w:val="0"/>
              <w:autoSpaceDN w:val="0"/>
              <w:adjustRightInd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a</w:t>
            </w:r>
            <w:r w:rsidR="0081006F">
              <w:rPr>
                <w:rFonts w:ascii="Arial" w:eastAsia="Times New Roman" w:hAnsi="Arial" w:cs="Arial"/>
                <w:b/>
                <w:sz w:val="24"/>
                <w:szCs w:val="24"/>
                <w:lang w:val="en-US"/>
              </w:rPr>
              <w:t>cte normative în vigoare ce vor fi modificate sau abrogate, ca urmare a intrării în vigoare a proiectului de act normativ;</w:t>
            </w:r>
          </w:p>
          <w:p w:rsidR="0081006F" w:rsidRPr="00CF596C" w:rsidRDefault="00BE5C35" w:rsidP="0081006F">
            <w:pPr>
              <w:pStyle w:val="ListParagraph"/>
              <w:numPr>
                <w:ilvl w:val="0"/>
                <w:numId w:val="5"/>
              </w:numPr>
              <w:autoSpaceDE w:val="0"/>
              <w:autoSpaceDN w:val="0"/>
              <w:adjustRightInd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a</w:t>
            </w:r>
            <w:r w:rsidR="0081006F">
              <w:rPr>
                <w:rFonts w:ascii="Arial" w:eastAsia="Times New Roman" w:hAnsi="Arial" w:cs="Arial"/>
                <w:b/>
                <w:sz w:val="24"/>
                <w:szCs w:val="24"/>
                <w:lang w:val="en-US"/>
              </w:rPr>
              <w:t>cte normative ce urmează a fi elaborate în vederea implementării noilor dispoziții</w:t>
            </w:r>
          </w:p>
        </w:tc>
        <w:tc>
          <w:tcPr>
            <w:tcW w:w="5317" w:type="dxa"/>
            <w:gridSpan w:val="6"/>
            <w:tcBorders>
              <w:top w:val="single" w:sz="4" w:space="0" w:color="auto"/>
              <w:left w:val="single" w:sz="4" w:space="0" w:color="auto"/>
              <w:bottom w:val="single" w:sz="4" w:space="0" w:color="auto"/>
              <w:right w:val="single" w:sz="4" w:space="0" w:color="auto"/>
            </w:tcBorders>
          </w:tcPr>
          <w:p w:rsidR="0081006F" w:rsidRPr="00DE14B3" w:rsidRDefault="0081006F" w:rsidP="0081006F">
            <w:pPr>
              <w:autoSpaceDE w:val="0"/>
              <w:autoSpaceDN w:val="0"/>
              <w:adjustRightInd w:val="0"/>
              <w:spacing w:after="0" w:line="240" w:lineRule="auto"/>
              <w:jc w:val="both"/>
              <w:rPr>
                <w:rFonts w:ascii="Arial" w:hAnsi="Arial" w:cs="Arial"/>
                <w:sz w:val="24"/>
                <w:szCs w:val="24"/>
              </w:rPr>
            </w:pPr>
            <w:r w:rsidRPr="00DE14B3">
              <w:rPr>
                <w:rFonts w:ascii="Arial" w:hAnsi="Arial" w:cs="Arial"/>
                <w:sz w:val="24"/>
                <w:szCs w:val="24"/>
              </w:rPr>
              <w:t>Pentru implementarea prezentului proiect de act normativ nu sunt necesare acte normative suplimentare.</w:t>
            </w:r>
          </w:p>
        </w:tc>
      </w:tr>
      <w:tr w:rsidR="0081006F"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81006F" w:rsidRPr="00CF596C" w:rsidRDefault="0081006F" w:rsidP="0081006F">
            <w:pPr>
              <w:autoSpaceDE w:val="0"/>
              <w:autoSpaceDN w:val="0"/>
              <w:adjustRightInd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1</w:t>
            </w:r>
            <w:r w:rsidRPr="00387CA8">
              <w:rPr>
                <w:rFonts w:ascii="Arial" w:hAnsi="Arial" w:cs="Arial"/>
                <w:b/>
                <w:color w:val="000000" w:themeColor="text1"/>
                <w:sz w:val="24"/>
                <w:szCs w:val="24"/>
              </w:rPr>
              <w:t>^</w:t>
            </w:r>
            <w:r>
              <w:rPr>
                <w:rFonts w:ascii="Arial" w:hAnsi="Arial" w:cs="Arial"/>
                <w:b/>
                <w:color w:val="000000" w:themeColor="text1"/>
                <w:sz w:val="24"/>
                <w:szCs w:val="24"/>
              </w:rPr>
              <w:t>1. Compatibilitatea proiectului de act normativ cu legislația comunitară în cazul proiectelor ce transpun prevederi comunitare</w:t>
            </w:r>
          </w:p>
        </w:tc>
        <w:tc>
          <w:tcPr>
            <w:tcW w:w="5317" w:type="dxa"/>
            <w:gridSpan w:val="6"/>
            <w:tcBorders>
              <w:top w:val="single" w:sz="4" w:space="0" w:color="auto"/>
              <w:left w:val="single" w:sz="4" w:space="0" w:color="auto"/>
              <w:bottom w:val="single" w:sz="4" w:space="0" w:color="auto"/>
              <w:right w:val="single" w:sz="4" w:space="0" w:color="auto"/>
            </w:tcBorders>
          </w:tcPr>
          <w:p w:rsidR="0081006F" w:rsidRPr="00DE14B3" w:rsidRDefault="0081006F" w:rsidP="0081006F">
            <w:pPr>
              <w:autoSpaceDE w:val="0"/>
              <w:autoSpaceDN w:val="0"/>
              <w:adjustRightInd w:val="0"/>
              <w:spacing w:after="0" w:line="240" w:lineRule="auto"/>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FD1B23">
            <w:pPr>
              <w:jc w:val="both"/>
              <w:rPr>
                <w:rFonts w:ascii="Arial" w:hAnsi="Arial" w:cs="Arial"/>
                <w:b/>
                <w:sz w:val="24"/>
                <w:szCs w:val="24"/>
              </w:rPr>
            </w:pPr>
            <w:r w:rsidRPr="00DE14B3">
              <w:rPr>
                <w:rFonts w:ascii="Arial" w:hAnsi="Arial" w:cs="Arial"/>
                <w:b/>
                <w:sz w:val="24"/>
                <w:szCs w:val="24"/>
              </w:rPr>
              <w:t>2. Co</w:t>
            </w:r>
            <w:r>
              <w:rPr>
                <w:rFonts w:ascii="Arial" w:hAnsi="Arial" w:cs="Arial"/>
                <w:b/>
                <w:sz w:val="24"/>
                <w:szCs w:val="24"/>
              </w:rPr>
              <w:t>nformitatea</w:t>
            </w:r>
            <w:r w:rsidRPr="00DE14B3">
              <w:rPr>
                <w:rFonts w:ascii="Arial" w:hAnsi="Arial" w:cs="Arial"/>
                <w:b/>
                <w:sz w:val="24"/>
                <w:szCs w:val="24"/>
              </w:rPr>
              <w:t xml:space="preserve"> proiectului de act normativ cu legislaţia comunitară în </w:t>
            </w:r>
            <w:r>
              <w:rPr>
                <w:rFonts w:ascii="Arial" w:hAnsi="Arial" w:cs="Arial"/>
                <w:b/>
                <w:sz w:val="24"/>
                <w:szCs w:val="24"/>
              </w:rPr>
              <w:t>cazul proiectelor ce transpun prevederi comunitare</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b/>
                <w:sz w:val="24"/>
                <w:szCs w:val="24"/>
              </w:rPr>
            </w:pPr>
            <w:r w:rsidRPr="00DE14B3">
              <w:rPr>
                <w:rFonts w:ascii="Arial" w:hAnsi="Arial" w:cs="Arial"/>
                <w:b/>
                <w:sz w:val="24"/>
                <w:szCs w:val="24"/>
              </w:rPr>
              <w:t xml:space="preserve">3. </w:t>
            </w:r>
            <w:r>
              <w:rPr>
                <w:rFonts w:ascii="Arial" w:hAnsi="Arial" w:cs="Arial"/>
                <w:b/>
                <w:sz w:val="24"/>
                <w:szCs w:val="24"/>
              </w:rPr>
              <w:t>Măsuri normative necesare aplicării directe a actelor normative comunitare</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b/>
                <w:sz w:val="24"/>
                <w:szCs w:val="24"/>
              </w:rPr>
            </w:pPr>
            <w:r w:rsidRPr="00DE14B3">
              <w:rPr>
                <w:rFonts w:ascii="Arial" w:hAnsi="Arial" w:cs="Arial"/>
                <w:b/>
                <w:sz w:val="24"/>
                <w:szCs w:val="24"/>
              </w:rPr>
              <w:t>4</w:t>
            </w:r>
            <w:r>
              <w:rPr>
                <w:rFonts w:ascii="Arial" w:hAnsi="Arial" w:cs="Arial"/>
                <w:b/>
                <w:sz w:val="24"/>
                <w:szCs w:val="24"/>
              </w:rPr>
              <w:t>. Hotărâri ale Curţii de Justiţie a Uniunii Europene</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b/>
                <w:sz w:val="24"/>
                <w:szCs w:val="24"/>
              </w:rPr>
            </w:pPr>
            <w:r w:rsidRPr="00DE14B3">
              <w:rPr>
                <w:rFonts w:ascii="Arial" w:hAnsi="Arial" w:cs="Arial"/>
                <w:b/>
                <w:sz w:val="24"/>
                <w:szCs w:val="24"/>
              </w:rPr>
              <w:t xml:space="preserve">5. Alte acte normative şi/sau documente internaţionale din care decurg angajamente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Proiectul de act normativ nu se referă la acest subiect.</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b/>
                <w:sz w:val="24"/>
                <w:szCs w:val="24"/>
              </w:rPr>
            </w:pPr>
            <w:r w:rsidRPr="00DE14B3">
              <w:rPr>
                <w:rFonts w:ascii="Arial" w:hAnsi="Arial" w:cs="Arial"/>
                <w:b/>
                <w:sz w:val="24"/>
                <w:szCs w:val="24"/>
              </w:rPr>
              <w:t xml:space="preserve">6. Alte informaţii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Nu este cazul. </w:t>
            </w:r>
          </w:p>
        </w:tc>
      </w:tr>
      <w:tr w:rsidR="001F7A29" w:rsidRPr="00DE14B3" w:rsidTr="00202A27">
        <w:tc>
          <w:tcPr>
            <w:tcW w:w="10094" w:type="dxa"/>
            <w:gridSpan w:val="8"/>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center"/>
              <w:rPr>
                <w:rFonts w:ascii="Arial" w:hAnsi="Arial" w:cs="Arial"/>
                <w:b/>
                <w:sz w:val="24"/>
                <w:szCs w:val="24"/>
              </w:rPr>
            </w:pPr>
            <w:r w:rsidRPr="00DE14B3">
              <w:rPr>
                <w:rFonts w:ascii="Arial" w:hAnsi="Arial" w:cs="Arial"/>
                <w:b/>
                <w:sz w:val="24"/>
                <w:szCs w:val="24"/>
              </w:rPr>
              <w:t>SECŢIUNEA A 6-A</w:t>
            </w:r>
          </w:p>
          <w:p w:rsidR="007F5CCB" w:rsidRPr="00DE14B3" w:rsidRDefault="001F7A29" w:rsidP="00D172B9">
            <w:pPr>
              <w:jc w:val="center"/>
              <w:rPr>
                <w:rFonts w:ascii="Arial" w:hAnsi="Arial" w:cs="Arial"/>
                <w:b/>
                <w:sz w:val="24"/>
                <w:szCs w:val="24"/>
              </w:rPr>
            </w:pPr>
            <w:r w:rsidRPr="00DE14B3">
              <w:rPr>
                <w:rFonts w:ascii="Arial" w:hAnsi="Arial" w:cs="Arial"/>
                <w:b/>
                <w:sz w:val="24"/>
                <w:szCs w:val="24"/>
              </w:rPr>
              <w:t>CONSULTĂRILE EFECTUATE ÎN VEDEREA ELABORĂRII PROIECTULUI DE ACT NORMATIV</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1. Informaţii privind procesul de consultare cu organizaţii neguvernamentale, institute de cercetare şi alte organisme implicate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Nu este cazul.</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lastRenderedPageBreak/>
              <w:t xml:space="preserve">2. Fundamentarea alegerii organizaţiilor cu care a avut loc consultarea, precum şi a modului în care activitatea acestor organizaţii este legată de obiectul proiectului de act normativ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Nu este cazul.</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Nu este cazul.</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4. Consultările desfăşurate în cadrul consiliilor interministeriale, în conformitate cu prevederile Hotărârii Guvernului nr. 750/2005 privind constituirea consiliilor interministeriale permanente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Nu este cazul.</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5. Informaţii privind avizarea de către:</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a) Consiliul Legislativ</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b) Consiliul Suprem de Apărare a Ţării</w:t>
            </w:r>
          </w:p>
          <w:p w:rsidR="001F7A29" w:rsidRPr="00DE14B3" w:rsidRDefault="001F7A29" w:rsidP="00291821">
            <w:pPr>
              <w:autoSpaceDE w:val="0"/>
              <w:autoSpaceDN w:val="0"/>
              <w:adjustRightInd w:val="0"/>
              <w:rPr>
                <w:rFonts w:ascii="Arial" w:hAnsi="Arial" w:cs="Arial"/>
                <w:sz w:val="24"/>
                <w:szCs w:val="24"/>
              </w:rPr>
            </w:pPr>
            <w:r w:rsidRPr="00DE14B3">
              <w:rPr>
                <w:rFonts w:ascii="Arial" w:hAnsi="Arial" w:cs="Arial"/>
                <w:sz w:val="24"/>
                <w:szCs w:val="24"/>
              </w:rPr>
              <w:t>c) Consiliul Economic şi Social</w:t>
            </w:r>
          </w:p>
          <w:p w:rsidR="001F7A29" w:rsidRPr="00DE14B3" w:rsidRDefault="001F7A29" w:rsidP="00291821">
            <w:pPr>
              <w:rPr>
                <w:rFonts w:ascii="Arial" w:hAnsi="Arial" w:cs="Arial"/>
                <w:sz w:val="24"/>
                <w:szCs w:val="24"/>
              </w:rPr>
            </w:pPr>
            <w:r w:rsidRPr="00DE14B3">
              <w:rPr>
                <w:rFonts w:ascii="Arial" w:hAnsi="Arial" w:cs="Arial"/>
                <w:sz w:val="24"/>
                <w:szCs w:val="24"/>
              </w:rPr>
              <w:t>d) Consiliul Concurenţei</w:t>
            </w:r>
          </w:p>
          <w:p w:rsidR="001F7A29" w:rsidRPr="00DE14B3" w:rsidRDefault="001F7A29" w:rsidP="00291821">
            <w:pPr>
              <w:rPr>
                <w:rFonts w:ascii="Arial" w:hAnsi="Arial" w:cs="Arial"/>
                <w:sz w:val="24"/>
                <w:szCs w:val="24"/>
              </w:rPr>
            </w:pPr>
            <w:r w:rsidRPr="00DE14B3">
              <w:rPr>
                <w:rFonts w:ascii="Arial" w:hAnsi="Arial" w:cs="Arial"/>
                <w:sz w:val="24"/>
                <w:szCs w:val="24"/>
              </w:rPr>
              <w:t xml:space="preserve">e) Curtea de Conturi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Avizul Consiliului Legislativ</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rPr>
                <w:rFonts w:ascii="Arial" w:hAnsi="Arial" w:cs="Arial"/>
                <w:sz w:val="24"/>
                <w:szCs w:val="24"/>
              </w:rPr>
            </w:pPr>
            <w:r w:rsidRPr="00DE14B3">
              <w:rPr>
                <w:rFonts w:ascii="Arial" w:hAnsi="Arial" w:cs="Arial"/>
                <w:sz w:val="24"/>
                <w:szCs w:val="24"/>
              </w:rPr>
              <w:t xml:space="preserve">6. Alte informaţii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Nu este cazul.</w:t>
            </w:r>
          </w:p>
        </w:tc>
      </w:tr>
      <w:tr w:rsidR="001F7A29" w:rsidRPr="00DE14B3" w:rsidTr="00202A27">
        <w:tc>
          <w:tcPr>
            <w:tcW w:w="10094" w:type="dxa"/>
            <w:gridSpan w:val="8"/>
            <w:tcBorders>
              <w:top w:val="single" w:sz="4" w:space="0" w:color="auto"/>
              <w:left w:val="single" w:sz="4" w:space="0" w:color="auto"/>
              <w:bottom w:val="single" w:sz="4" w:space="0" w:color="auto"/>
              <w:right w:val="single" w:sz="4" w:space="0" w:color="auto"/>
            </w:tcBorders>
          </w:tcPr>
          <w:p w:rsidR="001F7A29" w:rsidRPr="00323DD1" w:rsidRDefault="001F7A29" w:rsidP="00291821">
            <w:pPr>
              <w:jc w:val="center"/>
              <w:rPr>
                <w:rFonts w:ascii="Arial" w:hAnsi="Arial" w:cs="Arial"/>
                <w:b/>
                <w:sz w:val="24"/>
                <w:szCs w:val="24"/>
              </w:rPr>
            </w:pPr>
            <w:r w:rsidRPr="00323DD1">
              <w:rPr>
                <w:rFonts w:ascii="Arial" w:hAnsi="Arial" w:cs="Arial"/>
                <w:b/>
                <w:sz w:val="24"/>
                <w:szCs w:val="24"/>
              </w:rPr>
              <w:t>SECŢIUNEA A 7-A</w:t>
            </w:r>
          </w:p>
          <w:p w:rsidR="001F7A29" w:rsidRDefault="001F7A29" w:rsidP="00291821">
            <w:pPr>
              <w:jc w:val="center"/>
              <w:rPr>
                <w:rFonts w:ascii="Arial" w:hAnsi="Arial" w:cs="Arial"/>
                <w:b/>
                <w:sz w:val="24"/>
                <w:szCs w:val="24"/>
              </w:rPr>
            </w:pPr>
            <w:r w:rsidRPr="00323DD1">
              <w:rPr>
                <w:rFonts w:ascii="Arial" w:hAnsi="Arial" w:cs="Arial"/>
                <w:b/>
                <w:sz w:val="24"/>
                <w:szCs w:val="24"/>
              </w:rPr>
              <w:t>ACTIVITĂŢI DE INFORMARE PUBLICĂPRIVIND ELABORAREA</w:t>
            </w:r>
          </w:p>
          <w:p w:rsidR="007F5CCB" w:rsidRPr="00D172B9" w:rsidRDefault="001F7A29" w:rsidP="00D172B9">
            <w:pPr>
              <w:jc w:val="center"/>
              <w:rPr>
                <w:rFonts w:ascii="Arial" w:hAnsi="Arial" w:cs="Arial"/>
                <w:b/>
                <w:sz w:val="24"/>
                <w:szCs w:val="24"/>
              </w:rPr>
            </w:pPr>
            <w:r w:rsidRPr="00323DD1">
              <w:rPr>
                <w:rFonts w:ascii="Arial" w:hAnsi="Arial" w:cs="Arial"/>
                <w:b/>
                <w:sz w:val="24"/>
                <w:szCs w:val="24"/>
              </w:rPr>
              <w:t xml:space="preserve"> ŞI IMPLEMENTAREA PROIECTULUI DE ACT NORMATIV</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1. Informarea societăţii civile cu privire la necesitatea elaborării proiectului de act normativ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S-au respectat prevederile Legii nr. 52/2003 privind transparenta decizională prin publicarea pe site-ul Ministerului Finanţelor Publice</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2. Informarea societăţii civile cu privire la eventualul impact asupra mediului în urma implementării proiectului de act normativ, </w:t>
            </w:r>
            <w:r w:rsidRPr="00DE14B3">
              <w:rPr>
                <w:rFonts w:ascii="Arial" w:hAnsi="Arial" w:cs="Arial"/>
                <w:sz w:val="24"/>
                <w:szCs w:val="24"/>
              </w:rPr>
              <w:lastRenderedPageBreak/>
              <w:t xml:space="preserve">precum şi efectele asupra sănătăţii şi securităţii cetăţenilor sau diversităţii biologice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lastRenderedPageBreak/>
              <w:t>Nu este cazul.</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rPr>
                <w:rFonts w:ascii="Arial" w:hAnsi="Arial" w:cs="Arial"/>
                <w:sz w:val="24"/>
                <w:szCs w:val="24"/>
              </w:rPr>
            </w:pPr>
            <w:r w:rsidRPr="00DE14B3">
              <w:rPr>
                <w:rFonts w:ascii="Arial" w:hAnsi="Arial" w:cs="Arial"/>
                <w:sz w:val="24"/>
                <w:szCs w:val="24"/>
              </w:rPr>
              <w:lastRenderedPageBreak/>
              <w:t xml:space="preserve">3. Alte informaţii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Nu este cazul.</w:t>
            </w:r>
          </w:p>
        </w:tc>
      </w:tr>
      <w:tr w:rsidR="001F7A29" w:rsidRPr="00DE14B3" w:rsidTr="00202A27">
        <w:trPr>
          <w:trHeight w:val="1104"/>
        </w:trPr>
        <w:tc>
          <w:tcPr>
            <w:tcW w:w="10094" w:type="dxa"/>
            <w:gridSpan w:val="8"/>
            <w:tcBorders>
              <w:top w:val="single" w:sz="4" w:space="0" w:color="auto"/>
              <w:left w:val="single" w:sz="4" w:space="0" w:color="auto"/>
              <w:bottom w:val="single" w:sz="4" w:space="0" w:color="auto"/>
              <w:right w:val="single" w:sz="4" w:space="0" w:color="auto"/>
            </w:tcBorders>
          </w:tcPr>
          <w:p w:rsidR="00800AD1" w:rsidRDefault="00800AD1" w:rsidP="00291821">
            <w:pPr>
              <w:jc w:val="center"/>
              <w:rPr>
                <w:rFonts w:ascii="Arial" w:hAnsi="Arial" w:cs="Arial"/>
                <w:b/>
                <w:sz w:val="24"/>
                <w:szCs w:val="24"/>
              </w:rPr>
            </w:pPr>
          </w:p>
          <w:p w:rsidR="001F7A29" w:rsidRPr="00DE14B3" w:rsidRDefault="001F7A29" w:rsidP="00291821">
            <w:pPr>
              <w:jc w:val="center"/>
              <w:rPr>
                <w:rFonts w:ascii="Arial" w:hAnsi="Arial" w:cs="Arial"/>
                <w:b/>
                <w:sz w:val="24"/>
                <w:szCs w:val="24"/>
              </w:rPr>
            </w:pPr>
            <w:r w:rsidRPr="00DE14B3">
              <w:rPr>
                <w:rFonts w:ascii="Arial" w:hAnsi="Arial" w:cs="Arial"/>
                <w:b/>
                <w:sz w:val="24"/>
                <w:szCs w:val="24"/>
              </w:rPr>
              <w:t>SECŢIUNEA A 8-A</w:t>
            </w:r>
          </w:p>
          <w:p w:rsidR="00800AD1" w:rsidRPr="00DE14B3" w:rsidRDefault="001F7A29" w:rsidP="00800AD1">
            <w:pPr>
              <w:jc w:val="center"/>
              <w:rPr>
                <w:rFonts w:ascii="Arial" w:hAnsi="Arial" w:cs="Arial"/>
                <w:b/>
                <w:sz w:val="24"/>
                <w:szCs w:val="24"/>
              </w:rPr>
            </w:pPr>
            <w:r w:rsidRPr="00DE14B3">
              <w:rPr>
                <w:rFonts w:ascii="Arial" w:hAnsi="Arial" w:cs="Arial"/>
                <w:b/>
                <w:sz w:val="24"/>
                <w:szCs w:val="24"/>
              </w:rPr>
              <w:t>MĂSURI DE IMPLEMENTARE</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800AD1" w:rsidRDefault="001F7A29" w:rsidP="00291821">
            <w:pPr>
              <w:jc w:val="both"/>
              <w:rPr>
                <w:rFonts w:ascii="Arial" w:hAnsi="Arial" w:cs="Arial"/>
                <w:sz w:val="24"/>
                <w:szCs w:val="24"/>
              </w:rPr>
            </w:pPr>
            <w:r w:rsidRPr="00DE14B3">
              <w:rPr>
                <w:rFonts w:ascii="Arial" w:hAnsi="Arial" w:cs="Arial"/>
                <w:sz w:val="24"/>
                <w:szCs w:val="24"/>
              </w:rPr>
              <w:t>1. Măsurile de punere în aplicare a proiectului de act normativ de către autorităţile administraţiei publice centrale</w:t>
            </w:r>
          </w:p>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 şi/sau locale - înfiinţarea unor noi organisme sau extinderea competenţelor instituţiilor existente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autoSpaceDE w:val="0"/>
              <w:autoSpaceDN w:val="0"/>
              <w:adjustRightInd w:val="0"/>
              <w:jc w:val="both"/>
              <w:rPr>
                <w:rFonts w:ascii="Arial" w:hAnsi="Arial" w:cs="Arial"/>
                <w:sz w:val="24"/>
                <w:szCs w:val="24"/>
              </w:rPr>
            </w:pPr>
            <w:r w:rsidRPr="00DE14B3">
              <w:rPr>
                <w:rFonts w:ascii="Arial" w:hAnsi="Arial" w:cs="Arial"/>
                <w:sz w:val="24"/>
                <w:szCs w:val="24"/>
              </w:rPr>
              <w:t>Proiectul de act normativ va fi pus în aplicare fără a fi nevoie de înfiinţarea unor noi organisme sau extinderea competenţelor celor deja existente.</w:t>
            </w:r>
          </w:p>
        </w:tc>
      </w:tr>
      <w:tr w:rsidR="001F7A29" w:rsidRPr="00DE14B3" w:rsidTr="00202A27">
        <w:tc>
          <w:tcPr>
            <w:tcW w:w="4777" w:type="dxa"/>
            <w:gridSpan w:val="2"/>
            <w:tcBorders>
              <w:top w:val="single" w:sz="4" w:space="0" w:color="auto"/>
              <w:left w:val="single" w:sz="4" w:space="0" w:color="auto"/>
              <w:bottom w:val="single" w:sz="4" w:space="0" w:color="auto"/>
              <w:right w:val="single" w:sz="4" w:space="0" w:color="auto"/>
            </w:tcBorders>
          </w:tcPr>
          <w:p w:rsidR="001F7A29" w:rsidRPr="00DE14B3" w:rsidRDefault="001F7A29" w:rsidP="00291821">
            <w:pPr>
              <w:pStyle w:val="Footer"/>
              <w:tabs>
                <w:tab w:val="left" w:pos="708"/>
              </w:tabs>
              <w:jc w:val="both"/>
              <w:rPr>
                <w:rFonts w:ascii="Arial" w:hAnsi="Arial" w:cs="Arial"/>
                <w:lang w:eastAsia="ro-RO"/>
              </w:rPr>
            </w:pPr>
            <w:r w:rsidRPr="00DE14B3">
              <w:rPr>
                <w:rFonts w:ascii="Arial" w:hAnsi="Arial" w:cs="Arial"/>
                <w:lang w:eastAsia="ro-RO"/>
              </w:rPr>
              <w:t xml:space="preserve">2. Alte informaţii                  </w:t>
            </w:r>
          </w:p>
        </w:tc>
        <w:tc>
          <w:tcPr>
            <w:tcW w:w="5317" w:type="dxa"/>
            <w:gridSpan w:val="6"/>
            <w:tcBorders>
              <w:top w:val="single" w:sz="4" w:space="0" w:color="auto"/>
              <w:left w:val="single" w:sz="4" w:space="0" w:color="auto"/>
              <w:bottom w:val="single" w:sz="4" w:space="0" w:color="auto"/>
              <w:right w:val="single" w:sz="4" w:space="0" w:color="auto"/>
            </w:tcBorders>
          </w:tcPr>
          <w:p w:rsidR="001F7A29" w:rsidRPr="00DE14B3" w:rsidRDefault="001F7A29" w:rsidP="00291821">
            <w:pPr>
              <w:jc w:val="both"/>
              <w:rPr>
                <w:rFonts w:ascii="Arial" w:hAnsi="Arial" w:cs="Arial"/>
                <w:sz w:val="24"/>
                <w:szCs w:val="24"/>
              </w:rPr>
            </w:pPr>
            <w:r w:rsidRPr="00DE14B3">
              <w:rPr>
                <w:rFonts w:ascii="Arial" w:hAnsi="Arial" w:cs="Arial"/>
                <w:sz w:val="24"/>
                <w:szCs w:val="24"/>
              </w:rPr>
              <w:t xml:space="preserve">Nu este cazul. </w:t>
            </w:r>
          </w:p>
        </w:tc>
      </w:tr>
    </w:tbl>
    <w:p w:rsidR="001F7A29" w:rsidRDefault="001F7A29" w:rsidP="001F7A29">
      <w:pPr>
        <w:autoSpaceDE w:val="0"/>
        <w:autoSpaceDN w:val="0"/>
        <w:adjustRightInd w:val="0"/>
        <w:spacing w:after="0" w:line="240" w:lineRule="auto"/>
        <w:jc w:val="both"/>
        <w:rPr>
          <w:rFonts w:ascii="Arial" w:hAnsi="Arial" w:cs="Arial"/>
          <w:sz w:val="24"/>
          <w:szCs w:val="24"/>
        </w:rPr>
      </w:pPr>
    </w:p>
    <w:p w:rsidR="004545AE" w:rsidRPr="00DE14B3" w:rsidRDefault="004545AE" w:rsidP="001F7A29">
      <w:pPr>
        <w:autoSpaceDE w:val="0"/>
        <w:autoSpaceDN w:val="0"/>
        <w:adjustRightInd w:val="0"/>
        <w:spacing w:after="0" w:line="240" w:lineRule="auto"/>
        <w:jc w:val="both"/>
        <w:rPr>
          <w:rFonts w:ascii="Arial" w:hAnsi="Arial" w:cs="Arial"/>
          <w:sz w:val="24"/>
          <w:szCs w:val="24"/>
        </w:rPr>
      </w:pPr>
    </w:p>
    <w:p w:rsidR="002E7A4C" w:rsidRPr="00051264" w:rsidRDefault="001F7A29" w:rsidP="002E7A4C">
      <w:pPr>
        <w:autoSpaceDE w:val="0"/>
        <w:autoSpaceDN w:val="0"/>
        <w:adjustRightInd w:val="0"/>
        <w:spacing w:after="0" w:line="240" w:lineRule="auto"/>
        <w:ind w:firstLine="708"/>
        <w:jc w:val="both"/>
        <w:rPr>
          <w:rFonts w:ascii="Arial" w:hAnsi="Arial" w:cs="Arial"/>
          <w:color w:val="000000" w:themeColor="text1"/>
          <w:sz w:val="24"/>
          <w:szCs w:val="24"/>
        </w:rPr>
      </w:pPr>
      <w:r w:rsidRPr="00DE14B3">
        <w:rPr>
          <w:rFonts w:ascii="Arial" w:hAnsi="Arial" w:cs="Arial"/>
          <w:sz w:val="24"/>
          <w:szCs w:val="24"/>
        </w:rPr>
        <w:t>În acest sens a fost întocmit prezentul p</w:t>
      </w:r>
      <w:r w:rsidR="009E29D3">
        <w:rPr>
          <w:rFonts w:ascii="Arial" w:hAnsi="Arial" w:cs="Arial"/>
          <w:sz w:val="24"/>
          <w:szCs w:val="24"/>
        </w:rPr>
        <w:t xml:space="preserve">roiect de Hotărâre a Guvernului </w:t>
      </w:r>
      <w:r w:rsidR="002E7A4C" w:rsidRPr="00051264">
        <w:rPr>
          <w:rFonts w:ascii="Arial" w:hAnsi="Arial" w:cs="Arial"/>
          <w:color w:val="000000" w:themeColor="text1"/>
          <w:sz w:val="24"/>
          <w:szCs w:val="24"/>
        </w:rPr>
        <w:t>pentru modificarea Hotărârii Guvernului nr. 534/2007 privind înfiinţarea, atribuţiile, competenţele şi modul de funcţionare ale Comitetului Interministerial de Finanţări, Garanţii şi Asigurări şi reglementarea operaţiunilor de finanţare, garantare şi asigurare efectuate de Banca de Export-Import a României EXIMBANK - S.A. în numele şi în contul statului</w:t>
      </w:r>
      <w:r w:rsidR="00EE5883">
        <w:rPr>
          <w:rFonts w:ascii="Arial" w:hAnsi="Arial" w:cs="Arial"/>
          <w:color w:val="000000" w:themeColor="text1"/>
          <w:sz w:val="24"/>
          <w:szCs w:val="24"/>
        </w:rPr>
        <w:t>.</w:t>
      </w:r>
    </w:p>
    <w:p w:rsidR="001F7A29" w:rsidRDefault="001F7A29" w:rsidP="002E7A4C">
      <w:pPr>
        <w:autoSpaceDE w:val="0"/>
        <w:autoSpaceDN w:val="0"/>
        <w:adjustRightInd w:val="0"/>
        <w:spacing w:after="0" w:line="240" w:lineRule="auto"/>
        <w:ind w:firstLine="708"/>
        <w:rPr>
          <w:rFonts w:ascii="Arial" w:hAnsi="Arial" w:cs="Arial"/>
          <w:b/>
          <w:sz w:val="23"/>
          <w:szCs w:val="23"/>
        </w:rPr>
      </w:pPr>
    </w:p>
    <w:p w:rsidR="00591DD6" w:rsidRDefault="00591DD6" w:rsidP="00591DD6"/>
    <w:p w:rsidR="00027606" w:rsidRDefault="00FB0BEE" w:rsidP="00E630A1">
      <w:pPr>
        <w:jc w:val="center"/>
        <w:rPr>
          <w:rFonts w:ascii="Arial" w:hAnsi="Arial" w:cs="Arial"/>
          <w:b/>
          <w:color w:val="000000"/>
          <w:sz w:val="24"/>
          <w:szCs w:val="24"/>
          <w:lang w:val="it-IT"/>
        </w:rPr>
      </w:pPr>
      <w:r w:rsidRPr="00591DD6">
        <w:rPr>
          <w:rFonts w:ascii="Arial" w:hAnsi="Arial" w:cs="Arial"/>
          <w:b/>
          <w:color w:val="000000"/>
          <w:sz w:val="24"/>
          <w:szCs w:val="24"/>
          <w:lang w:val="it-IT"/>
        </w:rPr>
        <w:t>M</w:t>
      </w:r>
      <w:r w:rsidR="000E72CF" w:rsidRPr="00591DD6">
        <w:rPr>
          <w:rFonts w:ascii="Arial" w:hAnsi="Arial" w:cs="Arial"/>
          <w:b/>
          <w:color w:val="000000"/>
          <w:sz w:val="24"/>
          <w:szCs w:val="24"/>
          <w:lang w:val="it-IT"/>
        </w:rPr>
        <w:t>inisterul Finanțelor Publice</w:t>
      </w:r>
    </w:p>
    <w:p w:rsidR="00E27EB6" w:rsidRDefault="00FF6CE2" w:rsidP="00027606">
      <w:pPr>
        <w:jc w:val="center"/>
        <w:rPr>
          <w:rFonts w:ascii="Arial" w:hAnsi="Arial" w:cs="Arial"/>
          <w:b/>
          <w:sz w:val="24"/>
          <w:szCs w:val="24"/>
        </w:rPr>
      </w:pPr>
      <w:r>
        <w:rPr>
          <w:rFonts w:ascii="Arial" w:hAnsi="Arial" w:cs="Arial"/>
          <w:b/>
          <w:sz w:val="24"/>
          <w:szCs w:val="24"/>
        </w:rPr>
        <w:t>M</w:t>
      </w:r>
      <w:r w:rsidR="00EB0A89" w:rsidRPr="00027606">
        <w:rPr>
          <w:rFonts w:ascii="Arial" w:hAnsi="Arial" w:cs="Arial"/>
          <w:b/>
          <w:sz w:val="24"/>
          <w:szCs w:val="24"/>
        </w:rPr>
        <w:t>inistru</w:t>
      </w:r>
      <w:r>
        <w:rPr>
          <w:rFonts w:ascii="Arial" w:hAnsi="Arial" w:cs="Arial"/>
          <w:b/>
          <w:sz w:val="24"/>
          <w:szCs w:val="24"/>
        </w:rPr>
        <w:t>,</w:t>
      </w:r>
    </w:p>
    <w:p w:rsidR="00FF6CE2" w:rsidRPr="00027606" w:rsidRDefault="00FF6CE2" w:rsidP="00FF6CE2">
      <w:pPr>
        <w:jc w:val="center"/>
        <w:rPr>
          <w:rFonts w:ascii="Arial" w:hAnsi="Arial" w:cs="Arial"/>
          <w:b/>
          <w:color w:val="000000"/>
          <w:sz w:val="24"/>
          <w:szCs w:val="24"/>
          <w:lang w:val="it-IT"/>
        </w:rPr>
      </w:pPr>
      <w:r w:rsidRPr="00027606">
        <w:rPr>
          <w:rFonts w:ascii="Arial" w:hAnsi="Arial" w:cs="Arial"/>
          <w:b/>
          <w:sz w:val="24"/>
          <w:szCs w:val="24"/>
        </w:rPr>
        <w:t>Vasile</w:t>
      </w:r>
      <w:r w:rsidR="00065012">
        <w:rPr>
          <w:rFonts w:ascii="Arial" w:hAnsi="Arial" w:cs="Arial"/>
          <w:b/>
          <w:sz w:val="24"/>
          <w:szCs w:val="24"/>
        </w:rPr>
        <w:t>-Florin</w:t>
      </w:r>
      <w:r w:rsidRPr="00027606">
        <w:rPr>
          <w:rFonts w:ascii="Arial" w:hAnsi="Arial" w:cs="Arial"/>
          <w:b/>
          <w:sz w:val="24"/>
          <w:szCs w:val="24"/>
        </w:rPr>
        <w:t xml:space="preserve"> Cîțu</w:t>
      </w:r>
    </w:p>
    <w:p w:rsidR="00E27EB6" w:rsidRDefault="00E27EB6" w:rsidP="00E27EB6">
      <w:pPr>
        <w:pStyle w:val="DefaultText"/>
        <w:rPr>
          <w:rFonts w:ascii="Arial" w:hAnsi="Arial" w:cs="Arial"/>
          <w:b/>
          <w:color w:val="000000"/>
        </w:rPr>
      </w:pPr>
    </w:p>
    <w:p w:rsidR="00E27EB6" w:rsidRDefault="00E27EB6" w:rsidP="00E27EB6">
      <w:pPr>
        <w:pStyle w:val="DefaultText"/>
        <w:rPr>
          <w:rFonts w:ascii="Arial" w:hAnsi="Arial" w:cs="Arial"/>
          <w:b/>
          <w:color w:val="000000"/>
          <w:szCs w:val="24"/>
          <w:lang w:val="ro-RO"/>
        </w:rPr>
      </w:pPr>
    </w:p>
    <w:p w:rsidR="00E27EB6" w:rsidRDefault="00E27EB6" w:rsidP="00E27EB6">
      <w:pPr>
        <w:pStyle w:val="DefaultText"/>
        <w:rPr>
          <w:rFonts w:ascii="Arial" w:hAnsi="Arial" w:cs="Arial"/>
          <w:b/>
          <w:color w:val="000000"/>
          <w:szCs w:val="24"/>
          <w:lang w:val="ro-RO"/>
        </w:rPr>
      </w:pPr>
    </w:p>
    <w:p w:rsidR="00FB0BEE" w:rsidRDefault="00FB0BEE" w:rsidP="00FB0BEE">
      <w:pPr>
        <w:pStyle w:val="DefaultText"/>
        <w:jc w:val="center"/>
        <w:rPr>
          <w:rFonts w:ascii="Arial" w:hAnsi="Arial" w:cs="Arial"/>
          <w:b/>
          <w:color w:val="000000"/>
          <w:u w:val="single"/>
          <w:lang w:val="it-IT"/>
        </w:rPr>
      </w:pPr>
      <w:r>
        <w:rPr>
          <w:rFonts w:ascii="Arial" w:hAnsi="Arial" w:cs="Arial"/>
          <w:b/>
          <w:color w:val="000000"/>
          <w:u w:val="single"/>
          <w:lang w:val="it-IT"/>
        </w:rPr>
        <w:t>AVIZAT</w:t>
      </w:r>
    </w:p>
    <w:p w:rsidR="00FF6CE2" w:rsidRDefault="00FF6CE2" w:rsidP="00FB0BEE">
      <w:pPr>
        <w:pStyle w:val="DefaultText"/>
        <w:jc w:val="center"/>
        <w:rPr>
          <w:rFonts w:ascii="Arial" w:hAnsi="Arial" w:cs="Arial"/>
          <w:b/>
          <w:color w:val="000000"/>
          <w:u w:val="single"/>
          <w:lang w:val="it-IT"/>
        </w:rPr>
      </w:pPr>
    </w:p>
    <w:p w:rsidR="00F735E0" w:rsidRDefault="0046489A" w:rsidP="0046489A">
      <w:pPr>
        <w:shd w:val="clear" w:color="auto" w:fill="FFFFFF"/>
        <w:jc w:val="both"/>
        <w:rPr>
          <w:rFonts w:ascii="Arial" w:hAnsi="Arial" w:cs="Arial"/>
          <w:b/>
          <w:color w:val="000000"/>
          <w:sz w:val="24"/>
          <w:szCs w:val="24"/>
          <w:lang w:val="it-IT"/>
        </w:rPr>
      </w:pPr>
      <w:r>
        <w:rPr>
          <w:rFonts w:ascii="Arial" w:hAnsi="Arial" w:cs="Arial"/>
          <w:b/>
          <w:color w:val="000000"/>
          <w:sz w:val="24"/>
          <w:szCs w:val="24"/>
          <w:lang w:val="it-IT"/>
        </w:rPr>
        <w:tab/>
      </w:r>
      <w:r>
        <w:rPr>
          <w:rFonts w:ascii="Arial" w:hAnsi="Arial" w:cs="Arial"/>
          <w:b/>
          <w:color w:val="000000"/>
          <w:sz w:val="24"/>
          <w:szCs w:val="24"/>
          <w:lang w:val="it-IT"/>
        </w:rPr>
        <w:tab/>
      </w:r>
      <w:r>
        <w:rPr>
          <w:rFonts w:ascii="Arial" w:hAnsi="Arial" w:cs="Arial"/>
          <w:b/>
          <w:color w:val="000000"/>
          <w:sz w:val="24"/>
          <w:szCs w:val="24"/>
          <w:lang w:val="it-IT"/>
        </w:rPr>
        <w:tab/>
      </w:r>
      <w:r>
        <w:rPr>
          <w:rFonts w:ascii="Arial" w:hAnsi="Arial" w:cs="Arial"/>
          <w:b/>
          <w:color w:val="000000"/>
          <w:sz w:val="24"/>
          <w:szCs w:val="24"/>
          <w:lang w:val="it-IT"/>
        </w:rPr>
        <w:tab/>
      </w:r>
      <w:r w:rsidR="00F735E0">
        <w:rPr>
          <w:rFonts w:ascii="Arial" w:hAnsi="Arial" w:cs="Arial"/>
          <w:b/>
          <w:color w:val="000000"/>
          <w:sz w:val="24"/>
          <w:szCs w:val="24"/>
          <w:lang w:val="it-IT"/>
        </w:rPr>
        <w:t>M</w:t>
      </w:r>
      <w:r w:rsidR="009437AC">
        <w:rPr>
          <w:rFonts w:ascii="Arial" w:hAnsi="Arial" w:cs="Arial"/>
          <w:b/>
          <w:color w:val="000000"/>
          <w:sz w:val="24"/>
          <w:szCs w:val="24"/>
          <w:lang w:val="it-IT"/>
        </w:rPr>
        <w:t>inisterul</w:t>
      </w:r>
      <w:r w:rsidR="00F735E0">
        <w:rPr>
          <w:rFonts w:ascii="Arial" w:hAnsi="Arial" w:cs="Arial"/>
          <w:b/>
          <w:color w:val="000000"/>
          <w:sz w:val="24"/>
          <w:szCs w:val="24"/>
          <w:lang w:val="it-IT"/>
        </w:rPr>
        <w:t xml:space="preserve"> J</w:t>
      </w:r>
      <w:r w:rsidR="009437AC">
        <w:rPr>
          <w:rFonts w:ascii="Arial" w:hAnsi="Arial" w:cs="Arial"/>
          <w:b/>
          <w:color w:val="000000"/>
          <w:sz w:val="24"/>
          <w:szCs w:val="24"/>
          <w:lang w:val="it-IT"/>
        </w:rPr>
        <w:t>ustiției</w:t>
      </w:r>
    </w:p>
    <w:p w:rsidR="00F735E0" w:rsidRDefault="00F735E0" w:rsidP="00F735E0">
      <w:pPr>
        <w:shd w:val="clear" w:color="auto" w:fill="FFFFFF"/>
        <w:jc w:val="center"/>
        <w:rPr>
          <w:rFonts w:ascii="Arial" w:hAnsi="Arial" w:cs="Arial"/>
          <w:b/>
          <w:color w:val="000000"/>
          <w:sz w:val="24"/>
          <w:szCs w:val="24"/>
          <w:lang w:val="it-IT"/>
        </w:rPr>
      </w:pPr>
      <w:r w:rsidRPr="000E72CF">
        <w:rPr>
          <w:rFonts w:ascii="Arial" w:hAnsi="Arial" w:cs="Arial"/>
          <w:b/>
          <w:color w:val="000000"/>
          <w:sz w:val="24"/>
          <w:szCs w:val="24"/>
          <w:lang w:val="it-IT"/>
        </w:rPr>
        <w:t xml:space="preserve">Ministru,  </w:t>
      </w:r>
    </w:p>
    <w:p w:rsidR="00E91D22" w:rsidRDefault="00E91D22" w:rsidP="00F735E0">
      <w:pPr>
        <w:shd w:val="clear" w:color="auto" w:fill="FFFFFF"/>
        <w:jc w:val="center"/>
        <w:rPr>
          <w:rFonts w:ascii="Arial" w:hAnsi="Arial" w:cs="Arial"/>
          <w:b/>
          <w:color w:val="000000"/>
          <w:sz w:val="24"/>
          <w:szCs w:val="24"/>
          <w:lang w:val="it-IT"/>
        </w:rPr>
      </w:pPr>
      <w:r>
        <w:rPr>
          <w:rFonts w:ascii="Arial" w:hAnsi="Arial" w:cs="Arial"/>
          <w:b/>
          <w:color w:val="000000"/>
          <w:sz w:val="24"/>
          <w:szCs w:val="24"/>
          <w:lang w:val="it-IT"/>
        </w:rPr>
        <w:t>Cătălin Marian Predoiu</w:t>
      </w:r>
    </w:p>
    <w:p w:rsidR="00FB0BEE" w:rsidRPr="00E27EB6" w:rsidRDefault="007F5F71" w:rsidP="007F5F71">
      <w:pPr>
        <w:jc w:val="both"/>
        <w:rPr>
          <w:rFonts w:ascii="Arial" w:hAnsi="Arial" w:cs="Arial"/>
          <w:color w:val="000000" w:themeColor="text1"/>
          <w:shd w:val="clear" w:color="auto" w:fill="FFFFFF"/>
          <w:lang w:val="it-IT"/>
        </w:rPr>
      </w:pPr>
      <w:r w:rsidRPr="00577B1D">
        <w:rPr>
          <w:rFonts w:ascii="Arial" w:hAnsi="Arial" w:cs="Arial"/>
          <w:color w:val="FFFFFF" w:themeColor="background1"/>
          <w:shd w:val="clear" w:color="auto" w:fill="FFFFFF"/>
          <w:lang w:val="it-IT"/>
        </w:rPr>
        <w:t>Ciprian Badea</w:t>
      </w:r>
      <w:r w:rsidR="00FB0BEE" w:rsidRPr="00577B1D">
        <w:rPr>
          <w:rFonts w:ascii="Arial" w:hAnsi="Arial" w:cs="Arial"/>
          <w:color w:val="FFFFFF" w:themeColor="background1"/>
          <w:shd w:val="clear" w:color="auto" w:fill="FFFFFF"/>
          <w:lang w:val="it-IT"/>
        </w:rPr>
        <w:tab/>
      </w:r>
    </w:p>
    <w:sectPr w:rsidR="00FB0BEE" w:rsidRPr="00E27EB6" w:rsidSect="00800AD1">
      <w:footerReference w:type="default" r:id="rId7"/>
      <w:pgSz w:w="11906" w:h="16838"/>
      <w:pgMar w:top="1276"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A29" w:rsidRDefault="00137A29" w:rsidP="0095414D">
      <w:pPr>
        <w:spacing w:after="0" w:line="240" w:lineRule="auto"/>
      </w:pPr>
      <w:r>
        <w:separator/>
      </w:r>
    </w:p>
  </w:endnote>
  <w:endnote w:type="continuationSeparator" w:id="1">
    <w:p w:rsidR="00137A29" w:rsidRDefault="00137A29" w:rsidP="00954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141559"/>
      <w:docPartObj>
        <w:docPartGallery w:val="Page Numbers (Bottom of Page)"/>
        <w:docPartUnique/>
      </w:docPartObj>
    </w:sdtPr>
    <w:sdtEndPr>
      <w:rPr>
        <w:noProof/>
      </w:rPr>
    </w:sdtEndPr>
    <w:sdtContent>
      <w:p w:rsidR="0095414D" w:rsidRDefault="008E471C">
        <w:pPr>
          <w:pStyle w:val="Footer"/>
          <w:jc w:val="right"/>
        </w:pPr>
        <w:r>
          <w:fldChar w:fldCharType="begin"/>
        </w:r>
        <w:r w:rsidR="0095414D">
          <w:instrText xml:space="preserve"> PAGE   \* MERGEFORMAT </w:instrText>
        </w:r>
        <w:r>
          <w:fldChar w:fldCharType="separate"/>
        </w:r>
        <w:r w:rsidR="006A73DF">
          <w:rPr>
            <w:noProof/>
          </w:rPr>
          <w:t>7</w:t>
        </w:r>
        <w:r>
          <w:rPr>
            <w:noProof/>
          </w:rPr>
          <w:fldChar w:fldCharType="end"/>
        </w:r>
      </w:p>
    </w:sdtContent>
  </w:sdt>
  <w:p w:rsidR="0095414D" w:rsidRDefault="00954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A29" w:rsidRDefault="00137A29" w:rsidP="0095414D">
      <w:pPr>
        <w:spacing w:after="0" w:line="240" w:lineRule="auto"/>
      </w:pPr>
      <w:r>
        <w:separator/>
      </w:r>
    </w:p>
  </w:footnote>
  <w:footnote w:type="continuationSeparator" w:id="1">
    <w:p w:rsidR="00137A29" w:rsidRDefault="00137A29" w:rsidP="00954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1E7C"/>
    <w:multiLevelType w:val="hybridMultilevel"/>
    <w:tmpl w:val="1B2A7D46"/>
    <w:lvl w:ilvl="0" w:tplc="ADB20E84">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34BB212A"/>
    <w:multiLevelType w:val="hybridMultilevel"/>
    <w:tmpl w:val="F462E316"/>
    <w:lvl w:ilvl="0" w:tplc="97622EA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C5C55D7"/>
    <w:multiLevelType w:val="hybridMultilevel"/>
    <w:tmpl w:val="F1AA8B20"/>
    <w:lvl w:ilvl="0" w:tplc="B31243F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DB343F7"/>
    <w:multiLevelType w:val="hybridMultilevel"/>
    <w:tmpl w:val="2AD200E2"/>
    <w:lvl w:ilvl="0" w:tplc="0F8CC056">
      <w:start w:val="1"/>
      <w:numFmt w:val="decimal"/>
      <w:lvlText w:val="%1."/>
      <w:lvlJc w:val="left"/>
      <w:pPr>
        <w:ind w:left="720" w:hanging="360"/>
      </w:pPr>
      <w:rPr>
        <w:rFonts w:ascii="Arial" w:eastAsia="Calibri" w:hAnsi="Arial"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73D30DE"/>
    <w:multiLevelType w:val="hybridMultilevel"/>
    <w:tmpl w:val="47B671F8"/>
    <w:lvl w:ilvl="0" w:tplc="0FC2CEF0">
      <w:numFmt w:val="bullet"/>
      <w:lvlText w:val="-"/>
      <w:lvlJc w:val="left"/>
      <w:pPr>
        <w:tabs>
          <w:tab w:val="num" w:pos="870"/>
        </w:tabs>
        <w:ind w:left="870" w:hanging="51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rsids>
    <w:rsidRoot w:val="000166AE"/>
    <w:rsid w:val="000166AE"/>
    <w:rsid w:val="00027606"/>
    <w:rsid w:val="00046A81"/>
    <w:rsid w:val="000479ED"/>
    <w:rsid w:val="00065012"/>
    <w:rsid w:val="000708EC"/>
    <w:rsid w:val="00073052"/>
    <w:rsid w:val="00091762"/>
    <w:rsid w:val="0009556C"/>
    <w:rsid w:val="000B7380"/>
    <w:rsid w:val="000D0BF0"/>
    <w:rsid w:val="000D1524"/>
    <w:rsid w:val="000D4776"/>
    <w:rsid w:val="000E72CF"/>
    <w:rsid w:val="0010619D"/>
    <w:rsid w:val="00116A19"/>
    <w:rsid w:val="0012281D"/>
    <w:rsid w:val="00132116"/>
    <w:rsid w:val="00137A29"/>
    <w:rsid w:val="00184A16"/>
    <w:rsid w:val="001C3279"/>
    <w:rsid w:val="001F7A29"/>
    <w:rsid w:val="00202A27"/>
    <w:rsid w:val="00213287"/>
    <w:rsid w:val="002350E6"/>
    <w:rsid w:val="002454A0"/>
    <w:rsid w:val="002602BC"/>
    <w:rsid w:val="00260CCC"/>
    <w:rsid w:val="0026617B"/>
    <w:rsid w:val="002A15A9"/>
    <w:rsid w:val="002A63C9"/>
    <w:rsid w:val="002C0960"/>
    <w:rsid w:val="002E7A4C"/>
    <w:rsid w:val="00303179"/>
    <w:rsid w:val="00303982"/>
    <w:rsid w:val="00316C5C"/>
    <w:rsid w:val="00336F3E"/>
    <w:rsid w:val="00341253"/>
    <w:rsid w:val="003B664C"/>
    <w:rsid w:val="003D3AB5"/>
    <w:rsid w:val="003F579B"/>
    <w:rsid w:val="00446521"/>
    <w:rsid w:val="004534A8"/>
    <w:rsid w:val="004545AE"/>
    <w:rsid w:val="004645AC"/>
    <w:rsid w:val="0046489A"/>
    <w:rsid w:val="004806D4"/>
    <w:rsid w:val="00487B35"/>
    <w:rsid w:val="004C3655"/>
    <w:rsid w:val="004D0820"/>
    <w:rsid w:val="004D7C9A"/>
    <w:rsid w:val="004E4B3E"/>
    <w:rsid w:val="004F3A8B"/>
    <w:rsid w:val="004F5CA4"/>
    <w:rsid w:val="00501CE9"/>
    <w:rsid w:val="00501E5A"/>
    <w:rsid w:val="00506529"/>
    <w:rsid w:val="005165ED"/>
    <w:rsid w:val="0053585C"/>
    <w:rsid w:val="0054489A"/>
    <w:rsid w:val="005537E5"/>
    <w:rsid w:val="005546C8"/>
    <w:rsid w:val="00557496"/>
    <w:rsid w:val="00576B38"/>
    <w:rsid w:val="00577B1D"/>
    <w:rsid w:val="0058060A"/>
    <w:rsid w:val="005812D5"/>
    <w:rsid w:val="00591DD6"/>
    <w:rsid w:val="005A05E6"/>
    <w:rsid w:val="005C6789"/>
    <w:rsid w:val="005F07D9"/>
    <w:rsid w:val="00603C06"/>
    <w:rsid w:val="006462EC"/>
    <w:rsid w:val="0067326F"/>
    <w:rsid w:val="00696C79"/>
    <w:rsid w:val="006A6A2B"/>
    <w:rsid w:val="006A73DF"/>
    <w:rsid w:val="006B1EED"/>
    <w:rsid w:val="006B33CA"/>
    <w:rsid w:val="006F5AFA"/>
    <w:rsid w:val="00702A31"/>
    <w:rsid w:val="00705EB9"/>
    <w:rsid w:val="00737CC5"/>
    <w:rsid w:val="00740D08"/>
    <w:rsid w:val="00745CC7"/>
    <w:rsid w:val="00755598"/>
    <w:rsid w:val="00770E33"/>
    <w:rsid w:val="00795A03"/>
    <w:rsid w:val="00796EF3"/>
    <w:rsid w:val="007B1D79"/>
    <w:rsid w:val="007C1F96"/>
    <w:rsid w:val="007F5CCB"/>
    <w:rsid w:val="007F5F71"/>
    <w:rsid w:val="00800AD1"/>
    <w:rsid w:val="00804BAF"/>
    <w:rsid w:val="0081006F"/>
    <w:rsid w:val="00825A30"/>
    <w:rsid w:val="00846287"/>
    <w:rsid w:val="0084737B"/>
    <w:rsid w:val="0086300C"/>
    <w:rsid w:val="00866054"/>
    <w:rsid w:val="008920A6"/>
    <w:rsid w:val="00897CBD"/>
    <w:rsid w:val="008A1683"/>
    <w:rsid w:val="008A1ADA"/>
    <w:rsid w:val="008B4C29"/>
    <w:rsid w:val="008C4373"/>
    <w:rsid w:val="008E471C"/>
    <w:rsid w:val="008F2413"/>
    <w:rsid w:val="00942A5B"/>
    <w:rsid w:val="009437AC"/>
    <w:rsid w:val="0095414D"/>
    <w:rsid w:val="0095656D"/>
    <w:rsid w:val="009845FD"/>
    <w:rsid w:val="00985EC0"/>
    <w:rsid w:val="009D0843"/>
    <w:rsid w:val="009D6D86"/>
    <w:rsid w:val="009E29D3"/>
    <w:rsid w:val="009E462B"/>
    <w:rsid w:val="009F1072"/>
    <w:rsid w:val="009F4BE7"/>
    <w:rsid w:val="00A00D6C"/>
    <w:rsid w:val="00A33ABA"/>
    <w:rsid w:val="00A3541D"/>
    <w:rsid w:val="00A57A3A"/>
    <w:rsid w:val="00AB7F3D"/>
    <w:rsid w:val="00AE2467"/>
    <w:rsid w:val="00B01967"/>
    <w:rsid w:val="00B26CAF"/>
    <w:rsid w:val="00B54F67"/>
    <w:rsid w:val="00B66DBF"/>
    <w:rsid w:val="00B8536B"/>
    <w:rsid w:val="00BA2507"/>
    <w:rsid w:val="00BE5C35"/>
    <w:rsid w:val="00BF06B1"/>
    <w:rsid w:val="00BF2757"/>
    <w:rsid w:val="00BF5AC3"/>
    <w:rsid w:val="00C22740"/>
    <w:rsid w:val="00C33DBA"/>
    <w:rsid w:val="00C46043"/>
    <w:rsid w:val="00C821F5"/>
    <w:rsid w:val="00CB243B"/>
    <w:rsid w:val="00CB38F1"/>
    <w:rsid w:val="00CC1DCB"/>
    <w:rsid w:val="00CD69CB"/>
    <w:rsid w:val="00D03265"/>
    <w:rsid w:val="00D04CD1"/>
    <w:rsid w:val="00D172B9"/>
    <w:rsid w:val="00D25746"/>
    <w:rsid w:val="00D446E6"/>
    <w:rsid w:val="00D779CB"/>
    <w:rsid w:val="00DA1C6B"/>
    <w:rsid w:val="00DA27C6"/>
    <w:rsid w:val="00DC5798"/>
    <w:rsid w:val="00DF7EC1"/>
    <w:rsid w:val="00E14FBE"/>
    <w:rsid w:val="00E15D52"/>
    <w:rsid w:val="00E27EB6"/>
    <w:rsid w:val="00E36A6B"/>
    <w:rsid w:val="00E44640"/>
    <w:rsid w:val="00E630A1"/>
    <w:rsid w:val="00E75BFF"/>
    <w:rsid w:val="00E91D22"/>
    <w:rsid w:val="00EA1D8C"/>
    <w:rsid w:val="00EB0A89"/>
    <w:rsid w:val="00EB21B9"/>
    <w:rsid w:val="00ED0F2A"/>
    <w:rsid w:val="00EE5883"/>
    <w:rsid w:val="00F30633"/>
    <w:rsid w:val="00F735E0"/>
    <w:rsid w:val="00F822B3"/>
    <w:rsid w:val="00FA53E1"/>
    <w:rsid w:val="00FA6B2B"/>
    <w:rsid w:val="00FB0BEE"/>
    <w:rsid w:val="00FD1B23"/>
    <w:rsid w:val="00FF335C"/>
    <w:rsid w:val="00FF6CE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29"/>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1F7A29"/>
    <w:pPr>
      <w:keepNext/>
      <w:spacing w:before="120" w:after="120" w:line="240" w:lineRule="auto"/>
      <w:outlineLvl w:val="1"/>
    </w:pPr>
    <w:rPr>
      <w:rFonts w:ascii="Times New Roman" w:eastAsia="Times New Roman" w:hAnsi="Times New Roman"/>
      <w:b/>
      <w:sz w:val="24"/>
      <w:szCs w:val="20"/>
      <w:lang w:eastAsia="ro-RO"/>
    </w:rPr>
  </w:style>
  <w:style w:type="paragraph" w:styleId="Heading3">
    <w:name w:val="heading 3"/>
    <w:basedOn w:val="Normal"/>
    <w:next w:val="Normal"/>
    <w:link w:val="Heading3Char"/>
    <w:uiPriority w:val="9"/>
    <w:semiHidden/>
    <w:unhideWhenUsed/>
    <w:qFormat/>
    <w:rsid w:val="005812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FB0B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A29"/>
    <w:rPr>
      <w:rFonts w:ascii="Times New Roman" w:eastAsia="Times New Roman" w:hAnsi="Times New Roman" w:cs="Times New Roman"/>
      <w:b/>
      <w:sz w:val="24"/>
      <w:szCs w:val="20"/>
      <w:lang w:eastAsia="ro-RO"/>
    </w:rPr>
  </w:style>
  <w:style w:type="paragraph" w:styleId="Title">
    <w:name w:val="Title"/>
    <w:basedOn w:val="Normal"/>
    <w:link w:val="TitleChar"/>
    <w:qFormat/>
    <w:rsid w:val="001F7A29"/>
    <w:pPr>
      <w:spacing w:after="0" w:line="240" w:lineRule="auto"/>
      <w:jc w:val="center"/>
    </w:pPr>
    <w:rPr>
      <w:rFonts w:ascii="Times New Roman" w:eastAsia="Times New Roman" w:hAnsi="Times New Roman"/>
      <w:b/>
      <w:sz w:val="28"/>
      <w:szCs w:val="20"/>
      <w:lang w:val="en-US" w:eastAsia="ro-RO"/>
    </w:rPr>
  </w:style>
  <w:style w:type="character" w:customStyle="1" w:styleId="TitleChar">
    <w:name w:val="Title Char"/>
    <w:basedOn w:val="DefaultParagraphFont"/>
    <w:link w:val="Title"/>
    <w:rsid w:val="001F7A29"/>
    <w:rPr>
      <w:rFonts w:ascii="Times New Roman" w:eastAsia="Times New Roman" w:hAnsi="Times New Roman" w:cs="Times New Roman"/>
      <w:b/>
      <w:sz w:val="28"/>
      <w:szCs w:val="20"/>
      <w:lang w:val="en-US" w:eastAsia="ro-RO"/>
    </w:rPr>
  </w:style>
  <w:style w:type="paragraph" w:styleId="BodyText">
    <w:name w:val="Body Text"/>
    <w:basedOn w:val="Normal"/>
    <w:link w:val="BodyTextChar"/>
    <w:rsid w:val="001F7A29"/>
    <w:pPr>
      <w:autoSpaceDE w:val="0"/>
      <w:autoSpaceDN w:val="0"/>
      <w:adjustRightInd w:val="0"/>
      <w:spacing w:before="120" w:after="120" w:line="240" w:lineRule="auto"/>
      <w:jc w:val="both"/>
    </w:pPr>
    <w:rPr>
      <w:rFonts w:ascii="Times New Roman" w:eastAsia="Times New Roman" w:hAnsi="Times New Roman"/>
      <w:bCs/>
      <w:sz w:val="24"/>
      <w:szCs w:val="20"/>
      <w:lang w:eastAsia="ro-RO"/>
    </w:rPr>
  </w:style>
  <w:style w:type="character" w:customStyle="1" w:styleId="BodyTextChar">
    <w:name w:val="Body Text Char"/>
    <w:basedOn w:val="DefaultParagraphFont"/>
    <w:link w:val="BodyText"/>
    <w:rsid w:val="001F7A29"/>
    <w:rPr>
      <w:rFonts w:ascii="Times New Roman" w:eastAsia="Times New Roman" w:hAnsi="Times New Roman" w:cs="Times New Roman"/>
      <w:bCs/>
      <w:sz w:val="24"/>
      <w:szCs w:val="20"/>
      <w:lang w:eastAsia="ro-RO"/>
    </w:rPr>
  </w:style>
  <w:style w:type="paragraph" w:styleId="Footer">
    <w:name w:val="footer"/>
    <w:basedOn w:val="Normal"/>
    <w:link w:val="FooterChar"/>
    <w:uiPriority w:val="99"/>
    <w:rsid w:val="001F7A2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F7A2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B0BEE"/>
    <w:rPr>
      <w:rFonts w:asciiTheme="majorHAnsi" w:eastAsiaTheme="majorEastAsia" w:hAnsiTheme="majorHAnsi" w:cstheme="majorBidi"/>
      <w:color w:val="2E74B5" w:themeColor="accent1" w:themeShade="BF"/>
    </w:rPr>
  </w:style>
  <w:style w:type="paragraph" w:customStyle="1" w:styleId="DefaultText">
    <w:name w:val="Default Text"/>
    <w:basedOn w:val="Normal"/>
    <w:rsid w:val="00FB0BEE"/>
    <w:pPr>
      <w:suppressAutoHyphens/>
      <w:overflowPunct w:val="0"/>
      <w:autoSpaceDE w:val="0"/>
      <w:spacing w:after="0" w:line="240" w:lineRule="auto"/>
      <w:textAlignment w:val="baseline"/>
    </w:pPr>
    <w:rPr>
      <w:rFonts w:ascii="Times New Roman" w:eastAsia="Times New Roman" w:hAnsi="Times New Roman"/>
      <w:sz w:val="24"/>
      <w:szCs w:val="20"/>
      <w:lang w:val="en-US" w:eastAsia="ja-JP"/>
    </w:rPr>
  </w:style>
  <w:style w:type="character" w:styleId="Hyperlink">
    <w:name w:val="Hyperlink"/>
    <w:rsid w:val="000E72CF"/>
    <w:rPr>
      <w:color w:val="0000FF"/>
      <w:u w:val="single"/>
    </w:rPr>
  </w:style>
  <w:style w:type="paragraph" w:styleId="BalloonText">
    <w:name w:val="Balloon Text"/>
    <w:basedOn w:val="Normal"/>
    <w:link w:val="BalloonTextChar"/>
    <w:uiPriority w:val="99"/>
    <w:semiHidden/>
    <w:unhideWhenUsed/>
    <w:rsid w:val="00E1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BE"/>
    <w:rPr>
      <w:rFonts w:ascii="Segoe UI" w:eastAsia="Calibri" w:hAnsi="Segoe UI" w:cs="Segoe UI"/>
      <w:sz w:val="18"/>
      <w:szCs w:val="18"/>
    </w:rPr>
  </w:style>
  <w:style w:type="paragraph" w:styleId="ListParagraph">
    <w:name w:val="List Paragraph"/>
    <w:basedOn w:val="Normal"/>
    <w:uiPriority w:val="34"/>
    <w:qFormat/>
    <w:rsid w:val="00DA27C6"/>
    <w:pPr>
      <w:ind w:left="720"/>
      <w:contextualSpacing/>
    </w:pPr>
  </w:style>
  <w:style w:type="character" w:customStyle="1" w:styleId="Heading3Char">
    <w:name w:val="Heading 3 Char"/>
    <w:basedOn w:val="DefaultParagraphFont"/>
    <w:link w:val="Heading3"/>
    <w:uiPriority w:val="9"/>
    <w:semiHidden/>
    <w:rsid w:val="005812D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812D5"/>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541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1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88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1673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CATALINA-ROXANA NITU</dc:creator>
  <cp:keywords/>
  <dc:description/>
  <cp:lastModifiedBy>74608387</cp:lastModifiedBy>
  <cp:revision>5</cp:revision>
  <cp:lastPrinted>2020-02-19T10:17:00Z</cp:lastPrinted>
  <dcterms:created xsi:type="dcterms:W3CDTF">2020-02-19T08:23:00Z</dcterms:created>
  <dcterms:modified xsi:type="dcterms:W3CDTF">2020-03-10T12:52:00Z</dcterms:modified>
</cp:coreProperties>
</file>