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36F" w:rsidRPr="00C86702" w:rsidRDefault="00AD636F" w:rsidP="00AD636F">
      <w:pPr>
        <w:rPr>
          <w:lang w:val="ro-RO"/>
        </w:rPr>
      </w:pPr>
    </w:p>
    <w:p w:rsidR="00AD636F" w:rsidRPr="00C86702" w:rsidRDefault="00AD636F" w:rsidP="00AD636F">
      <w:pPr>
        <w:widowControl w:val="0"/>
        <w:tabs>
          <w:tab w:val="num" w:pos="1920"/>
        </w:tabs>
        <w:spacing w:line="320" w:lineRule="exact"/>
        <w:rPr>
          <w:rFonts w:ascii="Calibri" w:hAnsi="Calibri" w:cs="Calibri"/>
          <w:color w:val="333399"/>
          <w:sz w:val="32"/>
          <w:szCs w:val="32"/>
          <w:lang w:val="ro-RO"/>
        </w:rPr>
      </w:pPr>
      <w:r w:rsidRPr="00C86702">
        <w:rPr>
          <w:rFonts w:ascii="Calibri" w:hAnsi="Calibri" w:cs="Calibri"/>
          <w:color w:val="333399"/>
          <w:lang w:val="ro-RO"/>
        </w:rPr>
        <w:tab/>
      </w:r>
      <w:r w:rsidRPr="00C86702">
        <w:rPr>
          <w:rFonts w:ascii="Calibri" w:hAnsi="Calibri" w:cs="Calibri"/>
          <w:color w:val="333399"/>
          <w:lang w:val="ro-RO"/>
        </w:rPr>
        <w:tab/>
      </w:r>
      <w:r w:rsidRPr="00C86702">
        <w:rPr>
          <w:rFonts w:ascii="Calibri" w:hAnsi="Calibri" w:cs="Calibri"/>
          <w:color w:val="333399"/>
          <w:lang w:val="ro-RO"/>
        </w:rPr>
        <w:tab/>
      </w:r>
    </w:p>
    <w:p w:rsidR="00AD636F" w:rsidRPr="00C86702" w:rsidRDefault="00EE3E16" w:rsidP="00AD636F">
      <w:pPr>
        <w:widowControl w:val="0"/>
        <w:tabs>
          <w:tab w:val="num" w:pos="1920"/>
        </w:tabs>
        <w:spacing w:line="320" w:lineRule="exact"/>
        <w:rPr>
          <w:rFonts w:ascii="Calibri" w:hAnsi="Calibri" w:cs="Calibri"/>
          <w:color w:val="333399"/>
          <w:lang w:val="ro-RO"/>
        </w:rPr>
      </w:pPr>
      <w:r>
        <w:rPr>
          <w:rFonts w:ascii="Calibri" w:hAnsi="Calibri" w:cs="Calibri"/>
          <w:noProof/>
          <w:color w:val="333399"/>
          <w:sz w:val="56"/>
          <w:szCs w:val="56"/>
          <w:lang w:val="ro-RO" w:eastAsia="ro-RO"/>
        </w:rPr>
        <w:drawing>
          <wp:anchor distT="0" distB="0" distL="114300" distR="114300" simplePos="0" relativeHeight="251651584" behindDoc="1" locked="0" layoutInCell="1" allowOverlap="1">
            <wp:simplePos x="0" y="0"/>
            <wp:positionH relativeFrom="column">
              <wp:posOffset>2533650</wp:posOffset>
            </wp:positionH>
            <wp:positionV relativeFrom="paragraph">
              <wp:posOffset>117475</wp:posOffset>
            </wp:positionV>
            <wp:extent cx="1463040" cy="1463040"/>
            <wp:effectExtent l="0" t="0" r="3810" b="3810"/>
            <wp:wrapNone/>
            <wp:docPr id="19" name="Picture 19" descr="sigla mica coroan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mica coroana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rPr>
          <w:rFonts w:ascii="Calibri" w:hAnsi="Calibri" w:cs="Calibri"/>
          <w:sz w:val="56"/>
          <w:szCs w:val="56"/>
          <w:lang w:val="ro-RO"/>
        </w:rPr>
      </w:pPr>
    </w:p>
    <w:p w:rsidR="00AD636F" w:rsidRPr="00C86702" w:rsidRDefault="00AD636F" w:rsidP="00AD636F">
      <w:pPr>
        <w:tabs>
          <w:tab w:val="left" w:pos="3260"/>
        </w:tabs>
        <w:rPr>
          <w:rFonts w:ascii="Calibri" w:hAnsi="Calibri" w:cs="Calibri"/>
          <w:sz w:val="56"/>
          <w:szCs w:val="56"/>
          <w:lang w:val="ro-RO"/>
        </w:rPr>
      </w:pPr>
      <w:r w:rsidRPr="00C86702">
        <w:rPr>
          <w:rFonts w:ascii="Calibri" w:hAnsi="Calibri" w:cs="Calibri"/>
          <w:sz w:val="56"/>
          <w:szCs w:val="56"/>
          <w:lang w:val="ro-RO"/>
        </w:rPr>
        <w:tab/>
      </w:r>
    </w:p>
    <w:p w:rsidR="00CD475C" w:rsidRPr="00C86702" w:rsidRDefault="00CD475C" w:rsidP="00AD636F">
      <w:pPr>
        <w:tabs>
          <w:tab w:val="left" w:pos="3260"/>
        </w:tabs>
        <w:rPr>
          <w:rFonts w:ascii="Calibri" w:hAnsi="Calibri" w:cs="Calibri"/>
          <w:sz w:val="56"/>
          <w:szCs w:val="56"/>
          <w:lang w:val="ro-RO"/>
        </w:rPr>
      </w:pPr>
    </w:p>
    <w:p w:rsidR="00AD636F" w:rsidRPr="00C86702" w:rsidRDefault="00573B86" w:rsidP="00573B86">
      <w:pPr>
        <w:tabs>
          <w:tab w:val="left" w:pos="3260"/>
        </w:tabs>
        <w:jc w:val="center"/>
        <w:rPr>
          <w:rFonts w:ascii="Calibri" w:hAnsi="Calibri" w:cs="Calibri"/>
          <w:sz w:val="56"/>
          <w:szCs w:val="56"/>
          <w:lang w:val="ro-RO"/>
        </w:rPr>
      </w:pPr>
      <w:r w:rsidRPr="00C86702">
        <w:rPr>
          <w:rFonts w:ascii="Arial Narrow" w:hAnsi="Arial Narrow" w:cs="Algerian"/>
          <w:b/>
          <w:bCs/>
          <w:color w:val="000080"/>
          <w:sz w:val="40"/>
          <w:szCs w:val="40"/>
          <w:lang w:val="ro-RO"/>
        </w:rPr>
        <w:t>GUVERNUL ROMÂNIEI</w:t>
      </w:r>
    </w:p>
    <w:p w:rsidR="00AD636F" w:rsidRPr="00C86702" w:rsidRDefault="00AD636F" w:rsidP="00AD636F">
      <w:pPr>
        <w:tabs>
          <w:tab w:val="left" w:pos="3260"/>
        </w:tabs>
        <w:rPr>
          <w:rFonts w:ascii="Calibri" w:hAnsi="Calibri" w:cs="Calibri"/>
          <w:sz w:val="56"/>
          <w:szCs w:val="56"/>
          <w:lang w:val="ro-RO"/>
        </w:rPr>
      </w:pPr>
    </w:p>
    <w:p w:rsidR="00AD636F" w:rsidRPr="00C86702" w:rsidRDefault="00AD636F" w:rsidP="00AD636F">
      <w:pPr>
        <w:tabs>
          <w:tab w:val="left" w:pos="3260"/>
        </w:tabs>
        <w:rPr>
          <w:rFonts w:ascii="Calibri" w:hAnsi="Calibri" w:cs="Calibri"/>
          <w:sz w:val="56"/>
          <w:szCs w:val="56"/>
          <w:lang w:val="ro-RO"/>
        </w:rPr>
      </w:pPr>
    </w:p>
    <w:tbl>
      <w:tblPr>
        <w:tblW w:w="9480" w:type="dxa"/>
        <w:tblInd w:w="468" w:type="dxa"/>
        <w:shd w:val="clear" w:color="auto" w:fill="FFFFFF"/>
        <w:tblLook w:val="01E0" w:firstRow="1" w:lastRow="1" w:firstColumn="1" w:lastColumn="1" w:noHBand="0" w:noVBand="0"/>
      </w:tblPr>
      <w:tblGrid>
        <w:gridCol w:w="9480"/>
      </w:tblGrid>
      <w:tr w:rsidR="00AD636F" w:rsidRPr="00C86702">
        <w:trPr>
          <w:trHeight w:val="1154"/>
        </w:trPr>
        <w:tc>
          <w:tcPr>
            <w:tcW w:w="9480" w:type="dxa"/>
            <w:shd w:val="clear" w:color="auto" w:fill="FFFFFF"/>
          </w:tcPr>
          <w:p w:rsidR="00AD636F" w:rsidRPr="00C86702" w:rsidRDefault="00AD636F" w:rsidP="003A3471">
            <w:pPr>
              <w:tabs>
                <w:tab w:val="left" w:pos="3260"/>
              </w:tabs>
              <w:jc w:val="center"/>
              <w:rPr>
                <w:rFonts w:ascii="Arial Narrow" w:hAnsi="Arial Narrow" w:cs="Algerian"/>
                <w:b/>
                <w:bCs/>
                <w:color w:val="000080"/>
                <w:sz w:val="32"/>
                <w:szCs w:val="32"/>
                <w:lang w:val="ro-RO"/>
              </w:rPr>
            </w:pPr>
            <w:r w:rsidRPr="00C86702">
              <w:rPr>
                <w:rFonts w:ascii="Arial Narrow" w:hAnsi="Arial Narrow" w:cs="Algerian"/>
                <w:b/>
                <w:bCs/>
                <w:color w:val="000080"/>
                <w:sz w:val="32"/>
                <w:szCs w:val="32"/>
                <w:lang w:val="ro-RO"/>
              </w:rPr>
              <w:t>STRATEGIA FISCAL-BUGETARĂ PENTRU PERIOADA</w:t>
            </w:r>
          </w:p>
          <w:p w:rsidR="00AD636F" w:rsidRPr="00C86702" w:rsidRDefault="00AD636F" w:rsidP="003A3471">
            <w:pPr>
              <w:tabs>
                <w:tab w:val="left" w:pos="3260"/>
              </w:tabs>
              <w:jc w:val="center"/>
              <w:rPr>
                <w:rFonts w:ascii="Arial Narrow" w:hAnsi="Arial Narrow" w:cs="Algerian"/>
                <w:b/>
                <w:bCs/>
                <w:color w:val="000080"/>
                <w:sz w:val="32"/>
                <w:szCs w:val="32"/>
                <w:lang w:val="ro-RO"/>
              </w:rPr>
            </w:pPr>
          </w:p>
          <w:p w:rsidR="00AD636F" w:rsidRDefault="00FC7A4C" w:rsidP="003A3471">
            <w:pPr>
              <w:tabs>
                <w:tab w:val="left" w:pos="3260"/>
              </w:tabs>
              <w:jc w:val="center"/>
              <w:rPr>
                <w:rFonts w:ascii="Arial Narrow" w:hAnsi="Arial Narrow" w:cs="Algerian"/>
                <w:b/>
                <w:bCs/>
                <w:color w:val="000080"/>
                <w:sz w:val="32"/>
                <w:szCs w:val="32"/>
                <w:lang w:val="ro-RO"/>
              </w:rPr>
            </w:pPr>
            <w:r>
              <w:rPr>
                <w:rFonts w:ascii="Arial Narrow" w:hAnsi="Arial Narrow" w:cs="Algerian"/>
                <w:b/>
                <w:bCs/>
                <w:color w:val="000080"/>
                <w:sz w:val="32"/>
                <w:szCs w:val="32"/>
                <w:lang w:val="ro-RO"/>
              </w:rPr>
              <w:t>2019</w:t>
            </w:r>
            <w:r w:rsidR="00EE3E16">
              <w:rPr>
                <w:rFonts w:ascii="Arial Narrow" w:hAnsi="Arial Narrow" w:cs="Algerian"/>
                <w:b/>
                <w:bCs/>
                <w:color w:val="000080"/>
                <w:sz w:val="32"/>
                <w:szCs w:val="32"/>
                <w:lang w:val="ro-RO"/>
              </w:rPr>
              <w:t>–</w:t>
            </w:r>
            <w:r>
              <w:rPr>
                <w:rFonts w:ascii="Arial Narrow" w:hAnsi="Arial Narrow" w:cs="Algerian"/>
                <w:b/>
                <w:bCs/>
                <w:color w:val="000080"/>
                <w:sz w:val="32"/>
                <w:szCs w:val="32"/>
                <w:lang w:val="ro-RO"/>
              </w:rPr>
              <w:t>2021</w:t>
            </w:r>
          </w:p>
          <w:p w:rsidR="00EE3E16" w:rsidRPr="00C86702" w:rsidRDefault="00EE3E16" w:rsidP="003A3471">
            <w:pPr>
              <w:tabs>
                <w:tab w:val="left" w:pos="3260"/>
              </w:tabs>
              <w:jc w:val="center"/>
              <w:rPr>
                <w:rFonts w:ascii="Arial Narrow" w:hAnsi="Arial Narrow" w:cs="Algerian"/>
                <w:b/>
                <w:bCs/>
                <w:color w:val="000080"/>
                <w:sz w:val="32"/>
                <w:szCs w:val="32"/>
                <w:lang w:val="ro-RO"/>
              </w:rPr>
            </w:pPr>
          </w:p>
          <w:p w:rsidR="00AD636F" w:rsidRPr="00C86702" w:rsidRDefault="00AD636F" w:rsidP="003A3471">
            <w:pPr>
              <w:tabs>
                <w:tab w:val="left" w:pos="3260"/>
              </w:tabs>
              <w:jc w:val="center"/>
              <w:rPr>
                <w:rFonts w:ascii="Arial Narrow" w:hAnsi="Arial Narrow" w:cs="Algerian"/>
                <w:b/>
                <w:bCs/>
                <w:color w:val="333399"/>
                <w:sz w:val="48"/>
                <w:szCs w:val="48"/>
                <w:lang w:val="ro-RO"/>
              </w:rPr>
            </w:pPr>
          </w:p>
        </w:tc>
      </w:tr>
    </w:tbl>
    <w:p w:rsidR="00CF16DC" w:rsidRPr="00C86702" w:rsidRDefault="00CF16DC" w:rsidP="00AA6430">
      <w:pPr>
        <w:rPr>
          <w:rFonts w:ascii="Algerian" w:hAnsi="Algerian" w:cs="Algerian"/>
          <w:b/>
          <w:bCs/>
          <w:color w:val="333399"/>
          <w:sz w:val="56"/>
          <w:szCs w:val="56"/>
          <w:lang w:val="ro-RO"/>
        </w:rPr>
      </w:pPr>
    </w:p>
    <w:p w:rsidR="00AD636F" w:rsidRPr="00C86702" w:rsidRDefault="00B22A62" w:rsidP="00FC7A4C">
      <w:pPr>
        <w:ind w:left="839" w:hanging="413"/>
        <w:jc w:val="center"/>
        <w:rPr>
          <w:rFonts w:ascii="Arial Narrow" w:hAnsi="Arial Narrow" w:cs="Arial"/>
          <w:b/>
          <w:bCs/>
          <w:caps/>
          <w:color w:val="000080"/>
          <w:sz w:val="28"/>
          <w:szCs w:val="28"/>
          <w:lang w:val="ro-RO"/>
        </w:rPr>
      </w:pPr>
      <w:r>
        <w:rPr>
          <w:rFonts w:ascii="Arial Narrow" w:hAnsi="Arial Narrow" w:cs="Arial"/>
          <w:b/>
          <w:bCs/>
          <w:caps/>
          <w:color w:val="000080"/>
          <w:sz w:val="28"/>
          <w:szCs w:val="28"/>
          <w:lang w:val="ro-RO"/>
        </w:rPr>
        <w:t>martie</w:t>
      </w:r>
    </w:p>
    <w:p w:rsidR="00E56466" w:rsidRPr="00C86702" w:rsidRDefault="00C87516" w:rsidP="00FC7A4C">
      <w:pPr>
        <w:pStyle w:val="BodyText"/>
        <w:ind w:left="839" w:hanging="413"/>
        <w:jc w:val="center"/>
        <w:rPr>
          <w:rFonts w:ascii="Arial Narrow" w:hAnsi="Arial Narrow" w:cs="Arial"/>
          <w:b/>
          <w:color w:val="000080"/>
          <w:sz w:val="28"/>
          <w:szCs w:val="28"/>
          <w:lang w:val="ro-RO"/>
        </w:rPr>
      </w:pPr>
      <w:r>
        <w:rPr>
          <w:rFonts w:ascii="Arial Narrow" w:hAnsi="Arial Narrow" w:cs="Arial"/>
          <w:b/>
          <w:color w:val="000080"/>
          <w:sz w:val="28"/>
          <w:szCs w:val="28"/>
          <w:lang w:val="ro-RO"/>
        </w:rPr>
        <w:t>2019</w:t>
      </w:r>
    </w:p>
    <w:p w:rsidR="007B3355" w:rsidRDefault="007B3355" w:rsidP="00AD636F">
      <w:pPr>
        <w:jc w:val="center"/>
        <w:rPr>
          <w:rFonts w:ascii="Calibri" w:hAnsi="Calibri" w:cs="Algerian"/>
          <w:b/>
          <w:bCs/>
          <w:color w:val="333399"/>
          <w:lang w:val="ro-RO"/>
        </w:rPr>
      </w:pPr>
    </w:p>
    <w:p w:rsidR="00CF16DC" w:rsidRDefault="00CF16DC"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584F83" w:rsidP="00AD636F">
      <w:pPr>
        <w:jc w:val="center"/>
        <w:rPr>
          <w:rFonts w:ascii="Calibri" w:hAnsi="Calibri" w:cs="Algerian"/>
          <w:b/>
          <w:bCs/>
          <w:color w:val="333399"/>
          <w:lang w:val="ro-RO"/>
        </w:rPr>
      </w:pPr>
      <w:r>
        <w:rPr>
          <w:rFonts w:ascii="Calibri" w:hAnsi="Calibri" w:cs="Algerian"/>
          <w:b/>
          <w:bCs/>
          <w:noProof/>
          <w:color w:val="333399"/>
          <w:lang w:val="ro-RO" w:eastAsia="ro-RO"/>
        </w:rPr>
        <w:drawing>
          <wp:anchor distT="0" distB="0" distL="114300" distR="114300" simplePos="0" relativeHeight="251652608" behindDoc="1" locked="0" layoutInCell="1" allowOverlap="1">
            <wp:simplePos x="0" y="0"/>
            <wp:positionH relativeFrom="column">
              <wp:posOffset>2335530</wp:posOffset>
            </wp:positionH>
            <wp:positionV relativeFrom="paragraph">
              <wp:posOffset>83820</wp:posOffset>
            </wp:positionV>
            <wp:extent cx="1833880" cy="688340"/>
            <wp:effectExtent l="0" t="0" r="0" b="0"/>
            <wp:wrapNone/>
            <wp:docPr id="31" name="Picture 31"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RO-FULL-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880" cy="688340"/>
                    </a:xfrm>
                    <a:prstGeom prst="rect">
                      <a:avLst/>
                    </a:prstGeom>
                    <a:noFill/>
                    <a:ln>
                      <a:noFill/>
                    </a:ln>
                  </pic:spPr>
                </pic:pic>
              </a:graphicData>
            </a:graphic>
          </wp:anchor>
        </w:drawing>
      </w:r>
    </w:p>
    <w:p w:rsidR="000820B6" w:rsidRDefault="000820B6" w:rsidP="008D1FE8">
      <w:pPr>
        <w:rPr>
          <w:rFonts w:ascii="Calibri" w:hAnsi="Calibri" w:cs="Algerian"/>
          <w:b/>
          <w:bCs/>
          <w:color w:val="333399"/>
          <w:lang w:val="ro-RO"/>
        </w:rPr>
      </w:pPr>
    </w:p>
    <w:p w:rsidR="008D1FE8" w:rsidRDefault="008D1FE8" w:rsidP="008D1FE8">
      <w:pPr>
        <w:rPr>
          <w:rFonts w:ascii="Calibri" w:hAnsi="Calibri" w:cs="Algerian"/>
          <w:b/>
          <w:bCs/>
          <w:color w:val="333399"/>
          <w:lang w:val="ro-RO"/>
        </w:rPr>
      </w:pPr>
    </w:p>
    <w:p w:rsidR="007B3355" w:rsidRDefault="007B3355" w:rsidP="00AD636F">
      <w:pPr>
        <w:jc w:val="center"/>
        <w:rPr>
          <w:rFonts w:ascii="Calibri" w:hAnsi="Calibri" w:cs="Algerian"/>
          <w:b/>
          <w:bCs/>
          <w:color w:val="333399"/>
          <w:lang w:val="ro-RO"/>
        </w:rPr>
      </w:pPr>
    </w:p>
    <w:p w:rsidR="007944FB" w:rsidRDefault="007944FB" w:rsidP="00AD636F">
      <w:pPr>
        <w:jc w:val="center"/>
        <w:rPr>
          <w:rFonts w:ascii="Calibri" w:hAnsi="Calibri" w:cs="Algerian"/>
          <w:b/>
          <w:bCs/>
          <w:color w:val="333399"/>
          <w:lang w:val="ro-RO"/>
        </w:rPr>
      </w:pPr>
    </w:p>
    <w:p w:rsidR="007944FB" w:rsidRPr="00C86702" w:rsidRDefault="007944FB" w:rsidP="00AD636F">
      <w:pPr>
        <w:jc w:val="center"/>
        <w:rPr>
          <w:rFonts w:ascii="Calibri" w:hAnsi="Calibri" w:cs="Algerian"/>
          <w:b/>
          <w:bCs/>
          <w:color w:val="333399"/>
          <w:lang w:val="ro-RO"/>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AD636F" w:rsidRPr="00C86702" w:rsidTr="008F5B3C">
        <w:tc>
          <w:tcPr>
            <w:tcW w:w="9600" w:type="dxa"/>
            <w:shd w:val="clear" w:color="auto" w:fill="99CCFF"/>
          </w:tcPr>
          <w:p w:rsidR="00AD636F" w:rsidRPr="00C86702" w:rsidRDefault="00AD636F" w:rsidP="003A3471">
            <w:pPr>
              <w:jc w:val="center"/>
              <w:rPr>
                <w:rFonts w:ascii="Calibri" w:hAnsi="Calibri" w:cs="Arial Narrow"/>
                <w:b/>
                <w:bCs/>
                <w:color w:val="000080"/>
                <w:lang w:val="ro-RO"/>
              </w:rPr>
            </w:pPr>
            <w:r w:rsidRPr="00C86702">
              <w:rPr>
                <w:rFonts w:ascii="Calibri" w:hAnsi="Calibri" w:cs="Arial Narrow"/>
                <w:b/>
                <w:bCs/>
                <w:color w:val="000080"/>
                <w:lang w:val="ro-RO"/>
              </w:rPr>
              <w:t>Cuprins</w:t>
            </w:r>
          </w:p>
          <w:p w:rsidR="00AD636F" w:rsidRPr="00C86702" w:rsidRDefault="00AD636F" w:rsidP="003A3471">
            <w:pPr>
              <w:jc w:val="center"/>
              <w:rPr>
                <w:rFonts w:ascii="Calibri" w:hAnsi="Calibri" w:cs="Arial Narrow"/>
                <w:b/>
                <w:bCs/>
                <w:color w:val="000080"/>
                <w:lang w:val="ro-RO"/>
              </w:rPr>
            </w:pPr>
          </w:p>
        </w:tc>
      </w:tr>
      <w:tr w:rsidR="00AD636F" w:rsidRPr="00C86702"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AD636F" w:rsidRPr="00C86702" w:rsidTr="008F5B3C">
        <w:tc>
          <w:tcPr>
            <w:tcW w:w="9600" w:type="dxa"/>
            <w:shd w:val="clear" w:color="auto" w:fill="E0E0E0"/>
          </w:tcPr>
          <w:p w:rsidR="00AD636F" w:rsidRPr="00C86702" w:rsidRDefault="00AD636F" w:rsidP="003A3471">
            <w:pPr>
              <w:rPr>
                <w:rFonts w:ascii="Calibri" w:hAnsi="Calibri" w:cs="Arial"/>
                <w:b/>
                <w:bCs/>
                <w:color w:val="000080"/>
                <w:lang w:val="ro-RO"/>
              </w:rPr>
            </w:pPr>
            <w:r w:rsidRPr="00C86702">
              <w:rPr>
                <w:rFonts w:ascii="Calibri" w:hAnsi="Calibri" w:cs="Arial"/>
                <w:b/>
                <w:bCs/>
                <w:color w:val="000080"/>
                <w:lang w:val="ro-RO"/>
              </w:rPr>
              <w:t xml:space="preserve">1. Obiectivele politicii fiscale şi bugetare </w:t>
            </w:r>
            <w:r w:rsidR="006E7C82">
              <w:rPr>
                <w:rFonts w:ascii="Calibri" w:hAnsi="Calibri"/>
                <w:b/>
                <w:color w:val="000080"/>
                <w:lang w:val="ro-RO"/>
              </w:rPr>
              <w:t>pe orizontul 2019</w:t>
            </w:r>
            <w:r w:rsidR="000A2B70">
              <w:rPr>
                <w:rFonts w:ascii="Calibri" w:hAnsi="Calibri"/>
                <w:b/>
                <w:color w:val="000080"/>
                <w:lang w:val="ro-RO"/>
              </w:rPr>
              <w:t>-202</w:t>
            </w:r>
            <w:r w:rsidR="006E7C82">
              <w:rPr>
                <w:rFonts w:ascii="Calibri" w:hAnsi="Calibri"/>
                <w:b/>
                <w:color w:val="000080"/>
                <w:lang w:val="ro-RO"/>
              </w:rPr>
              <w:t>1</w:t>
            </w:r>
          </w:p>
        </w:tc>
      </w:tr>
      <w:tr w:rsidR="00AD636F" w:rsidRPr="00C86702" w:rsidTr="008F5B3C">
        <w:tc>
          <w:tcPr>
            <w:tcW w:w="9600" w:type="dxa"/>
          </w:tcPr>
          <w:p w:rsidR="00AD636F" w:rsidRPr="00C86702" w:rsidRDefault="00AD636F" w:rsidP="003A3471">
            <w:pPr>
              <w:rPr>
                <w:rFonts w:ascii="Calibri" w:hAnsi="Calibri" w:cs="Arial"/>
                <w:b/>
                <w:bCs/>
                <w:color w:val="000080"/>
                <w:lang w:val="ro-RO"/>
              </w:rPr>
            </w:pPr>
          </w:p>
        </w:tc>
      </w:tr>
      <w:tr w:rsidR="00AD636F" w:rsidRPr="00C86702" w:rsidTr="008F5B3C">
        <w:tc>
          <w:tcPr>
            <w:tcW w:w="9600" w:type="dxa"/>
            <w:shd w:val="clear" w:color="auto" w:fill="E6E6E6"/>
          </w:tcPr>
          <w:p w:rsidR="00AD636F" w:rsidRPr="00C86702" w:rsidRDefault="00AD636F" w:rsidP="003A3471">
            <w:pPr>
              <w:rPr>
                <w:rFonts w:ascii="Calibri" w:hAnsi="Calibri" w:cs="Arial"/>
                <w:b/>
                <w:bCs/>
                <w:color w:val="000080"/>
                <w:lang w:val="ro-RO"/>
              </w:rPr>
            </w:pPr>
            <w:r w:rsidRPr="00C86702">
              <w:rPr>
                <w:rFonts w:ascii="Calibri" w:hAnsi="Calibri" w:cs="Arial"/>
                <w:b/>
                <w:bCs/>
                <w:color w:val="000080"/>
                <w:lang w:val="ro-RO"/>
              </w:rPr>
              <w:t xml:space="preserve">2. Obiectivul bugetar pe termen mediu </w:t>
            </w:r>
          </w:p>
        </w:tc>
      </w:tr>
      <w:tr w:rsidR="00AD636F" w:rsidRPr="00C86702" w:rsidTr="008F5B3C">
        <w:tc>
          <w:tcPr>
            <w:tcW w:w="9600" w:type="dxa"/>
          </w:tcPr>
          <w:p w:rsidR="00AD636F" w:rsidRPr="00C86702" w:rsidRDefault="00AD636F" w:rsidP="003A3471">
            <w:pPr>
              <w:rPr>
                <w:rFonts w:ascii="Calibri" w:hAnsi="Calibri" w:cs="Arial"/>
                <w:bCs/>
                <w:color w:val="000080"/>
                <w:lang w:val="ro-RO"/>
              </w:rPr>
            </w:pPr>
            <w:r w:rsidRPr="00C86702">
              <w:rPr>
                <w:rFonts w:ascii="Calibri" w:hAnsi="Calibri" w:cs="Arial"/>
                <w:bCs/>
                <w:color w:val="000080"/>
                <w:lang w:val="ro-RO"/>
              </w:rPr>
              <w:t xml:space="preserve">2.1  </w:t>
            </w:r>
            <w:r w:rsidR="0070767E" w:rsidRPr="00C86702">
              <w:rPr>
                <w:rFonts w:ascii="Calibri" w:hAnsi="Calibri"/>
                <w:color w:val="000099"/>
                <w:lang w:val="ro-RO"/>
              </w:rPr>
              <w:t>PIB potențial și output – gap</w:t>
            </w:r>
          </w:p>
        </w:tc>
      </w:tr>
      <w:tr w:rsidR="00AD636F" w:rsidRPr="00C86702" w:rsidTr="008F5B3C">
        <w:tc>
          <w:tcPr>
            <w:tcW w:w="9600" w:type="dxa"/>
          </w:tcPr>
          <w:p w:rsidR="00AD636F" w:rsidRPr="00C86702" w:rsidRDefault="00AD636F" w:rsidP="008C5172">
            <w:pPr>
              <w:rPr>
                <w:rFonts w:ascii="Calibri" w:hAnsi="Calibri" w:cs="Arial"/>
                <w:bCs/>
                <w:color w:val="000080"/>
                <w:lang w:val="ro-RO"/>
              </w:rPr>
            </w:pPr>
            <w:r w:rsidRPr="00C86702">
              <w:rPr>
                <w:rFonts w:ascii="Calibri" w:hAnsi="Calibri" w:cs="Arial"/>
                <w:bCs/>
                <w:color w:val="000080"/>
                <w:lang w:val="ro-RO"/>
              </w:rPr>
              <w:t xml:space="preserve">2.2  </w:t>
            </w:r>
            <w:r w:rsidR="008C5172" w:rsidRPr="00C86702">
              <w:rPr>
                <w:rFonts w:ascii="Calibri" w:hAnsi="Calibri" w:cs="Arial"/>
                <w:bCs/>
                <w:color w:val="000080"/>
                <w:lang w:val="ro-RO"/>
              </w:rPr>
              <w:t>Evoluţia</w:t>
            </w:r>
            <w:r w:rsidR="00E564D6" w:rsidRPr="00C86702">
              <w:rPr>
                <w:rFonts w:ascii="Calibri" w:hAnsi="Calibri" w:cs="Arial"/>
                <w:bCs/>
                <w:color w:val="000080"/>
                <w:lang w:val="ro-RO"/>
              </w:rPr>
              <w:t xml:space="preserve"> deficitului structural </w:t>
            </w:r>
            <w:r w:rsidR="0039094C">
              <w:rPr>
                <w:rFonts w:ascii="Calibri" w:hAnsi="Calibri" w:cs="Arial"/>
                <w:bCs/>
                <w:color w:val="000080"/>
                <w:lang w:val="ro-RO"/>
              </w:rPr>
              <w:t>în perioada 2015-2021</w:t>
            </w:r>
          </w:p>
        </w:tc>
      </w:tr>
      <w:tr w:rsidR="00AD636F" w:rsidRPr="00C86702" w:rsidTr="008F5B3C">
        <w:tc>
          <w:tcPr>
            <w:tcW w:w="9600" w:type="dxa"/>
          </w:tcPr>
          <w:p w:rsidR="00AD636F" w:rsidRPr="00C86702" w:rsidRDefault="00AD636F" w:rsidP="003A3471">
            <w:pPr>
              <w:rPr>
                <w:rFonts w:ascii="Calibri" w:hAnsi="Calibri" w:cs="Arial"/>
                <w:bCs/>
                <w:color w:val="000080"/>
                <w:lang w:val="ro-RO"/>
              </w:rPr>
            </w:pPr>
          </w:p>
        </w:tc>
      </w:tr>
      <w:tr w:rsidR="00AD636F" w:rsidRPr="00C86702" w:rsidTr="008F5B3C">
        <w:tc>
          <w:tcPr>
            <w:tcW w:w="9600" w:type="dxa"/>
            <w:shd w:val="clear" w:color="auto" w:fill="E0E0E0"/>
          </w:tcPr>
          <w:p w:rsidR="00AD636F" w:rsidRPr="00C86702" w:rsidRDefault="00AD636F" w:rsidP="003A3471">
            <w:pPr>
              <w:rPr>
                <w:rFonts w:ascii="Calibri" w:hAnsi="Calibri" w:cs="Arial"/>
                <w:b/>
                <w:bCs/>
                <w:color w:val="000080"/>
                <w:lang w:val="ro-RO"/>
              </w:rPr>
            </w:pPr>
            <w:r w:rsidRPr="00C86702">
              <w:rPr>
                <w:rFonts w:ascii="Calibri" w:hAnsi="Calibri" w:cs="Arial"/>
                <w:b/>
                <w:bCs/>
                <w:color w:val="000080"/>
                <w:lang w:val="ro-RO"/>
              </w:rPr>
              <w:t xml:space="preserve">3. Cadrul macroeconomic </w:t>
            </w:r>
          </w:p>
        </w:tc>
      </w:tr>
      <w:tr w:rsidR="00AD636F" w:rsidRPr="00C86702" w:rsidTr="008F5B3C">
        <w:tc>
          <w:tcPr>
            <w:tcW w:w="9600" w:type="dxa"/>
          </w:tcPr>
          <w:p w:rsidR="00AD636F" w:rsidRPr="00C86702" w:rsidRDefault="00AD636F" w:rsidP="003A3471">
            <w:pPr>
              <w:rPr>
                <w:rFonts w:ascii="Calibri" w:hAnsi="Calibri" w:cs="Arial"/>
                <w:color w:val="000080"/>
                <w:lang w:val="ro-RO"/>
              </w:rPr>
            </w:pPr>
            <w:r w:rsidRPr="00C86702">
              <w:rPr>
                <w:rFonts w:ascii="Calibri" w:hAnsi="Calibri" w:cs="Arial"/>
                <w:color w:val="000080"/>
                <w:lang w:val="ro-RO"/>
              </w:rPr>
              <w:t xml:space="preserve">3.1 Evoluţii macroeconomice recente ale economiei româneşti </w:t>
            </w:r>
          </w:p>
        </w:tc>
      </w:tr>
      <w:tr w:rsidR="00AD636F" w:rsidRPr="00C86702" w:rsidTr="008F5B3C">
        <w:tc>
          <w:tcPr>
            <w:tcW w:w="9600" w:type="dxa"/>
          </w:tcPr>
          <w:p w:rsidR="00AD636F" w:rsidRPr="00C86702" w:rsidRDefault="00AD636F" w:rsidP="00AC42B9">
            <w:pPr>
              <w:rPr>
                <w:rFonts w:ascii="Calibri" w:hAnsi="Calibri" w:cs="Arial"/>
                <w:color w:val="000080"/>
                <w:lang w:val="ro-RO"/>
              </w:rPr>
            </w:pPr>
            <w:r w:rsidRPr="00C86702">
              <w:rPr>
                <w:rFonts w:ascii="Calibri" w:hAnsi="Calibri" w:cs="Arial"/>
                <w:color w:val="000080"/>
                <w:lang w:val="ro-RO"/>
              </w:rPr>
              <w:t xml:space="preserve">3.2 </w:t>
            </w:r>
            <w:r w:rsidR="00581A64" w:rsidRPr="00C86702">
              <w:rPr>
                <w:rFonts w:ascii="Calibri" w:hAnsi="Calibri" w:cs="Arial"/>
                <w:color w:val="000080"/>
                <w:lang w:val="ro-RO"/>
              </w:rPr>
              <w:t>Execuţi</w:t>
            </w:r>
            <w:r w:rsidR="00FA5738">
              <w:rPr>
                <w:rFonts w:ascii="Calibri" w:hAnsi="Calibri" w:cs="Arial"/>
                <w:color w:val="000080"/>
                <w:lang w:val="ro-RO"/>
              </w:rPr>
              <w:t>a bugetară în anul</w:t>
            </w:r>
            <w:r w:rsidR="006E7C82">
              <w:rPr>
                <w:rFonts w:ascii="Calibri" w:hAnsi="Calibri" w:cs="Arial"/>
                <w:color w:val="000080"/>
                <w:lang w:val="ro-RO"/>
              </w:rPr>
              <w:t xml:space="preserve"> 2017</w:t>
            </w:r>
            <w:r w:rsidRPr="00C86702">
              <w:rPr>
                <w:rFonts w:ascii="Calibri" w:hAnsi="Calibri" w:cs="Arial"/>
                <w:color w:val="000080"/>
                <w:lang w:val="ro-RO"/>
              </w:rPr>
              <w:t xml:space="preserve"> şi </w:t>
            </w:r>
            <w:r w:rsidR="00AC42B9">
              <w:rPr>
                <w:rFonts w:ascii="Calibri" w:hAnsi="Calibri" w:cs="Arial"/>
                <w:color w:val="000080"/>
                <w:lang w:val="ro-RO"/>
              </w:rPr>
              <w:t>execuţia preliminată a</w:t>
            </w:r>
            <w:r w:rsidR="00FA5738">
              <w:rPr>
                <w:rFonts w:ascii="Calibri" w:hAnsi="Calibri" w:cs="Arial"/>
                <w:color w:val="000080"/>
                <w:lang w:val="ro-RO"/>
              </w:rPr>
              <w:t xml:space="preserve"> anului </w:t>
            </w:r>
            <w:r w:rsidRPr="00C86702">
              <w:rPr>
                <w:rFonts w:ascii="Calibri" w:hAnsi="Calibri" w:cs="Arial"/>
                <w:color w:val="000080"/>
                <w:lang w:val="ro-RO"/>
              </w:rPr>
              <w:t>201</w:t>
            </w:r>
            <w:r w:rsidR="006E7C82">
              <w:rPr>
                <w:rFonts w:ascii="Calibri" w:hAnsi="Calibri" w:cs="Arial"/>
                <w:color w:val="000080"/>
                <w:lang w:val="ro-RO"/>
              </w:rPr>
              <w:t>8</w:t>
            </w:r>
          </w:p>
        </w:tc>
      </w:tr>
      <w:tr w:rsidR="00AD636F" w:rsidRPr="00C86702" w:rsidTr="008F5B3C">
        <w:tc>
          <w:tcPr>
            <w:tcW w:w="9600" w:type="dxa"/>
          </w:tcPr>
          <w:p w:rsidR="00AD636F" w:rsidRPr="00C86702" w:rsidRDefault="00AD636F" w:rsidP="003A3471">
            <w:pPr>
              <w:rPr>
                <w:rFonts w:ascii="Calibri" w:hAnsi="Calibri" w:cs="Arial"/>
                <w:color w:val="FF0000"/>
                <w:lang w:val="ro-RO"/>
              </w:rPr>
            </w:pPr>
            <w:r w:rsidRPr="00C86702">
              <w:rPr>
                <w:rFonts w:ascii="Calibri" w:hAnsi="Calibri" w:cs="Arial"/>
                <w:color w:val="000080"/>
                <w:lang w:val="ro-RO"/>
              </w:rPr>
              <w:t>3.3 Prognoze macroeconomice pe termen mediu ( 201</w:t>
            </w:r>
            <w:r w:rsidR="006E7C82">
              <w:rPr>
                <w:rFonts w:ascii="Calibri" w:hAnsi="Calibri" w:cs="Arial"/>
                <w:color w:val="000080"/>
                <w:lang w:val="ro-RO"/>
              </w:rPr>
              <w:t>9-2021</w:t>
            </w:r>
            <w:r w:rsidRPr="00C86702">
              <w:rPr>
                <w:rFonts w:ascii="Calibri" w:hAnsi="Calibri" w:cs="Arial"/>
                <w:color w:val="000080"/>
                <w:lang w:val="ro-RO"/>
              </w:rPr>
              <w:t xml:space="preserve">) </w:t>
            </w:r>
          </w:p>
        </w:tc>
      </w:tr>
      <w:tr w:rsidR="00AD636F" w:rsidRPr="00C86702" w:rsidTr="008F5B3C">
        <w:tc>
          <w:tcPr>
            <w:tcW w:w="9600" w:type="dxa"/>
          </w:tcPr>
          <w:p w:rsidR="00AD636F" w:rsidRPr="00C86702" w:rsidRDefault="00AD636F" w:rsidP="003A3471">
            <w:pPr>
              <w:rPr>
                <w:rFonts w:ascii="Calibri" w:hAnsi="Calibri" w:cs="Arial"/>
                <w:color w:val="000080"/>
                <w:lang w:val="ro-RO"/>
              </w:rPr>
            </w:pPr>
          </w:p>
        </w:tc>
      </w:tr>
      <w:tr w:rsidR="00AD636F" w:rsidRPr="00C86702" w:rsidTr="008F5B3C">
        <w:trPr>
          <w:trHeight w:val="342"/>
        </w:trPr>
        <w:tc>
          <w:tcPr>
            <w:tcW w:w="9600" w:type="dxa"/>
            <w:shd w:val="clear" w:color="auto" w:fill="E0E0E0"/>
          </w:tcPr>
          <w:p w:rsidR="00AD636F" w:rsidRPr="00C86702" w:rsidRDefault="00AD636F" w:rsidP="003A3471">
            <w:pPr>
              <w:rPr>
                <w:rFonts w:ascii="Calibri" w:hAnsi="Calibri" w:cs="Arial"/>
                <w:b/>
                <w:bCs/>
                <w:color w:val="000080"/>
                <w:lang w:val="ro-RO"/>
              </w:rPr>
            </w:pPr>
            <w:r w:rsidRPr="00C86702">
              <w:rPr>
                <w:rFonts w:ascii="Calibri" w:hAnsi="Calibri" w:cs="Arial"/>
                <w:b/>
                <w:bCs/>
                <w:color w:val="000080"/>
                <w:lang w:val="ro-RO"/>
              </w:rPr>
              <w:t xml:space="preserve">4. Cadrul </w:t>
            </w:r>
            <w:r w:rsidR="006E7C82">
              <w:rPr>
                <w:rFonts w:ascii="Calibri" w:hAnsi="Calibri" w:cs="Arial"/>
                <w:b/>
                <w:bCs/>
                <w:color w:val="000080"/>
                <w:lang w:val="ro-RO"/>
              </w:rPr>
              <w:t>fiscal-bugetar pe orizontul 2019</w:t>
            </w:r>
            <w:r w:rsidR="00FA2A39">
              <w:rPr>
                <w:rFonts w:ascii="Calibri" w:hAnsi="Calibri" w:cs="Arial"/>
                <w:b/>
                <w:bCs/>
                <w:color w:val="000080"/>
                <w:lang w:val="ro-RO"/>
              </w:rPr>
              <w:t>-202</w:t>
            </w:r>
            <w:r w:rsidR="006E7C82">
              <w:rPr>
                <w:rFonts w:ascii="Calibri" w:hAnsi="Calibri" w:cs="Arial"/>
                <w:b/>
                <w:bCs/>
                <w:color w:val="000080"/>
                <w:lang w:val="ro-RO"/>
              </w:rPr>
              <w:t>1</w:t>
            </w:r>
          </w:p>
        </w:tc>
      </w:tr>
      <w:tr w:rsidR="00E564D6" w:rsidRPr="00C86702" w:rsidTr="008F5B3C">
        <w:tc>
          <w:tcPr>
            <w:tcW w:w="9600" w:type="dxa"/>
            <w:shd w:val="clear" w:color="auto" w:fill="auto"/>
          </w:tcPr>
          <w:p w:rsidR="00E564D6" w:rsidRPr="00C86702" w:rsidRDefault="00E564D6" w:rsidP="001762B5">
            <w:pPr>
              <w:ind w:left="330" w:hanging="330"/>
              <w:rPr>
                <w:rFonts w:ascii="Calibri" w:hAnsi="Calibri" w:cs="Arial"/>
                <w:bCs/>
                <w:color w:val="000080"/>
                <w:lang w:val="ro-RO"/>
              </w:rPr>
            </w:pPr>
            <w:r w:rsidRPr="00C86702">
              <w:rPr>
                <w:rFonts w:ascii="Calibri" w:hAnsi="Calibri" w:cs="Arial"/>
                <w:bCs/>
                <w:color w:val="000080"/>
                <w:lang w:val="ro-RO"/>
              </w:rPr>
              <w:t xml:space="preserve">4.1  </w:t>
            </w:r>
            <w:r w:rsidR="000050E5" w:rsidRPr="000050E5">
              <w:rPr>
                <w:rFonts w:ascii="Calibri" w:hAnsi="Calibri" w:cs="Arial"/>
                <w:bCs/>
                <w:color w:val="000080"/>
                <w:lang w:val="ro-RO"/>
              </w:rPr>
              <w:t>Realizări în anul 2018 față de măsurile asumate prin strategia anterioară</w:t>
            </w:r>
          </w:p>
        </w:tc>
      </w:tr>
      <w:tr w:rsidR="00AD636F" w:rsidRPr="00C86702" w:rsidTr="008F5B3C">
        <w:tc>
          <w:tcPr>
            <w:tcW w:w="9600" w:type="dxa"/>
            <w:shd w:val="clear" w:color="auto" w:fill="auto"/>
          </w:tcPr>
          <w:p w:rsidR="00AD636F" w:rsidRPr="00C86702" w:rsidRDefault="00E564D6" w:rsidP="00457FD5">
            <w:pPr>
              <w:ind w:left="330" w:hanging="330"/>
              <w:rPr>
                <w:rFonts w:ascii="Calibri" w:hAnsi="Calibri" w:cs="Arial"/>
                <w:bCs/>
                <w:color w:val="000080"/>
                <w:lang w:val="ro-RO"/>
              </w:rPr>
            </w:pPr>
            <w:r w:rsidRPr="00C86702">
              <w:rPr>
                <w:rFonts w:ascii="Calibri" w:hAnsi="Calibri" w:cs="Arial"/>
                <w:bCs/>
                <w:color w:val="000080"/>
                <w:lang w:val="ro-RO"/>
              </w:rPr>
              <w:t>4.2</w:t>
            </w:r>
            <w:r w:rsidR="00C41DD6">
              <w:rPr>
                <w:rFonts w:ascii="Calibri" w:hAnsi="Calibri" w:cs="Arial"/>
                <w:bCs/>
                <w:color w:val="000080"/>
                <w:lang w:val="ro-RO"/>
              </w:rPr>
              <w:t xml:space="preserve"> </w:t>
            </w:r>
            <w:r w:rsidR="00457FD5" w:rsidRPr="00C86702">
              <w:rPr>
                <w:rFonts w:asciiTheme="minorHAnsi" w:hAnsiTheme="minorHAnsi" w:cs="Arial"/>
                <w:bCs/>
                <w:color w:val="000099"/>
                <w:kern w:val="1"/>
                <w:lang w:val="ro-RO" w:eastAsia="zh-CN"/>
              </w:rPr>
              <w:t>Scurtă caracterizare a po</w:t>
            </w:r>
            <w:r w:rsidR="00B65469">
              <w:rPr>
                <w:rFonts w:asciiTheme="minorHAnsi" w:hAnsiTheme="minorHAnsi" w:cs="Arial"/>
                <w:bCs/>
                <w:color w:val="000099"/>
                <w:kern w:val="1"/>
                <w:lang w:val="ro-RO" w:eastAsia="zh-CN"/>
              </w:rPr>
              <w:t>liticii fiscale pe perioada 2019-2021</w:t>
            </w:r>
            <w:r w:rsidR="00457FD5" w:rsidRPr="00C86702">
              <w:rPr>
                <w:rFonts w:asciiTheme="minorHAnsi" w:hAnsiTheme="minorHAnsi" w:cs="Arial"/>
                <w:bCs/>
                <w:color w:val="000099"/>
                <w:kern w:val="1"/>
                <w:lang w:val="ro-RO" w:eastAsia="zh-CN"/>
              </w:rPr>
              <w:t>, principalele obiective pe termen mediu</w:t>
            </w:r>
          </w:p>
        </w:tc>
      </w:tr>
      <w:tr w:rsidR="00E564D6" w:rsidRPr="00C86702" w:rsidTr="008F5B3C">
        <w:tc>
          <w:tcPr>
            <w:tcW w:w="9600" w:type="dxa"/>
            <w:shd w:val="clear" w:color="auto" w:fill="FFFFFF"/>
          </w:tcPr>
          <w:p w:rsidR="00E564D6" w:rsidRPr="00C86702" w:rsidRDefault="008F5B3C" w:rsidP="003A3471">
            <w:pPr>
              <w:tabs>
                <w:tab w:val="left" w:pos="6"/>
                <w:tab w:val="left" w:pos="411"/>
              </w:tabs>
              <w:rPr>
                <w:rFonts w:ascii="Calibri" w:hAnsi="Calibri" w:cs="Arial"/>
                <w:color w:val="000080"/>
                <w:lang w:val="ro-RO"/>
              </w:rPr>
            </w:pPr>
            <w:r>
              <w:rPr>
                <w:rFonts w:ascii="Calibri" w:hAnsi="Calibri" w:cs="Arial"/>
                <w:color w:val="000080"/>
                <w:lang w:val="ro-RO"/>
              </w:rPr>
              <w:t>4.3</w:t>
            </w:r>
            <w:r w:rsidR="00E564D6" w:rsidRPr="00C86702">
              <w:rPr>
                <w:rFonts w:ascii="Calibri" w:hAnsi="Calibri" w:cs="Arial"/>
                <w:color w:val="000080"/>
                <w:lang w:val="ro-RO"/>
              </w:rPr>
              <w:t xml:space="preserve">  Politica de cheltuieli</w:t>
            </w:r>
          </w:p>
        </w:tc>
      </w:tr>
      <w:tr w:rsidR="00AD636F" w:rsidRPr="00C86702" w:rsidTr="008F5B3C">
        <w:tc>
          <w:tcPr>
            <w:tcW w:w="9600" w:type="dxa"/>
            <w:shd w:val="clear" w:color="auto" w:fill="FFFFFF"/>
          </w:tcPr>
          <w:p w:rsidR="00AD636F" w:rsidRPr="00C86702" w:rsidRDefault="008F5B3C" w:rsidP="003A3471">
            <w:pPr>
              <w:tabs>
                <w:tab w:val="left" w:pos="6"/>
                <w:tab w:val="left" w:pos="411"/>
              </w:tabs>
              <w:rPr>
                <w:rFonts w:ascii="Calibri" w:hAnsi="Calibri" w:cs="Arial"/>
                <w:color w:val="000080"/>
                <w:lang w:val="ro-RO"/>
              </w:rPr>
            </w:pPr>
            <w:r>
              <w:rPr>
                <w:rFonts w:ascii="Calibri" w:hAnsi="Calibri" w:cs="Arial"/>
                <w:color w:val="000080"/>
                <w:lang w:val="ro-RO"/>
              </w:rPr>
              <w:t>4.4</w:t>
            </w:r>
            <w:r w:rsidR="00AD636F" w:rsidRPr="00C86702">
              <w:rPr>
                <w:rFonts w:ascii="Calibri" w:hAnsi="Calibri" w:cs="Arial"/>
                <w:color w:val="000080"/>
                <w:lang w:val="ro-RO"/>
              </w:rPr>
              <w:t xml:space="preserve">  Politica de administrare fiscală </w:t>
            </w:r>
          </w:p>
        </w:tc>
      </w:tr>
      <w:tr w:rsidR="00AD636F" w:rsidRPr="00C86702" w:rsidTr="008F5B3C">
        <w:tc>
          <w:tcPr>
            <w:tcW w:w="9600" w:type="dxa"/>
            <w:shd w:val="clear" w:color="auto" w:fill="FFFFFF"/>
          </w:tcPr>
          <w:p w:rsidR="00AD636F" w:rsidRPr="00C86702" w:rsidRDefault="008F5B3C" w:rsidP="003A3471">
            <w:pPr>
              <w:ind w:left="1152" w:hanging="1146"/>
              <w:rPr>
                <w:rFonts w:ascii="Calibri" w:hAnsi="Calibri" w:cs="Arial"/>
                <w:color w:val="000080"/>
                <w:lang w:val="ro-RO"/>
              </w:rPr>
            </w:pPr>
            <w:r>
              <w:rPr>
                <w:rFonts w:ascii="Calibri" w:hAnsi="Calibri" w:cs="Arial"/>
                <w:color w:val="000080"/>
                <w:lang w:val="ro-RO"/>
              </w:rPr>
              <w:t>4.5</w:t>
            </w:r>
            <w:r w:rsidR="00AD636F" w:rsidRPr="00C86702">
              <w:rPr>
                <w:rFonts w:ascii="Calibri" w:hAnsi="Calibri" w:cs="Arial"/>
                <w:color w:val="000080"/>
                <w:lang w:val="ro-RO"/>
              </w:rPr>
              <w:t xml:space="preserve">  Buget general consolidat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4.5</w:t>
            </w:r>
            <w:r w:rsidR="00AD636F" w:rsidRPr="00C86702">
              <w:rPr>
                <w:rFonts w:ascii="Calibri" w:hAnsi="Calibri" w:cs="Arial"/>
                <w:color w:val="000080"/>
                <w:lang w:val="ro-RO"/>
              </w:rPr>
              <w:t xml:space="preserve">.1  Evolutii recente </w:t>
            </w:r>
            <w:r w:rsidR="00CB2915" w:rsidRPr="00C86702">
              <w:rPr>
                <w:rFonts w:ascii="Calibri" w:hAnsi="Calibri" w:cs="Arial"/>
                <w:color w:val="000080"/>
                <w:lang w:val="ro-RO"/>
              </w:rPr>
              <w:t>ș</w:t>
            </w:r>
            <w:r w:rsidR="00AD636F" w:rsidRPr="00C86702">
              <w:rPr>
                <w:rFonts w:ascii="Calibri" w:hAnsi="Calibri" w:cs="Arial"/>
                <w:color w:val="000080"/>
                <w:lang w:val="ro-RO"/>
              </w:rPr>
              <w:t xml:space="preserve">i tendinte ale veniturilor bugetare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4.5</w:t>
            </w:r>
            <w:r w:rsidR="00AD636F" w:rsidRPr="00C86702">
              <w:rPr>
                <w:rFonts w:ascii="Calibri" w:hAnsi="Calibri" w:cs="Arial"/>
                <w:color w:val="000080"/>
                <w:lang w:val="ro-RO"/>
              </w:rPr>
              <w:t xml:space="preserve">.2  Evolutii recente </w:t>
            </w:r>
            <w:r w:rsidR="00CB2915" w:rsidRPr="00C86702">
              <w:rPr>
                <w:rFonts w:ascii="Calibri" w:hAnsi="Calibri" w:cs="Arial"/>
                <w:color w:val="000080"/>
                <w:lang w:val="ro-RO"/>
              </w:rPr>
              <w:t>ș</w:t>
            </w:r>
            <w:r w:rsidR="00AD636F" w:rsidRPr="00C86702">
              <w:rPr>
                <w:rFonts w:ascii="Calibri" w:hAnsi="Calibri" w:cs="Arial"/>
                <w:color w:val="000080"/>
                <w:lang w:val="ro-RO"/>
              </w:rPr>
              <w:t xml:space="preserve">i tendinte ale cheltuielilor  bugetare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4.5</w:t>
            </w:r>
            <w:r w:rsidR="00AD636F" w:rsidRPr="00C86702">
              <w:rPr>
                <w:rFonts w:ascii="Calibri" w:hAnsi="Calibri" w:cs="Arial"/>
                <w:color w:val="000080"/>
                <w:lang w:val="ro-RO"/>
              </w:rPr>
              <w:t xml:space="preserve">.3  </w:t>
            </w:r>
            <w:r w:rsidR="00581A64" w:rsidRPr="00C86702">
              <w:rPr>
                <w:rFonts w:ascii="Calibri" w:hAnsi="Calibri" w:cs="Arial"/>
                <w:color w:val="000080"/>
                <w:lang w:val="ro-RO"/>
              </w:rPr>
              <w:t>Diferenţe faţ</w:t>
            </w:r>
            <w:r w:rsidR="00E12329" w:rsidRPr="00C86702">
              <w:rPr>
                <w:rFonts w:ascii="Calibri" w:hAnsi="Calibri" w:cs="Arial"/>
                <w:color w:val="000080"/>
                <w:lang w:val="ro-RO"/>
              </w:rPr>
              <w:t>ă</w:t>
            </w:r>
            <w:r w:rsidR="00581A64" w:rsidRPr="00C86702">
              <w:rPr>
                <w:rFonts w:ascii="Calibri" w:hAnsi="Calibri" w:cs="Arial"/>
                <w:color w:val="000080"/>
                <w:lang w:val="ro-RO"/>
              </w:rPr>
              <w:t xml:space="preserve"> de Strategia </w:t>
            </w:r>
            <w:r w:rsidR="00FD6F08" w:rsidRPr="00C86702">
              <w:rPr>
                <w:rFonts w:ascii="Calibri" w:hAnsi="Calibri" w:cs="Arial"/>
                <w:color w:val="000080"/>
                <w:lang w:val="ro-RO"/>
              </w:rPr>
              <w:t>anterioară</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4.6</w:t>
            </w:r>
            <w:r w:rsidR="00AD636F" w:rsidRPr="00C86702">
              <w:rPr>
                <w:rFonts w:ascii="Calibri" w:hAnsi="Calibri" w:cs="Arial"/>
                <w:color w:val="000080"/>
                <w:lang w:val="ro-RO"/>
              </w:rPr>
              <w:t xml:space="preserve">  Politici publice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4.7</w:t>
            </w:r>
            <w:r w:rsidR="00AD636F" w:rsidRPr="00C86702">
              <w:rPr>
                <w:rFonts w:ascii="Calibri" w:hAnsi="Calibri" w:cs="Arial"/>
                <w:color w:val="000080"/>
                <w:lang w:val="ro-RO"/>
              </w:rPr>
              <w:t xml:space="preserve">  Investiţiile publice semnificative prioritizate</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4.8</w:t>
            </w:r>
            <w:r w:rsidR="00AD636F" w:rsidRPr="00C86702">
              <w:rPr>
                <w:rFonts w:ascii="Calibri" w:hAnsi="Calibri" w:cs="Arial"/>
                <w:color w:val="000080"/>
                <w:lang w:val="ro-RO"/>
              </w:rPr>
              <w:t xml:space="preserve"> Politica în domeniul Fondurilor Europene </w:t>
            </w:r>
          </w:p>
        </w:tc>
      </w:tr>
      <w:tr w:rsidR="00AD636F" w:rsidRPr="00C86702" w:rsidTr="008F5B3C">
        <w:tc>
          <w:tcPr>
            <w:tcW w:w="9600" w:type="dxa"/>
            <w:shd w:val="clear" w:color="auto" w:fill="FFFFFF"/>
            <w:vAlign w:val="center"/>
          </w:tcPr>
          <w:p w:rsidR="00AD636F" w:rsidRPr="00C86702" w:rsidRDefault="008F5B3C" w:rsidP="003A3471">
            <w:pPr>
              <w:rPr>
                <w:rFonts w:ascii="Calibri" w:hAnsi="Calibri" w:cs="Arial"/>
                <w:color w:val="000080"/>
                <w:lang w:val="ro-RO"/>
              </w:rPr>
            </w:pPr>
            <w:r>
              <w:rPr>
                <w:rFonts w:ascii="Calibri" w:hAnsi="Calibri" w:cs="Arial"/>
                <w:color w:val="000080"/>
                <w:lang w:val="ro-RO"/>
              </w:rPr>
              <w:t>4.9</w:t>
            </w:r>
            <w:r w:rsidR="00AD636F" w:rsidRPr="00C86702">
              <w:rPr>
                <w:rFonts w:ascii="Calibri" w:hAnsi="Calibri" w:cs="Arial"/>
                <w:color w:val="000080"/>
                <w:lang w:val="ro-RO"/>
              </w:rPr>
              <w:t xml:space="preserve">  Datoria </w:t>
            </w:r>
            <w:r w:rsidR="00CB2915" w:rsidRPr="00C86702">
              <w:rPr>
                <w:rFonts w:ascii="Calibri" w:hAnsi="Calibri" w:cs="Arial"/>
                <w:color w:val="000080"/>
                <w:lang w:val="ro-RO"/>
              </w:rPr>
              <w:t>p</w:t>
            </w:r>
            <w:r w:rsidR="00E12329" w:rsidRPr="00C86702">
              <w:rPr>
                <w:rFonts w:ascii="Calibri" w:hAnsi="Calibri" w:cs="Arial"/>
                <w:color w:val="000080"/>
                <w:lang w:val="ro-RO"/>
              </w:rPr>
              <w:t>ublică și</w:t>
            </w:r>
            <w:r w:rsidR="00AD636F" w:rsidRPr="00C86702">
              <w:rPr>
                <w:rFonts w:ascii="Calibri" w:hAnsi="Calibri" w:cs="Arial"/>
                <w:color w:val="000080"/>
                <w:lang w:val="ro-RO"/>
              </w:rPr>
              <w:t xml:space="preserve"> finanţarea deficitului bugetar </w:t>
            </w:r>
          </w:p>
        </w:tc>
      </w:tr>
      <w:tr w:rsidR="00AD636F" w:rsidRPr="00C86702" w:rsidTr="008F5B3C">
        <w:trPr>
          <w:trHeight w:val="284"/>
        </w:trPr>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4.10</w:t>
            </w:r>
            <w:r w:rsidR="00AD636F" w:rsidRPr="00C86702">
              <w:rPr>
                <w:rFonts w:ascii="Calibri" w:hAnsi="Calibri" w:cs="Arial"/>
                <w:color w:val="000080"/>
                <w:lang w:val="ro-RO"/>
              </w:rPr>
              <w:t xml:space="preserve">  Plafoane privind principalii indi</w:t>
            </w:r>
            <w:r w:rsidR="00F004B1" w:rsidRPr="00C86702">
              <w:rPr>
                <w:rFonts w:ascii="Calibri" w:hAnsi="Calibri" w:cs="Arial"/>
                <w:color w:val="000080"/>
                <w:lang w:val="ro-RO"/>
              </w:rPr>
              <w:t>cato</w:t>
            </w:r>
            <w:r w:rsidR="00B65469">
              <w:rPr>
                <w:rFonts w:ascii="Calibri" w:hAnsi="Calibri" w:cs="Arial"/>
                <w:color w:val="000080"/>
                <w:lang w:val="ro-RO"/>
              </w:rPr>
              <w:t>ri bugetari în perioada 2019</w:t>
            </w:r>
            <w:r w:rsidR="000A2B70">
              <w:rPr>
                <w:rFonts w:ascii="Calibri" w:hAnsi="Calibri" w:cs="Arial"/>
                <w:color w:val="000080"/>
                <w:lang w:val="ro-RO"/>
              </w:rPr>
              <w:t>-202</w:t>
            </w:r>
            <w:r w:rsidR="00B65469">
              <w:rPr>
                <w:rFonts w:ascii="Calibri" w:hAnsi="Calibri" w:cs="Arial"/>
                <w:color w:val="000080"/>
                <w:lang w:val="ro-RO"/>
              </w:rPr>
              <w:t>1</w:t>
            </w:r>
          </w:p>
        </w:tc>
      </w:tr>
      <w:tr w:rsidR="00AD636F" w:rsidRPr="00C86702" w:rsidTr="008F5B3C">
        <w:trPr>
          <w:trHeight w:val="284"/>
        </w:trPr>
        <w:tc>
          <w:tcPr>
            <w:tcW w:w="9600" w:type="dxa"/>
            <w:shd w:val="clear" w:color="auto" w:fill="FFFFFF"/>
          </w:tcPr>
          <w:p w:rsidR="00AD636F" w:rsidRPr="00C86702" w:rsidRDefault="008F5B3C" w:rsidP="003A3471">
            <w:pPr>
              <w:rPr>
                <w:rFonts w:ascii="Calibri" w:hAnsi="Calibri" w:cs="Arial"/>
                <w:color w:val="000080"/>
                <w:lang w:val="ro-RO"/>
              </w:rPr>
            </w:pPr>
            <w:r>
              <w:rPr>
                <w:rFonts w:ascii="Calibri" w:hAnsi="Calibri" w:cs="Arial"/>
                <w:color w:val="000080"/>
                <w:lang w:val="ro-RO"/>
              </w:rPr>
              <w:t>4.11</w:t>
            </w:r>
            <w:r w:rsidR="00AD636F" w:rsidRPr="00C86702">
              <w:rPr>
                <w:rFonts w:ascii="Calibri" w:hAnsi="Calibri" w:cs="Arial"/>
                <w:color w:val="000080"/>
                <w:lang w:val="ro-RO"/>
              </w:rPr>
              <w:t xml:space="preserve"> Potenţiale r</w:t>
            </w:r>
            <w:r w:rsidR="00AD636F" w:rsidRPr="00C86702">
              <w:rPr>
                <w:rFonts w:ascii="Calibri" w:hAnsi="Calibri"/>
                <w:color w:val="000080"/>
                <w:lang w:val="ro-RO"/>
              </w:rPr>
              <w:t>iscuri fiscal-bugetare asociate</w:t>
            </w:r>
            <w:r w:rsidR="000A2B70">
              <w:rPr>
                <w:rFonts w:ascii="Calibri" w:hAnsi="Calibri"/>
                <w:color w:val="000080"/>
                <w:lang w:val="ro-RO"/>
              </w:rPr>
              <w:t xml:space="preserve"> Strategiei fiscal-buget</w:t>
            </w:r>
            <w:r w:rsidR="00B65469">
              <w:rPr>
                <w:rFonts w:ascii="Calibri" w:hAnsi="Calibri"/>
                <w:color w:val="000080"/>
                <w:lang w:val="ro-RO"/>
              </w:rPr>
              <w:t>are 2019</w:t>
            </w:r>
            <w:r w:rsidR="000A2B70">
              <w:rPr>
                <w:rFonts w:ascii="Calibri" w:hAnsi="Calibri"/>
                <w:color w:val="000080"/>
                <w:lang w:val="ro-RO"/>
              </w:rPr>
              <w:t>-202</w:t>
            </w:r>
            <w:r w:rsidR="00B65469">
              <w:rPr>
                <w:rFonts w:ascii="Calibri" w:hAnsi="Calibri"/>
                <w:color w:val="000080"/>
                <w:lang w:val="ro-RO"/>
              </w:rPr>
              <w:t>1</w:t>
            </w:r>
          </w:p>
        </w:tc>
      </w:tr>
      <w:tr w:rsidR="00AD636F" w:rsidRPr="00C86702"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AD636F" w:rsidRPr="00AC4302" w:rsidTr="008F5B3C">
        <w:tc>
          <w:tcPr>
            <w:tcW w:w="9600" w:type="dxa"/>
            <w:shd w:val="clear" w:color="auto" w:fill="E0E0E0"/>
          </w:tcPr>
          <w:p w:rsidR="00AD636F" w:rsidRPr="00C86702" w:rsidRDefault="00AD636F" w:rsidP="003A3471">
            <w:pPr>
              <w:rPr>
                <w:rFonts w:ascii="Calibri" w:hAnsi="Calibri" w:cs="Arial"/>
                <w:b/>
                <w:bCs/>
                <w:color w:val="000080"/>
                <w:lang w:val="ro-RO"/>
              </w:rPr>
            </w:pPr>
            <w:r w:rsidRPr="00C86702">
              <w:rPr>
                <w:rFonts w:ascii="Calibri" w:hAnsi="Calibri" w:cs="Arial"/>
                <w:b/>
                <w:bCs/>
                <w:color w:val="000080"/>
                <w:lang w:val="ro-RO"/>
              </w:rPr>
              <w:t>5. Cadrul de</w:t>
            </w:r>
            <w:r w:rsidR="00B65469">
              <w:rPr>
                <w:rFonts w:ascii="Calibri" w:hAnsi="Calibri" w:cs="Arial"/>
                <w:b/>
                <w:bCs/>
                <w:color w:val="000080"/>
                <w:lang w:val="ro-RO"/>
              </w:rPr>
              <w:t xml:space="preserve"> cheltuieli pe termen mediu 2019</w:t>
            </w:r>
            <w:r w:rsidR="000A2B70">
              <w:rPr>
                <w:rFonts w:ascii="Calibri" w:hAnsi="Calibri" w:cs="Arial"/>
                <w:b/>
                <w:bCs/>
                <w:color w:val="000080"/>
                <w:lang w:val="ro-RO"/>
              </w:rPr>
              <w:t>-202</w:t>
            </w:r>
            <w:r w:rsidR="00B65469">
              <w:rPr>
                <w:rFonts w:ascii="Calibri" w:hAnsi="Calibri" w:cs="Arial"/>
                <w:b/>
                <w:bCs/>
                <w:color w:val="000080"/>
                <w:lang w:val="ro-RO"/>
              </w:rPr>
              <w:t>1</w:t>
            </w:r>
          </w:p>
        </w:tc>
      </w:tr>
      <w:tr w:rsidR="00AD636F" w:rsidRPr="00AC4302"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131B42" w:rsidRPr="00C86702" w:rsidTr="008F5B3C">
        <w:tc>
          <w:tcPr>
            <w:tcW w:w="9600" w:type="dxa"/>
            <w:shd w:val="clear" w:color="auto" w:fill="E7E6E6"/>
          </w:tcPr>
          <w:p w:rsidR="00131B42" w:rsidRPr="00C86702" w:rsidRDefault="00131B42" w:rsidP="003A3471">
            <w:pPr>
              <w:rPr>
                <w:rFonts w:ascii="Calibri" w:hAnsi="Calibri" w:cs="Arial"/>
                <w:b/>
                <w:bCs/>
                <w:color w:val="000080"/>
                <w:lang w:val="ro-RO"/>
              </w:rPr>
            </w:pPr>
            <w:r w:rsidRPr="00C86702">
              <w:rPr>
                <w:rFonts w:ascii="Calibri" w:hAnsi="Calibri" w:cs="Arial"/>
                <w:b/>
                <w:bCs/>
                <w:color w:val="000080"/>
                <w:lang w:val="ro-RO"/>
              </w:rPr>
              <w:t xml:space="preserve">6. Declaraţie de răspundere  </w:t>
            </w:r>
          </w:p>
        </w:tc>
      </w:tr>
    </w:tbl>
    <w:p w:rsidR="00AD636F" w:rsidRPr="00C86702" w:rsidRDefault="00AD636F" w:rsidP="00AD636F">
      <w:pPr>
        <w:rPr>
          <w:rFonts w:ascii="Calibri" w:hAnsi="Calibri"/>
          <w:b/>
          <w:color w:val="FFFFFF"/>
          <w:lang w:val="ro-RO"/>
        </w:rPr>
      </w:pPr>
    </w:p>
    <w:p w:rsidR="00AD636F" w:rsidRPr="00C86702" w:rsidRDefault="00AD636F" w:rsidP="00AD636F">
      <w:pPr>
        <w:rPr>
          <w:rFonts w:ascii="Calibri" w:hAnsi="Calibri"/>
          <w:lang w:val="ro-RO"/>
        </w:rPr>
      </w:pPr>
    </w:p>
    <w:p w:rsidR="00AD636F" w:rsidRPr="00C86702" w:rsidRDefault="00AD636F" w:rsidP="00AD636F">
      <w:pPr>
        <w:rPr>
          <w:rFonts w:ascii="Calibri" w:hAnsi="Calibri"/>
          <w:b/>
          <w:color w:val="FFFFFF"/>
          <w:lang w:val="ro-RO"/>
        </w:rPr>
      </w:pPr>
    </w:p>
    <w:p w:rsidR="00E90D19" w:rsidRPr="00C86702" w:rsidRDefault="00E90D19" w:rsidP="00AD636F">
      <w:pPr>
        <w:rPr>
          <w:rFonts w:ascii="Calibri" w:hAnsi="Calibri"/>
          <w:b/>
          <w:color w:val="FFFFFF"/>
          <w:lang w:val="ro-RO"/>
        </w:rPr>
      </w:pPr>
    </w:p>
    <w:p w:rsidR="00E90D19" w:rsidRPr="00C86702" w:rsidRDefault="00E90D19" w:rsidP="00AD636F">
      <w:pPr>
        <w:rPr>
          <w:rFonts w:ascii="Calibri" w:hAnsi="Calibri"/>
          <w:b/>
          <w:color w:val="FFFFFF"/>
          <w:lang w:val="ro-RO"/>
        </w:rPr>
      </w:pPr>
    </w:p>
    <w:p w:rsidR="00E90D19" w:rsidRDefault="00E90D19" w:rsidP="00AD636F">
      <w:pPr>
        <w:rPr>
          <w:rFonts w:ascii="Calibri" w:hAnsi="Calibri"/>
          <w:b/>
          <w:color w:val="FFFFFF"/>
          <w:lang w:val="ro-RO"/>
        </w:rPr>
      </w:pPr>
    </w:p>
    <w:p w:rsidR="007B3355" w:rsidRDefault="007B3355" w:rsidP="00AD636F">
      <w:pPr>
        <w:rPr>
          <w:rFonts w:ascii="Calibri" w:hAnsi="Calibri"/>
          <w:b/>
          <w:color w:val="FFFFFF"/>
          <w:lang w:val="ro-RO"/>
        </w:rPr>
      </w:pPr>
    </w:p>
    <w:p w:rsidR="008D1FE8" w:rsidRPr="00C86702" w:rsidRDefault="008D1FE8" w:rsidP="00AD636F">
      <w:pPr>
        <w:rPr>
          <w:rFonts w:ascii="Calibri" w:hAnsi="Calibri"/>
          <w:b/>
          <w:color w:val="FFFFFF"/>
          <w:lang w:val="ro-RO"/>
        </w:rPr>
      </w:pPr>
    </w:p>
    <w:p w:rsidR="008C5172" w:rsidRDefault="008C5172" w:rsidP="00E564D6">
      <w:pPr>
        <w:rPr>
          <w:rFonts w:ascii="Arial" w:hAnsi="Arial" w:cs="Arial"/>
          <w:b/>
          <w:bCs/>
          <w:color w:val="000080"/>
          <w:sz w:val="36"/>
          <w:szCs w:val="36"/>
          <w:lang w:val="ro-RO"/>
        </w:rPr>
      </w:pPr>
    </w:p>
    <w:p w:rsidR="007944FB" w:rsidRPr="00C86702" w:rsidRDefault="007944FB" w:rsidP="00E564D6">
      <w:pPr>
        <w:rPr>
          <w:rFonts w:ascii="Arial" w:hAnsi="Arial" w:cs="Arial"/>
          <w:b/>
          <w:bCs/>
          <w:color w:val="000080"/>
          <w:sz w:val="36"/>
          <w:szCs w:val="36"/>
          <w:lang w:val="ro-RO"/>
        </w:rPr>
      </w:pPr>
    </w:p>
    <w:p w:rsidR="00BB4EA5" w:rsidRPr="00C86702" w:rsidRDefault="00BB4EA5" w:rsidP="00CB01B4">
      <w:pPr>
        <w:shd w:val="clear" w:color="auto" w:fill="9CC2E5"/>
        <w:rPr>
          <w:rFonts w:ascii="Calibri" w:hAnsi="Calibri"/>
          <w:b/>
          <w:color w:val="000080"/>
          <w:lang w:val="ro-RO"/>
        </w:rPr>
      </w:pPr>
      <w:r w:rsidRPr="00C86702">
        <w:rPr>
          <w:rFonts w:ascii="Calibri" w:hAnsi="Calibri"/>
          <w:b/>
          <w:color w:val="000080"/>
          <w:lang w:val="ro-RO"/>
        </w:rPr>
        <w:lastRenderedPageBreak/>
        <w:t>1. Obiectivele politicii fisca</w:t>
      </w:r>
      <w:r w:rsidR="00473379">
        <w:rPr>
          <w:rFonts w:ascii="Calibri" w:hAnsi="Calibri"/>
          <w:b/>
          <w:color w:val="000080"/>
          <w:lang w:val="ro-RO"/>
        </w:rPr>
        <w:t>le şi bugetare pe orizontul 2019-2021</w:t>
      </w:r>
    </w:p>
    <w:p w:rsidR="006A425D" w:rsidRPr="002C1741" w:rsidRDefault="006A425D" w:rsidP="006A425D">
      <w:pPr>
        <w:shd w:val="clear" w:color="auto" w:fill="FFFFFF"/>
        <w:spacing w:before="60" w:after="60"/>
        <w:jc w:val="both"/>
        <w:rPr>
          <w:rFonts w:asciiTheme="minorHAnsi" w:hAnsiTheme="minorHAnsi"/>
          <w:color w:val="000000"/>
          <w:lang w:val="ro-RO" w:eastAsia="ro-RO"/>
        </w:rPr>
      </w:pPr>
      <w:r w:rsidRPr="002C1741">
        <w:rPr>
          <w:rFonts w:asciiTheme="minorHAnsi" w:hAnsiTheme="minorHAnsi" w:cs="Arial"/>
          <w:lang w:val="ro-RO"/>
        </w:rPr>
        <w:t xml:space="preserve">În condițiile  unui cadru european incert, marcat de </w:t>
      </w:r>
      <w:r w:rsidRPr="002C1741">
        <w:rPr>
          <w:rFonts w:asciiTheme="minorHAnsi" w:hAnsiTheme="minorHAnsi"/>
          <w:iCs/>
          <w:color w:val="000000"/>
          <w:lang w:val="ro-RO" w:eastAsia="ro-RO"/>
        </w:rPr>
        <w:t xml:space="preserve"> creșterea prețurilor la energie, </w:t>
      </w:r>
      <w:r w:rsidRPr="002C1741">
        <w:rPr>
          <w:rFonts w:asciiTheme="minorHAnsi" w:hAnsiTheme="minorHAnsi"/>
          <w:color w:val="000000"/>
          <w:lang w:val="ro-RO" w:eastAsia="ro-RO"/>
        </w:rPr>
        <w:t>volatilitatea piețelor financiare, tensiuni comerciale, precum și de  riscuri geopolitice, statele membre sunt conștiente că trebuie să întreprindă măsuri concrete pentru consolidarea rezilienței economiilor lor pentru a răspunde provocărilor viitoare.</w:t>
      </w:r>
    </w:p>
    <w:p w:rsidR="006A425D" w:rsidRPr="002C1741" w:rsidRDefault="006A425D" w:rsidP="006A425D">
      <w:pPr>
        <w:autoSpaceDE w:val="0"/>
        <w:autoSpaceDN w:val="0"/>
        <w:adjustRightInd w:val="0"/>
        <w:jc w:val="both"/>
        <w:rPr>
          <w:rFonts w:asciiTheme="minorHAnsi" w:hAnsiTheme="minorHAnsi" w:cs="Arial"/>
          <w:b/>
          <w:lang w:val="ro-RO"/>
        </w:rPr>
      </w:pPr>
      <w:r w:rsidRPr="002C1741">
        <w:rPr>
          <w:rFonts w:asciiTheme="minorHAnsi" w:hAnsiTheme="minorHAnsi"/>
          <w:iCs/>
          <w:color w:val="000000"/>
          <w:lang w:val="ro-RO" w:eastAsia="ro-RO"/>
        </w:rPr>
        <w:t xml:space="preserve"> In acest context, </w:t>
      </w:r>
      <w:r w:rsidRPr="002C1741">
        <w:rPr>
          <w:rFonts w:asciiTheme="minorHAnsi" w:hAnsiTheme="minorHAnsi" w:cs="Arial"/>
          <w:lang w:val="ro-RO"/>
        </w:rPr>
        <w:t xml:space="preserve">România </w:t>
      </w:r>
      <w:r w:rsidRPr="002C1741">
        <w:rPr>
          <w:rFonts w:asciiTheme="minorHAnsi" w:hAnsiTheme="minorHAnsi" w:cs="Arial"/>
          <w:b/>
          <w:lang w:val="ro-RO"/>
        </w:rPr>
        <w:t>stabilește următoarele obiective ale construcției bugetare pentru  anul 2019 și orizontul 2020-2021:</w:t>
      </w:r>
    </w:p>
    <w:p w:rsidR="006A425D" w:rsidRPr="002C1741" w:rsidRDefault="006A425D" w:rsidP="006A425D">
      <w:pPr>
        <w:autoSpaceDE w:val="0"/>
        <w:autoSpaceDN w:val="0"/>
        <w:adjustRightInd w:val="0"/>
        <w:jc w:val="both"/>
        <w:rPr>
          <w:rFonts w:asciiTheme="minorHAnsi" w:hAnsiTheme="minorHAnsi" w:cs="Arial"/>
          <w:b/>
          <w:lang w:val="ro-RO"/>
        </w:rPr>
      </w:pPr>
    </w:p>
    <w:tbl>
      <w:tblPr>
        <w:tblW w:w="9782" w:type="dxa"/>
        <w:tblBorders>
          <w:top w:val="single" w:sz="24" w:space="0" w:color="99CCFF"/>
          <w:bottom w:val="single" w:sz="24" w:space="0" w:color="99CCFF"/>
        </w:tblBorders>
        <w:shd w:val="clear" w:color="auto" w:fill="F2F2F2"/>
        <w:tblLook w:val="01E0" w:firstRow="1" w:lastRow="1" w:firstColumn="1" w:lastColumn="1" w:noHBand="0" w:noVBand="0"/>
      </w:tblPr>
      <w:tblGrid>
        <w:gridCol w:w="9782"/>
      </w:tblGrid>
      <w:tr w:rsidR="006A425D" w:rsidRPr="00AC4302" w:rsidTr="00A26041">
        <w:trPr>
          <w:trHeight w:val="5555"/>
        </w:trPr>
        <w:tc>
          <w:tcPr>
            <w:tcW w:w="9782" w:type="dxa"/>
            <w:shd w:val="clear" w:color="auto" w:fill="F2F2F2"/>
          </w:tcPr>
          <w:p w:rsidR="006A425D" w:rsidRPr="002C1741" w:rsidRDefault="006A425D" w:rsidP="006A425D">
            <w:pPr>
              <w:tabs>
                <w:tab w:val="left" w:pos="9106"/>
              </w:tabs>
              <w:autoSpaceDE w:val="0"/>
              <w:autoSpaceDN w:val="0"/>
              <w:adjustRightInd w:val="0"/>
              <w:ind w:left="34" w:right="317"/>
              <w:jc w:val="both"/>
              <w:rPr>
                <w:rFonts w:ascii="Calibri Light" w:hAnsi="Calibri Light" w:cs="Arial"/>
                <w:lang w:val="ro-RO"/>
              </w:rPr>
            </w:pPr>
          </w:p>
          <w:p w:rsidR="006A425D" w:rsidRPr="002C1741" w:rsidRDefault="006A425D" w:rsidP="006A425D">
            <w:pPr>
              <w:numPr>
                <w:ilvl w:val="0"/>
                <w:numId w:val="167"/>
              </w:numPr>
              <w:spacing w:before="120" w:after="100" w:line="269" w:lineRule="auto"/>
              <w:jc w:val="both"/>
              <w:rPr>
                <w:rFonts w:ascii="Calibri" w:eastAsia="Calibri" w:hAnsi="Calibri"/>
                <w:lang w:val="ro-RO"/>
              </w:rPr>
            </w:pPr>
            <w:r w:rsidRPr="002C1741">
              <w:rPr>
                <w:rFonts w:ascii="Calibri" w:eastAsia="Calibri" w:hAnsi="Calibri"/>
                <w:b/>
                <w:lang w:val="ro-RO"/>
              </w:rPr>
              <w:t xml:space="preserve">Stimularea,  continuarea, consolidarea și menținerea unei </w:t>
            </w:r>
            <w:r w:rsidRPr="002C1741">
              <w:rPr>
                <w:rFonts w:asciiTheme="minorHAnsi" w:eastAsiaTheme="minorHAnsi" w:hAnsiTheme="minorHAnsi" w:cstheme="minorBidi"/>
                <w:b/>
                <w:lang w:val="ro-RO"/>
              </w:rPr>
              <w:t>creșteri economice inteligente, sustenabile și incluzive</w:t>
            </w:r>
            <w:r w:rsidRPr="002C1741">
              <w:rPr>
                <w:rFonts w:asciiTheme="minorHAnsi" w:eastAsiaTheme="minorHAnsi" w:hAnsiTheme="minorHAnsi" w:cstheme="minorBidi"/>
                <w:lang w:val="ro-RO"/>
              </w:rPr>
              <w:t>, de natură a furniza premisele consolidării unui stat puternic, proactiv și a unei societăți echilibrate,</w:t>
            </w:r>
            <w:r w:rsidRPr="002C1741">
              <w:rPr>
                <w:rFonts w:ascii="Calibri" w:eastAsia="Calibri" w:hAnsi="Calibri"/>
                <w:lang w:val="ro-RO"/>
              </w:rPr>
              <w:t xml:space="preserve"> pentru a mări încrederea investitorilor în economia românească;</w:t>
            </w:r>
          </w:p>
          <w:p w:rsidR="006A425D" w:rsidRPr="002C1741" w:rsidRDefault="006A425D" w:rsidP="006A425D">
            <w:pPr>
              <w:numPr>
                <w:ilvl w:val="0"/>
                <w:numId w:val="167"/>
              </w:numPr>
              <w:spacing w:before="120" w:after="100" w:line="269" w:lineRule="auto"/>
              <w:jc w:val="both"/>
              <w:rPr>
                <w:rFonts w:ascii="Calibri" w:eastAsia="Calibri" w:hAnsi="Calibri"/>
                <w:b/>
                <w:lang w:val="ro-RO"/>
              </w:rPr>
            </w:pPr>
            <w:r w:rsidRPr="002C1741">
              <w:rPr>
                <w:rFonts w:ascii="Calibri" w:eastAsia="Calibri" w:hAnsi="Calibri"/>
                <w:b/>
                <w:lang w:val="ro-RO"/>
              </w:rPr>
              <w:t>Alocarea unor sume importante pentru susținerea  investițiilor publice prin prioritizarea investițiilor publice semnificative</w:t>
            </w:r>
            <w:r w:rsidRPr="002C1741">
              <w:rPr>
                <w:rFonts w:ascii="Calibri" w:eastAsia="Calibri" w:hAnsi="Calibri"/>
                <w:lang w:val="ro-RO"/>
              </w:rPr>
              <w:t xml:space="preserve"> pentru </w:t>
            </w:r>
            <w:r w:rsidRPr="002C1741">
              <w:rPr>
                <w:rFonts w:asciiTheme="minorHAnsi" w:eastAsiaTheme="minorHAnsi" w:hAnsiTheme="minorHAnsi" w:cstheme="minorBidi"/>
                <w:sz w:val="23"/>
                <w:szCs w:val="23"/>
                <w:lang w:val="ro-RO"/>
              </w:rPr>
              <w:t xml:space="preserve">asigurarea infrastructurii şi serviciilor, pentru îmbunătățirea calității vieții, </w:t>
            </w:r>
            <w:r w:rsidRPr="002C1741">
              <w:rPr>
                <w:rFonts w:ascii="Calibri" w:eastAsia="Calibri" w:hAnsi="Calibri"/>
                <w:b/>
                <w:lang w:val="ro-RO"/>
              </w:rPr>
              <w:t>cu  efect multiplicator şi aport direct la formarea brută de capital fix;</w:t>
            </w:r>
          </w:p>
          <w:p w:rsidR="006A425D" w:rsidRPr="002C1741" w:rsidRDefault="006A425D" w:rsidP="006A425D">
            <w:pPr>
              <w:numPr>
                <w:ilvl w:val="0"/>
                <w:numId w:val="167"/>
              </w:numPr>
              <w:spacing w:before="120" w:after="100" w:line="269" w:lineRule="auto"/>
              <w:jc w:val="both"/>
              <w:rPr>
                <w:rFonts w:ascii="Calibri" w:eastAsia="Calibri" w:hAnsi="Calibri"/>
                <w:lang w:val="ro-RO"/>
              </w:rPr>
            </w:pPr>
            <w:r w:rsidRPr="002C1741">
              <w:rPr>
                <w:rFonts w:ascii="Calibri" w:eastAsia="Calibri" w:hAnsi="Calibri"/>
                <w:b/>
                <w:lang w:val="ro-RO"/>
              </w:rPr>
              <w:t xml:space="preserve">Crearea unei politici fiscale predictibile pentru susținerea </w:t>
            </w:r>
            <w:r w:rsidRPr="002C1741">
              <w:rPr>
                <w:rFonts w:ascii="Calibri" w:eastAsia="Calibri" w:hAnsi="Calibri" w:cs="Arial"/>
                <w:b/>
                <w:lang w:val="ro-RO" w:eastAsia="ro-RO"/>
              </w:rPr>
              <w:t>mediului de afaceri și stimularea investițiilor în sectoarele cu valoare adăugată ridicată</w:t>
            </w:r>
            <w:r w:rsidRPr="002C1741">
              <w:rPr>
                <w:rFonts w:ascii="Calibri" w:eastAsia="Calibri" w:hAnsi="Calibri" w:cs="Arial"/>
                <w:lang w:val="ro-RO" w:eastAsia="ro-RO"/>
              </w:rPr>
              <w:t xml:space="preserve">, </w:t>
            </w:r>
            <w:r w:rsidRPr="002C1741">
              <w:rPr>
                <w:rFonts w:ascii="Calibri" w:eastAsia="Calibri" w:hAnsi="Calibri"/>
                <w:b/>
                <w:lang w:val="ro-RO"/>
              </w:rPr>
              <w:t xml:space="preserve">simplificarea fiscalității și fluidizarea proceselor interne, </w:t>
            </w:r>
            <w:r w:rsidRPr="002C1741">
              <w:rPr>
                <w:rFonts w:ascii="Calibri" w:eastAsia="Calibri" w:hAnsi="Calibri"/>
                <w:lang w:val="ro-RO"/>
              </w:rPr>
              <w:t xml:space="preserve"> pentru a crea  premisa unei creșteri economice sustenabile;</w:t>
            </w:r>
          </w:p>
          <w:p w:rsidR="006A425D" w:rsidRPr="002C1741" w:rsidRDefault="006A425D" w:rsidP="006A425D">
            <w:pPr>
              <w:numPr>
                <w:ilvl w:val="0"/>
                <w:numId w:val="167"/>
              </w:numPr>
              <w:spacing w:after="160" w:line="259" w:lineRule="auto"/>
              <w:jc w:val="both"/>
              <w:rPr>
                <w:rFonts w:ascii="Calibri" w:hAnsi="Calibri"/>
                <w:b/>
                <w:lang w:val="ro-RO"/>
              </w:rPr>
            </w:pPr>
            <w:r w:rsidRPr="002C1741">
              <w:rPr>
                <w:rFonts w:ascii="Calibri" w:hAnsi="Calibri"/>
                <w:b/>
                <w:lang w:val="ro-RO"/>
              </w:rPr>
              <w:t>Măsuri adoptate de Guvern privind stimularea consumului</w:t>
            </w:r>
            <w:r w:rsidRPr="002C1741">
              <w:rPr>
                <w:rFonts w:asciiTheme="minorHAnsi" w:hAnsiTheme="minorHAnsi" w:cstheme="minorHAnsi"/>
                <w:lang w:val="ro-RO"/>
              </w:rPr>
              <w:t xml:space="preserve">prin adoptarea unor </w:t>
            </w:r>
            <w:r w:rsidRPr="002C1741">
              <w:rPr>
                <w:rFonts w:asciiTheme="minorHAnsi" w:hAnsiTheme="minorHAnsi" w:cstheme="minorHAnsi"/>
                <w:b/>
                <w:lang w:val="ro-RO"/>
              </w:rPr>
              <w:t>măsuri salariale,</w:t>
            </w:r>
            <w:r w:rsidRPr="002C1741">
              <w:rPr>
                <w:rFonts w:ascii="Calibri" w:hAnsi="Calibri"/>
                <w:b/>
                <w:lang w:val="ro-RO"/>
              </w:rPr>
              <w:t>sociale pentru asigurarea protecției sociale și securității sociale pentru persoane vârstnice, pensionari  și categoriile cele mai vulnerabile.</w:t>
            </w:r>
          </w:p>
          <w:p w:rsidR="006A425D" w:rsidRPr="002C1741" w:rsidRDefault="006A425D" w:rsidP="006A425D">
            <w:pPr>
              <w:numPr>
                <w:ilvl w:val="0"/>
                <w:numId w:val="167"/>
              </w:numPr>
              <w:spacing w:before="120" w:after="100" w:line="269" w:lineRule="auto"/>
              <w:jc w:val="both"/>
              <w:rPr>
                <w:rFonts w:ascii="Calibri" w:eastAsia="Calibri" w:hAnsi="Calibri"/>
                <w:b/>
                <w:color w:val="000000" w:themeColor="text1"/>
                <w:lang w:val="ro-RO"/>
              </w:rPr>
            </w:pPr>
            <w:r w:rsidRPr="002C1741">
              <w:rPr>
                <w:rFonts w:ascii="Calibri" w:eastAsia="Calibri" w:hAnsi="Calibri"/>
                <w:b/>
                <w:color w:val="000000" w:themeColor="text1"/>
                <w:lang w:val="ro-RO"/>
              </w:rPr>
              <w:t xml:space="preserve">Dezvoltarea şi diversificarea instrumentelor de management ale datoriei publice;  </w:t>
            </w:r>
          </w:p>
          <w:p w:rsidR="006A425D" w:rsidRPr="002C1741" w:rsidRDefault="006A425D" w:rsidP="006A425D">
            <w:pPr>
              <w:numPr>
                <w:ilvl w:val="0"/>
                <w:numId w:val="167"/>
              </w:numPr>
              <w:autoSpaceDE w:val="0"/>
              <w:autoSpaceDN w:val="0"/>
              <w:adjustRightInd w:val="0"/>
              <w:spacing w:before="120" w:after="100" w:line="280" w:lineRule="exact"/>
              <w:jc w:val="both"/>
              <w:rPr>
                <w:rFonts w:ascii="Calibri Light" w:hAnsi="Calibri Light" w:cs="Arial"/>
                <w:lang w:val="ro-RO"/>
              </w:rPr>
            </w:pPr>
            <w:r w:rsidRPr="002C1741">
              <w:rPr>
                <w:rFonts w:ascii="Calibri" w:eastAsia="Calibri" w:hAnsi="Calibri"/>
                <w:b/>
                <w:lang w:val="ro-RO"/>
              </w:rPr>
              <w:t>Îmbunătățirea, aplicarea și consolidarea guvernanței bugetare</w:t>
            </w:r>
            <w:r w:rsidRPr="002C1741">
              <w:rPr>
                <w:rFonts w:ascii="Calibri" w:eastAsia="Calibri" w:hAnsi="Calibri"/>
                <w:lang w:val="ro-RO"/>
              </w:rPr>
              <w:t>, creșterea transparenței bugetare și  eficientizarea cheltuielilor publice</w:t>
            </w:r>
          </w:p>
          <w:p w:rsidR="006A425D" w:rsidRPr="002C1741" w:rsidRDefault="006A425D" w:rsidP="006A425D">
            <w:pPr>
              <w:autoSpaceDE w:val="0"/>
              <w:autoSpaceDN w:val="0"/>
              <w:adjustRightInd w:val="0"/>
              <w:jc w:val="both"/>
              <w:rPr>
                <w:rFonts w:ascii="Calibri Light" w:hAnsi="Calibri Light" w:cs="Arial"/>
                <w:lang w:val="ro-RO"/>
              </w:rPr>
            </w:pPr>
          </w:p>
        </w:tc>
      </w:tr>
    </w:tbl>
    <w:p w:rsidR="006A425D" w:rsidRPr="002C1741" w:rsidRDefault="006A425D" w:rsidP="006A425D">
      <w:pPr>
        <w:spacing w:after="160" w:line="259" w:lineRule="auto"/>
        <w:ind w:left="360"/>
        <w:contextualSpacing/>
        <w:rPr>
          <w:rFonts w:ascii="Calibri" w:eastAsia="Calibri" w:hAnsi="Calibri"/>
          <w:b/>
          <w:color w:val="000080"/>
          <w:lang w:val="ro-RO"/>
        </w:rPr>
      </w:pPr>
    </w:p>
    <w:p w:rsidR="006A425D" w:rsidRPr="002C1741" w:rsidRDefault="006A425D" w:rsidP="006A425D">
      <w:pPr>
        <w:shd w:val="clear" w:color="auto" w:fill="97B0FF"/>
        <w:rPr>
          <w:rFonts w:ascii="Calibri" w:hAnsi="Calibri"/>
          <w:b/>
          <w:lang w:val="ro-RO"/>
        </w:rPr>
      </w:pPr>
      <w:r w:rsidRPr="002C1741">
        <w:rPr>
          <w:rFonts w:ascii="Calibri" w:hAnsi="Calibri"/>
          <w:b/>
          <w:lang w:val="ro-RO"/>
        </w:rPr>
        <w:t>PREZENTAREA PE LARG A OBIECTIVELOR ŞI INDICATORILOR MACROECONOMICI</w:t>
      </w:r>
    </w:p>
    <w:p w:rsidR="006A425D" w:rsidRPr="002C1741" w:rsidRDefault="006A425D" w:rsidP="006A425D">
      <w:pPr>
        <w:shd w:val="clear" w:color="auto" w:fill="97B0FF"/>
        <w:rPr>
          <w:rFonts w:ascii="Calibri" w:hAnsi="Calibri"/>
          <w:b/>
          <w:lang w:val="ro-RO"/>
        </w:rPr>
      </w:pPr>
    </w:p>
    <w:p w:rsidR="006A425D" w:rsidRPr="002C1741" w:rsidRDefault="006A425D" w:rsidP="006A425D">
      <w:pPr>
        <w:spacing w:after="160" w:line="259" w:lineRule="auto"/>
        <w:ind w:left="360"/>
        <w:contextualSpacing/>
        <w:rPr>
          <w:rFonts w:ascii="Calibri" w:eastAsia="Calibri" w:hAnsi="Calibri"/>
          <w:b/>
          <w:color w:val="000080"/>
          <w:lang w:val="ro-RO"/>
        </w:rPr>
      </w:pPr>
    </w:p>
    <w:p w:rsidR="006A425D" w:rsidRPr="002C1741" w:rsidRDefault="006A425D" w:rsidP="006A425D">
      <w:pPr>
        <w:widowControl w:val="0"/>
        <w:numPr>
          <w:ilvl w:val="0"/>
          <w:numId w:val="169"/>
        </w:numPr>
        <w:shd w:val="clear" w:color="auto" w:fill="DEEAF6" w:themeFill="accent1" w:themeFillTint="33"/>
        <w:autoSpaceDE w:val="0"/>
        <w:autoSpaceDN w:val="0"/>
        <w:adjustRightInd w:val="0"/>
        <w:spacing w:line="320" w:lineRule="exact"/>
        <w:ind w:left="284" w:hanging="284"/>
        <w:contextualSpacing/>
        <w:jc w:val="both"/>
        <w:rPr>
          <w:rFonts w:ascii="Calibri" w:eastAsia="Calibri" w:hAnsi="Calibri" w:cs="Calibri"/>
          <w:b/>
          <w:color w:val="000000" w:themeColor="text1"/>
          <w:szCs w:val="22"/>
          <w:lang w:val="ro-RO"/>
        </w:rPr>
      </w:pPr>
      <w:r w:rsidRPr="002C1741">
        <w:rPr>
          <w:rFonts w:ascii="Calibri" w:eastAsia="Calibri" w:hAnsi="Calibri" w:cs="Calibri"/>
          <w:b/>
          <w:color w:val="000000" w:themeColor="text1"/>
          <w:szCs w:val="22"/>
          <w:lang w:val="ro-RO"/>
        </w:rPr>
        <w:t>Stimularea, continuarea, consolidarea și menținerea unei creșteri economice inteligente, sustenabile și incluzive, de natură a furniza premisele consolidării unui stat puternic, proactiv și a unei societăți echilibrate, pentru a mări încrederea investitorilor în economia românească</w:t>
      </w:r>
    </w:p>
    <w:p w:rsidR="006A425D" w:rsidRPr="003964D3" w:rsidRDefault="006A425D" w:rsidP="006A425D">
      <w:pPr>
        <w:widowControl w:val="0"/>
        <w:autoSpaceDE w:val="0"/>
        <w:autoSpaceDN w:val="0"/>
        <w:adjustRightInd w:val="0"/>
        <w:spacing w:line="320" w:lineRule="exact"/>
        <w:jc w:val="both"/>
        <w:rPr>
          <w:rFonts w:ascii="Calibri" w:eastAsia="Calibri" w:hAnsi="Calibri" w:cs="Calibri"/>
          <w:lang w:val="ro-RO"/>
        </w:rPr>
      </w:pPr>
    </w:p>
    <w:p w:rsidR="006A425D" w:rsidRPr="002C1741" w:rsidRDefault="006A425D" w:rsidP="006A425D">
      <w:pPr>
        <w:keepNext/>
        <w:spacing w:before="120"/>
        <w:contextualSpacing/>
        <w:jc w:val="both"/>
        <w:rPr>
          <w:rFonts w:ascii="Calibri" w:hAnsi="Calibri"/>
          <w:color w:val="000000" w:themeColor="text1"/>
          <w:lang w:val="ro-RO"/>
        </w:rPr>
      </w:pPr>
      <w:r w:rsidRPr="002C1741">
        <w:rPr>
          <w:rFonts w:ascii="Calibri" w:eastAsia="Calibri" w:hAnsi="Calibri" w:cs="Calibri"/>
          <w:lang w:val="ro-RO"/>
        </w:rPr>
        <w:t xml:space="preserve">Cadrul macroeconomic configurat pentru perioada 2019 -2021  a luat în considerare: </w:t>
      </w:r>
      <w:r w:rsidRPr="002C1741">
        <w:rPr>
          <w:rFonts w:ascii="Calibri" w:eastAsia="Calibri" w:hAnsi="Calibri"/>
          <w:b/>
          <w:lang w:val="ro-RO"/>
        </w:rPr>
        <w:t>(i)</w:t>
      </w:r>
      <w:r w:rsidRPr="002C1741">
        <w:rPr>
          <w:rFonts w:ascii="Calibri" w:eastAsia="Calibri" w:hAnsi="Calibri"/>
          <w:lang w:val="ro-RO"/>
        </w:rPr>
        <w:t xml:space="preserve"> impactul pozitiv al măsurilor fiscal bugetare întreprinse până în prezent  asupra mediului de afaceri și asupra puterii de cumpărare a populației; </w:t>
      </w:r>
      <w:r w:rsidRPr="002C1741">
        <w:rPr>
          <w:rFonts w:ascii="Calibri" w:eastAsia="Calibri" w:hAnsi="Calibri"/>
          <w:b/>
          <w:lang w:val="ro-RO"/>
        </w:rPr>
        <w:t>(ii)</w:t>
      </w:r>
      <w:r w:rsidRPr="002C1741">
        <w:rPr>
          <w:rFonts w:ascii="Calibri" w:eastAsia="Calibri" w:hAnsi="Calibri"/>
          <w:lang w:val="ro-RO"/>
        </w:rPr>
        <w:t xml:space="preserve"> contextul european și global, evidențiat în previziunile  de toamnă   ale Comisiei Europene, caracterizat prin  creștere economică, dar mai puțin dinamică, pe fondul unui grad ridicat de incertitudine, creșterea </w:t>
      </w:r>
      <w:r w:rsidRPr="003964D3">
        <w:rPr>
          <w:rFonts w:ascii="Verdana" w:hAnsi="Verdana"/>
          <w:color w:val="000000"/>
          <w:sz w:val="20"/>
          <w:szCs w:val="20"/>
          <w:shd w:val="clear" w:color="auto" w:fill="FFFFFF"/>
          <w:lang w:val="ro-RO"/>
        </w:rPr>
        <w:t xml:space="preserve">tensiunilor comerciale, creșterea prețurilor la petrol, piețe financiare tensionate, marcat de multiple riscuri interconectate de evoluție negative; </w:t>
      </w:r>
      <w:r w:rsidRPr="002C1741">
        <w:rPr>
          <w:rFonts w:ascii="Calibri" w:eastAsia="Calibri" w:hAnsi="Calibri"/>
          <w:b/>
          <w:lang w:val="ro-RO"/>
        </w:rPr>
        <w:lastRenderedPageBreak/>
        <w:t>(iii)</w:t>
      </w:r>
      <w:r w:rsidRPr="002C1741">
        <w:rPr>
          <w:rFonts w:ascii="Calibri" w:eastAsia="Calibri" w:hAnsi="Calibri"/>
          <w:lang w:val="ro-RO"/>
        </w:rPr>
        <w:t xml:space="preserve"> realizările economico-sociale din anul 2017 și din anul  2018 până la momentul actual, </w:t>
      </w:r>
      <w:r w:rsidRPr="003964D3">
        <w:rPr>
          <w:rFonts w:ascii="Calibri" w:eastAsia="Calibri" w:hAnsi="Calibri" w:cs="Calibri"/>
          <w:color w:val="000000" w:themeColor="text1"/>
          <w:lang w:val="ro-RO"/>
        </w:rPr>
        <w:t xml:space="preserve">aspecte care vor sta </w:t>
      </w:r>
      <w:r w:rsidRPr="002C1741">
        <w:rPr>
          <w:rFonts w:asciiTheme="minorHAnsi" w:hAnsiTheme="minorHAnsi" w:cs="Arial"/>
          <w:color w:val="000000" w:themeColor="text1"/>
          <w:lang w:val="ro-RO"/>
        </w:rPr>
        <w:t xml:space="preserve">la baza </w:t>
      </w:r>
      <w:r w:rsidRPr="002C1741">
        <w:rPr>
          <w:rFonts w:asciiTheme="minorHAnsi" w:hAnsiTheme="minorHAnsi" w:cstheme="minorHAnsi"/>
          <w:iCs/>
          <w:color w:val="000000" w:themeColor="text1"/>
          <w:lang w:val="ro-RO"/>
        </w:rPr>
        <w:t>fundamentării indicatorilor bugetari pentru anul 2019 si orizontul de referință 2020-2021, asigurându-se astfel caracterul predictibil și sustenabil al acestora.</w:t>
      </w:r>
      <w:r w:rsidRPr="002C1741">
        <w:rPr>
          <w:rFonts w:ascii="Calibri" w:hAnsi="Calibri"/>
          <w:color w:val="000000" w:themeColor="text1"/>
          <w:lang w:val="ro-RO"/>
        </w:rPr>
        <w:t xml:space="preserve">Având în vedere evoluția potențialului de creștere economică, pentru perioada 2019-2021 se estimează că economia românească va continua creşterea susţinută, fiind posibilă o creştere a produsului intern brut, în medie, cu 5,4% anual. </w:t>
      </w:r>
    </w:p>
    <w:p w:rsidR="006A425D" w:rsidRDefault="006A425D" w:rsidP="006A425D">
      <w:pPr>
        <w:keepNext/>
        <w:spacing w:before="120"/>
        <w:contextualSpacing/>
        <w:jc w:val="both"/>
        <w:rPr>
          <w:rFonts w:ascii="Calibri" w:hAnsi="Calibri"/>
          <w:color w:val="000000" w:themeColor="text1"/>
          <w:lang w:val="ro-RO"/>
        </w:rPr>
      </w:pPr>
    </w:p>
    <w:p w:rsidR="006A425D" w:rsidRDefault="006A425D" w:rsidP="006A425D">
      <w:pPr>
        <w:keepNext/>
        <w:spacing w:before="120"/>
        <w:contextualSpacing/>
        <w:jc w:val="both"/>
        <w:rPr>
          <w:rFonts w:ascii="Calibri" w:hAnsi="Calibri"/>
          <w:color w:val="000000" w:themeColor="text1"/>
          <w:lang w:val="ro-RO"/>
        </w:rPr>
      </w:pPr>
    </w:p>
    <w:tbl>
      <w:tblPr>
        <w:tblW w:w="8495" w:type="dxa"/>
        <w:jc w:val="center"/>
        <w:tblLook w:val="04A0" w:firstRow="1" w:lastRow="0" w:firstColumn="1" w:lastColumn="0" w:noHBand="0" w:noVBand="1"/>
      </w:tblPr>
      <w:tblGrid>
        <w:gridCol w:w="3959"/>
        <w:gridCol w:w="993"/>
        <w:gridCol w:w="850"/>
        <w:gridCol w:w="851"/>
        <w:gridCol w:w="992"/>
        <w:gridCol w:w="850"/>
      </w:tblGrid>
      <w:tr w:rsidR="006A425D" w:rsidRPr="00FA16B0" w:rsidTr="006A425D">
        <w:trPr>
          <w:trHeight w:val="255"/>
          <w:jc w:val="center"/>
        </w:trPr>
        <w:tc>
          <w:tcPr>
            <w:tcW w:w="6653" w:type="dxa"/>
            <w:gridSpan w:val="4"/>
            <w:tcBorders>
              <w:top w:val="nil"/>
              <w:left w:val="nil"/>
              <w:bottom w:val="nil"/>
              <w:right w:val="nil"/>
            </w:tcBorders>
            <w:shd w:val="clear" w:color="CCCCFF" w:fill="99CCFF"/>
            <w:noWrap/>
            <w:vAlign w:val="bottom"/>
          </w:tcPr>
          <w:p w:rsidR="006A425D" w:rsidRPr="00FA16B0" w:rsidRDefault="006A425D" w:rsidP="006A425D">
            <w:pPr>
              <w:ind w:left="1442"/>
              <w:jc w:val="center"/>
              <w:rPr>
                <w:rFonts w:ascii="Calibri" w:hAnsi="Calibri" w:cs="Arial"/>
                <w:b/>
                <w:bCs/>
                <w:lang w:val="ro-RO" w:eastAsia="ro-RO"/>
              </w:rPr>
            </w:pPr>
            <w:r w:rsidRPr="00FA16B0">
              <w:rPr>
                <w:rFonts w:ascii="Calibri" w:hAnsi="Calibri" w:cs="Arial"/>
                <w:b/>
                <w:bCs/>
                <w:lang w:val="ro-RO" w:eastAsia="ro-RO"/>
              </w:rPr>
              <w:t>Proiecția indicatorilor bugetari  pentru                                              perioada 2017- 202</w:t>
            </w:r>
            <w:r>
              <w:rPr>
                <w:rFonts w:ascii="Calibri" w:hAnsi="Calibri" w:cs="Arial"/>
                <w:b/>
                <w:bCs/>
                <w:lang w:val="ro-RO" w:eastAsia="ro-RO"/>
              </w:rPr>
              <w:t>1</w:t>
            </w:r>
          </w:p>
        </w:tc>
        <w:tc>
          <w:tcPr>
            <w:tcW w:w="992" w:type="dxa"/>
            <w:tcBorders>
              <w:top w:val="nil"/>
              <w:left w:val="nil"/>
              <w:bottom w:val="nil"/>
              <w:right w:val="nil"/>
            </w:tcBorders>
            <w:shd w:val="clear" w:color="CCCCFF" w:fill="99CCFF"/>
          </w:tcPr>
          <w:p w:rsidR="006A425D" w:rsidRPr="00FA16B0" w:rsidRDefault="006A425D" w:rsidP="006A425D">
            <w:pPr>
              <w:jc w:val="center"/>
              <w:rPr>
                <w:rFonts w:ascii="Calibri" w:hAnsi="Calibri" w:cs="Arial"/>
                <w:b/>
                <w:bCs/>
                <w:lang w:val="ro-RO" w:eastAsia="ro-RO"/>
              </w:rPr>
            </w:pPr>
          </w:p>
        </w:tc>
        <w:tc>
          <w:tcPr>
            <w:tcW w:w="850" w:type="dxa"/>
            <w:tcBorders>
              <w:top w:val="nil"/>
              <w:left w:val="nil"/>
              <w:bottom w:val="nil"/>
              <w:right w:val="nil"/>
            </w:tcBorders>
            <w:shd w:val="clear" w:color="CCCCFF" w:fill="99CCFF"/>
          </w:tcPr>
          <w:p w:rsidR="006A425D" w:rsidRPr="00FA16B0" w:rsidRDefault="006A425D" w:rsidP="006A425D">
            <w:pPr>
              <w:jc w:val="center"/>
              <w:rPr>
                <w:rFonts w:ascii="Calibri" w:hAnsi="Calibri" w:cs="Arial"/>
                <w:b/>
                <w:bCs/>
                <w:lang w:val="ro-RO" w:eastAsia="ro-RO"/>
              </w:rPr>
            </w:pPr>
          </w:p>
        </w:tc>
      </w:tr>
      <w:tr w:rsidR="006A425D" w:rsidRPr="00FA16B0" w:rsidTr="006A425D">
        <w:trPr>
          <w:trHeight w:val="330"/>
          <w:jc w:val="center"/>
        </w:trPr>
        <w:tc>
          <w:tcPr>
            <w:tcW w:w="3959" w:type="dxa"/>
            <w:tcBorders>
              <w:top w:val="nil"/>
              <w:left w:val="nil"/>
              <w:bottom w:val="nil"/>
              <w:right w:val="nil"/>
            </w:tcBorders>
            <w:shd w:val="clear" w:color="CCCCFF" w:fill="99CCFF"/>
            <w:noWrap/>
            <w:vAlign w:val="bottom"/>
          </w:tcPr>
          <w:p w:rsidR="006A425D" w:rsidRPr="00FA16B0" w:rsidRDefault="006A425D" w:rsidP="006A425D">
            <w:pPr>
              <w:rPr>
                <w:rFonts w:ascii="Calibri" w:hAnsi="Calibri" w:cs="Arial"/>
                <w:b/>
                <w:bCs/>
                <w:lang w:val="ro-RO" w:eastAsia="ro-RO"/>
              </w:rPr>
            </w:pPr>
            <w:r w:rsidRPr="00FA16B0">
              <w:rPr>
                <w:rFonts w:ascii="Calibri" w:hAnsi="Calibri" w:cs="Arial"/>
                <w:b/>
                <w:bCs/>
                <w:lang w:val="ro-RO" w:eastAsia="ro-RO"/>
              </w:rPr>
              <w:t> </w:t>
            </w:r>
          </w:p>
        </w:tc>
        <w:tc>
          <w:tcPr>
            <w:tcW w:w="993" w:type="dxa"/>
            <w:tcBorders>
              <w:top w:val="nil"/>
              <w:left w:val="nil"/>
              <w:bottom w:val="nil"/>
              <w:right w:val="nil"/>
            </w:tcBorders>
            <w:shd w:val="clear" w:color="CCCCFF" w:fill="99CCFF"/>
            <w:noWrap/>
            <w:vAlign w:val="bottom"/>
          </w:tcPr>
          <w:p w:rsidR="006A425D" w:rsidRPr="00FA16B0" w:rsidRDefault="006A425D" w:rsidP="006A425D">
            <w:pPr>
              <w:rPr>
                <w:rFonts w:ascii="Calibri" w:hAnsi="Calibri" w:cs="Arial"/>
                <w:lang w:val="ro-RO" w:eastAsia="ro-RO"/>
              </w:rPr>
            </w:pPr>
            <w:r w:rsidRPr="00FA16B0">
              <w:rPr>
                <w:rFonts w:ascii="Calibri" w:hAnsi="Calibri" w:cs="Arial"/>
                <w:lang w:val="ro-RO" w:eastAsia="ro-RO"/>
              </w:rPr>
              <w:t> </w:t>
            </w:r>
          </w:p>
        </w:tc>
        <w:tc>
          <w:tcPr>
            <w:tcW w:w="1701" w:type="dxa"/>
            <w:gridSpan w:val="2"/>
            <w:tcBorders>
              <w:top w:val="nil"/>
              <w:left w:val="nil"/>
              <w:bottom w:val="nil"/>
              <w:right w:val="nil"/>
            </w:tcBorders>
            <w:shd w:val="clear" w:color="CCCCFF" w:fill="99CCFF"/>
            <w:noWrap/>
            <w:vAlign w:val="bottom"/>
          </w:tcPr>
          <w:p w:rsidR="006A425D" w:rsidRPr="00FA16B0" w:rsidRDefault="006A425D" w:rsidP="006A425D">
            <w:pPr>
              <w:jc w:val="right"/>
              <w:rPr>
                <w:rFonts w:ascii="Calibri" w:hAnsi="Calibri" w:cs="Arial"/>
                <w:lang w:val="ro-RO" w:eastAsia="ro-RO"/>
              </w:rPr>
            </w:pPr>
            <w:r w:rsidRPr="00FA16B0">
              <w:rPr>
                <w:rFonts w:ascii="Calibri" w:hAnsi="Calibri" w:cs="Arial"/>
                <w:lang w:val="ro-RO" w:eastAsia="ro-RO"/>
              </w:rPr>
              <w:t>-  % din PIB</w:t>
            </w:r>
          </w:p>
        </w:tc>
        <w:tc>
          <w:tcPr>
            <w:tcW w:w="992" w:type="dxa"/>
            <w:tcBorders>
              <w:top w:val="nil"/>
              <w:left w:val="nil"/>
              <w:bottom w:val="nil"/>
              <w:right w:val="nil"/>
            </w:tcBorders>
            <w:shd w:val="clear" w:color="CCCCFF" w:fill="99CCFF"/>
          </w:tcPr>
          <w:p w:rsidR="006A425D" w:rsidRPr="00FA16B0" w:rsidRDefault="006A425D" w:rsidP="006A425D">
            <w:pPr>
              <w:jc w:val="right"/>
              <w:rPr>
                <w:rFonts w:ascii="Calibri" w:hAnsi="Calibri" w:cs="Arial"/>
                <w:lang w:val="ro-RO" w:eastAsia="ro-RO"/>
              </w:rPr>
            </w:pPr>
          </w:p>
        </w:tc>
        <w:tc>
          <w:tcPr>
            <w:tcW w:w="850" w:type="dxa"/>
            <w:tcBorders>
              <w:top w:val="nil"/>
              <w:left w:val="nil"/>
              <w:bottom w:val="nil"/>
              <w:right w:val="nil"/>
            </w:tcBorders>
            <w:shd w:val="clear" w:color="CCCCFF" w:fill="99CCFF"/>
          </w:tcPr>
          <w:p w:rsidR="006A425D" w:rsidRPr="00FA16B0" w:rsidRDefault="006A425D" w:rsidP="006A425D">
            <w:pPr>
              <w:jc w:val="right"/>
              <w:rPr>
                <w:rFonts w:ascii="Calibri" w:hAnsi="Calibri" w:cs="Arial"/>
                <w:lang w:val="ro-RO" w:eastAsia="ro-RO"/>
              </w:rPr>
            </w:pPr>
          </w:p>
        </w:tc>
      </w:tr>
      <w:tr w:rsidR="006A425D" w:rsidRPr="00FA16B0" w:rsidTr="006A425D">
        <w:trPr>
          <w:trHeight w:val="330"/>
          <w:jc w:val="center"/>
        </w:trPr>
        <w:tc>
          <w:tcPr>
            <w:tcW w:w="3959" w:type="dxa"/>
            <w:tcBorders>
              <w:top w:val="single" w:sz="8" w:space="0" w:color="auto"/>
              <w:left w:val="single" w:sz="8" w:space="0" w:color="auto"/>
              <w:bottom w:val="nil"/>
              <w:right w:val="nil"/>
            </w:tcBorders>
            <w:shd w:val="clear" w:color="CCCCFF" w:fill="99CCFF"/>
            <w:noWrap/>
            <w:vAlign w:val="bottom"/>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 </w:t>
            </w:r>
          </w:p>
        </w:tc>
        <w:tc>
          <w:tcPr>
            <w:tcW w:w="993" w:type="dxa"/>
            <w:tcBorders>
              <w:top w:val="single" w:sz="8" w:space="0" w:color="auto"/>
              <w:left w:val="single" w:sz="8" w:space="0" w:color="auto"/>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2017</w:t>
            </w:r>
          </w:p>
        </w:tc>
        <w:tc>
          <w:tcPr>
            <w:tcW w:w="850" w:type="dxa"/>
            <w:tcBorders>
              <w:top w:val="single" w:sz="8" w:space="0" w:color="auto"/>
              <w:left w:val="nil"/>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2018</w:t>
            </w:r>
          </w:p>
        </w:tc>
        <w:tc>
          <w:tcPr>
            <w:tcW w:w="851" w:type="dxa"/>
            <w:tcBorders>
              <w:top w:val="single" w:sz="8" w:space="0" w:color="auto"/>
              <w:left w:val="nil"/>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2019</w:t>
            </w:r>
          </w:p>
        </w:tc>
        <w:tc>
          <w:tcPr>
            <w:tcW w:w="992" w:type="dxa"/>
            <w:tcBorders>
              <w:top w:val="single" w:sz="8" w:space="0" w:color="auto"/>
              <w:left w:val="nil"/>
              <w:bottom w:val="single" w:sz="8" w:space="0" w:color="auto"/>
              <w:right w:val="single" w:sz="8" w:space="0" w:color="auto"/>
            </w:tcBorders>
            <w:shd w:val="clear" w:color="CCCCFF" w:fill="99CCFF"/>
            <w:vAlign w:val="center"/>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2020</w:t>
            </w:r>
          </w:p>
        </w:tc>
        <w:tc>
          <w:tcPr>
            <w:tcW w:w="850" w:type="dxa"/>
            <w:tcBorders>
              <w:top w:val="single" w:sz="8" w:space="0" w:color="auto"/>
              <w:left w:val="nil"/>
              <w:bottom w:val="single" w:sz="8" w:space="0" w:color="auto"/>
              <w:right w:val="single" w:sz="8" w:space="0" w:color="auto"/>
            </w:tcBorders>
            <w:shd w:val="clear" w:color="CCCCFF" w:fill="99CCFF"/>
            <w:vAlign w:val="center"/>
          </w:tcPr>
          <w:p w:rsidR="006A425D" w:rsidRPr="00FA16B0" w:rsidRDefault="006A425D" w:rsidP="006A425D">
            <w:pPr>
              <w:jc w:val="center"/>
              <w:rPr>
                <w:rFonts w:ascii="Calibri" w:hAnsi="Calibri" w:cs="Arial"/>
                <w:b/>
                <w:bCs/>
                <w:lang w:val="ro-RO" w:eastAsia="ro-RO"/>
              </w:rPr>
            </w:pPr>
            <w:r w:rsidRPr="00FA16B0">
              <w:rPr>
                <w:rFonts w:ascii="Calibri" w:hAnsi="Calibri" w:cs="Arial"/>
                <w:b/>
                <w:bCs/>
                <w:lang w:val="ro-RO" w:eastAsia="ro-RO"/>
              </w:rPr>
              <w:t>2021</w:t>
            </w:r>
          </w:p>
        </w:tc>
      </w:tr>
      <w:tr w:rsidR="006A425D" w:rsidRPr="00FA16B0" w:rsidTr="006A425D">
        <w:trPr>
          <w:trHeight w:val="540"/>
          <w:jc w:val="center"/>
        </w:trPr>
        <w:tc>
          <w:tcPr>
            <w:tcW w:w="3959" w:type="dxa"/>
            <w:tcBorders>
              <w:top w:val="single" w:sz="8" w:space="0" w:color="000000"/>
              <w:left w:val="single" w:sz="8" w:space="0" w:color="auto"/>
              <w:bottom w:val="single" w:sz="4" w:space="0" w:color="auto"/>
              <w:right w:val="nil"/>
            </w:tcBorders>
            <w:shd w:val="clear" w:color="auto" w:fill="auto"/>
            <w:vAlign w:val="center"/>
          </w:tcPr>
          <w:p w:rsidR="006A425D" w:rsidRPr="00FA16B0" w:rsidRDefault="006A425D" w:rsidP="006A425D">
            <w:pPr>
              <w:jc w:val="both"/>
              <w:rPr>
                <w:rFonts w:ascii="Calibri" w:hAnsi="Calibri" w:cs="Arial"/>
                <w:lang w:val="ro-RO" w:eastAsia="ro-RO"/>
              </w:rPr>
            </w:pPr>
            <w:r w:rsidRPr="00FA16B0">
              <w:rPr>
                <w:rFonts w:ascii="Calibri" w:hAnsi="Calibri" w:cs="Arial"/>
                <w:lang w:val="ro-RO" w:eastAsia="ro-RO"/>
              </w:rPr>
              <w:t>VENITURI buget general consolidat (cash)</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tcPr>
          <w:p w:rsidR="006A425D" w:rsidRPr="00FA16B0" w:rsidRDefault="006A425D" w:rsidP="006A425D">
            <w:pPr>
              <w:jc w:val="center"/>
              <w:rPr>
                <w:rFonts w:ascii="Calibri" w:hAnsi="Calibri" w:cs="Arial"/>
                <w:lang w:val="ro-RO" w:eastAsia="ro-RO"/>
              </w:rPr>
            </w:pPr>
            <w:r w:rsidRPr="00FA16B0">
              <w:rPr>
                <w:rFonts w:ascii="Calibri" w:hAnsi="Calibri" w:cs="Arial"/>
                <w:lang w:val="ro-RO" w:eastAsia="ro-RO"/>
              </w:rPr>
              <w:t>29,40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A425D" w:rsidRPr="003350EC" w:rsidRDefault="006A425D" w:rsidP="00715536">
            <w:pPr>
              <w:jc w:val="center"/>
              <w:rPr>
                <w:rFonts w:ascii="Calibri" w:hAnsi="Calibri" w:cs="Arial"/>
                <w:color w:val="000000" w:themeColor="text1"/>
                <w:lang w:val="ro-RO" w:eastAsia="ro-RO"/>
              </w:rPr>
            </w:pPr>
            <w:r w:rsidRPr="003350EC">
              <w:rPr>
                <w:rFonts w:ascii="Calibri" w:hAnsi="Calibri" w:cs="Arial"/>
                <w:color w:val="000000" w:themeColor="text1"/>
                <w:lang w:val="ro-RO" w:eastAsia="ro-RO"/>
              </w:rPr>
              <w:t>31,</w:t>
            </w:r>
            <w:r w:rsidR="00715536" w:rsidRPr="003350EC">
              <w:rPr>
                <w:rFonts w:ascii="Calibri" w:hAnsi="Calibri" w:cs="Arial"/>
                <w:color w:val="000000" w:themeColor="text1"/>
                <w:lang w:val="ro-RO" w:eastAsia="ro-RO"/>
              </w:rPr>
              <w:t>38</w:t>
            </w:r>
          </w:p>
        </w:tc>
        <w:tc>
          <w:tcPr>
            <w:tcW w:w="851" w:type="dxa"/>
            <w:tcBorders>
              <w:top w:val="nil"/>
              <w:left w:val="single" w:sz="4" w:space="0" w:color="auto"/>
              <w:bottom w:val="single" w:sz="4" w:space="0" w:color="auto"/>
              <w:right w:val="single" w:sz="8" w:space="0" w:color="auto"/>
            </w:tcBorders>
            <w:shd w:val="clear" w:color="auto" w:fill="auto"/>
            <w:noWrap/>
            <w:vAlign w:val="center"/>
          </w:tcPr>
          <w:p w:rsidR="006A425D" w:rsidRPr="00FA16B0" w:rsidRDefault="004F3E7F" w:rsidP="006A425D">
            <w:pPr>
              <w:jc w:val="center"/>
              <w:rPr>
                <w:rFonts w:ascii="Calibri" w:hAnsi="Calibri" w:cs="Arial"/>
                <w:lang w:val="ro-RO" w:eastAsia="ro-RO"/>
              </w:rPr>
            </w:pPr>
            <w:r>
              <w:rPr>
                <w:rFonts w:ascii="Calibri" w:hAnsi="Calibri" w:cs="Arial"/>
                <w:lang w:val="ro-RO" w:eastAsia="ro-RO"/>
              </w:rPr>
              <w:t>33,51</w:t>
            </w:r>
          </w:p>
        </w:tc>
        <w:tc>
          <w:tcPr>
            <w:tcW w:w="992" w:type="dxa"/>
            <w:tcBorders>
              <w:top w:val="nil"/>
              <w:left w:val="nil"/>
              <w:bottom w:val="single" w:sz="4" w:space="0" w:color="auto"/>
              <w:right w:val="single" w:sz="8" w:space="0" w:color="auto"/>
            </w:tcBorders>
            <w:vAlign w:val="center"/>
          </w:tcPr>
          <w:p w:rsidR="006A425D" w:rsidRPr="00FA16B0" w:rsidRDefault="006A425D" w:rsidP="006A425D">
            <w:pPr>
              <w:jc w:val="center"/>
              <w:rPr>
                <w:rFonts w:ascii="Calibri" w:hAnsi="Calibri" w:cs="Arial"/>
                <w:lang w:val="ro-RO" w:eastAsia="ro-RO"/>
              </w:rPr>
            </w:pPr>
            <w:r w:rsidRPr="00FA16B0">
              <w:rPr>
                <w:rFonts w:ascii="Calibri" w:hAnsi="Calibri" w:cs="Arial"/>
                <w:lang w:val="ro-RO" w:eastAsia="ro-RO"/>
              </w:rPr>
              <w:t>32,23</w:t>
            </w:r>
          </w:p>
        </w:tc>
        <w:tc>
          <w:tcPr>
            <w:tcW w:w="850" w:type="dxa"/>
            <w:tcBorders>
              <w:top w:val="nil"/>
              <w:left w:val="nil"/>
              <w:bottom w:val="single" w:sz="4" w:space="0" w:color="auto"/>
              <w:right w:val="single" w:sz="8" w:space="0" w:color="auto"/>
            </w:tcBorders>
            <w:vAlign w:val="center"/>
          </w:tcPr>
          <w:p w:rsidR="006A425D" w:rsidRPr="00FA16B0" w:rsidRDefault="006A425D" w:rsidP="006A425D">
            <w:pPr>
              <w:jc w:val="center"/>
              <w:rPr>
                <w:rFonts w:ascii="Calibri" w:hAnsi="Calibri" w:cs="Arial"/>
                <w:lang w:val="ro-RO" w:eastAsia="ro-RO"/>
              </w:rPr>
            </w:pPr>
            <w:r w:rsidRPr="00FA16B0">
              <w:rPr>
                <w:rFonts w:ascii="Calibri" w:hAnsi="Calibri" w:cs="Arial"/>
                <w:lang w:val="ro-RO" w:eastAsia="ro-RO"/>
              </w:rPr>
              <w:t>31,97</w:t>
            </w:r>
          </w:p>
        </w:tc>
      </w:tr>
      <w:tr w:rsidR="006A425D" w:rsidRPr="00FA16B0" w:rsidTr="006A425D">
        <w:trPr>
          <w:trHeight w:val="420"/>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lang w:val="ro-RO" w:eastAsia="ro-RO"/>
              </w:rPr>
            </w:pPr>
            <w:r w:rsidRPr="00FA16B0">
              <w:rPr>
                <w:rFonts w:ascii="Calibri" w:hAnsi="Calibri" w:cs="Arial"/>
                <w:lang w:val="ro-RO" w:eastAsia="ro-RO"/>
              </w:rPr>
              <w:t>CHELTUIELI buget general consolidat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FA16B0" w:rsidRDefault="006A425D" w:rsidP="006A425D">
            <w:pPr>
              <w:jc w:val="center"/>
              <w:rPr>
                <w:rFonts w:ascii="Calibri" w:hAnsi="Calibri" w:cs="Arial"/>
                <w:lang w:val="ro-RO" w:eastAsia="ro-RO"/>
              </w:rPr>
            </w:pPr>
            <w:r w:rsidRPr="00FA16B0">
              <w:rPr>
                <w:rFonts w:ascii="Calibri" w:hAnsi="Calibri" w:cs="Arial"/>
                <w:lang w:val="ro-RO" w:eastAsia="ro-RO"/>
              </w:rPr>
              <w:t>32,24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3350EC" w:rsidRDefault="006A425D" w:rsidP="00715536">
            <w:pPr>
              <w:jc w:val="center"/>
              <w:rPr>
                <w:rFonts w:ascii="Calibri" w:hAnsi="Calibri" w:cs="Arial"/>
                <w:color w:val="000000" w:themeColor="text1"/>
                <w:lang w:val="ro-RO" w:eastAsia="ro-RO"/>
              </w:rPr>
            </w:pPr>
            <w:r w:rsidRPr="003350EC">
              <w:rPr>
                <w:rFonts w:ascii="Calibri" w:hAnsi="Calibri" w:cs="Arial"/>
                <w:color w:val="000000" w:themeColor="text1"/>
                <w:lang w:val="ro-RO" w:eastAsia="ro-RO"/>
              </w:rPr>
              <w:t>3</w:t>
            </w:r>
            <w:r w:rsidR="00715536" w:rsidRPr="003350EC">
              <w:rPr>
                <w:rFonts w:ascii="Calibri" w:hAnsi="Calibri" w:cs="Arial"/>
                <w:color w:val="000000" w:themeColor="text1"/>
                <w:lang w:val="ro-RO" w:eastAsia="ro-RO"/>
              </w:rPr>
              <w:t>4</w:t>
            </w:r>
            <w:r w:rsidRPr="003350EC">
              <w:rPr>
                <w:rFonts w:ascii="Calibri" w:hAnsi="Calibri" w:cs="Arial"/>
                <w:color w:val="000000" w:themeColor="text1"/>
                <w:lang w:val="ro-RO" w:eastAsia="ro-RO"/>
              </w:rPr>
              <w:t>,</w:t>
            </w:r>
            <w:r w:rsidR="00715536" w:rsidRPr="003350EC">
              <w:rPr>
                <w:rFonts w:ascii="Calibri" w:hAnsi="Calibri" w:cs="Arial"/>
                <w:color w:val="000000" w:themeColor="text1"/>
                <w:lang w:val="ro-RO" w:eastAsia="ro-RO"/>
              </w:rPr>
              <w:t>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FA16B0" w:rsidRDefault="0055261B" w:rsidP="006A425D">
            <w:pPr>
              <w:jc w:val="center"/>
              <w:rPr>
                <w:rFonts w:ascii="Calibri" w:hAnsi="Calibri" w:cs="Arial"/>
                <w:lang w:val="ro-RO" w:eastAsia="ro-RO"/>
              </w:rPr>
            </w:pPr>
            <w:r>
              <w:rPr>
                <w:rFonts w:ascii="Calibri" w:hAnsi="Calibri" w:cs="Arial"/>
                <w:lang w:val="ro-RO" w:eastAsia="ro-RO"/>
              </w:rPr>
              <w:t>36,28</w:t>
            </w:r>
          </w:p>
        </w:tc>
        <w:tc>
          <w:tcPr>
            <w:tcW w:w="992" w:type="dxa"/>
            <w:tcBorders>
              <w:top w:val="single" w:sz="4" w:space="0" w:color="auto"/>
              <w:left w:val="single" w:sz="4" w:space="0" w:color="auto"/>
              <w:bottom w:val="single" w:sz="4" w:space="0" w:color="auto"/>
              <w:right w:val="single" w:sz="4" w:space="0" w:color="auto"/>
            </w:tcBorders>
            <w:vAlign w:val="center"/>
          </w:tcPr>
          <w:p w:rsidR="006A425D" w:rsidRPr="00FA16B0" w:rsidRDefault="008B420C" w:rsidP="006A425D">
            <w:pPr>
              <w:jc w:val="center"/>
              <w:rPr>
                <w:rFonts w:ascii="Calibri" w:hAnsi="Calibri" w:cs="Arial"/>
                <w:lang w:val="ro-RO" w:eastAsia="ro-RO"/>
              </w:rPr>
            </w:pPr>
            <w:r>
              <w:rPr>
                <w:rFonts w:ascii="Calibri" w:hAnsi="Calibri" w:cs="Arial"/>
                <w:lang w:val="ro-RO" w:eastAsia="ro-RO"/>
              </w:rPr>
              <w:t>34,</w:t>
            </w:r>
            <w:r w:rsidR="0055261B">
              <w:rPr>
                <w:rFonts w:ascii="Calibri" w:hAnsi="Calibri" w:cs="Arial"/>
                <w:lang w:val="ro-RO" w:eastAsia="ro-RO"/>
              </w:rPr>
              <w:t>55</w:t>
            </w:r>
          </w:p>
        </w:tc>
        <w:tc>
          <w:tcPr>
            <w:tcW w:w="850" w:type="dxa"/>
            <w:tcBorders>
              <w:top w:val="single" w:sz="4" w:space="0" w:color="auto"/>
              <w:left w:val="single" w:sz="4" w:space="0" w:color="auto"/>
              <w:bottom w:val="single" w:sz="4" w:space="0" w:color="auto"/>
              <w:right w:val="single" w:sz="4" w:space="0" w:color="auto"/>
            </w:tcBorders>
            <w:vAlign w:val="center"/>
          </w:tcPr>
          <w:p w:rsidR="006A425D" w:rsidRPr="00FA16B0" w:rsidRDefault="0055261B" w:rsidP="006A425D">
            <w:pPr>
              <w:jc w:val="center"/>
              <w:rPr>
                <w:rFonts w:ascii="Calibri" w:hAnsi="Calibri" w:cs="Arial"/>
                <w:lang w:val="ro-RO" w:eastAsia="ro-RO"/>
              </w:rPr>
            </w:pPr>
            <w:r>
              <w:rPr>
                <w:rFonts w:ascii="Calibri" w:hAnsi="Calibri" w:cs="Arial"/>
                <w:lang w:val="ro-RO" w:eastAsia="ro-RO"/>
              </w:rPr>
              <w:t>33,98</w:t>
            </w:r>
          </w:p>
        </w:tc>
      </w:tr>
      <w:tr w:rsidR="006A425D" w:rsidRPr="00FA16B0" w:rsidTr="006A425D">
        <w:trPr>
          <w:trHeight w:val="465"/>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lang w:val="ro-RO" w:eastAsia="ro-RO"/>
              </w:rPr>
            </w:pPr>
            <w:r w:rsidRPr="00FA16B0">
              <w:rPr>
                <w:rFonts w:ascii="Calibri" w:hAnsi="Calibri" w:cs="Arial"/>
                <w:lang w:val="ro-RO" w:eastAsia="ro-RO"/>
              </w:rPr>
              <w:t>SOLD buget general consolidat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6A425D" w:rsidP="006A425D">
            <w:pPr>
              <w:jc w:val="center"/>
              <w:rPr>
                <w:rFonts w:ascii="Calibri" w:hAnsi="Calibri"/>
              </w:rPr>
            </w:pPr>
            <w:r w:rsidRPr="00FA16B0">
              <w:rPr>
                <w:rFonts w:ascii="Calibri" w:hAnsi="Calibri"/>
              </w:rPr>
              <w:t>-2,84</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6A425D" w:rsidRPr="003350EC" w:rsidRDefault="006A425D" w:rsidP="00715536">
            <w:pPr>
              <w:jc w:val="center"/>
              <w:rPr>
                <w:rFonts w:ascii="Calibri" w:hAnsi="Calibri"/>
                <w:color w:val="000000" w:themeColor="text1"/>
              </w:rPr>
            </w:pPr>
            <w:r w:rsidRPr="003350EC">
              <w:rPr>
                <w:rFonts w:ascii="Calibri" w:hAnsi="Calibri"/>
                <w:color w:val="000000" w:themeColor="text1"/>
              </w:rPr>
              <w:t>-2,</w:t>
            </w:r>
            <w:r w:rsidR="00715536" w:rsidRPr="003350EC">
              <w:rPr>
                <w:rFonts w:ascii="Calibri" w:hAnsi="Calibri"/>
                <w:color w:val="000000" w:themeColor="text1"/>
              </w:rPr>
              <w:t>91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55261B" w:rsidP="006A425D">
            <w:pPr>
              <w:jc w:val="center"/>
              <w:rPr>
                <w:rFonts w:ascii="Calibri" w:hAnsi="Calibri"/>
              </w:rPr>
            </w:pPr>
            <w:r>
              <w:rPr>
                <w:rFonts w:ascii="Calibri" w:hAnsi="Calibri"/>
              </w:rPr>
              <w:t>-2,76</w:t>
            </w:r>
          </w:p>
        </w:tc>
        <w:tc>
          <w:tcPr>
            <w:tcW w:w="992"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rPr>
            </w:pPr>
            <w:r>
              <w:rPr>
                <w:rFonts w:ascii="Calibri" w:hAnsi="Calibri"/>
              </w:rPr>
              <w:t>-2,33</w:t>
            </w:r>
          </w:p>
        </w:tc>
        <w:tc>
          <w:tcPr>
            <w:tcW w:w="850" w:type="dxa"/>
            <w:tcBorders>
              <w:top w:val="single" w:sz="4" w:space="0" w:color="auto"/>
              <w:left w:val="single" w:sz="4" w:space="0" w:color="auto"/>
              <w:bottom w:val="single" w:sz="4" w:space="0" w:color="auto"/>
              <w:right w:val="single" w:sz="4" w:space="0" w:color="auto"/>
            </w:tcBorders>
          </w:tcPr>
          <w:p w:rsidR="006A425D" w:rsidRPr="00FA16B0" w:rsidRDefault="006A425D" w:rsidP="0055261B">
            <w:pPr>
              <w:jc w:val="center"/>
              <w:rPr>
                <w:rFonts w:ascii="Calibri" w:hAnsi="Calibri"/>
              </w:rPr>
            </w:pPr>
            <w:r w:rsidRPr="00FA16B0">
              <w:rPr>
                <w:rFonts w:ascii="Calibri" w:hAnsi="Calibri"/>
              </w:rPr>
              <w:t>-</w:t>
            </w:r>
            <w:r w:rsidR="0055261B">
              <w:rPr>
                <w:rFonts w:ascii="Calibri" w:hAnsi="Calibri"/>
              </w:rPr>
              <w:t>2,01</w:t>
            </w:r>
          </w:p>
        </w:tc>
      </w:tr>
      <w:tr w:rsidR="006A425D" w:rsidRPr="00FA16B0" w:rsidTr="006A425D">
        <w:trPr>
          <w:trHeight w:val="360"/>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lang w:val="ro-RO" w:eastAsia="ro-RO"/>
              </w:rPr>
            </w:pPr>
            <w:r w:rsidRPr="00FA16B0">
              <w:rPr>
                <w:rFonts w:ascii="Calibri" w:hAnsi="Calibri" w:cs="Arial"/>
                <w:lang w:val="ro-RO" w:eastAsia="ro-RO"/>
              </w:rPr>
              <w:t>SOLD buget general consolidat (ESA)</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CC66AA" w:rsidP="006A425D">
            <w:pPr>
              <w:jc w:val="center"/>
              <w:rPr>
                <w:rFonts w:ascii="Calibri" w:hAnsi="Calibri"/>
                <w:color w:val="000000"/>
              </w:rPr>
            </w:pPr>
            <w:r>
              <w:rPr>
                <w:rFonts w:ascii="Calibri" w:hAnsi="Calibri"/>
                <w:color w:val="000000"/>
              </w:rPr>
              <w:t>-2,88</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sidRPr="00FA16B0">
              <w:rPr>
                <w:rFonts w:ascii="Calibri" w:hAnsi="Calibri"/>
                <w:color w:val="00000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55261B" w:rsidP="006A425D">
            <w:pPr>
              <w:jc w:val="center"/>
              <w:rPr>
                <w:rFonts w:ascii="Calibri" w:hAnsi="Calibri"/>
                <w:color w:val="000000"/>
              </w:rPr>
            </w:pPr>
            <w:r>
              <w:rPr>
                <w:rFonts w:ascii="Calibri" w:hAnsi="Calibri"/>
                <w:color w:val="000000"/>
              </w:rPr>
              <w:t>-2,78</w:t>
            </w:r>
          </w:p>
        </w:tc>
        <w:tc>
          <w:tcPr>
            <w:tcW w:w="992"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color w:val="000000"/>
              </w:rPr>
            </w:pPr>
            <w:r>
              <w:rPr>
                <w:rFonts w:ascii="Calibri" w:hAnsi="Calibri"/>
                <w:color w:val="000000"/>
              </w:rPr>
              <w:t>-2,68</w:t>
            </w:r>
          </w:p>
        </w:tc>
        <w:tc>
          <w:tcPr>
            <w:tcW w:w="850"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color w:val="000000"/>
              </w:rPr>
            </w:pPr>
            <w:r>
              <w:rPr>
                <w:rFonts w:ascii="Calibri" w:hAnsi="Calibri"/>
                <w:color w:val="000000"/>
              </w:rPr>
              <w:t>-2,45</w:t>
            </w:r>
          </w:p>
        </w:tc>
      </w:tr>
      <w:tr w:rsidR="006A425D" w:rsidRPr="00FA16B0" w:rsidTr="006A425D">
        <w:trPr>
          <w:trHeight w:val="349"/>
          <w:jc w:val="center"/>
        </w:trPr>
        <w:tc>
          <w:tcPr>
            <w:tcW w:w="3959" w:type="dxa"/>
            <w:tcBorders>
              <w:top w:val="single" w:sz="4" w:space="0" w:color="auto"/>
              <w:left w:val="single" w:sz="8" w:space="0" w:color="auto"/>
              <w:bottom w:val="single" w:sz="8" w:space="0" w:color="auto"/>
              <w:right w:val="nil"/>
            </w:tcBorders>
            <w:shd w:val="clear" w:color="auto" w:fill="auto"/>
            <w:vAlign w:val="center"/>
          </w:tcPr>
          <w:p w:rsidR="006A425D" w:rsidRPr="00FA16B0" w:rsidRDefault="006A425D" w:rsidP="006A425D">
            <w:pPr>
              <w:jc w:val="both"/>
              <w:rPr>
                <w:rFonts w:ascii="Calibri" w:hAnsi="Calibri" w:cs="Arial"/>
                <w:color w:val="000000"/>
                <w:lang w:val="ro-RO" w:eastAsia="ro-RO"/>
              </w:rPr>
            </w:pPr>
            <w:r w:rsidRPr="00FA16B0">
              <w:rPr>
                <w:rFonts w:ascii="Calibri" w:hAnsi="Calibri" w:cs="Arial"/>
                <w:color w:val="000000"/>
                <w:lang w:val="ro-RO" w:eastAsia="ro-RO"/>
              </w:rPr>
              <w:t>SOLD structural</w:t>
            </w:r>
          </w:p>
        </w:tc>
        <w:tc>
          <w:tcPr>
            <w:tcW w:w="993" w:type="dxa"/>
            <w:tcBorders>
              <w:top w:val="single" w:sz="4" w:space="0" w:color="auto"/>
              <w:left w:val="single" w:sz="8" w:space="0" w:color="auto"/>
              <w:bottom w:val="single" w:sz="8"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sidRPr="00FA16B0">
              <w:rPr>
                <w:rFonts w:ascii="Calibri" w:hAnsi="Calibri"/>
                <w:color w:val="000000"/>
              </w:rPr>
              <w:t>-3,</w:t>
            </w:r>
            <w:r w:rsidR="00CC66AA">
              <w:rPr>
                <w:rFonts w:ascii="Calibri" w:hAnsi="Calibri"/>
                <w:color w:val="000000"/>
              </w:rPr>
              <w:t>36</w:t>
            </w:r>
          </w:p>
        </w:tc>
        <w:tc>
          <w:tcPr>
            <w:tcW w:w="850" w:type="dxa"/>
            <w:tcBorders>
              <w:top w:val="single" w:sz="4" w:space="0" w:color="auto"/>
              <w:left w:val="single" w:sz="4" w:space="0" w:color="auto"/>
              <w:bottom w:val="single" w:sz="8"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sidRPr="00FA16B0">
              <w:rPr>
                <w:rFonts w:ascii="Calibri" w:hAnsi="Calibri"/>
                <w:color w:val="000000"/>
              </w:rPr>
              <w:t>-3,03</w:t>
            </w:r>
          </w:p>
        </w:tc>
        <w:tc>
          <w:tcPr>
            <w:tcW w:w="851" w:type="dxa"/>
            <w:tcBorders>
              <w:top w:val="single" w:sz="4" w:space="0" w:color="auto"/>
              <w:left w:val="single" w:sz="4" w:space="0" w:color="auto"/>
              <w:bottom w:val="single" w:sz="8" w:space="0" w:color="auto"/>
              <w:right w:val="single" w:sz="8" w:space="0" w:color="auto"/>
            </w:tcBorders>
            <w:shd w:val="clear" w:color="auto" w:fill="auto"/>
            <w:noWrap/>
          </w:tcPr>
          <w:p w:rsidR="006A425D" w:rsidRPr="00FA16B0" w:rsidRDefault="0055261B" w:rsidP="006A425D">
            <w:pPr>
              <w:jc w:val="center"/>
              <w:rPr>
                <w:rFonts w:ascii="Calibri" w:hAnsi="Calibri"/>
                <w:color w:val="000000"/>
              </w:rPr>
            </w:pPr>
            <w:r>
              <w:rPr>
                <w:rFonts w:ascii="Calibri" w:hAnsi="Calibri"/>
                <w:color w:val="000000"/>
              </w:rPr>
              <w:t>-2,97</w:t>
            </w:r>
          </w:p>
        </w:tc>
        <w:tc>
          <w:tcPr>
            <w:tcW w:w="992" w:type="dxa"/>
            <w:tcBorders>
              <w:top w:val="single" w:sz="4" w:space="0" w:color="auto"/>
              <w:left w:val="nil"/>
              <w:bottom w:val="single" w:sz="8" w:space="0" w:color="auto"/>
              <w:right w:val="single" w:sz="8" w:space="0" w:color="auto"/>
            </w:tcBorders>
          </w:tcPr>
          <w:p w:rsidR="006A425D" w:rsidRPr="00FA16B0" w:rsidRDefault="0055261B" w:rsidP="006A425D">
            <w:pPr>
              <w:jc w:val="center"/>
              <w:rPr>
                <w:rFonts w:ascii="Calibri" w:hAnsi="Calibri"/>
                <w:color w:val="000000"/>
              </w:rPr>
            </w:pPr>
            <w:r>
              <w:rPr>
                <w:rFonts w:ascii="Calibri" w:hAnsi="Calibri"/>
                <w:color w:val="000000"/>
              </w:rPr>
              <w:t>-3,03</w:t>
            </w:r>
          </w:p>
        </w:tc>
        <w:tc>
          <w:tcPr>
            <w:tcW w:w="850" w:type="dxa"/>
            <w:tcBorders>
              <w:top w:val="single" w:sz="4" w:space="0" w:color="auto"/>
              <w:left w:val="nil"/>
              <w:bottom w:val="single" w:sz="8" w:space="0" w:color="auto"/>
              <w:right w:val="single" w:sz="8" w:space="0" w:color="auto"/>
            </w:tcBorders>
          </w:tcPr>
          <w:p w:rsidR="006A425D" w:rsidRPr="00FA16B0" w:rsidRDefault="0055261B" w:rsidP="006A425D">
            <w:pPr>
              <w:jc w:val="center"/>
              <w:rPr>
                <w:rFonts w:ascii="Calibri" w:hAnsi="Calibri"/>
                <w:color w:val="000000"/>
              </w:rPr>
            </w:pPr>
            <w:r>
              <w:rPr>
                <w:rFonts w:ascii="Calibri" w:hAnsi="Calibri"/>
                <w:color w:val="000000"/>
              </w:rPr>
              <w:t>-2,77</w:t>
            </w:r>
          </w:p>
        </w:tc>
      </w:tr>
    </w:tbl>
    <w:p w:rsidR="006A425D" w:rsidRPr="00FA16B0" w:rsidRDefault="006A425D" w:rsidP="006A425D">
      <w:pPr>
        <w:widowControl w:val="0"/>
        <w:autoSpaceDE w:val="0"/>
        <w:autoSpaceDN w:val="0"/>
        <w:adjustRightInd w:val="0"/>
        <w:spacing w:line="320" w:lineRule="exact"/>
        <w:jc w:val="both"/>
        <w:rPr>
          <w:rFonts w:ascii="Calibri" w:hAnsi="Calibri" w:cs="Arial"/>
          <w:color w:val="000000"/>
          <w:lang w:val="ro-RO"/>
        </w:rPr>
      </w:pPr>
    </w:p>
    <w:p w:rsidR="006A425D" w:rsidRDefault="006A425D" w:rsidP="006A425D">
      <w:pPr>
        <w:keepNext/>
        <w:spacing w:before="120"/>
        <w:contextualSpacing/>
        <w:jc w:val="both"/>
        <w:rPr>
          <w:rFonts w:ascii="Calibri" w:hAnsi="Calibri"/>
          <w:color w:val="000000" w:themeColor="text1"/>
          <w:lang w:val="ro-RO"/>
        </w:rPr>
      </w:pPr>
    </w:p>
    <w:p w:rsidR="006A425D" w:rsidRPr="002C1741" w:rsidRDefault="006A425D" w:rsidP="006A425D">
      <w:pPr>
        <w:widowControl w:val="0"/>
        <w:autoSpaceDE w:val="0"/>
        <w:autoSpaceDN w:val="0"/>
        <w:adjustRightInd w:val="0"/>
        <w:spacing w:line="320" w:lineRule="exact"/>
        <w:jc w:val="both"/>
        <w:rPr>
          <w:rFonts w:asciiTheme="minorHAnsi" w:hAnsiTheme="minorHAnsi" w:cs="Arial"/>
          <w:lang w:val="ro-RO"/>
        </w:rPr>
      </w:pPr>
      <w:r w:rsidRPr="002C1741">
        <w:rPr>
          <w:rFonts w:asciiTheme="minorHAnsi" w:hAnsiTheme="minorHAnsi" w:cs="Arial"/>
          <w:color w:val="000000"/>
          <w:lang w:val="ro-RO"/>
        </w:rPr>
        <w:t xml:space="preserve">Planificarea bugetară pe anii 2019 -2021 a avut la bază  măsurile </w:t>
      </w:r>
      <w:r w:rsidRPr="002C1741">
        <w:rPr>
          <w:rFonts w:asciiTheme="minorHAnsi" w:hAnsiTheme="minorHAnsi" w:cs="Arial"/>
          <w:lang w:val="ro-RO"/>
        </w:rPr>
        <w:t xml:space="preserve">de relaxare fiscală începute în perioada 2015-2016 </w:t>
      </w:r>
      <w:r w:rsidRPr="002C1741">
        <w:rPr>
          <w:rFonts w:asciiTheme="minorHAnsi" w:eastAsia="Calibri" w:hAnsiTheme="minorHAnsi" w:cs="Arial"/>
          <w:lang w:val="ro-RO"/>
        </w:rPr>
        <w:t>în scopul stimulării creșterii economice (noul cod fiscal și majorările salariale și ale unor drepturi de natura asistenței sociale) și continuate prin actele normative adoptate în anul 2017</w:t>
      </w:r>
      <w:r w:rsidRPr="002C1741">
        <w:rPr>
          <w:rFonts w:asciiTheme="minorHAnsi" w:hAnsiTheme="minorHAnsi" w:cs="Arial"/>
          <w:lang w:val="ro-RO"/>
        </w:rPr>
        <w:t xml:space="preserve"> prin care s-au reglementat măsuri în domeniul salarizării personalului din sectorul bugetar, legislația în domeniul drepturilor cu caracter social, legislația în domeniul pensiilor, cu impact suplimentar asupra cheltuielilor de personal, a celor cu asistența socială,  implementate în anul 2018, dar și măsurile fiscal bugetare  luate pe parcursul anului 2018,  care vor influența cadrul </w:t>
      </w:r>
      <w:r w:rsidRPr="002C1741">
        <w:rPr>
          <w:rFonts w:asciiTheme="minorHAnsi" w:hAnsiTheme="minorHAnsi" w:cs="Arial"/>
          <w:color w:val="000048"/>
          <w:lang w:val="ro-RO"/>
        </w:rPr>
        <w:t>macroeconomic</w:t>
      </w:r>
      <w:r w:rsidRPr="002C1741">
        <w:rPr>
          <w:rFonts w:asciiTheme="minorHAnsi" w:hAnsiTheme="minorHAnsi" w:cs="Arial"/>
          <w:lang w:val="ro-RO"/>
        </w:rPr>
        <w:t xml:space="preserve"> și indicatorii bugetari pe orizontul 2019-2021.</w:t>
      </w: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76"/>
          <w:lang w:val="ro-RO"/>
        </w:rPr>
      </w:pPr>
      <w:r w:rsidRPr="002C1741">
        <w:rPr>
          <w:rFonts w:asciiTheme="minorHAnsi" w:hAnsiTheme="minorHAnsi" w:cs="Arial"/>
          <w:color w:val="000076"/>
          <w:lang w:val="ro-RO"/>
        </w:rPr>
        <w:tab/>
      </w:r>
      <w:r w:rsidRPr="002C1741">
        <w:rPr>
          <w:rFonts w:asciiTheme="minorHAnsi" w:hAnsiTheme="minorHAnsi" w:cs="Arial"/>
          <w:color w:val="000076"/>
          <w:lang w:val="ro-RO"/>
        </w:rPr>
        <w:tab/>
      </w: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76"/>
          <w:lang w:val="ro-RO"/>
        </w:rPr>
      </w:pPr>
      <w:r w:rsidRPr="002C1741">
        <w:rPr>
          <w:rFonts w:asciiTheme="minorHAnsi" w:hAnsiTheme="minorHAnsi" w:cs="Arial"/>
          <w:color w:val="000076"/>
          <w:lang w:val="ro-RO"/>
        </w:rPr>
        <w:tab/>
      </w:r>
      <w:r w:rsidRPr="002C1741">
        <w:rPr>
          <w:rFonts w:asciiTheme="minorHAnsi" w:hAnsiTheme="minorHAnsi" w:cs="Arial"/>
          <w:color w:val="000076"/>
          <w:lang w:val="ro-RO"/>
        </w:rPr>
        <w:tab/>
      </w:r>
    </w:p>
    <w:p w:rsidR="006A425D" w:rsidRPr="008E080A" w:rsidRDefault="006A425D" w:rsidP="006A425D">
      <w:pPr>
        <w:widowControl w:val="0"/>
        <w:autoSpaceDE w:val="0"/>
        <w:autoSpaceDN w:val="0"/>
        <w:adjustRightInd w:val="0"/>
        <w:spacing w:line="320" w:lineRule="exact"/>
        <w:jc w:val="both"/>
        <w:rPr>
          <w:rFonts w:asciiTheme="minorHAnsi" w:hAnsiTheme="minorHAnsi" w:cs="Arial"/>
          <w:b/>
          <w:lang w:val="ro-RO"/>
        </w:rPr>
      </w:pPr>
      <w:r w:rsidRPr="008E080A">
        <w:rPr>
          <w:rFonts w:asciiTheme="minorHAnsi" w:hAnsiTheme="minorHAnsi" w:cs="Arial"/>
          <w:b/>
          <w:lang w:val="ro-RO"/>
        </w:rPr>
        <w:t>De asemenea planificarea bugetară a avut în vedere:</w:t>
      </w:r>
    </w:p>
    <w:p w:rsidR="006A425D" w:rsidRPr="007C3BAA" w:rsidRDefault="006A425D" w:rsidP="006A425D">
      <w:pPr>
        <w:widowControl w:val="0"/>
        <w:autoSpaceDE w:val="0"/>
        <w:autoSpaceDN w:val="0"/>
        <w:adjustRightInd w:val="0"/>
        <w:spacing w:line="320" w:lineRule="exact"/>
        <w:jc w:val="both"/>
        <w:rPr>
          <w:rFonts w:asciiTheme="minorHAnsi" w:hAnsiTheme="minorHAnsi" w:cs="Arial"/>
          <w:color w:val="000000" w:themeColor="text1"/>
          <w:lang w:val="ro-RO"/>
        </w:rPr>
      </w:pPr>
      <w:r w:rsidRPr="002C1741">
        <w:rPr>
          <w:rFonts w:asciiTheme="minorHAnsi" w:hAnsiTheme="minorHAnsi" w:cs="Arial"/>
          <w:color w:val="000076"/>
          <w:lang w:val="ro-RO"/>
        </w:rPr>
        <w:tab/>
      </w:r>
      <w:r w:rsidRPr="007C3BAA">
        <w:rPr>
          <w:rFonts w:asciiTheme="minorHAnsi" w:hAnsiTheme="minorHAnsi" w:cs="Arial"/>
          <w:color w:val="000000" w:themeColor="text1"/>
          <w:lang w:val="ro-RO"/>
        </w:rPr>
        <w:tab/>
      </w:r>
    </w:p>
    <w:p w:rsidR="006A425D" w:rsidRPr="007C3BAA"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lang w:val="ro-RO"/>
        </w:rPr>
      </w:pPr>
      <w:r w:rsidRPr="007C3BAA">
        <w:rPr>
          <w:rFonts w:ascii="Calibri" w:eastAsia="Calibri" w:hAnsi="Calibri" w:cs="Arial"/>
          <w:color w:val="000000" w:themeColor="text1"/>
          <w:lang w:val="ro-RO"/>
        </w:rPr>
        <w:t>realizările veniturilor bugetare la nivelul anului 2018.</w:t>
      </w:r>
    </w:p>
    <w:p w:rsidR="006A425D" w:rsidRPr="00D02111"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lang w:val="ro-RO"/>
        </w:rPr>
      </w:pPr>
      <w:r w:rsidRPr="007C3BAA">
        <w:rPr>
          <w:rFonts w:ascii="Calibri" w:eastAsia="Calibri" w:hAnsi="Calibri" w:cs="Arial"/>
          <w:color w:val="000000" w:themeColor="text1"/>
          <w:lang w:val="ro-RO"/>
        </w:rPr>
        <w:t xml:space="preserve">prognoza pe termen mediu 2018-2022 (prognoza de iarnă 2019)) elaborată de Comisia Națională de Strategie și Prognoză conform căreia creșterea reală a PIB în anul 2019 va fi de </w:t>
      </w:r>
      <w:r w:rsidRPr="00D02111">
        <w:rPr>
          <w:rFonts w:ascii="Calibri" w:eastAsia="Calibri" w:hAnsi="Calibri" w:cs="Arial"/>
          <w:color w:val="000000" w:themeColor="text1"/>
          <w:lang w:val="ro-RO"/>
        </w:rPr>
        <w:t>5,5%.</w:t>
      </w:r>
    </w:p>
    <w:p w:rsidR="006A425D" w:rsidRPr="00D02111"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lang w:val="ro-RO"/>
        </w:rPr>
      </w:pPr>
      <w:r w:rsidRPr="00D02111">
        <w:rPr>
          <w:rFonts w:ascii="Calibri" w:hAnsi="Calibri"/>
          <w:color w:val="000000" w:themeColor="text1"/>
          <w:lang w:val="ro-RO"/>
        </w:rPr>
        <w:t>angajamentul ANAF de a colecta venituri suplimentare de aproximativ 7,5 mld lei prin intensificarea acțiunilor de îmbunătățire a colectării și reducerea evaziunii fiscale.</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lang w:val="ro-RO"/>
        </w:rPr>
      </w:pPr>
      <w:r w:rsidRPr="00D02111">
        <w:rPr>
          <w:rFonts w:ascii="Calibri" w:eastAsia="Calibri" w:hAnsi="Calibri" w:cs="Arial"/>
          <w:color w:val="000000" w:themeColor="text1"/>
          <w:lang w:val="ro-RO"/>
        </w:rPr>
        <w:t xml:space="preserve">prevederile legislative actuale, inclusiv pentru TVA (cotă standard 19%, cotă redusă de 9% </w:t>
      </w:r>
      <w:r w:rsidRPr="007C3BAA">
        <w:rPr>
          <w:rFonts w:ascii="Calibri" w:eastAsia="Calibri" w:hAnsi="Calibri" w:cs="Arial"/>
          <w:color w:val="000000" w:themeColor="text1"/>
          <w:lang w:val="ro-RO"/>
        </w:rPr>
        <w:t>pentru alimente) și accize (menținerea nivelului accizei pentru produsele energetice);</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rPr>
      </w:pPr>
      <w:r w:rsidRPr="007C3BAA">
        <w:rPr>
          <w:rFonts w:ascii="Calibri" w:eastAsia="Calibri" w:hAnsi="Calibri" w:cs="Arial"/>
          <w:color w:val="000000" w:themeColor="text1"/>
          <w:lang w:val="ro-RO"/>
        </w:rPr>
        <w:t>proiecția</w:t>
      </w:r>
      <w:r w:rsidRPr="007C3BAA">
        <w:rPr>
          <w:rFonts w:ascii="Calibri" w:hAnsi="Calibri" w:cs="Arial"/>
          <w:color w:val="000000" w:themeColor="text1"/>
          <w:lang w:val="ro-RO"/>
        </w:rPr>
        <w:t xml:space="preserve"> veniturilor bugetare includeși impactul generat de OUG 114/2018 prin:</w:t>
      </w:r>
    </w:p>
    <w:p w:rsidR="006A425D" w:rsidRPr="007C3BAA"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rPr>
      </w:pPr>
      <w:r w:rsidRPr="007C3BAA">
        <w:rPr>
          <w:rFonts w:ascii="Calibri" w:hAnsi="Calibri" w:cs="Arial"/>
          <w:color w:val="000000" w:themeColor="text1"/>
        </w:rPr>
        <w:t xml:space="preserve">creșterea taxării în domeniul jocurilor de noroc (0,5 mld lei); </w:t>
      </w:r>
    </w:p>
    <w:p w:rsidR="006A425D" w:rsidRPr="007C3BAA"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lang w:val="en-US"/>
        </w:rPr>
      </w:pPr>
      <w:r w:rsidRPr="007C3BAA">
        <w:rPr>
          <w:rFonts w:ascii="Calibri" w:hAnsi="Calibri" w:cs="Arial"/>
          <w:color w:val="000000" w:themeColor="text1"/>
        </w:rPr>
        <w:t xml:space="preserve">creșterea nivelului accizelor pentru produsele din tutun (0,6 mld lei); </w:t>
      </w:r>
    </w:p>
    <w:p w:rsidR="006A425D" w:rsidRPr="003964D3"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rPr>
      </w:pPr>
      <w:r w:rsidRPr="007C3BAA">
        <w:rPr>
          <w:rFonts w:ascii="Calibri" w:hAnsi="Calibri" w:cs="Arial"/>
          <w:color w:val="000000" w:themeColor="text1"/>
        </w:rPr>
        <w:t>Operatorii economici cu capital integral sau majoritar de stat care aplică prevederile OG nr. 26/2013, distribuie şi virează în condiţiile legii, în termen de 60 de zile de la data aprobării situaţiilor financiare aferente anului 2018, sub formă de dividende sau vărsăminte la bugetul de stat, în cazul regiilor autonome, 35% din sumele repartizate la alte rezerve, în condiţiile art. 1 alin. (1) lit. g) din OG nr. 64/2001, regăsite în conturile de disponibilităţi băneşti existente în casă şi conturi la bănci precum şi cele aferente investiţiilor pe termen scurt la data de 31 decembrie 2018 şi care la aceeaşi dată nu sunt angajate, prin contracte de achiziţie, pentru a fi utilizate ca surse proprii de finanţare, conform art 43 din OUG 114/2018 (1,5 mld lei);</w:t>
      </w:r>
    </w:p>
    <w:p w:rsidR="006A425D" w:rsidRPr="003964D3"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lang w:val="fr-FR"/>
        </w:rPr>
      </w:pPr>
      <w:r w:rsidRPr="007C3BAA">
        <w:rPr>
          <w:rFonts w:ascii="Calibri" w:hAnsi="Calibri" w:cs="Arial"/>
          <w:color w:val="000000" w:themeColor="text1"/>
          <w:lang w:val="ro-RO"/>
        </w:rPr>
        <w:t xml:space="preserve">veniturile estimate a fi încasate în urma vânzării licențelor de telecomunicații de tip 5G de către ANCOM (2,1 mld lei)  </w:t>
      </w:r>
    </w:p>
    <w:p w:rsidR="006A425D" w:rsidRPr="003964D3"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lang w:val="fr-FR"/>
        </w:rPr>
      </w:pPr>
      <w:r w:rsidRPr="003964D3">
        <w:rPr>
          <w:rFonts w:ascii="Calibri" w:hAnsi="Calibri" w:cs="Arial"/>
          <w:color w:val="000000" w:themeColor="text1"/>
          <w:lang w:val="fr-FR"/>
        </w:rPr>
        <w:t>aplicarea și în 2019 a măsurilor de repartizare a minimum 90% din profitul net realizat sub formă de vărsăminte la bugetul de stat sau local, în cazul regiilor autonome, sau dividende, în cazul societăților naționale, companiilor naționale și societăților cu capital integral sau majoritar de stat.</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hAnsi="Calibri" w:cs="Arial"/>
          <w:iCs/>
          <w:color w:val="000000" w:themeColor="text1"/>
          <w:kern w:val="1"/>
          <w:lang w:val="ro-RO" w:eastAsia="ro-RO"/>
        </w:rPr>
      </w:pPr>
      <w:r w:rsidRPr="007C3BAA">
        <w:rPr>
          <w:rFonts w:ascii="Calibri" w:hAnsi="Calibri" w:cs="Arial"/>
          <w:iCs/>
          <w:color w:val="000000" w:themeColor="text1"/>
          <w:kern w:val="1"/>
          <w:lang w:val="ro-RO" w:eastAsia="ro-RO"/>
        </w:rPr>
        <w:t>termenul prevăzut la art. 6 din Ordonanța Guvernului nr. 5/2013 privind stabilirea unor măsuri speciale de impozitare a activităților cu caracter de monopol natural din sectorul energiei electrice și al gazului natural, cu modificările și completările ulterioare, precum și termenul prevăzut la art. 6 din Ordonanța Guvernului nr. 6/2013 privind instituirea unor măsuri speciale pentru impozitarea exploatării resurselor naturale, altele decât gazele naturale, aprobată cu modificări și completări prin Legea nr. 261/2013, se prorogă  până la data de 31 decembrie 2021, inclusiv.</w:t>
      </w:r>
    </w:p>
    <w:p w:rsidR="006A425D" w:rsidRPr="007C3BAA" w:rsidRDefault="006A425D" w:rsidP="00565476">
      <w:pPr>
        <w:numPr>
          <w:ilvl w:val="0"/>
          <w:numId w:val="178"/>
        </w:numPr>
        <w:spacing w:after="160" w:line="259" w:lineRule="auto"/>
        <w:ind w:left="567" w:hanging="141"/>
        <w:contextualSpacing/>
        <w:jc w:val="both"/>
        <w:rPr>
          <w:rFonts w:ascii="Calibri" w:hAnsi="Calibri" w:cs="Arial"/>
          <w:color w:val="000000" w:themeColor="text1"/>
          <w:lang w:val="ro-RO" w:eastAsia="ro-RO"/>
        </w:rPr>
      </w:pPr>
      <w:r w:rsidRPr="007C3BAA">
        <w:rPr>
          <w:rFonts w:ascii="Calibri" w:hAnsi="Calibri" w:cs="Arial"/>
          <w:bCs/>
          <w:color w:val="000000" w:themeColor="text1"/>
          <w:lang w:val="it-IT"/>
        </w:rPr>
        <w:t xml:space="preserve">estimarea Pilonului II de pensii pe perioada 2019 - 2022 a fost realizată în condițiile menținerii, ca și în anul 2018, a unei cote de contribuţie la fondul de pensii de 3,75%, în conformitate cu prevederile art. 43 alin. (3) din </w:t>
      </w:r>
      <w:r w:rsidRPr="007C3BAA">
        <w:rPr>
          <w:rFonts w:ascii="Calibri" w:hAnsi="Calibri" w:cs="Arial"/>
          <w:bCs/>
          <w:i/>
          <w:color w:val="000000" w:themeColor="text1"/>
          <w:lang w:val="it-IT"/>
        </w:rPr>
        <w:t>Legea nr. 411/2004 privind fondurile de pensii administrate privat, cu modificările și completările ulterioare</w:t>
      </w:r>
      <w:r w:rsidRPr="007C3BAA">
        <w:rPr>
          <w:rFonts w:ascii="Calibri" w:hAnsi="Calibri" w:cs="Arial"/>
          <w:bCs/>
          <w:color w:val="000000" w:themeColor="text1"/>
          <w:lang w:val="it-IT"/>
        </w:rPr>
        <w:t>.</w:t>
      </w:r>
    </w:p>
    <w:p w:rsidR="006A425D" w:rsidRPr="002C1741" w:rsidRDefault="006A425D" w:rsidP="006A425D">
      <w:pPr>
        <w:spacing w:after="160" w:line="259" w:lineRule="auto"/>
        <w:ind w:left="567"/>
        <w:contextualSpacing/>
        <w:jc w:val="both"/>
        <w:rPr>
          <w:rFonts w:ascii="Calibri" w:hAnsi="Calibri" w:cs="Arial"/>
          <w:lang w:val="ro-RO" w:eastAsia="ro-RO"/>
        </w:rPr>
      </w:pPr>
      <w:r w:rsidRPr="002C1741">
        <w:rPr>
          <w:rFonts w:ascii="Calibri" w:hAnsi="Calibri" w:cs="Arial"/>
          <w:bCs/>
          <w:lang w:val="it-IT"/>
        </w:rPr>
        <w:tab/>
      </w:r>
    </w:p>
    <w:p w:rsidR="006A425D" w:rsidRPr="002C1741" w:rsidRDefault="006A425D" w:rsidP="00565476">
      <w:pPr>
        <w:numPr>
          <w:ilvl w:val="0"/>
          <w:numId w:val="177"/>
        </w:numPr>
        <w:tabs>
          <w:tab w:val="left" w:pos="426"/>
        </w:tabs>
        <w:autoSpaceDE w:val="0"/>
        <w:autoSpaceDN w:val="0"/>
        <w:adjustRightInd w:val="0"/>
        <w:spacing w:after="80"/>
        <w:jc w:val="both"/>
        <w:rPr>
          <w:rFonts w:ascii="Calibri" w:hAnsi="Calibri" w:cs="Arial"/>
          <w:b/>
          <w:color w:val="000048"/>
          <w:lang w:val="ro-RO" w:eastAsia="ro-RO"/>
        </w:rPr>
      </w:pPr>
      <w:r w:rsidRPr="002C1741">
        <w:rPr>
          <w:rFonts w:ascii="Calibri" w:hAnsi="Calibri" w:cs="Arial"/>
          <w:b/>
          <w:i/>
          <w:color w:val="000048"/>
          <w:lang w:val="ro-RO" w:eastAsia="ro-RO"/>
        </w:rPr>
        <w:t>La estimarea cheltuielilor s-au avut în vedere</w:t>
      </w:r>
      <w:r w:rsidRPr="002C1741">
        <w:rPr>
          <w:rFonts w:ascii="Calibri" w:hAnsi="Calibri" w:cs="Arial"/>
          <w:b/>
          <w:color w:val="000048"/>
          <w:lang w:val="ro-RO" w:eastAsia="ro-RO"/>
        </w:rPr>
        <w:t>:</w:t>
      </w:r>
    </w:p>
    <w:p w:rsidR="006A425D" w:rsidRPr="002C1741" w:rsidRDefault="006A425D" w:rsidP="006A425D">
      <w:pPr>
        <w:tabs>
          <w:tab w:val="left" w:pos="426"/>
        </w:tabs>
        <w:autoSpaceDE w:val="0"/>
        <w:autoSpaceDN w:val="0"/>
        <w:adjustRightInd w:val="0"/>
        <w:spacing w:after="80"/>
        <w:ind w:left="360"/>
        <w:jc w:val="both"/>
        <w:rPr>
          <w:rFonts w:ascii="Calibri" w:hAnsi="Calibri" w:cs="Arial"/>
          <w:b/>
          <w:color w:val="000048"/>
          <w:lang w:val="ro-RO" w:eastAsia="ro-RO"/>
        </w:rPr>
      </w:pPr>
    </w:p>
    <w:p w:rsidR="006A425D" w:rsidRPr="00950853" w:rsidRDefault="006A425D" w:rsidP="00565476">
      <w:pPr>
        <w:numPr>
          <w:ilvl w:val="0"/>
          <w:numId w:val="205"/>
        </w:numPr>
        <w:spacing w:after="160" w:line="259" w:lineRule="auto"/>
        <w:contextualSpacing/>
        <w:jc w:val="both"/>
        <w:rPr>
          <w:rFonts w:ascii="Calibri" w:eastAsia="Calibri" w:hAnsi="Calibri" w:cs="Arial"/>
          <w:color w:val="000000"/>
          <w:lang w:val="fr-FR"/>
        </w:rPr>
      </w:pPr>
      <w:r w:rsidRPr="00950853">
        <w:rPr>
          <w:rFonts w:ascii="Calibri" w:eastAsia="Calibri" w:hAnsi="Calibri" w:cs="Arial"/>
          <w:color w:val="000000"/>
          <w:lang w:val="fr-FR"/>
        </w:rPr>
        <w:t>începând cu 1 septembrie 2019, valoarea punctului de pensie se majorează cu 15%, respectiv de la 1.100 lei la 1.265 lei;</w:t>
      </w:r>
    </w:p>
    <w:p w:rsidR="006A425D" w:rsidRPr="003350EC" w:rsidRDefault="006A425D" w:rsidP="00565476">
      <w:pPr>
        <w:numPr>
          <w:ilvl w:val="0"/>
          <w:numId w:val="205"/>
        </w:numPr>
        <w:spacing w:after="160" w:line="259" w:lineRule="auto"/>
        <w:contextualSpacing/>
        <w:jc w:val="both"/>
        <w:rPr>
          <w:rFonts w:ascii="Calibri" w:eastAsia="Calibri" w:hAnsi="Calibri" w:cs="Arial"/>
          <w:color w:val="000000" w:themeColor="text1"/>
          <w:lang w:val="fr-FR"/>
        </w:rPr>
      </w:pPr>
      <w:r w:rsidRPr="00950853">
        <w:rPr>
          <w:rFonts w:ascii="Calibri" w:eastAsia="Calibri" w:hAnsi="Calibri" w:cs="Arial"/>
          <w:color w:val="000000"/>
          <w:lang w:val="fr-FR"/>
        </w:rPr>
        <w:t xml:space="preserve">începând cu 1 septembrie </w:t>
      </w:r>
      <w:r w:rsidRPr="005E0909">
        <w:rPr>
          <w:rFonts w:ascii="Calibri" w:eastAsia="Calibri" w:hAnsi="Calibri" w:cs="Arial"/>
          <w:color w:val="000000"/>
          <w:lang w:val="fr-FR"/>
        </w:rPr>
        <w:t>2019</w:t>
      </w:r>
      <w:r w:rsidRPr="005E0909">
        <w:rPr>
          <w:rFonts w:ascii="Calibri" w:eastAsia="Calibri" w:hAnsi="Calibri" w:cs="Arial"/>
          <w:color w:val="000000" w:themeColor="text1"/>
          <w:lang w:val="fr-FR"/>
        </w:rPr>
        <w:t xml:space="preserve">, indemnizația socială pentru pensionari garantată se majorează </w:t>
      </w:r>
      <w:r w:rsidRPr="003350EC">
        <w:rPr>
          <w:rFonts w:ascii="Calibri" w:eastAsia="Calibri" w:hAnsi="Calibri" w:cs="Arial"/>
          <w:color w:val="000000" w:themeColor="text1"/>
          <w:lang w:val="fr-FR"/>
        </w:rPr>
        <w:t>cu 10%, respectiv de la</w:t>
      </w:r>
      <w:r w:rsidR="00C55301" w:rsidRPr="003350EC">
        <w:rPr>
          <w:rFonts w:ascii="Calibri" w:eastAsia="Calibri" w:hAnsi="Calibri" w:cs="Arial"/>
          <w:color w:val="000000" w:themeColor="text1"/>
          <w:lang w:val="fr-FR"/>
        </w:rPr>
        <w:t xml:space="preserve"> </w:t>
      </w:r>
      <w:r w:rsidRPr="003350EC">
        <w:rPr>
          <w:rFonts w:ascii="Calibri" w:eastAsia="Calibri" w:hAnsi="Calibri" w:cs="Arial"/>
          <w:color w:val="000000" w:themeColor="text1"/>
          <w:lang w:val="fr-FR"/>
        </w:rPr>
        <w:t>640 lei la 704 lei;</w:t>
      </w:r>
    </w:p>
    <w:p w:rsidR="00B512B4" w:rsidRPr="003350EC" w:rsidRDefault="00B512B4" w:rsidP="00B512B4">
      <w:pPr>
        <w:numPr>
          <w:ilvl w:val="0"/>
          <w:numId w:val="205"/>
        </w:numPr>
        <w:spacing w:after="160" w:line="259" w:lineRule="auto"/>
        <w:contextualSpacing/>
        <w:jc w:val="both"/>
        <w:rPr>
          <w:rFonts w:ascii="Calibri" w:eastAsia="Calibri" w:hAnsi="Calibri" w:cs="Arial"/>
          <w:color w:val="000000" w:themeColor="text1"/>
          <w:lang w:val="fr-FR"/>
        </w:rPr>
      </w:pPr>
      <w:r w:rsidRPr="003350EC">
        <w:rPr>
          <w:rFonts w:ascii="Calibri" w:eastAsia="Calibri" w:hAnsi="Calibri" w:cs="Arial"/>
          <w:color w:val="000000" w:themeColor="text1"/>
          <w:lang w:val="fr-FR"/>
        </w:rPr>
        <w:t xml:space="preserve">începând cu luna urmatoare </w:t>
      </w:r>
      <w:r w:rsidR="00F0133C" w:rsidRPr="003350EC">
        <w:rPr>
          <w:rFonts w:ascii="Calibri" w:eastAsia="Calibri" w:hAnsi="Calibri" w:cs="Arial"/>
          <w:color w:val="000000" w:themeColor="text1"/>
          <w:lang w:val="fr-FR"/>
        </w:rPr>
        <w:t xml:space="preserve">a </w:t>
      </w:r>
      <w:r w:rsidR="00710891" w:rsidRPr="003350EC">
        <w:rPr>
          <w:rFonts w:ascii="Calibri" w:eastAsia="Calibri" w:hAnsi="Calibri" w:cs="Arial"/>
          <w:color w:val="000000" w:themeColor="text1"/>
          <w:lang w:val="fr-FR"/>
        </w:rPr>
        <w:t xml:space="preserve">intrării în vigoare a legii bugetului de stat pe anul 2019, cuantumul </w:t>
      </w:r>
      <w:r w:rsidRPr="003350EC">
        <w:rPr>
          <w:rFonts w:ascii="Calibri" w:eastAsia="Calibri" w:hAnsi="Calibri" w:cs="Arial"/>
          <w:color w:val="000000" w:themeColor="text1"/>
          <w:lang w:val="fr-FR"/>
        </w:rPr>
        <w:t xml:space="preserve">alocației de stat pentru copii </w:t>
      </w:r>
      <w:r w:rsidR="00710891" w:rsidRPr="003350EC">
        <w:rPr>
          <w:rFonts w:ascii="Calibri" w:eastAsia="Calibri" w:hAnsi="Calibri" w:cs="Arial"/>
          <w:color w:val="000000" w:themeColor="text1"/>
          <w:lang w:val="fr-FR"/>
        </w:rPr>
        <w:t xml:space="preserve">se majorează </w:t>
      </w:r>
      <w:r w:rsidRPr="003350EC">
        <w:rPr>
          <w:rFonts w:ascii="Calibri" w:eastAsia="Calibri" w:hAnsi="Calibri" w:cs="Arial"/>
          <w:color w:val="000000" w:themeColor="text1"/>
          <w:lang w:val="fr-FR"/>
        </w:rPr>
        <w:t>de la 200 lei la 300 lei pentru copiii cu vârsta de până la 2 ani sau de până la 3 ani, în cazul copilului cu handicap, de la 84 lei la 150 lei pentru copiii cu vârsta cuprinsă între 2 ani şi 18 ani, precum şi pentru tinerii care au împlinit vârsta de 18 ani și urmează cursurile învăţământului liceal sau profesional, organizate în condiţiile legii, până la terminarea acestora și de la 200 lei la 300 lei pentru copiii cu dizabilitate, cu vârsta cuprinsă între 3 ani şi 18 ani, în cazul copilului cu handicap.</w:t>
      </w:r>
    </w:p>
    <w:p w:rsidR="006A425D" w:rsidRPr="00950853" w:rsidRDefault="006A425D" w:rsidP="00565476">
      <w:pPr>
        <w:numPr>
          <w:ilvl w:val="0"/>
          <w:numId w:val="203"/>
        </w:numPr>
        <w:spacing w:after="160" w:line="259" w:lineRule="auto"/>
        <w:contextualSpacing/>
        <w:jc w:val="both"/>
        <w:rPr>
          <w:rFonts w:ascii="Calibri" w:eastAsia="Calibri" w:hAnsi="Calibri" w:cs="Arial"/>
          <w:color w:val="000000"/>
          <w:lang w:val="fr-FR"/>
        </w:rPr>
      </w:pPr>
      <w:r w:rsidRPr="003350EC">
        <w:rPr>
          <w:rFonts w:ascii="Calibri" w:eastAsia="Calibri" w:hAnsi="Calibri" w:cs="Arial"/>
          <w:color w:val="000000" w:themeColor="text1"/>
          <w:lang w:val="fr-FR"/>
        </w:rPr>
        <w:t>începând cu data de 1 ianuarie 2019, salariul de bază minim brut pe ţară garantat în plată, prevăzut la art. 164 alin. (1) din Legea nr. 53/2003 - Codul muncii, republicată, cu modificările şi</w:t>
      </w:r>
      <w:r w:rsidRPr="00950853">
        <w:rPr>
          <w:rFonts w:ascii="Calibri" w:eastAsia="Calibri" w:hAnsi="Calibri" w:cs="Arial"/>
          <w:color w:val="000000"/>
          <w:lang w:val="fr-FR"/>
        </w:rPr>
        <w:t xml:space="preserve"> completările ulterioare, se stabileşte în bani, fără a include sporuri şi alte adaosuri, la suma de 2.080 lei lunar;</w:t>
      </w:r>
    </w:p>
    <w:p w:rsidR="006A425D" w:rsidRPr="003964D3" w:rsidRDefault="006A425D" w:rsidP="00565476">
      <w:pPr>
        <w:numPr>
          <w:ilvl w:val="0"/>
          <w:numId w:val="203"/>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începând cu 1 ianuarie 2019, salariile de bază, soldele de functie/salariile de functie, indemnizatiile de încadrare se majorează cu 1/4 din diferenţa dintre salariul de bază, solda de functie/salariul de functie, indemnizatia de încadrare prevăzute de lege pentru anul 2022 şi cel/cea din luna decembrie 2018;</w:t>
      </w:r>
    </w:p>
    <w:p w:rsidR="006A425D" w:rsidRPr="003964D3" w:rsidRDefault="006A425D" w:rsidP="00565476">
      <w:pPr>
        <w:numPr>
          <w:ilvl w:val="0"/>
          <w:numId w:val="203"/>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începând cu 1 ianuarie 2019, cuantumul sporurilor, indemnizaţiilor, compensaţiilor, primelor şi al celorlalte elemente ale sistemului de salarizare care fac parte, potrivit legii, din salariul brut lunar, solda lunară de care beneficiază personalul plătit din fonduri publice, se menţine cel mult la nivelul cuantumului acordat pentru luna decembrie 2018;</w:t>
      </w:r>
    </w:p>
    <w:p w:rsidR="006A425D" w:rsidRPr="002C1741" w:rsidRDefault="006A425D" w:rsidP="00565476">
      <w:pPr>
        <w:numPr>
          <w:ilvl w:val="0"/>
          <w:numId w:val="203"/>
        </w:numPr>
        <w:spacing w:after="160" w:line="259" w:lineRule="auto"/>
        <w:contextualSpacing/>
        <w:jc w:val="both"/>
        <w:rPr>
          <w:rFonts w:ascii="Calibri" w:eastAsia="Calibri" w:hAnsi="Calibri" w:cs="Arial"/>
          <w:color w:val="000000" w:themeColor="text1"/>
        </w:rPr>
      </w:pPr>
      <w:r w:rsidRPr="002C1741">
        <w:rPr>
          <w:rFonts w:ascii="Calibri" w:eastAsia="Calibri" w:hAnsi="Calibri" w:cs="Arial"/>
          <w:color w:val="000000" w:themeColor="text1"/>
        </w:rPr>
        <w:t>acordarea, in perioada 2019 – 2020, de vouchere de vacanţă potrivit prevederilor OUG nr.8/2009;</w:t>
      </w:r>
    </w:p>
    <w:p w:rsidR="006A425D" w:rsidRPr="002C1741" w:rsidRDefault="006A425D" w:rsidP="00565476">
      <w:pPr>
        <w:numPr>
          <w:ilvl w:val="0"/>
          <w:numId w:val="203"/>
        </w:numPr>
        <w:spacing w:after="160" w:line="259" w:lineRule="auto"/>
        <w:contextualSpacing/>
        <w:jc w:val="both"/>
        <w:rPr>
          <w:rFonts w:ascii="Calibri" w:eastAsia="Calibri" w:hAnsi="Calibri" w:cs="Arial"/>
          <w:color w:val="000000" w:themeColor="text1"/>
        </w:rPr>
      </w:pPr>
      <w:r w:rsidRPr="002C1741">
        <w:rPr>
          <w:rFonts w:ascii="Calibri" w:eastAsia="Calibri" w:hAnsi="Calibri" w:cs="Arial"/>
          <w:color w:val="000000" w:themeColor="text1"/>
        </w:rPr>
        <w:t>acordarea, in perioada 2019 – 2020, a indemnizaţiei de hrană prevăzută la art. 18 din Legea-cadru nr. 153/2017;</w:t>
      </w:r>
    </w:p>
    <w:p w:rsidR="006A425D" w:rsidRPr="002C1741" w:rsidRDefault="006A425D" w:rsidP="00565476">
      <w:pPr>
        <w:numPr>
          <w:ilvl w:val="0"/>
          <w:numId w:val="203"/>
        </w:numPr>
        <w:spacing w:after="160" w:line="259" w:lineRule="auto"/>
        <w:contextualSpacing/>
        <w:jc w:val="both"/>
        <w:rPr>
          <w:rFonts w:ascii="Calibri" w:eastAsia="Calibri" w:hAnsi="Calibri" w:cs="Arial"/>
          <w:color w:val="000000" w:themeColor="text1"/>
        </w:rPr>
      </w:pPr>
      <w:r w:rsidRPr="002C1741">
        <w:rPr>
          <w:rFonts w:ascii="Calibri" w:eastAsia="Calibri" w:hAnsi="Calibri" w:cs="Arial"/>
          <w:color w:val="000000" w:themeColor="text1"/>
        </w:rPr>
        <w:t>în perioada 2019-2021, pentru personalul militar, poliţiştii şi funcţionarii publici cu statut special din sistemul administraţiei penitenciare, indemnizaţiile, compensaţiile, primele, ajutoarele, plăţile compensatorii, despăgubirile, compensaţiile lunare pentru chirie şi alte drepturi acordate potrivit actelor normative în vigoare, care nu fac parte din solda lunară brută/salariul lunar brut, se mentin la nivelul lunii decembrie 2018;</w:t>
      </w:r>
    </w:p>
    <w:p w:rsidR="006A425D" w:rsidRPr="002C1741" w:rsidRDefault="006A425D" w:rsidP="00565476">
      <w:pPr>
        <w:numPr>
          <w:ilvl w:val="0"/>
          <w:numId w:val="203"/>
        </w:numPr>
        <w:spacing w:after="160" w:line="259" w:lineRule="auto"/>
        <w:contextualSpacing/>
        <w:jc w:val="both"/>
        <w:rPr>
          <w:rFonts w:ascii="Calibri" w:eastAsia="Calibri" w:hAnsi="Calibri" w:cs="Arial"/>
          <w:color w:val="000000" w:themeColor="text1"/>
        </w:rPr>
      </w:pPr>
      <w:r w:rsidRPr="002C1741">
        <w:rPr>
          <w:rFonts w:ascii="Calibri" w:eastAsia="Calibri" w:hAnsi="Calibri" w:cs="Arial"/>
          <w:color w:val="000000" w:themeColor="text1"/>
        </w:rPr>
        <w:t>în perioada 2019-2021, cuantumul compensaţiei băneşti, respectiv al alocaţiei valorice pentru drepturile de hrană şi, respectiv, valoarea financiară anuală a normelor de echipare, precum şi valoarea financiară a drepturilor de echipament se mentin în plată la nivelul stabilit pentru luna decembrie 2018;</w:t>
      </w:r>
    </w:p>
    <w:p w:rsidR="006A425D" w:rsidRPr="002C1741" w:rsidRDefault="006A425D" w:rsidP="00565476">
      <w:pPr>
        <w:numPr>
          <w:ilvl w:val="0"/>
          <w:numId w:val="203"/>
        </w:numPr>
        <w:spacing w:after="160" w:line="259" w:lineRule="auto"/>
        <w:contextualSpacing/>
        <w:jc w:val="both"/>
        <w:rPr>
          <w:rFonts w:ascii="Calibri" w:eastAsia="Calibri" w:hAnsi="Calibri"/>
          <w:color w:val="000000" w:themeColor="text1"/>
        </w:rPr>
      </w:pPr>
      <w:r w:rsidRPr="002C1741">
        <w:rPr>
          <w:rFonts w:ascii="Calibri" w:eastAsia="Calibri" w:hAnsi="Calibri" w:cs="Arial"/>
          <w:color w:val="000000" w:themeColor="text1"/>
        </w:rPr>
        <w:t xml:space="preserve">în perioada 2019-2021 se menţin în plată la nivelul acordat/cuvenit pentru luna decembrie 2018 anumite indemnizatii platite unor persoane defavorizate cum ar fi: indemnizatii pentru persoane persecutate </w:t>
      </w:r>
      <w:r w:rsidRPr="005E0909">
        <w:rPr>
          <w:rFonts w:ascii="Calibri" w:eastAsia="Calibri" w:hAnsi="Calibri" w:cs="Arial"/>
          <w:color w:val="000000" w:themeColor="text1"/>
        </w:rPr>
        <w:t xml:space="preserve">politic și etnic, indemnizaţii </w:t>
      </w:r>
      <w:r w:rsidRPr="002C1741">
        <w:rPr>
          <w:rFonts w:ascii="Calibri" w:eastAsia="Calibri" w:hAnsi="Calibri" w:cs="Arial"/>
          <w:color w:val="000000" w:themeColor="text1"/>
        </w:rPr>
        <w:t>membrii Academiei Române, ş.a.</w:t>
      </w:r>
    </w:p>
    <w:p w:rsidR="006A425D" w:rsidRPr="002C1741"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eastAsia="Calibri" w:hAnsi="Calibri" w:cs="Arial"/>
          <w:color w:val="000000" w:themeColor="text1"/>
        </w:rPr>
        <w:t xml:space="preserve">În perioada 2019-2021 </w:t>
      </w:r>
      <w:r w:rsidRPr="002C1741">
        <w:rPr>
          <w:rFonts w:ascii="Calibri" w:eastAsia="Calibri" w:hAnsi="Calibri" w:cs="Arial"/>
          <w:color w:val="000000" w:themeColor="text1"/>
        </w:rPr>
        <w:t xml:space="preserve"> rentele viagere prevăzute la art. 64 din Legea educației fizice şi sportului nr. 69/2000, cu modificările şi completările ulterioare, se acordă în cuantumul aflat în plată în luna decembrie 2018;</w:t>
      </w:r>
    </w:p>
    <w:p w:rsidR="006A425D" w:rsidRPr="002C1741" w:rsidRDefault="006A425D" w:rsidP="00565476">
      <w:pPr>
        <w:numPr>
          <w:ilvl w:val="0"/>
          <w:numId w:val="185"/>
        </w:numPr>
        <w:ind w:hanging="720"/>
        <w:jc w:val="both"/>
        <w:rPr>
          <w:rFonts w:ascii="Calibri" w:hAnsi="Calibri" w:cs="Arial"/>
          <w:color w:val="000000" w:themeColor="text1"/>
          <w:lang w:val="ro-RO" w:eastAsia="ro-RO"/>
        </w:rPr>
      </w:pPr>
      <w:r w:rsidRPr="002C1741">
        <w:rPr>
          <w:rFonts w:ascii="Calibri" w:hAnsi="Calibri" w:cs="Arial"/>
          <w:color w:val="000000" w:themeColor="text1"/>
          <w:lang w:val="ro-RO" w:eastAsia="ro-RO"/>
        </w:rPr>
        <w:t>De asemenea, la stabilirea cheltuielilor de personal pe anul 2019 s-a avut în vedere continuarea aplicării unora dintre măsurile care vizează limitarea cheltuielilor aprobate în anii anteriori, astfel:</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munca suplimentară efectuată peste durata normală a timpului de lucru sau în zilele libere se va compensa numai cu timp liber, cu anumite excepţii în cazul personalului din domeniile apararii, sigurantei si ordinii publice sau personalului cu statut special;</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 perioada 2019-2021, instituţiile şi autorităţile publice nu acordă personalului din cadrul acestora premii, cu anumite exceptii in cazul sportivilor si colectivelor tehnice, studentilor, elevilor şi profesorilor;</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 perioada 2019-2021 nu se acordă ajutoarele sau, după caz, indemnizațiile la ieșirea la pensie, retragere, încetarea raporturilor de serviciu ori la trecerea în rezervă;</w:t>
      </w:r>
    </w:p>
    <w:p w:rsidR="006A425D" w:rsidRPr="003964D3" w:rsidRDefault="006A425D" w:rsidP="00565476">
      <w:pPr>
        <w:numPr>
          <w:ilvl w:val="0"/>
          <w:numId w:val="204"/>
        </w:numPr>
        <w:spacing w:after="160" w:line="259" w:lineRule="auto"/>
        <w:contextualSpacing/>
        <w:jc w:val="both"/>
        <w:rPr>
          <w:rFonts w:ascii="Calibri" w:eastAsia="Calibri" w:hAnsi="Calibri" w:cs="Arial"/>
          <w:strike/>
          <w:color w:val="000000" w:themeColor="text1"/>
          <w:sz w:val="22"/>
          <w:szCs w:val="22"/>
          <w:lang w:val="fr-FR"/>
        </w:rPr>
      </w:pPr>
      <w:r w:rsidRPr="003964D3">
        <w:rPr>
          <w:rFonts w:ascii="Calibri" w:eastAsia="Calibri" w:hAnsi="Calibri" w:cs="Arial"/>
          <w:color w:val="000000" w:themeColor="text1"/>
          <w:lang w:val="fr-FR"/>
        </w:rPr>
        <w:t>În perioada 2019-2021 instituțiile și autoritatile publice nu acordă personalului bilete de valoare, cu excepția tichetelor de creșă reglementate de Legea 165/2018.</w:t>
      </w:r>
    </w:p>
    <w:p w:rsidR="006A425D" w:rsidRPr="003964D3" w:rsidRDefault="006A425D" w:rsidP="006A425D">
      <w:pPr>
        <w:spacing w:after="160" w:line="259" w:lineRule="auto"/>
        <w:ind w:left="720"/>
        <w:contextualSpacing/>
        <w:jc w:val="both"/>
        <w:rPr>
          <w:rFonts w:ascii="Calibri" w:eastAsia="Calibri" w:hAnsi="Calibri" w:cs="Arial"/>
          <w:strike/>
          <w:sz w:val="22"/>
          <w:szCs w:val="22"/>
          <w:lang w:val="fr-FR"/>
        </w:rPr>
      </w:pP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00"/>
          <w:lang w:val="ro-RO"/>
        </w:rPr>
      </w:pPr>
      <w:r w:rsidRPr="002C1741">
        <w:rPr>
          <w:rFonts w:asciiTheme="minorHAnsi" w:hAnsiTheme="minorHAnsi" w:cs="Arial"/>
          <w:lang w:val="ro-RO"/>
        </w:rPr>
        <w:t xml:space="preserve"> In aceste condiții </w:t>
      </w:r>
      <w:r w:rsidRPr="002C1741">
        <w:rPr>
          <w:rFonts w:asciiTheme="minorHAnsi" w:hAnsiTheme="minorHAnsi" w:cs="Arial"/>
          <w:b/>
          <w:color w:val="000048"/>
          <w:lang w:val="ro-RO"/>
        </w:rPr>
        <w:t>v</w:t>
      </w:r>
      <w:r w:rsidRPr="002C1741">
        <w:rPr>
          <w:rFonts w:asciiTheme="minorHAnsi" w:hAnsiTheme="minorHAnsi"/>
          <w:b/>
          <w:color w:val="000048"/>
          <w:lang w:val="ro-RO"/>
        </w:rPr>
        <w:t>eniturile bugetare</w:t>
      </w:r>
      <w:r w:rsidR="00715536">
        <w:rPr>
          <w:rFonts w:asciiTheme="minorHAnsi" w:hAnsiTheme="minorHAnsi"/>
          <w:b/>
          <w:color w:val="000048"/>
          <w:lang w:val="ro-RO"/>
        </w:rPr>
        <w:t xml:space="preserve"> </w:t>
      </w:r>
      <w:r w:rsidRPr="002C1741">
        <w:rPr>
          <w:rFonts w:asciiTheme="minorHAnsi" w:hAnsiTheme="minorHAnsi"/>
          <w:lang w:val="ro-RO"/>
        </w:rPr>
        <w:t xml:space="preserve">proiectate </w:t>
      </w:r>
      <w:r>
        <w:rPr>
          <w:rFonts w:asciiTheme="minorHAnsi" w:hAnsiTheme="minorHAnsi"/>
          <w:lang w:val="ro-RO"/>
        </w:rPr>
        <w:t>p</w:t>
      </w:r>
      <w:r w:rsidR="004F3E7F">
        <w:rPr>
          <w:rFonts w:asciiTheme="minorHAnsi" w:hAnsiTheme="minorHAnsi"/>
          <w:lang w:val="ro-RO"/>
        </w:rPr>
        <w:t>entru anul 2019 reprezintă 33,51</w:t>
      </w:r>
      <w:r>
        <w:rPr>
          <w:rFonts w:asciiTheme="minorHAnsi" w:hAnsiTheme="minorHAnsi"/>
          <w:lang w:val="ro-RO"/>
        </w:rPr>
        <w:t xml:space="preserve">  % din PIB, 32,23</w:t>
      </w:r>
      <w:r w:rsidRPr="002C1741">
        <w:rPr>
          <w:rFonts w:asciiTheme="minorHAnsi" w:hAnsiTheme="minorHAnsi"/>
          <w:lang w:val="ro-RO"/>
        </w:rPr>
        <w:t xml:space="preserve">  % în anul 2020</w:t>
      </w:r>
      <w:r w:rsidR="007D0CFA">
        <w:rPr>
          <w:rFonts w:asciiTheme="minorHAnsi" w:hAnsiTheme="minorHAnsi"/>
          <w:lang w:val="ro-RO"/>
        </w:rPr>
        <w:t>,</w:t>
      </w:r>
      <w:r w:rsidRPr="002C1741">
        <w:rPr>
          <w:rFonts w:asciiTheme="minorHAnsi" w:hAnsiTheme="minorHAnsi"/>
          <w:lang w:val="ro-RO"/>
        </w:rPr>
        <w:t xml:space="preserve"> urmând c</w:t>
      </w:r>
      <w:r>
        <w:rPr>
          <w:rFonts w:asciiTheme="minorHAnsi" w:hAnsiTheme="minorHAnsi"/>
          <w:lang w:val="ro-RO"/>
        </w:rPr>
        <w:t>a în anul 2021 să reprezinte 31,97</w:t>
      </w:r>
      <w:r w:rsidRPr="002C1741">
        <w:rPr>
          <w:rFonts w:asciiTheme="minorHAnsi" w:hAnsiTheme="minorHAnsi"/>
          <w:lang w:val="ro-RO"/>
        </w:rPr>
        <w:t xml:space="preserve"> % din PIB, evoluție determinate de evoluția indicatorilor macroeconomici pe orizontul de referentă, precum și de  actele normative adoptate până la acest moment</w:t>
      </w:r>
      <w:r>
        <w:rPr>
          <w:rFonts w:asciiTheme="minorHAnsi" w:hAnsiTheme="minorHAnsi"/>
          <w:lang w:val="ro-RO"/>
        </w:rPr>
        <w:t xml:space="preserve">, </w:t>
      </w:r>
      <w:r w:rsidRPr="002C1741">
        <w:rPr>
          <w:rFonts w:asciiTheme="minorHAnsi" w:hAnsiTheme="minorHAnsi"/>
          <w:lang w:val="ro-RO"/>
        </w:rPr>
        <w:t xml:space="preserve"> iar </w:t>
      </w:r>
      <w:r w:rsidRPr="002C1741">
        <w:rPr>
          <w:rFonts w:asciiTheme="minorHAnsi" w:hAnsiTheme="minorHAnsi"/>
          <w:b/>
          <w:color w:val="000048"/>
          <w:lang w:val="ro-RO"/>
        </w:rPr>
        <w:t>c</w:t>
      </w:r>
      <w:r w:rsidRPr="002C1741">
        <w:rPr>
          <w:rFonts w:asciiTheme="minorHAnsi" w:hAnsiTheme="minorHAnsi" w:cs="Arial"/>
          <w:b/>
          <w:color w:val="000048"/>
          <w:lang w:val="ro-RO"/>
        </w:rPr>
        <w:t xml:space="preserve">heltuielile bugetare </w:t>
      </w:r>
      <w:r w:rsidRPr="002C1741">
        <w:rPr>
          <w:rFonts w:asciiTheme="minorHAnsi" w:hAnsiTheme="minorHAnsi" w:cs="Arial"/>
          <w:color w:val="000000"/>
          <w:lang w:val="ro-RO"/>
        </w:rPr>
        <w:t>proiectate pentru anul 2019 reprezi</w:t>
      </w:r>
      <w:r w:rsidR="0055261B">
        <w:rPr>
          <w:rFonts w:asciiTheme="minorHAnsi" w:hAnsiTheme="minorHAnsi" w:cs="Arial"/>
          <w:color w:val="000000"/>
          <w:lang w:val="ro-RO"/>
        </w:rPr>
        <w:t>ntă 36,28% din PIB, ajungând 33,98</w:t>
      </w:r>
      <w:r>
        <w:rPr>
          <w:rFonts w:asciiTheme="minorHAnsi" w:hAnsiTheme="minorHAnsi" w:cs="Arial"/>
          <w:color w:val="000000"/>
          <w:lang w:val="ro-RO"/>
        </w:rPr>
        <w:t xml:space="preserve"> % în 2021, î</w:t>
      </w:r>
      <w:r w:rsidRPr="002C1741">
        <w:rPr>
          <w:rFonts w:asciiTheme="minorHAnsi" w:hAnsiTheme="minorHAnsi" w:cs="Arial"/>
          <w:color w:val="000000"/>
          <w:lang w:val="ro-RO"/>
        </w:rPr>
        <w:t>n scădere pe orizontul de referință ca pondere in PIB.</w:t>
      </w:r>
    </w:p>
    <w:p w:rsidR="006A425D" w:rsidRPr="003350EC" w:rsidRDefault="006A425D" w:rsidP="006A425D">
      <w:pPr>
        <w:widowControl w:val="0"/>
        <w:autoSpaceDE w:val="0"/>
        <w:autoSpaceDN w:val="0"/>
        <w:adjustRightInd w:val="0"/>
        <w:spacing w:line="320" w:lineRule="exact"/>
        <w:jc w:val="both"/>
        <w:rPr>
          <w:rFonts w:cs="Calibri"/>
          <w:color w:val="000000" w:themeColor="text1"/>
          <w:lang w:val="ro-RO"/>
        </w:rPr>
      </w:pPr>
    </w:p>
    <w:p w:rsidR="006A425D" w:rsidRPr="00FA16B0" w:rsidRDefault="006A425D" w:rsidP="006A425D">
      <w:pPr>
        <w:contextualSpacing/>
        <w:jc w:val="both"/>
        <w:rPr>
          <w:rFonts w:ascii="Calibri" w:hAnsi="Calibri" w:cs="Arial"/>
          <w:lang w:val="ro-RO"/>
        </w:rPr>
      </w:pPr>
      <w:r w:rsidRPr="003350EC">
        <w:rPr>
          <w:rFonts w:ascii="Calibri" w:hAnsi="Calibri" w:cs="Arial"/>
          <w:color w:val="000000" w:themeColor="text1"/>
          <w:lang w:val="ro-RO"/>
        </w:rPr>
        <w:t xml:space="preserve">De remarcat că pentru anul 2017 </w:t>
      </w:r>
      <w:r w:rsidRPr="003350EC">
        <w:rPr>
          <w:rFonts w:ascii="Calibri" w:hAnsi="Calibri" w:cs="Arial"/>
          <w:b/>
          <w:color w:val="000000" w:themeColor="text1"/>
          <w:lang w:val="ro-RO"/>
        </w:rPr>
        <w:t>deficitul  bugetar cash</w:t>
      </w:r>
      <w:r w:rsidRPr="003350EC">
        <w:rPr>
          <w:rFonts w:ascii="Calibri" w:hAnsi="Calibri" w:cs="Arial"/>
          <w:color w:val="000000" w:themeColor="text1"/>
          <w:lang w:val="ro-RO"/>
        </w:rPr>
        <w:t xml:space="preserve"> a fost de 2,84% din PIB, </w:t>
      </w:r>
      <w:r w:rsidRPr="003350EC">
        <w:rPr>
          <w:rFonts w:ascii="Calibri" w:hAnsi="Calibri" w:cs="Arial"/>
          <w:b/>
          <w:color w:val="000000" w:themeColor="text1"/>
          <w:lang w:val="ro-RO"/>
        </w:rPr>
        <w:t>ceea ce corespunde unui</w:t>
      </w:r>
      <w:r w:rsidR="00CC66AA" w:rsidRPr="003350EC">
        <w:rPr>
          <w:rFonts w:ascii="Calibri" w:hAnsi="Calibri" w:cs="Arial"/>
          <w:b/>
          <w:color w:val="000000" w:themeColor="text1"/>
          <w:lang w:val="ro-RO"/>
        </w:rPr>
        <w:t xml:space="preserve"> deficit ESA înregistrat  de 2,88</w:t>
      </w:r>
      <w:r w:rsidRPr="003350EC">
        <w:rPr>
          <w:rFonts w:ascii="Calibri" w:hAnsi="Calibri" w:cs="Arial"/>
          <w:b/>
          <w:color w:val="000000" w:themeColor="text1"/>
          <w:lang w:val="ro-RO"/>
        </w:rPr>
        <w:t xml:space="preserve"> % din PIB ş</w:t>
      </w:r>
      <w:r w:rsidR="00CC66AA" w:rsidRPr="003350EC">
        <w:rPr>
          <w:rFonts w:ascii="Calibri" w:hAnsi="Calibri" w:cs="Arial"/>
          <w:b/>
          <w:color w:val="000000" w:themeColor="text1"/>
          <w:lang w:val="ro-RO"/>
        </w:rPr>
        <w:t>i unui deficit structural de 3,36</w:t>
      </w:r>
      <w:r w:rsidRPr="003350EC">
        <w:rPr>
          <w:rFonts w:ascii="Calibri" w:hAnsi="Calibri" w:cs="Arial"/>
          <w:b/>
          <w:color w:val="000000" w:themeColor="text1"/>
          <w:lang w:val="ro-RO"/>
        </w:rPr>
        <w:t xml:space="preserve">  % din PIB, iar în anul 2018 deficitul cash a fost  estimat la 2,</w:t>
      </w:r>
      <w:r w:rsidR="00715536" w:rsidRPr="003350EC">
        <w:rPr>
          <w:rFonts w:ascii="Calibri" w:hAnsi="Calibri" w:cs="Arial"/>
          <w:b/>
          <w:color w:val="000000" w:themeColor="text1"/>
          <w:lang w:val="ro-RO"/>
        </w:rPr>
        <w:t>91</w:t>
      </w:r>
      <w:r w:rsidRPr="003350EC">
        <w:rPr>
          <w:rFonts w:ascii="Calibri" w:hAnsi="Calibri" w:cs="Arial"/>
          <w:b/>
          <w:color w:val="000000" w:themeColor="text1"/>
          <w:lang w:val="ro-RO"/>
        </w:rPr>
        <w:t xml:space="preserve"> %</w:t>
      </w:r>
      <w:r w:rsidRPr="00FA16B0">
        <w:rPr>
          <w:rFonts w:ascii="Calibri" w:hAnsi="Calibri" w:cs="Arial"/>
          <w:b/>
          <w:lang w:val="ro-RO"/>
        </w:rPr>
        <w:t xml:space="preserve"> din PIB,  căruia ii corespunde un deficit ESA </w:t>
      </w:r>
      <w:r>
        <w:rPr>
          <w:rFonts w:ascii="Calibri" w:hAnsi="Calibri" w:cs="Arial"/>
          <w:b/>
          <w:lang w:val="ro-RO"/>
        </w:rPr>
        <w:t xml:space="preserve"> estimat </w:t>
      </w:r>
      <w:r w:rsidRPr="00FA16B0">
        <w:rPr>
          <w:rFonts w:ascii="Calibri" w:hAnsi="Calibri" w:cs="Arial"/>
          <w:b/>
          <w:lang w:val="ro-RO"/>
        </w:rPr>
        <w:t>de 2,96  % din PIB.</w:t>
      </w:r>
    </w:p>
    <w:p w:rsidR="006A425D" w:rsidRPr="007D0CFA" w:rsidRDefault="006A425D" w:rsidP="006A425D">
      <w:pPr>
        <w:spacing w:before="120" w:after="120" w:line="269" w:lineRule="auto"/>
        <w:ind w:hanging="357"/>
        <w:jc w:val="both"/>
        <w:rPr>
          <w:rFonts w:ascii="Calibri" w:eastAsia="Calibri" w:hAnsi="Calibri" w:cs="Arial"/>
          <w:lang w:val="ro-RO"/>
        </w:rPr>
      </w:pPr>
      <w:r w:rsidRPr="007D0CFA">
        <w:rPr>
          <w:rFonts w:ascii="Calibri" w:eastAsia="Calibri" w:hAnsi="Calibri" w:cs="Arial"/>
          <w:lang w:val="ro-RO"/>
        </w:rPr>
        <w:t xml:space="preserve">       Planificarea bugetară pe anul 2019 și estimările pe perioada 2020-2021 stabilește deficitul </w:t>
      </w:r>
      <w:r w:rsidR="0055261B" w:rsidRPr="007D0CFA">
        <w:rPr>
          <w:rFonts w:ascii="Calibri" w:eastAsia="Calibri" w:hAnsi="Calibri" w:cs="Arial"/>
          <w:lang w:val="ro-RO"/>
        </w:rPr>
        <w:t>bugetar ESA în anul 2019 la 2,78</w:t>
      </w:r>
      <w:r w:rsidRPr="007D0CFA">
        <w:rPr>
          <w:rFonts w:ascii="Calibri" w:eastAsia="Calibri" w:hAnsi="Calibri" w:cs="Arial"/>
          <w:lang w:val="ro-RO"/>
        </w:rPr>
        <w:t xml:space="preserve">  % din PIB, </w:t>
      </w:r>
      <w:r w:rsidR="0055261B" w:rsidRPr="007D0CFA">
        <w:rPr>
          <w:rFonts w:ascii="Calibri" w:eastAsia="Calibri" w:hAnsi="Calibri" w:cs="Arial"/>
          <w:lang w:val="ro-RO"/>
        </w:rPr>
        <w:t>o ajustare de 0,18</w:t>
      </w:r>
      <w:r w:rsidRPr="007D0CFA">
        <w:rPr>
          <w:rFonts w:ascii="Calibri" w:eastAsia="Calibri" w:hAnsi="Calibri" w:cs="Arial"/>
          <w:lang w:val="ro-RO"/>
        </w:rPr>
        <w:t xml:space="preserve">  puncte procentuale față de anul 2018 , care va continua pe orizontul  2020-2021, urmând ca acesta</w:t>
      </w:r>
      <w:r w:rsidR="0055261B" w:rsidRPr="007D0CFA">
        <w:rPr>
          <w:rFonts w:ascii="Calibri" w:eastAsia="Calibri" w:hAnsi="Calibri" w:cs="Arial"/>
          <w:lang w:val="ro-RO"/>
        </w:rPr>
        <w:t xml:space="preserve"> sa ajungă in anul 2021 la  2,45</w:t>
      </w:r>
      <w:r w:rsidRPr="007D0CFA">
        <w:rPr>
          <w:rFonts w:ascii="Calibri" w:eastAsia="Calibri" w:hAnsi="Calibri" w:cs="Arial"/>
          <w:lang w:val="ro-RO"/>
        </w:rPr>
        <w:t xml:space="preserve">  % di</w:t>
      </w:r>
      <w:r w:rsidR="0055261B" w:rsidRPr="007D0CFA">
        <w:rPr>
          <w:rFonts w:ascii="Calibri" w:eastAsia="Calibri" w:hAnsi="Calibri" w:cs="Arial"/>
          <w:lang w:val="ro-RO"/>
        </w:rPr>
        <w:t>n PIB, respectiv o ajustare 0,33</w:t>
      </w:r>
      <w:r w:rsidRPr="007D0CFA">
        <w:rPr>
          <w:rFonts w:ascii="Calibri" w:eastAsia="Calibri" w:hAnsi="Calibri" w:cs="Arial"/>
          <w:lang w:val="ro-RO"/>
        </w:rPr>
        <w:t xml:space="preserve"> de puncte procentuale fa</w:t>
      </w:r>
      <w:r w:rsidR="007D0CFA" w:rsidRPr="007D0CFA">
        <w:rPr>
          <w:rFonts w:ascii="Calibri" w:eastAsia="Calibri" w:hAnsi="Calibri" w:cs="Arial"/>
          <w:lang w:val="ro-RO"/>
        </w:rPr>
        <w:t>ță</w:t>
      </w:r>
      <w:r w:rsidRPr="007D0CFA">
        <w:rPr>
          <w:rFonts w:ascii="Calibri" w:eastAsia="Calibri" w:hAnsi="Calibri" w:cs="Arial"/>
          <w:lang w:val="ro-RO"/>
        </w:rPr>
        <w:t xml:space="preserve"> de anul  2019.</w:t>
      </w:r>
    </w:p>
    <w:p w:rsidR="006A425D" w:rsidRPr="002C1741" w:rsidRDefault="006A425D" w:rsidP="006A425D">
      <w:pPr>
        <w:spacing w:before="120" w:after="120" w:line="276" w:lineRule="auto"/>
        <w:jc w:val="both"/>
        <w:rPr>
          <w:rFonts w:ascii="Calibri" w:eastAsia="Calibri" w:hAnsi="Calibri"/>
          <w:b/>
          <w:color w:val="000048"/>
          <w:lang w:val="ro-RO"/>
        </w:rPr>
      </w:pPr>
      <w:r w:rsidRPr="002C1741">
        <w:rPr>
          <w:rFonts w:ascii="Calibri" w:eastAsia="Calibri" w:hAnsi="Calibri"/>
          <w:lang w:val="ro-RO"/>
        </w:rPr>
        <w:t>Pe orizontul 2019-2021, politica de deficit bugetar continuă să sus</w:t>
      </w:r>
      <w:r w:rsidRPr="002C1741">
        <w:rPr>
          <w:rFonts w:ascii="Calibri" w:eastAsia="Calibri" w:hAnsi="Calibri" w:cs="Arial"/>
          <w:lang w:val="ro-RO"/>
        </w:rPr>
        <w:t>ț</w:t>
      </w:r>
      <w:r w:rsidRPr="002C1741">
        <w:rPr>
          <w:rFonts w:ascii="Calibri" w:eastAsia="Calibri" w:hAnsi="Calibri"/>
          <w:lang w:val="ro-RO"/>
        </w:rPr>
        <w:t>ină în mod direct cre</w:t>
      </w:r>
      <w:r w:rsidRPr="002C1741">
        <w:rPr>
          <w:rFonts w:ascii="Calibri" w:eastAsia="Calibri" w:hAnsi="Calibri" w:cs="Arial"/>
          <w:lang w:val="ro-RO"/>
        </w:rPr>
        <w:t>ș</w:t>
      </w:r>
      <w:r w:rsidRPr="002C1741">
        <w:rPr>
          <w:rFonts w:ascii="Calibri" w:eastAsia="Calibri" w:hAnsi="Calibri"/>
          <w:lang w:val="ro-RO"/>
        </w:rPr>
        <w:t xml:space="preserve">terea economică, situându-se în marja permisă de Pactul de Stabilitate și Creștere, </w:t>
      </w:r>
      <w:r w:rsidRPr="002C1741">
        <w:rPr>
          <w:rFonts w:ascii="Calibri" w:eastAsia="Calibri" w:hAnsi="Calibri"/>
          <w:b/>
          <w:color w:val="000048"/>
          <w:lang w:val="ro-RO"/>
        </w:rPr>
        <w:t>respectiv un deficit bugetar ESA de 3% din PIB.</w:t>
      </w:r>
    </w:p>
    <w:p w:rsidR="006A425D" w:rsidRPr="002C1741" w:rsidRDefault="006A425D" w:rsidP="006A425D">
      <w:pPr>
        <w:spacing w:after="120" w:line="276" w:lineRule="auto"/>
        <w:jc w:val="both"/>
        <w:rPr>
          <w:rFonts w:ascii="Calibri" w:eastAsia="Calibri" w:hAnsi="Calibri"/>
          <w:lang w:val="ro-RO"/>
        </w:rPr>
      </w:pPr>
      <w:r w:rsidRPr="002C1741">
        <w:rPr>
          <w:rFonts w:ascii="Calibri" w:eastAsia="Calibri" w:hAnsi="Calibri"/>
          <w:b/>
          <w:color w:val="000048"/>
          <w:lang w:val="ro-RO"/>
        </w:rPr>
        <w:t>În termeni structurali</w:t>
      </w:r>
      <w:r w:rsidRPr="002C1741">
        <w:rPr>
          <w:rFonts w:ascii="Calibri" w:eastAsia="Calibri" w:hAnsi="Calibri"/>
          <w:lang w:val="ro-RO"/>
        </w:rPr>
        <w:t>, se estimează că deviația semnificativă înregistrată în anul 2016 de la OTM stabilit pentru România (respectiv 1% din PIB) se</w:t>
      </w:r>
      <w:r w:rsidR="0055261B">
        <w:rPr>
          <w:rFonts w:ascii="Calibri" w:eastAsia="Calibri" w:hAnsi="Calibri"/>
          <w:lang w:val="ro-RO"/>
        </w:rPr>
        <w:t xml:space="preserve"> va ajusta începând cu anul 2021</w:t>
      </w:r>
      <w:r w:rsidRPr="002C1741">
        <w:rPr>
          <w:rFonts w:ascii="Calibri" w:eastAsia="Calibri" w:hAnsi="Calibri"/>
          <w:lang w:val="ro-RO"/>
        </w:rPr>
        <w:t xml:space="preserve">. </w:t>
      </w:r>
    </w:p>
    <w:p w:rsidR="006A425D" w:rsidRPr="002C1741" w:rsidRDefault="006A425D" w:rsidP="006A425D">
      <w:pPr>
        <w:spacing w:line="276" w:lineRule="auto"/>
        <w:ind w:right="143"/>
        <w:jc w:val="both"/>
        <w:rPr>
          <w:rFonts w:ascii="Calibri" w:hAnsi="Calibri" w:cs="Arial"/>
          <w:b/>
          <w:color w:val="000048"/>
          <w:lang w:val="ro-RO"/>
        </w:rPr>
      </w:pPr>
      <w:r w:rsidRPr="002C1741">
        <w:rPr>
          <w:rFonts w:ascii="Calibri" w:hAnsi="Calibri" w:cs="Arial"/>
          <w:b/>
          <w:color w:val="000048"/>
          <w:lang w:val="ro-RO"/>
        </w:rPr>
        <w:t>Devierea de la OTM s-ar produce în condițiile menținerii, pe întreg orizontul de planificare, a unui nivel sustenabil al datoriei publice de sub 40% din PIB, România înregistrând în anul 2017 un pro</w:t>
      </w:r>
      <w:r>
        <w:rPr>
          <w:rFonts w:ascii="Calibri" w:hAnsi="Calibri" w:cs="Arial"/>
          <w:b/>
          <w:color w:val="000048"/>
          <w:lang w:val="ro-RO"/>
        </w:rPr>
        <w:t>cent al datoriei publice de 35,2</w:t>
      </w:r>
      <w:r w:rsidRPr="002C1741">
        <w:rPr>
          <w:rFonts w:ascii="Calibri" w:hAnsi="Calibri" w:cs="Arial"/>
          <w:b/>
          <w:color w:val="000048"/>
          <w:lang w:val="ro-RO"/>
        </w:rPr>
        <w:t>%, in scădere fată de anul</w:t>
      </w:r>
      <w:r>
        <w:rPr>
          <w:rFonts w:ascii="Calibri" w:hAnsi="Calibri" w:cs="Arial"/>
          <w:b/>
          <w:color w:val="000048"/>
          <w:lang w:val="ro-RO"/>
        </w:rPr>
        <w:t xml:space="preserve"> 2016 cu 2,1</w:t>
      </w:r>
      <w:r w:rsidRPr="002C1741">
        <w:rPr>
          <w:rFonts w:ascii="Calibri" w:hAnsi="Calibri" w:cs="Arial"/>
          <w:b/>
          <w:color w:val="000048"/>
          <w:lang w:val="ro-RO"/>
        </w:rPr>
        <w:t xml:space="preserve"> puncte procentuale. </w:t>
      </w:r>
    </w:p>
    <w:p w:rsidR="006A425D" w:rsidRPr="002C1741" w:rsidRDefault="006A425D" w:rsidP="0031085E">
      <w:pPr>
        <w:spacing w:after="120" w:line="276" w:lineRule="auto"/>
        <w:ind w:right="142"/>
        <w:jc w:val="both"/>
        <w:rPr>
          <w:rFonts w:ascii="Arial" w:hAnsi="Arial" w:cs="Arial"/>
          <w:iCs/>
          <w:color w:val="000000"/>
          <w:sz w:val="20"/>
          <w:szCs w:val="20"/>
          <w:lang w:val="ro-RO"/>
        </w:rPr>
      </w:pPr>
      <w:r w:rsidRPr="002C1741">
        <w:rPr>
          <w:rFonts w:asciiTheme="minorHAnsi" w:hAnsiTheme="minorHAnsi" w:cs="Arial"/>
          <w:iCs/>
          <w:color w:val="000000"/>
          <w:lang w:val="ro-RO"/>
        </w:rPr>
        <w:t>Perspectiva de creştere moderată  a datoriei guvernamentale pe termen mediu şi de menţinere la un nivel relativ stabil și sustenabil se datorează creşterii economice susținute  şi unor deficite bugetare calculate conform metodologiei UE de până la 3,0 % din PIB, în perioada 2019-2021.</w:t>
      </w:r>
    </w:p>
    <w:p w:rsidR="006A425D" w:rsidRPr="002C1741" w:rsidRDefault="006A425D" w:rsidP="0031085E">
      <w:pPr>
        <w:autoSpaceDE w:val="0"/>
        <w:autoSpaceDN w:val="0"/>
        <w:adjustRightInd w:val="0"/>
        <w:jc w:val="both"/>
        <w:rPr>
          <w:rFonts w:ascii="Calibri" w:eastAsia="Calibri" w:hAnsi="Calibri"/>
          <w:lang w:val="ro-RO"/>
        </w:rPr>
      </w:pPr>
      <w:r w:rsidRPr="002C1741">
        <w:rPr>
          <w:rFonts w:ascii="Calibri" w:eastAsia="Calibri" w:hAnsi="Calibri"/>
          <w:lang w:val="ro-RO"/>
        </w:rPr>
        <w:t>Estimarea soldului bugetar structural, în pofida faptului că reflectă mai fidel poziția fiscală a unei economii, prezintă o anumită incertitudine asociată proiecției acestuia. Astfel, valoarea soldului structural este dependentă de nivelul decalajului de producție, la rândul său dependent de PIB potențial, o mărime neobservabilă care este supusă deseori unor revizuiri mai mult sau mai puțin semnificative în funcție de revizuirea datelor statistice şi de metodologia folosită.</w:t>
      </w:r>
    </w:p>
    <w:p w:rsidR="006A425D" w:rsidRPr="002C1741" w:rsidRDefault="006A425D" w:rsidP="006A425D">
      <w:pPr>
        <w:autoSpaceDE w:val="0"/>
        <w:autoSpaceDN w:val="0"/>
        <w:adjustRightInd w:val="0"/>
        <w:jc w:val="both"/>
        <w:rPr>
          <w:rFonts w:ascii="Calibri" w:hAnsi="Calibri" w:cs="Calibri"/>
          <w:b/>
          <w:color w:val="0E015F"/>
          <w:lang w:val="ro-RO" w:eastAsia="ro-RO"/>
        </w:rPr>
      </w:pPr>
    </w:p>
    <w:p w:rsidR="006A425D" w:rsidRPr="007C3BAA" w:rsidRDefault="006A425D" w:rsidP="006A425D">
      <w:pPr>
        <w:widowControl w:val="0"/>
        <w:autoSpaceDE w:val="0"/>
        <w:autoSpaceDN w:val="0"/>
        <w:adjustRightInd w:val="0"/>
        <w:spacing w:after="160" w:line="259" w:lineRule="auto"/>
        <w:jc w:val="both"/>
        <w:rPr>
          <w:rFonts w:ascii="Calibri" w:hAnsi="Calibri" w:cs="Arial"/>
          <w:color w:val="000000" w:themeColor="text1"/>
          <w:lang w:val="ro-RO"/>
        </w:rPr>
      </w:pPr>
      <w:r w:rsidRPr="007C3BAA">
        <w:rPr>
          <w:rFonts w:ascii="Calibri" w:hAnsi="Calibri"/>
          <w:color w:val="000000" w:themeColor="text1"/>
          <w:lang w:val="ro-RO"/>
        </w:rPr>
        <w:t>Estimările pentru anul 2019 a principalilor indicatori macroeconomici și bugetari sunt</w:t>
      </w:r>
      <w:r w:rsidRPr="007C3BAA">
        <w:rPr>
          <w:rFonts w:ascii="Calibri" w:hAnsi="Calibri" w:cs="Arial"/>
          <w:color w:val="000000" w:themeColor="text1"/>
          <w:lang w:val="ro-RO"/>
        </w:rPr>
        <w: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708"/>
        <w:gridCol w:w="2019"/>
      </w:tblGrid>
      <w:tr w:rsidR="006A425D" w:rsidRPr="002C1741" w:rsidTr="006A425D">
        <w:trPr>
          <w:trHeight w:val="141"/>
        </w:trPr>
        <w:tc>
          <w:tcPr>
            <w:tcW w:w="9498" w:type="dxa"/>
            <w:gridSpan w:val="3"/>
            <w:tcBorders>
              <w:top w:val="nil"/>
              <w:left w:val="nil"/>
              <w:bottom w:val="single" w:sz="4" w:space="0" w:color="auto"/>
              <w:right w:val="nil"/>
            </w:tcBorders>
            <w:shd w:val="clear" w:color="auto" w:fill="BDD6EE" w:themeFill="accent1" w:themeFillTint="66"/>
            <w:noWrap/>
            <w:vAlign w:val="bottom"/>
          </w:tcPr>
          <w:p w:rsidR="006A425D" w:rsidRPr="002C1741" w:rsidRDefault="006A425D" w:rsidP="006A425D">
            <w:pPr>
              <w:keepNext/>
              <w:jc w:val="center"/>
              <w:rPr>
                <w:rFonts w:ascii="Calibri Light" w:hAnsi="Calibri Light" w:cs="Arial"/>
                <w:b/>
                <w:bCs/>
              </w:rPr>
            </w:pPr>
            <w:r w:rsidRPr="002C1741">
              <w:rPr>
                <w:rFonts w:ascii="Calibri Light" w:hAnsi="Calibri Light" w:cs="Arial"/>
                <w:b/>
                <w:bCs/>
              </w:rPr>
              <w:t xml:space="preserve">PRINCIPALII INDICATORI MACROECONOMICI - SINTEZĂ </w:t>
            </w:r>
          </w:p>
        </w:tc>
      </w:tr>
      <w:tr w:rsidR="006A425D" w:rsidRPr="002C1741" w:rsidTr="006A425D">
        <w:trPr>
          <w:trHeight w:val="562"/>
        </w:trPr>
        <w:tc>
          <w:tcPr>
            <w:tcW w:w="6771" w:type="dxa"/>
            <w:tcBorders>
              <w:top w:val="nil"/>
              <w:left w:val="nil"/>
              <w:bottom w:val="single" w:sz="4" w:space="0" w:color="auto"/>
              <w:right w:val="nil"/>
            </w:tcBorders>
            <w:shd w:val="clear" w:color="auto" w:fill="auto"/>
            <w:vAlign w:val="center"/>
          </w:tcPr>
          <w:p w:rsidR="006A425D" w:rsidRPr="002C1741" w:rsidRDefault="006A425D" w:rsidP="006A425D">
            <w:pPr>
              <w:keepNext/>
              <w:jc w:val="center"/>
              <w:rPr>
                <w:rFonts w:ascii="Calibri Light" w:hAnsi="Calibri Light" w:cs="Arial"/>
                <w:b/>
                <w:bCs/>
              </w:rPr>
            </w:pPr>
            <w:r w:rsidRPr="002C1741">
              <w:rPr>
                <w:rFonts w:ascii="Calibri Light" w:hAnsi="Calibri Light" w:cs="Arial"/>
                <w:b/>
                <w:bCs/>
              </w:rPr>
              <w:t>Indicatori</w:t>
            </w:r>
          </w:p>
        </w:tc>
        <w:tc>
          <w:tcPr>
            <w:tcW w:w="2727" w:type="dxa"/>
            <w:gridSpan w:val="2"/>
            <w:tcBorders>
              <w:top w:val="single" w:sz="4" w:space="0" w:color="auto"/>
              <w:left w:val="nil"/>
              <w:bottom w:val="single" w:sz="4" w:space="0" w:color="auto"/>
              <w:right w:val="nil"/>
            </w:tcBorders>
            <w:shd w:val="clear" w:color="auto" w:fill="auto"/>
            <w:noWrap/>
            <w:vAlign w:val="center"/>
          </w:tcPr>
          <w:p w:rsidR="006A425D" w:rsidRPr="002C1741" w:rsidRDefault="006A425D" w:rsidP="006A425D">
            <w:pPr>
              <w:keepNext/>
              <w:jc w:val="right"/>
              <w:rPr>
                <w:rFonts w:ascii="Calibri Light" w:hAnsi="Calibri Light" w:cs="Arial"/>
                <w:b/>
                <w:bCs/>
              </w:rPr>
            </w:pPr>
            <w:r w:rsidRPr="002C1741">
              <w:rPr>
                <w:rFonts w:ascii="Calibri Light" w:hAnsi="Calibri Light" w:cs="Arial"/>
                <w:b/>
                <w:bCs/>
              </w:rPr>
              <w:t>Anul 2019</w:t>
            </w: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sidRPr="002C1741">
              <w:rPr>
                <w:rFonts w:ascii="Calibri" w:hAnsi="Calibri" w:cs="Arial"/>
              </w:rPr>
              <w:t>PIB - milioane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r w:rsidRPr="002C1741">
              <w:rPr>
                <w:rFonts w:ascii="Calibri" w:hAnsi="Calibri" w:cs="Calibri"/>
                <w:lang w:val="ro-RO"/>
              </w:rPr>
              <w:t>1.022.472,2</w:t>
            </w:r>
          </w:p>
        </w:tc>
      </w:tr>
      <w:tr w:rsidR="006A425D" w:rsidRPr="002C1741" w:rsidTr="006A425D">
        <w:trPr>
          <w:trHeight w:hRule="exact" w:val="123"/>
        </w:trPr>
        <w:tc>
          <w:tcPr>
            <w:tcW w:w="6771" w:type="dxa"/>
            <w:tcBorders>
              <w:top w:val="nil"/>
              <w:left w:val="nil"/>
              <w:bottom w:val="nil"/>
              <w:right w:val="nil"/>
            </w:tcBorders>
            <w:shd w:val="clear" w:color="auto" w:fill="auto"/>
            <w:noWrap/>
            <w:vAlign w:val="center"/>
          </w:tcPr>
          <w:p w:rsidR="006A425D" w:rsidRPr="002C1741" w:rsidRDefault="006A425D" w:rsidP="006A425D">
            <w:pPr>
              <w:keepNext/>
              <w:jc w:val="center"/>
              <w:rPr>
                <w:rFonts w:ascii="Calibri" w:hAnsi="Calibri" w:cs="Arial"/>
              </w:rPr>
            </w:pP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center"/>
          </w:tcPr>
          <w:p w:rsidR="006A425D" w:rsidRPr="002C1741" w:rsidRDefault="006A425D" w:rsidP="006A425D">
            <w:pPr>
              <w:keepNext/>
              <w:ind w:left="191"/>
              <w:rPr>
                <w:rFonts w:ascii="Calibri" w:hAnsi="Calibri" w:cs="Arial"/>
              </w:rPr>
            </w:pPr>
            <w:r w:rsidRPr="002C1741">
              <w:rPr>
                <w:rFonts w:ascii="Calibri" w:hAnsi="Calibri" w:cs="Arial"/>
              </w:rPr>
              <w:t>Creştere economică  %</w:t>
            </w: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lang w:val="ro-RO"/>
              </w:rPr>
            </w:pPr>
            <w:r w:rsidRPr="002C1741">
              <w:rPr>
                <w:rFonts w:ascii="Calibri" w:hAnsi="Calibri" w:cs="Calibri"/>
                <w:lang w:val="ro-RO"/>
              </w:rPr>
              <w:t>5,5</w:t>
            </w:r>
          </w:p>
        </w:tc>
      </w:tr>
      <w:tr w:rsidR="006A425D" w:rsidRPr="002C1741" w:rsidTr="006A425D">
        <w:trPr>
          <w:trHeight w:hRule="exact" w:val="123"/>
        </w:trPr>
        <w:tc>
          <w:tcPr>
            <w:tcW w:w="6771" w:type="dxa"/>
            <w:tcBorders>
              <w:top w:val="nil"/>
              <w:left w:val="nil"/>
              <w:bottom w:val="nil"/>
              <w:right w:val="nil"/>
            </w:tcBorders>
            <w:shd w:val="clear" w:color="auto" w:fill="auto"/>
            <w:noWrap/>
            <w:vAlign w:val="center"/>
          </w:tcPr>
          <w:p w:rsidR="006A425D" w:rsidRPr="002C1741" w:rsidRDefault="006A425D" w:rsidP="006A425D">
            <w:pPr>
              <w:keepNext/>
              <w:jc w:val="center"/>
              <w:rPr>
                <w:rFonts w:ascii="Calibri" w:hAnsi="Calibri" w:cs="Arial"/>
              </w:rPr>
            </w:pP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sidRPr="002C1741">
              <w:rPr>
                <w:rFonts w:ascii="Calibri" w:hAnsi="Calibri" w:cs="Arial"/>
              </w:rPr>
              <w:t>Inflaţia medie anuală %</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r w:rsidRPr="002C1741">
              <w:rPr>
                <w:rFonts w:ascii="Calibri" w:hAnsi="Calibri" w:cs="Calibri"/>
                <w:lang w:val="ro-RO"/>
              </w:rPr>
              <w:t>2,8</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59"/>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Venituri  BGC - milioane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4F3E7F" w:rsidP="006A425D">
            <w:pPr>
              <w:keepNext/>
              <w:jc w:val="right"/>
              <w:rPr>
                <w:rFonts w:ascii="Calibri" w:hAnsi="Calibri" w:cs="Calibri"/>
                <w:lang w:val="ro-RO"/>
              </w:rPr>
            </w:pPr>
            <w:r>
              <w:rPr>
                <w:rFonts w:ascii="Calibri" w:hAnsi="Calibri" w:cs="Calibri"/>
                <w:lang w:val="ro-RO"/>
              </w:rPr>
              <w:t>342.675</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Ponderea veniturilor totale în PIB</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4F3E7F" w:rsidP="006A425D">
            <w:pPr>
              <w:keepNext/>
              <w:jc w:val="right"/>
              <w:rPr>
                <w:rFonts w:ascii="Calibri" w:hAnsi="Calibri" w:cs="Calibri"/>
                <w:lang w:val="ro-RO"/>
              </w:rPr>
            </w:pPr>
            <w:r>
              <w:rPr>
                <w:rFonts w:ascii="Calibri" w:hAnsi="Calibri" w:cs="Calibri"/>
                <w:lang w:val="ro-RO"/>
              </w:rPr>
              <w:t>33,51</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59"/>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Cheltuieli BGC - milioane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lang w:val="ro-RO"/>
              </w:rPr>
            </w:pPr>
            <w:r>
              <w:rPr>
                <w:rFonts w:ascii="Calibri" w:hAnsi="Calibri" w:cs="Calibri"/>
                <w:lang w:val="ro-RO"/>
              </w:rPr>
              <w:t>370.924</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center"/>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Ponderea cheltuielilor totale în PIB</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lang w:val="ro-RO"/>
              </w:rPr>
            </w:pPr>
            <w:r>
              <w:rPr>
                <w:rFonts w:ascii="Calibri" w:hAnsi="Calibri" w:cs="Calibri"/>
                <w:lang w:val="ro-RO"/>
              </w:rPr>
              <w:t>36,28</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Deficit - milioane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lang w:val="ro-RO"/>
              </w:rPr>
            </w:pPr>
            <w:r>
              <w:rPr>
                <w:rFonts w:ascii="Calibri" w:hAnsi="Calibri" w:cs="Calibri"/>
                <w:lang w:val="ro-RO"/>
              </w:rPr>
              <w:t>-28.249</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r w:rsidRPr="002C1741">
              <w:rPr>
                <w:rFonts w:ascii="Calibri" w:hAnsi="Calibri" w:cs="Arial"/>
                <w:lang w:val="it-IT"/>
              </w:rPr>
              <w:t>Deficit - pondere în PIB</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lang w:val="ro-RO"/>
              </w:rPr>
            </w:pPr>
            <w:r>
              <w:rPr>
                <w:rFonts w:ascii="Calibri" w:hAnsi="Calibri" w:cs="Calibri"/>
                <w:lang w:val="ro-RO"/>
              </w:rPr>
              <w:t>-2,76</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7D658E"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sidRPr="002C1741">
              <w:rPr>
                <w:rFonts w:ascii="Calibri" w:hAnsi="Calibri" w:cs="Arial"/>
              </w:rPr>
              <w:t>Şomeri (număr total persoane)</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7D658E" w:rsidRDefault="006A425D" w:rsidP="006A425D">
            <w:pPr>
              <w:keepNext/>
              <w:jc w:val="right"/>
              <w:rPr>
                <w:rFonts w:ascii="Calibri" w:hAnsi="Calibri" w:cs="Calibri"/>
                <w:color w:val="000000" w:themeColor="text1"/>
                <w:lang w:val="ro-RO"/>
              </w:rPr>
            </w:pPr>
            <w:r w:rsidRPr="007D658E">
              <w:rPr>
                <w:rFonts w:ascii="Calibri" w:hAnsi="Calibri" w:cs="Calibri"/>
                <w:color w:val="000000" w:themeColor="text1"/>
                <w:lang w:val="ro-RO"/>
              </w:rPr>
              <w:t>287.000</w:t>
            </w:r>
          </w:p>
        </w:tc>
      </w:tr>
      <w:tr w:rsidR="006A425D" w:rsidRPr="007D658E"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pt-BR"/>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pt-BR"/>
              </w:rPr>
            </w:pPr>
          </w:p>
        </w:tc>
        <w:tc>
          <w:tcPr>
            <w:tcW w:w="2019" w:type="dxa"/>
            <w:tcBorders>
              <w:top w:val="nil"/>
              <w:left w:val="nil"/>
              <w:bottom w:val="nil"/>
              <w:right w:val="nil"/>
            </w:tcBorders>
            <w:shd w:val="clear" w:color="auto" w:fill="auto"/>
            <w:noWrap/>
            <w:vAlign w:val="bottom"/>
          </w:tcPr>
          <w:p w:rsidR="006A425D" w:rsidRPr="007D658E" w:rsidRDefault="006A425D" w:rsidP="006A425D">
            <w:pPr>
              <w:keepNext/>
              <w:jc w:val="right"/>
              <w:rPr>
                <w:rFonts w:ascii="Calibri" w:hAnsi="Calibri" w:cs="Calibri"/>
                <w:color w:val="000000" w:themeColor="text1"/>
                <w:lang w:val="ro-RO"/>
              </w:rPr>
            </w:pPr>
          </w:p>
        </w:tc>
      </w:tr>
      <w:tr w:rsidR="006A425D" w:rsidRPr="007D658E" w:rsidTr="006A425D">
        <w:trPr>
          <w:trHeight w:val="87"/>
        </w:trPr>
        <w:tc>
          <w:tcPr>
            <w:tcW w:w="6771" w:type="dxa"/>
            <w:tcBorders>
              <w:top w:val="nil"/>
              <w:left w:val="nil"/>
              <w:bottom w:val="single" w:sz="4" w:space="0" w:color="auto"/>
              <w:right w:val="nil"/>
            </w:tcBorders>
            <w:shd w:val="clear" w:color="auto" w:fill="auto"/>
            <w:noWrap/>
            <w:vAlign w:val="bottom"/>
          </w:tcPr>
          <w:p w:rsidR="006A425D" w:rsidRPr="002C1741" w:rsidRDefault="006A425D" w:rsidP="006A425D">
            <w:pPr>
              <w:keepNext/>
              <w:rPr>
                <w:rFonts w:ascii="Calibri" w:hAnsi="Calibri" w:cs="Arial"/>
                <w:lang w:val="pt-BR"/>
              </w:rPr>
            </w:pPr>
            <w:r w:rsidRPr="002C1741">
              <w:rPr>
                <w:rFonts w:ascii="Calibri" w:hAnsi="Calibri" w:cs="Arial"/>
                <w:lang w:val="pt-BR"/>
              </w:rPr>
              <w:t>Câştig salarial mediu net lei lunar</w:t>
            </w:r>
          </w:p>
        </w:tc>
        <w:tc>
          <w:tcPr>
            <w:tcW w:w="708" w:type="dxa"/>
            <w:tcBorders>
              <w:top w:val="nil"/>
              <w:left w:val="nil"/>
              <w:bottom w:val="single" w:sz="4" w:space="0" w:color="auto"/>
              <w:right w:val="nil"/>
            </w:tcBorders>
            <w:shd w:val="clear" w:color="auto" w:fill="auto"/>
            <w:noWrap/>
            <w:vAlign w:val="bottom"/>
          </w:tcPr>
          <w:p w:rsidR="006A425D" w:rsidRPr="002C1741" w:rsidRDefault="006A425D" w:rsidP="006A425D">
            <w:pPr>
              <w:keepNext/>
              <w:rPr>
                <w:rFonts w:ascii="Calibri" w:hAnsi="Calibri" w:cs="Arial"/>
                <w:lang w:val="pt-BR"/>
              </w:rPr>
            </w:pPr>
            <w:r w:rsidRPr="002C1741">
              <w:rPr>
                <w:rFonts w:ascii="Calibri" w:hAnsi="Calibri" w:cs="Arial"/>
                <w:lang w:val="pt-BR"/>
              </w:rPr>
              <w:t> </w:t>
            </w:r>
          </w:p>
        </w:tc>
        <w:tc>
          <w:tcPr>
            <w:tcW w:w="2019" w:type="dxa"/>
            <w:tcBorders>
              <w:top w:val="nil"/>
              <w:left w:val="nil"/>
              <w:bottom w:val="single" w:sz="4" w:space="0" w:color="auto"/>
              <w:right w:val="nil"/>
            </w:tcBorders>
            <w:shd w:val="clear" w:color="auto" w:fill="auto"/>
            <w:noWrap/>
            <w:vAlign w:val="bottom"/>
          </w:tcPr>
          <w:p w:rsidR="006A425D" w:rsidRPr="007D0CFA" w:rsidRDefault="006A425D" w:rsidP="006A425D">
            <w:pPr>
              <w:keepNext/>
              <w:jc w:val="right"/>
              <w:rPr>
                <w:rFonts w:asciiTheme="minorHAnsi" w:hAnsiTheme="minorHAnsi" w:cs="Arial"/>
                <w:color w:val="000000" w:themeColor="text1"/>
                <w:lang w:val="ro-RO"/>
              </w:rPr>
            </w:pPr>
            <w:r w:rsidRPr="007D0CFA">
              <w:rPr>
                <w:rFonts w:asciiTheme="minorHAnsi" w:hAnsiTheme="minorHAnsi" w:cs="Arial"/>
                <w:color w:val="000000" w:themeColor="text1"/>
              </w:rPr>
              <w:t>3.085</w:t>
            </w:r>
          </w:p>
        </w:tc>
      </w:tr>
    </w:tbl>
    <w:p w:rsidR="0073138F" w:rsidRDefault="006A425D" w:rsidP="0073138F">
      <w:pPr>
        <w:keepNext/>
        <w:shd w:val="clear" w:color="auto" w:fill="FFFFFF" w:themeFill="background1"/>
        <w:spacing w:line="360" w:lineRule="auto"/>
        <w:ind w:left="57"/>
        <w:jc w:val="both"/>
        <w:rPr>
          <w:rFonts w:ascii="Calibri" w:hAnsi="Calibri" w:cs="Arial"/>
          <w:b/>
          <w:color w:val="000000" w:themeColor="text1"/>
          <w:lang w:val="ro-RO"/>
        </w:rPr>
      </w:pPr>
      <w:r w:rsidRPr="0016023B">
        <w:rPr>
          <w:rFonts w:ascii="Calibri" w:hAnsi="Calibri" w:cs="Arial"/>
          <w:b/>
          <w:color w:val="000000" w:themeColor="text1"/>
          <w:lang w:val="ro-RO"/>
        </w:rPr>
        <w:t xml:space="preserve">    </w:t>
      </w:r>
    </w:p>
    <w:p w:rsidR="006A425D" w:rsidRPr="0016023B" w:rsidRDefault="006A425D" w:rsidP="006A425D">
      <w:pPr>
        <w:keepNext/>
        <w:shd w:val="clear" w:color="auto" w:fill="5B9BD5" w:themeFill="accent1"/>
        <w:spacing w:line="360" w:lineRule="auto"/>
        <w:ind w:left="57"/>
        <w:jc w:val="both"/>
        <w:rPr>
          <w:rFonts w:ascii="Calibri" w:hAnsi="Calibri" w:cs="Arial"/>
          <w:b/>
          <w:color w:val="000000" w:themeColor="text1"/>
          <w:lang w:val="ro-RO"/>
        </w:rPr>
      </w:pPr>
      <w:r w:rsidRPr="0016023B">
        <w:rPr>
          <w:rFonts w:ascii="Calibri" w:hAnsi="Calibri" w:cs="Arial"/>
          <w:b/>
          <w:color w:val="000000" w:themeColor="text1"/>
          <w:lang w:val="ro-RO"/>
        </w:rPr>
        <w:t xml:space="preserve">Contribuția componentelor de utilizare la cresterea reală a PIB  </w:t>
      </w:r>
    </w:p>
    <w:p w:rsidR="006A425D" w:rsidRPr="003350EC" w:rsidRDefault="006A425D" w:rsidP="006A425D">
      <w:pPr>
        <w:keepNext/>
        <w:spacing w:line="360" w:lineRule="auto"/>
        <w:ind w:left="57"/>
        <w:jc w:val="both"/>
        <w:rPr>
          <w:rFonts w:ascii="Calibri" w:hAnsi="Calibri" w:cs="Arial"/>
          <w:color w:val="000000" w:themeColor="text1"/>
          <w:lang w:val="ro-RO"/>
        </w:rPr>
      </w:pPr>
      <w:r w:rsidRPr="003350EC">
        <w:rPr>
          <w:rFonts w:ascii="Calibri" w:hAnsi="Calibri" w:cs="Arial"/>
          <w:color w:val="000000" w:themeColor="text1"/>
          <w:lang w:val="ro-RO"/>
        </w:rPr>
        <w:t xml:space="preserve">                                                                                                                                                          Procente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3350EC" w:rsidRPr="003350EC" w:rsidTr="006A425D">
        <w:trPr>
          <w:trHeight w:val="374"/>
          <w:jc w:val="center"/>
        </w:trPr>
        <w:tc>
          <w:tcPr>
            <w:tcW w:w="6348" w:type="dxa"/>
            <w:tcBorders>
              <w:bottom w:val="single" w:sz="4" w:space="0" w:color="auto"/>
            </w:tcBorders>
            <w:shd w:val="clear" w:color="auto" w:fill="auto"/>
            <w:noWrap/>
            <w:vAlign w:val="center"/>
          </w:tcPr>
          <w:p w:rsidR="006A425D" w:rsidRPr="003350EC" w:rsidRDefault="006A425D" w:rsidP="006A425D">
            <w:pPr>
              <w:keepNext/>
              <w:jc w:val="center"/>
              <w:rPr>
                <w:rFonts w:ascii="Calibri" w:hAnsi="Calibri" w:cs="Arial"/>
                <w:b/>
                <w:bCs/>
                <w:color w:val="000000" w:themeColor="text1"/>
              </w:rPr>
            </w:pPr>
            <w:r w:rsidRPr="003350EC">
              <w:rPr>
                <w:rFonts w:ascii="Calibri" w:hAnsi="Calibri" w:cs="Arial"/>
                <w:b/>
                <w:bCs/>
                <w:color w:val="000000" w:themeColor="text1"/>
              </w:rPr>
              <w:t> </w:t>
            </w:r>
          </w:p>
        </w:tc>
        <w:tc>
          <w:tcPr>
            <w:tcW w:w="1273"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Arial"/>
                <w:b/>
                <w:bCs/>
                <w:color w:val="000000" w:themeColor="text1"/>
              </w:rPr>
            </w:pPr>
            <w:r w:rsidRPr="003350EC">
              <w:rPr>
                <w:rFonts w:ascii="Calibri" w:hAnsi="Calibri" w:cs="Arial"/>
                <w:b/>
                <w:bCs/>
                <w:color w:val="000000" w:themeColor="text1"/>
              </w:rPr>
              <w:t>2018</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Arial"/>
                <w:b/>
                <w:bCs/>
                <w:color w:val="000000" w:themeColor="text1"/>
              </w:rPr>
            </w:pPr>
            <w:r w:rsidRPr="003350EC">
              <w:rPr>
                <w:rFonts w:ascii="Calibri" w:hAnsi="Calibri" w:cs="Arial"/>
                <w:b/>
                <w:bCs/>
                <w:color w:val="000000" w:themeColor="text1"/>
              </w:rPr>
              <w:t>2019</w:t>
            </w:r>
          </w:p>
        </w:tc>
      </w:tr>
      <w:tr w:rsidR="003350EC" w:rsidRPr="003350EC" w:rsidTr="006A425D">
        <w:trPr>
          <w:trHeight w:val="332"/>
          <w:jc w:val="center"/>
        </w:trPr>
        <w:tc>
          <w:tcPr>
            <w:tcW w:w="6348" w:type="dxa"/>
            <w:tcBorders>
              <w:top w:val="single" w:sz="4" w:space="0" w:color="auto"/>
            </w:tcBorders>
            <w:shd w:val="clear" w:color="auto" w:fill="auto"/>
            <w:noWrap/>
            <w:vAlign w:val="bottom"/>
          </w:tcPr>
          <w:p w:rsidR="006A425D" w:rsidRPr="003350EC" w:rsidRDefault="006A425D" w:rsidP="006A425D">
            <w:pPr>
              <w:keepNext/>
              <w:rPr>
                <w:rFonts w:ascii="Calibri" w:hAnsi="Calibri" w:cs="Arial"/>
                <w:color w:val="000000" w:themeColor="text1"/>
              </w:rPr>
            </w:pPr>
            <w:r w:rsidRPr="003350EC">
              <w:rPr>
                <w:rFonts w:ascii="Calibri" w:hAnsi="Calibri" w:cs="Arial"/>
                <w:b/>
                <w:bCs/>
                <w:color w:val="000000" w:themeColor="text1"/>
              </w:rPr>
              <w:t>PRODUSUL INTERN BRUT</w:t>
            </w:r>
          </w:p>
        </w:tc>
        <w:tc>
          <w:tcPr>
            <w:tcW w:w="1273" w:type="dxa"/>
            <w:tcBorders>
              <w:top w:val="single" w:sz="4" w:space="0" w:color="auto"/>
            </w:tcBorders>
            <w:shd w:val="clear" w:color="auto" w:fill="auto"/>
            <w:noWrap/>
            <w:vAlign w:val="bottom"/>
          </w:tcPr>
          <w:p w:rsidR="006A425D" w:rsidRPr="003350EC" w:rsidRDefault="006A425D" w:rsidP="0059380C">
            <w:pPr>
              <w:keepNext/>
              <w:jc w:val="center"/>
              <w:rPr>
                <w:rFonts w:ascii="Calibri" w:hAnsi="Calibri" w:cs="Calibri"/>
                <w:b/>
                <w:bCs/>
                <w:color w:val="000000" w:themeColor="text1"/>
              </w:rPr>
            </w:pPr>
            <w:r w:rsidRPr="003350EC">
              <w:rPr>
                <w:rFonts w:ascii="Calibri" w:hAnsi="Calibri" w:cs="Calibri"/>
                <w:b/>
                <w:bCs/>
                <w:color w:val="000000" w:themeColor="text1"/>
              </w:rPr>
              <w:t>4,</w:t>
            </w:r>
            <w:r w:rsidR="0059380C" w:rsidRPr="003350EC">
              <w:rPr>
                <w:rFonts w:ascii="Calibri" w:hAnsi="Calibri" w:cs="Calibri"/>
                <w:b/>
                <w:bCs/>
                <w:color w:val="000000" w:themeColor="text1"/>
              </w:rPr>
              <w:t>1</w:t>
            </w:r>
          </w:p>
        </w:tc>
        <w:tc>
          <w:tcPr>
            <w:tcW w:w="1387" w:type="dxa"/>
            <w:tcBorders>
              <w:top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sidRPr="003350EC">
              <w:rPr>
                <w:rFonts w:ascii="Calibri" w:hAnsi="Calibri" w:cs="Calibri"/>
                <w:b/>
                <w:bCs/>
                <w:color w:val="000000" w:themeColor="text1"/>
              </w:rPr>
              <w:t>5,5</w:t>
            </w:r>
          </w:p>
        </w:tc>
      </w:tr>
      <w:tr w:rsidR="003350EC" w:rsidRPr="003350EC" w:rsidTr="006A425D">
        <w:trPr>
          <w:trHeight w:val="350"/>
          <w:jc w:val="center"/>
        </w:trPr>
        <w:tc>
          <w:tcPr>
            <w:tcW w:w="6348" w:type="dxa"/>
            <w:tcBorders>
              <w:bottom w:val="single" w:sz="4" w:space="0" w:color="auto"/>
            </w:tcBorders>
            <w:shd w:val="clear" w:color="auto" w:fill="auto"/>
            <w:vAlign w:val="bottom"/>
          </w:tcPr>
          <w:p w:rsidR="006A425D" w:rsidRPr="003350EC" w:rsidRDefault="006A425D" w:rsidP="006A425D">
            <w:pPr>
              <w:keepNext/>
              <w:rPr>
                <w:rFonts w:ascii="Calibri" w:hAnsi="Calibri" w:cs="Arial"/>
                <w:color w:val="000000" w:themeColor="text1"/>
              </w:rPr>
            </w:pPr>
            <w:r w:rsidRPr="003350EC">
              <w:rPr>
                <w:rFonts w:ascii="Calibri" w:hAnsi="Calibri" w:cs="Arial"/>
                <w:b/>
                <w:bCs/>
                <w:color w:val="000000" w:themeColor="text1"/>
              </w:rPr>
              <w:t>Cererea internă</w:t>
            </w:r>
          </w:p>
        </w:tc>
        <w:tc>
          <w:tcPr>
            <w:tcW w:w="1273" w:type="dxa"/>
            <w:tcBorders>
              <w:bottom w:val="single" w:sz="4" w:space="0" w:color="auto"/>
            </w:tcBorders>
            <w:shd w:val="clear" w:color="auto" w:fill="auto"/>
            <w:noWrap/>
            <w:vAlign w:val="bottom"/>
          </w:tcPr>
          <w:p w:rsidR="006A425D" w:rsidRPr="003350EC" w:rsidRDefault="0059380C" w:rsidP="0059380C">
            <w:pPr>
              <w:keepNext/>
              <w:jc w:val="center"/>
              <w:rPr>
                <w:rFonts w:ascii="Calibri" w:hAnsi="Calibri" w:cs="Calibri"/>
                <w:b/>
                <w:bCs/>
                <w:color w:val="000000" w:themeColor="text1"/>
              </w:rPr>
            </w:pPr>
            <w:r w:rsidRPr="003350EC">
              <w:rPr>
                <w:rFonts w:ascii="Calibri" w:hAnsi="Calibri" w:cs="Calibri"/>
                <w:b/>
                <w:bCs/>
                <w:color w:val="000000" w:themeColor="text1"/>
              </w:rPr>
              <w:t>5</w:t>
            </w:r>
            <w:r w:rsidR="006A425D" w:rsidRPr="003350EC">
              <w:rPr>
                <w:rFonts w:ascii="Calibri" w:hAnsi="Calibri" w:cs="Calibri"/>
                <w:b/>
                <w:bCs/>
                <w:color w:val="000000" w:themeColor="text1"/>
              </w:rPr>
              <w:t>,</w:t>
            </w:r>
            <w:r w:rsidRPr="003350EC">
              <w:rPr>
                <w:rFonts w:ascii="Calibri" w:hAnsi="Calibri" w:cs="Calibri"/>
                <w:b/>
                <w:bCs/>
                <w:color w:val="000000" w:themeColor="text1"/>
              </w:rPr>
              <w:t>9</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sidRPr="003350EC">
              <w:rPr>
                <w:rFonts w:ascii="Calibri" w:hAnsi="Calibri" w:cs="Calibri"/>
                <w:b/>
                <w:bCs/>
                <w:color w:val="000000" w:themeColor="text1"/>
              </w:rPr>
              <w:t>6,1</w:t>
            </w:r>
          </w:p>
        </w:tc>
      </w:tr>
      <w:tr w:rsidR="003350EC" w:rsidRPr="003350EC" w:rsidTr="006A425D">
        <w:trPr>
          <w:trHeight w:val="17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rPr>
            </w:pPr>
            <w:r w:rsidRPr="003350EC">
              <w:rPr>
                <w:rFonts w:ascii="Calibri" w:eastAsia="Calibri" w:hAnsi="Calibri" w:cs="Arial"/>
                <w:color w:val="000000" w:themeColor="text1"/>
              </w:rPr>
              <w:t>Consum final</w:t>
            </w:r>
          </w:p>
        </w:tc>
        <w:tc>
          <w:tcPr>
            <w:tcW w:w="1273"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3,</w:t>
            </w:r>
            <w:r w:rsidR="0059380C" w:rsidRPr="003350EC">
              <w:rPr>
                <w:rFonts w:ascii="Calibri" w:hAnsi="Calibri" w:cs="Calibri"/>
                <w:color w:val="000000" w:themeColor="text1"/>
              </w:rPr>
              <w:t>9</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4,7</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3350EC" w:rsidRDefault="006A425D" w:rsidP="006A425D">
            <w:pPr>
              <w:keepNext/>
              <w:ind w:left="720" w:hanging="360"/>
              <w:contextualSpacing/>
              <w:rPr>
                <w:rFonts w:ascii="Calibri" w:eastAsia="Calibri" w:hAnsi="Calibri" w:cs="Arial"/>
                <w:color w:val="000000" w:themeColor="text1"/>
                <w:lang w:val="it-IT"/>
              </w:rPr>
            </w:pPr>
            <w:r w:rsidRPr="003350EC">
              <w:rPr>
                <w:rFonts w:ascii="Calibri" w:eastAsia="Calibri" w:hAnsi="Calibri"/>
                <w:color w:val="000000" w:themeColor="text1"/>
              </w:rPr>
              <w:t>- Cheltuielile cu consumul privat, din care:</w:t>
            </w:r>
          </w:p>
        </w:tc>
        <w:tc>
          <w:tcPr>
            <w:tcW w:w="1273"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3,3</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4,0</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3350EC" w:rsidRDefault="006A425D" w:rsidP="006A425D">
            <w:pPr>
              <w:keepNext/>
              <w:ind w:left="720" w:hanging="120"/>
              <w:contextualSpacing/>
              <w:rPr>
                <w:rFonts w:ascii="Calibri" w:eastAsia="Calibri" w:hAnsi="Calibri"/>
                <w:color w:val="000000" w:themeColor="text1"/>
              </w:rPr>
            </w:pPr>
            <w:r w:rsidRPr="003350EC">
              <w:rPr>
                <w:rFonts w:ascii="Calibri" w:eastAsia="Calibri" w:hAnsi="Calibri"/>
                <w:color w:val="000000" w:themeColor="text1"/>
              </w:rPr>
              <w:t xml:space="preserve">     -- Cheltuielile cu consumul final al populaţiei</w:t>
            </w:r>
          </w:p>
        </w:tc>
        <w:tc>
          <w:tcPr>
            <w:tcW w:w="1273"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3,3</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4,0</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3350EC" w:rsidRDefault="006A425D" w:rsidP="006A425D">
            <w:pPr>
              <w:keepNext/>
              <w:ind w:left="720" w:hanging="360"/>
              <w:contextualSpacing/>
              <w:rPr>
                <w:rFonts w:ascii="Calibri" w:eastAsia="Calibri" w:hAnsi="Calibri"/>
                <w:color w:val="000000" w:themeColor="text1"/>
                <w:lang w:val="it-IT"/>
              </w:rPr>
            </w:pPr>
            <w:r w:rsidRPr="003350EC">
              <w:rPr>
                <w:rFonts w:ascii="Calibri" w:eastAsia="Calibri" w:hAnsi="Calibri"/>
                <w:color w:val="000000" w:themeColor="text1"/>
              </w:rPr>
              <w:t>- Cheltuielile cu consumul guvernamental*, din care:</w:t>
            </w:r>
          </w:p>
        </w:tc>
        <w:tc>
          <w:tcPr>
            <w:tcW w:w="1273" w:type="dxa"/>
            <w:tcBorders>
              <w:top w:val="nil"/>
              <w:bottom w:val="nil"/>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sidRPr="003350EC">
              <w:rPr>
                <w:rFonts w:ascii="Calibri" w:hAnsi="Calibri" w:cs="Calibri"/>
                <w:color w:val="000000" w:themeColor="text1"/>
              </w:rPr>
              <w:t>0,</w:t>
            </w:r>
            <w:r w:rsidR="0059380C" w:rsidRPr="003350EC">
              <w:rPr>
                <w:rFonts w:ascii="Calibri" w:hAnsi="Calibri" w:cs="Calibri"/>
                <w:color w:val="000000" w:themeColor="text1"/>
              </w:rPr>
              <w:t>6</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0,7</w:t>
            </w:r>
          </w:p>
        </w:tc>
      </w:tr>
      <w:tr w:rsidR="003350EC" w:rsidRPr="003350EC" w:rsidTr="006A425D">
        <w:trPr>
          <w:trHeight w:val="340"/>
          <w:jc w:val="center"/>
        </w:trPr>
        <w:tc>
          <w:tcPr>
            <w:tcW w:w="6348" w:type="dxa"/>
            <w:tcBorders>
              <w:top w:val="nil"/>
              <w:bottom w:val="single" w:sz="4" w:space="0" w:color="auto"/>
            </w:tcBorders>
            <w:shd w:val="clear" w:color="auto" w:fill="auto"/>
            <w:noWrap/>
            <w:vAlign w:val="bottom"/>
          </w:tcPr>
          <w:p w:rsidR="006A425D" w:rsidRPr="003350EC" w:rsidRDefault="006A425D" w:rsidP="006A425D">
            <w:pPr>
              <w:keepNext/>
              <w:ind w:left="720" w:hanging="120"/>
              <w:contextualSpacing/>
              <w:rPr>
                <w:rFonts w:ascii="Calibri" w:eastAsia="Calibri" w:hAnsi="Calibri"/>
                <w:color w:val="000000" w:themeColor="text1"/>
              </w:rPr>
            </w:pPr>
            <w:r w:rsidRPr="003350EC">
              <w:rPr>
                <w:rFonts w:ascii="Calibri" w:eastAsia="Calibri" w:hAnsi="Calibri"/>
                <w:color w:val="000000" w:themeColor="text1"/>
              </w:rPr>
              <w:t xml:space="preserve">     -- Consumul colectiv efectiv al administraţiei publice</w:t>
            </w:r>
          </w:p>
        </w:tc>
        <w:tc>
          <w:tcPr>
            <w:tcW w:w="1273" w:type="dxa"/>
            <w:tcBorders>
              <w:top w:val="nil"/>
              <w:bottom w:val="single" w:sz="4" w:space="0" w:color="auto"/>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sidRPr="003350EC">
              <w:rPr>
                <w:rFonts w:ascii="Calibri" w:hAnsi="Calibri" w:cs="Calibri"/>
                <w:color w:val="000000" w:themeColor="text1"/>
              </w:rPr>
              <w:t>0,</w:t>
            </w:r>
            <w:r w:rsidR="0059380C" w:rsidRPr="003350EC">
              <w:rPr>
                <w:rFonts w:ascii="Calibri" w:hAnsi="Calibri" w:cs="Calibri"/>
                <w:color w:val="000000" w:themeColor="text1"/>
              </w:rPr>
              <w:t>5</w:t>
            </w:r>
          </w:p>
        </w:tc>
        <w:tc>
          <w:tcPr>
            <w:tcW w:w="1387" w:type="dxa"/>
            <w:tcBorders>
              <w:top w:val="nil"/>
              <w:bottom w:val="single" w:sz="4" w:space="0" w:color="auto"/>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0,4</w:t>
            </w:r>
          </w:p>
        </w:tc>
      </w:tr>
      <w:tr w:rsidR="003350EC" w:rsidRPr="003350EC" w:rsidTr="006A425D">
        <w:trPr>
          <w:trHeight w:val="34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rPr>
            </w:pPr>
            <w:r w:rsidRPr="003350EC">
              <w:rPr>
                <w:rFonts w:ascii="Calibri" w:eastAsia="Calibri" w:hAnsi="Calibri" w:cs="Arial"/>
                <w:color w:val="000000" w:themeColor="text1"/>
              </w:rPr>
              <w:t>Formarea brută de capital</w:t>
            </w:r>
          </w:p>
        </w:tc>
        <w:tc>
          <w:tcPr>
            <w:tcW w:w="1273" w:type="dxa"/>
            <w:tcBorders>
              <w:bottom w:val="nil"/>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sidRPr="003350EC">
              <w:rPr>
                <w:rFonts w:ascii="Calibri" w:hAnsi="Calibri" w:cs="Calibri"/>
                <w:color w:val="000000" w:themeColor="text1"/>
              </w:rPr>
              <w:t>2,</w:t>
            </w:r>
            <w:r w:rsidR="0059380C" w:rsidRPr="003350EC">
              <w:rPr>
                <w:rFonts w:ascii="Calibri" w:hAnsi="Calibri" w:cs="Calibri"/>
                <w:color w:val="000000" w:themeColor="text1"/>
              </w:rPr>
              <w:t>0</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1,4</w:t>
            </w:r>
          </w:p>
        </w:tc>
      </w:tr>
      <w:tr w:rsidR="003350EC" w:rsidRPr="003350EC" w:rsidTr="006A425D">
        <w:trPr>
          <w:trHeight w:val="315"/>
          <w:jc w:val="center"/>
        </w:trPr>
        <w:tc>
          <w:tcPr>
            <w:tcW w:w="6348" w:type="dxa"/>
            <w:tcBorders>
              <w:top w:val="nil"/>
              <w:bottom w:val="nil"/>
            </w:tcBorders>
            <w:shd w:val="clear" w:color="auto" w:fill="auto"/>
            <w:noWrap/>
            <w:vAlign w:val="bottom"/>
          </w:tcPr>
          <w:p w:rsidR="006A425D" w:rsidRPr="003350EC" w:rsidRDefault="006A425D" w:rsidP="006A425D">
            <w:pPr>
              <w:keepNext/>
              <w:ind w:left="720"/>
              <w:contextualSpacing/>
              <w:rPr>
                <w:rFonts w:ascii="Calibri" w:eastAsia="Calibri" w:hAnsi="Calibri" w:cs="Arial"/>
                <w:color w:val="000000" w:themeColor="text1"/>
                <w:lang w:val="es-AR"/>
              </w:rPr>
            </w:pPr>
            <w:r w:rsidRPr="003350EC">
              <w:rPr>
                <w:rFonts w:ascii="Calibri" w:eastAsia="Calibri" w:hAnsi="Calibri" w:cs="Arial"/>
                <w:color w:val="000000" w:themeColor="text1"/>
                <w:lang w:val="es-AR"/>
              </w:rPr>
              <w:t>- Formarea brută de capital fix</w:t>
            </w:r>
          </w:p>
        </w:tc>
        <w:tc>
          <w:tcPr>
            <w:tcW w:w="1273" w:type="dxa"/>
            <w:tcBorders>
              <w:top w:val="nil"/>
              <w:bottom w:val="nil"/>
            </w:tcBorders>
            <w:shd w:val="clear" w:color="auto" w:fill="auto"/>
            <w:noWrap/>
            <w:vAlign w:val="bottom"/>
          </w:tcPr>
          <w:p w:rsidR="006A425D" w:rsidRPr="003350EC" w:rsidRDefault="0059380C" w:rsidP="00613C85">
            <w:pPr>
              <w:keepNext/>
              <w:jc w:val="center"/>
              <w:rPr>
                <w:rFonts w:ascii="Calibri" w:hAnsi="Calibri" w:cs="Calibri"/>
                <w:color w:val="000000" w:themeColor="text1"/>
              </w:rPr>
            </w:pPr>
            <w:r w:rsidRPr="003350EC">
              <w:rPr>
                <w:rFonts w:ascii="Calibri" w:hAnsi="Calibri" w:cs="Calibri"/>
                <w:color w:val="000000" w:themeColor="text1"/>
              </w:rPr>
              <w:t>-</w:t>
            </w:r>
            <w:r w:rsidR="006A425D" w:rsidRPr="003350EC">
              <w:rPr>
                <w:rFonts w:ascii="Calibri" w:hAnsi="Calibri" w:cs="Calibri"/>
                <w:color w:val="000000" w:themeColor="text1"/>
              </w:rPr>
              <w:t>0,</w:t>
            </w:r>
            <w:r w:rsidR="00613C85" w:rsidRPr="003350EC">
              <w:rPr>
                <w:rFonts w:ascii="Calibri" w:hAnsi="Calibri" w:cs="Calibri"/>
                <w:color w:val="000000" w:themeColor="text1"/>
              </w:rPr>
              <w:t>7</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1,5</w:t>
            </w:r>
          </w:p>
        </w:tc>
      </w:tr>
      <w:tr w:rsidR="003350EC" w:rsidRPr="003350EC" w:rsidTr="006A425D">
        <w:trPr>
          <w:trHeight w:val="340"/>
          <w:jc w:val="center"/>
        </w:trPr>
        <w:tc>
          <w:tcPr>
            <w:tcW w:w="6348" w:type="dxa"/>
            <w:tcBorders>
              <w:top w:val="nil"/>
            </w:tcBorders>
            <w:shd w:val="clear" w:color="auto" w:fill="auto"/>
            <w:noWrap/>
            <w:vAlign w:val="bottom"/>
          </w:tcPr>
          <w:p w:rsidR="006A425D" w:rsidRPr="003350EC" w:rsidRDefault="006A425D" w:rsidP="006A425D">
            <w:pPr>
              <w:keepNext/>
              <w:ind w:left="720"/>
              <w:contextualSpacing/>
              <w:rPr>
                <w:rFonts w:ascii="Calibri" w:eastAsia="Calibri" w:hAnsi="Calibri"/>
                <w:color w:val="000000" w:themeColor="text1"/>
              </w:rPr>
            </w:pPr>
            <w:r w:rsidRPr="003350EC">
              <w:rPr>
                <w:rFonts w:ascii="Calibri" w:eastAsia="Calibri" w:hAnsi="Calibri" w:cs="Arial"/>
                <w:color w:val="000000" w:themeColor="text1"/>
              </w:rPr>
              <w:t>- Modificarea stocurilor</w:t>
            </w:r>
          </w:p>
        </w:tc>
        <w:tc>
          <w:tcPr>
            <w:tcW w:w="1273" w:type="dxa"/>
            <w:tcBorders>
              <w:top w:val="nil"/>
            </w:tcBorders>
            <w:shd w:val="clear" w:color="auto" w:fill="auto"/>
            <w:noWrap/>
            <w:vAlign w:val="bottom"/>
          </w:tcPr>
          <w:p w:rsidR="006A425D" w:rsidRPr="003350EC" w:rsidRDefault="00613C85" w:rsidP="006A425D">
            <w:pPr>
              <w:keepNext/>
              <w:jc w:val="center"/>
              <w:rPr>
                <w:rFonts w:ascii="Calibri" w:hAnsi="Calibri" w:cs="Calibri"/>
                <w:color w:val="000000" w:themeColor="text1"/>
              </w:rPr>
            </w:pPr>
            <w:r w:rsidRPr="003350EC">
              <w:rPr>
                <w:rFonts w:ascii="Calibri" w:hAnsi="Calibri" w:cs="Calibri"/>
                <w:color w:val="000000" w:themeColor="text1"/>
              </w:rPr>
              <w:t>2</w:t>
            </w:r>
            <w:r w:rsidR="006A425D" w:rsidRPr="003350EC">
              <w:rPr>
                <w:rFonts w:ascii="Calibri" w:hAnsi="Calibri" w:cs="Calibri"/>
                <w:color w:val="000000" w:themeColor="text1"/>
              </w:rPr>
              <w:t>,8</w:t>
            </w:r>
          </w:p>
        </w:tc>
        <w:tc>
          <w:tcPr>
            <w:tcW w:w="1387" w:type="dxa"/>
            <w:tcBorders>
              <w:top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0,0</w:t>
            </w:r>
          </w:p>
        </w:tc>
      </w:tr>
      <w:tr w:rsidR="003350EC" w:rsidRPr="003350EC" w:rsidTr="006A425D">
        <w:trPr>
          <w:trHeight w:val="340"/>
          <w:jc w:val="center"/>
        </w:trPr>
        <w:tc>
          <w:tcPr>
            <w:tcW w:w="6348" w:type="dxa"/>
            <w:tcBorders>
              <w:bottom w:val="single" w:sz="4" w:space="0" w:color="auto"/>
            </w:tcBorders>
            <w:shd w:val="clear" w:color="auto" w:fill="auto"/>
            <w:noWrap/>
            <w:vAlign w:val="bottom"/>
          </w:tcPr>
          <w:p w:rsidR="006A425D" w:rsidRPr="003350EC" w:rsidRDefault="006A425D" w:rsidP="006A425D">
            <w:pPr>
              <w:keepNext/>
              <w:rPr>
                <w:rFonts w:ascii="Calibri" w:hAnsi="Calibri" w:cs="Arial"/>
                <w:b/>
                <w:bCs/>
                <w:color w:val="000000" w:themeColor="text1"/>
              </w:rPr>
            </w:pPr>
            <w:r w:rsidRPr="003350EC">
              <w:rPr>
                <w:rFonts w:ascii="Calibri" w:hAnsi="Calibri" w:cs="Arial"/>
                <w:b/>
                <w:bCs/>
                <w:color w:val="000000" w:themeColor="text1"/>
              </w:rPr>
              <w:t>Exportul net</w:t>
            </w:r>
          </w:p>
        </w:tc>
        <w:tc>
          <w:tcPr>
            <w:tcW w:w="1273"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sidRPr="003350EC">
              <w:rPr>
                <w:rFonts w:ascii="Calibri" w:hAnsi="Calibri" w:cs="Calibri"/>
                <w:b/>
                <w:bCs/>
                <w:color w:val="000000" w:themeColor="text1"/>
              </w:rPr>
              <w:t>-1,</w:t>
            </w:r>
            <w:r w:rsidR="00613C85" w:rsidRPr="003350EC">
              <w:rPr>
                <w:rFonts w:ascii="Calibri" w:hAnsi="Calibri" w:cs="Calibri"/>
                <w:b/>
                <w:bCs/>
                <w:color w:val="000000" w:themeColor="text1"/>
              </w:rPr>
              <w:t>8</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sidRPr="003350EC">
              <w:rPr>
                <w:rFonts w:ascii="Calibri" w:hAnsi="Calibri" w:cs="Calibri"/>
                <w:b/>
                <w:bCs/>
                <w:color w:val="000000" w:themeColor="text1"/>
              </w:rPr>
              <w:t>-0,6</w:t>
            </w:r>
          </w:p>
        </w:tc>
      </w:tr>
      <w:tr w:rsidR="003350EC" w:rsidRPr="003350EC" w:rsidTr="006A425D">
        <w:trPr>
          <w:trHeight w:val="34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lang w:val="fr-FR"/>
              </w:rPr>
            </w:pPr>
            <w:r w:rsidRPr="003350EC">
              <w:rPr>
                <w:rFonts w:ascii="Calibri" w:eastAsia="Calibri" w:hAnsi="Calibri" w:cs="Arial"/>
                <w:color w:val="000000" w:themeColor="text1"/>
                <w:lang w:val="fr-FR"/>
              </w:rPr>
              <w:t>Exportul de bunuri şi servicii</w:t>
            </w:r>
          </w:p>
        </w:tc>
        <w:tc>
          <w:tcPr>
            <w:tcW w:w="1273" w:type="dxa"/>
            <w:tcBorders>
              <w:bottom w:val="nil"/>
            </w:tcBorders>
            <w:shd w:val="clear" w:color="auto" w:fill="auto"/>
            <w:noWrap/>
            <w:vAlign w:val="bottom"/>
          </w:tcPr>
          <w:p w:rsidR="006A425D" w:rsidRPr="003350EC" w:rsidRDefault="00613C85" w:rsidP="006A425D">
            <w:pPr>
              <w:keepNext/>
              <w:jc w:val="center"/>
              <w:rPr>
                <w:rFonts w:ascii="Calibri" w:hAnsi="Calibri" w:cs="Calibri"/>
                <w:color w:val="000000" w:themeColor="text1"/>
              </w:rPr>
            </w:pPr>
            <w:r w:rsidRPr="003350EC">
              <w:rPr>
                <w:rFonts w:ascii="Calibri" w:hAnsi="Calibri" w:cs="Calibri"/>
                <w:color w:val="000000" w:themeColor="text1"/>
              </w:rPr>
              <w:t>1</w:t>
            </w:r>
            <w:r w:rsidR="006A425D" w:rsidRPr="003350EC">
              <w:rPr>
                <w:rFonts w:ascii="Calibri" w:hAnsi="Calibri" w:cs="Calibri"/>
                <w:color w:val="000000" w:themeColor="text1"/>
              </w:rPr>
              <w:t>,8</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2,9</w:t>
            </w:r>
          </w:p>
        </w:tc>
      </w:tr>
      <w:tr w:rsidR="003350EC" w:rsidRPr="003350EC" w:rsidTr="006A425D">
        <w:trPr>
          <w:trHeight w:val="340"/>
          <w:jc w:val="center"/>
        </w:trPr>
        <w:tc>
          <w:tcPr>
            <w:tcW w:w="6348" w:type="dxa"/>
            <w:tcBorders>
              <w:top w:val="nil"/>
              <w:bottom w:val="single" w:sz="4" w:space="0" w:color="auto"/>
            </w:tcBorders>
            <w:shd w:val="clear" w:color="auto" w:fill="auto"/>
            <w:noWrap/>
            <w:vAlign w:val="bottom"/>
          </w:tcPr>
          <w:p w:rsidR="006A425D" w:rsidRPr="003350EC" w:rsidRDefault="006A425D" w:rsidP="006A425D">
            <w:pPr>
              <w:keepNext/>
              <w:contextualSpacing/>
              <w:rPr>
                <w:rFonts w:ascii="Calibri" w:eastAsia="Calibri" w:hAnsi="Calibri" w:cs="Arial"/>
                <w:b/>
                <w:bCs/>
                <w:color w:val="000000" w:themeColor="text1"/>
                <w:lang w:val="fr-FR"/>
              </w:rPr>
            </w:pPr>
            <w:r w:rsidRPr="003350EC">
              <w:rPr>
                <w:rFonts w:ascii="Calibri" w:eastAsia="Calibri" w:hAnsi="Calibri" w:cs="Arial"/>
                <w:color w:val="000000" w:themeColor="text1"/>
                <w:lang w:val="fr-FR"/>
              </w:rPr>
              <w:t>Importul de bunuri şi servicii</w:t>
            </w:r>
          </w:p>
        </w:tc>
        <w:tc>
          <w:tcPr>
            <w:tcW w:w="1273" w:type="dxa"/>
            <w:tcBorders>
              <w:top w:val="nil"/>
              <w:bottom w:val="single" w:sz="4" w:space="0" w:color="auto"/>
            </w:tcBorders>
            <w:shd w:val="clear" w:color="auto" w:fill="auto"/>
            <w:noWrap/>
            <w:vAlign w:val="bottom"/>
          </w:tcPr>
          <w:p w:rsidR="006A425D" w:rsidRPr="003350EC" w:rsidRDefault="00613C85" w:rsidP="00613C85">
            <w:pPr>
              <w:keepNext/>
              <w:jc w:val="center"/>
              <w:rPr>
                <w:rFonts w:ascii="Calibri" w:hAnsi="Calibri" w:cs="Calibri"/>
                <w:color w:val="000000" w:themeColor="text1"/>
              </w:rPr>
            </w:pPr>
            <w:r w:rsidRPr="003350EC">
              <w:rPr>
                <w:rFonts w:ascii="Calibri" w:hAnsi="Calibri" w:cs="Calibri"/>
                <w:color w:val="000000" w:themeColor="text1"/>
              </w:rPr>
              <w:t>3</w:t>
            </w:r>
            <w:r w:rsidR="006A425D" w:rsidRPr="003350EC">
              <w:rPr>
                <w:rFonts w:ascii="Calibri" w:hAnsi="Calibri" w:cs="Calibri"/>
                <w:color w:val="000000" w:themeColor="text1"/>
              </w:rPr>
              <w:t>,</w:t>
            </w:r>
            <w:r w:rsidRPr="003350EC">
              <w:rPr>
                <w:rFonts w:ascii="Calibri" w:hAnsi="Calibri" w:cs="Calibri"/>
                <w:color w:val="000000" w:themeColor="text1"/>
              </w:rPr>
              <w:t>8</w:t>
            </w:r>
          </w:p>
        </w:tc>
        <w:tc>
          <w:tcPr>
            <w:tcW w:w="1387" w:type="dxa"/>
            <w:tcBorders>
              <w:top w:val="nil"/>
              <w:bottom w:val="single" w:sz="4" w:space="0" w:color="auto"/>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sidRPr="003350EC">
              <w:rPr>
                <w:rFonts w:ascii="Calibri" w:hAnsi="Calibri" w:cs="Calibri"/>
                <w:color w:val="000000" w:themeColor="text1"/>
              </w:rPr>
              <w:t>3,5</w:t>
            </w:r>
          </w:p>
        </w:tc>
      </w:tr>
    </w:tbl>
    <w:p w:rsidR="006A425D" w:rsidRPr="003350EC" w:rsidRDefault="006A425D" w:rsidP="006A425D">
      <w:pPr>
        <w:keepNext/>
        <w:autoSpaceDE w:val="0"/>
        <w:autoSpaceDN w:val="0"/>
        <w:adjustRightInd w:val="0"/>
        <w:spacing w:before="120"/>
        <w:rPr>
          <w:rFonts w:ascii="Calibri" w:hAnsi="Calibri" w:cs="Arial"/>
          <w:color w:val="000000" w:themeColor="text1"/>
          <w:lang w:val="ro-RO"/>
        </w:rPr>
      </w:pPr>
      <w:r w:rsidRPr="003350EC">
        <w:rPr>
          <w:rFonts w:ascii="Calibri" w:hAnsi="Calibri" w:cs="Arial"/>
          <w:color w:val="000000" w:themeColor="text1"/>
          <w:lang w:val="ro-RO"/>
        </w:rPr>
        <w:t>*) Consumul guvernamental include consumul individual şi consumul colectiv al administraţiei publice</w:t>
      </w:r>
    </w:p>
    <w:p w:rsidR="006A425D" w:rsidRPr="003350EC" w:rsidRDefault="006A425D" w:rsidP="006A425D">
      <w:pPr>
        <w:keepNext/>
        <w:autoSpaceDE w:val="0"/>
        <w:autoSpaceDN w:val="0"/>
        <w:adjustRightInd w:val="0"/>
        <w:rPr>
          <w:rFonts w:ascii="Calibri" w:hAnsi="Calibri" w:cs="Arial"/>
          <w:i/>
          <w:color w:val="000000" w:themeColor="text1"/>
          <w:sz w:val="22"/>
          <w:szCs w:val="22"/>
          <w:lang w:val="ro-RO"/>
        </w:rPr>
      </w:pPr>
      <w:r w:rsidRPr="003350EC">
        <w:rPr>
          <w:rFonts w:ascii="Calibri" w:hAnsi="Calibri" w:cs="Arial"/>
          <w:i/>
          <w:color w:val="000000" w:themeColor="text1"/>
          <w:sz w:val="22"/>
          <w:szCs w:val="22"/>
          <w:lang w:val="ro-RO"/>
        </w:rPr>
        <w:t>Notă: Eventuale neconcordanţe la însumare sunt ca urmare a rotunjirilor.</w:t>
      </w:r>
    </w:p>
    <w:p w:rsidR="006A425D" w:rsidRPr="003350EC" w:rsidRDefault="006A425D" w:rsidP="006A425D">
      <w:pPr>
        <w:keepNext/>
        <w:autoSpaceDE w:val="0"/>
        <w:autoSpaceDN w:val="0"/>
        <w:adjustRightInd w:val="0"/>
        <w:rPr>
          <w:rFonts w:ascii="Calibri" w:hAnsi="Calibri" w:cs="Arial"/>
          <w:i/>
          <w:color w:val="000000" w:themeColor="text1"/>
          <w:sz w:val="22"/>
          <w:szCs w:val="22"/>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3350EC" w:rsidRPr="003350EC" w:rsidTr="006A425D">
        <w:trPr>
          <w:trHeight w:val="374"/>
        </w:trPr>
        <w:tc>
          <w:tcPr>
            <w:tcW w:w="8886" w:type="dxa"/>
            <w:gridSpan w:val="3"/>
            <w:tcBorders>
              <w:top w:val="nil"/>
              <w:bottom w:val="nil"/>
            </w:tcBorders>
            <w:shd w:val="clear" w:color="auto" w:fill="8DB3E2"/>
            <w:noWrap/>
            <w:vAlign w:val="center"/>
          </w:tcPr>
          <w:p w:rsidR="006A425D" w:rsidRPr="003350EC" w:rsidRDefault="006A425D" w:rsidP="002B31A9">
            <w:pPr>
              <w:keepLines/>
              <w:jc w:val="center"/>
              <w:rPr>
                <w:rFonts w:ascii="Calibri" w:hAnsi="Calibri"/>
                <w:color w:val="000000" w:themeColor="text1"/>
                <w:lang w:val="it-IT"/>
              </w:rPr>
            </w:pPr>
            <w:r w:rsidRPr="003350EC">
              <w:rPr>
                <w:rFonts w:ascii="Calibri" w:hAnsi="Calibri" w:cs="Arial"/>
                <w:b/>
                <w:color w:val="000000" w:themeColor="text1"/>
                <w:lang w:val="ro-RO"/>
              </w:rPr>
              <w:t>Contribuţia ramurilor la creşterea reală a PIB</w:t>
            </w:r>
          </w:p>
        </w:tc>
      </w:tr>
      <w:tr w:rsidR="003350EC" w:rsidRPr="003350EC" w:rsidTr="006A425D">
        <w:trPr>
          <w:trHeight w:val="374"/>
        </w:trPr>
        <w:tc>
          <w:tcPr>
            <w:tcW w:w="8886" w:type="dxa"/>
            <w:gridSpan w:val="3"/>
            <w:tcBorders>
              <w:top w:val="nil"/>
            </w:tcBorders>
            <w:shd w:val="clear" w:color="auto" w:fill="auto"/>
            <w:noWrap/>
            <w:vAlign w:val="center"/>
          </w:tcPr>
          <w:p w:rsidR="006A425D" w:rsidRPr="003350EC" w:rsidRDefault="006A425D" w:rsidP="002B31A9">
            <w:pPr>
              <w:keepLines/>
              <w:ind w:left="360" w:right="480"/>
              <w:jc w:val="right"/>
              <w:rPr>
                <w:rFonts w:ascii="Calibri" w:hAnsi="Calibri" w:cs="Arial"/>
                <w:bCs/>
                <w:color w:val="000000" w:themeColor="text1"/>
                <w:lang w:val="ro-RO"/>
              </w:rPr>
            </w:pPr>
            <w:r w:rsidRPr="003350EC">
              <w:rPr>
                <w:rFonts w:ascii="Calibri" w:hAnsi="Calibri" w:cs="Arial"/>
                <w:bCs/>
                <w:color w:val="000000" w:themeColor="text1"/>
                <w:lang w:val="ro-RO"/>
              </w:rPr>
              <w:t>- procente -</w:t>
            </w:r>
          </w:p>
        </w:tc>
      </w:tr>
      <w:tr w:rsidR="003350EC" w:rsidRPr="003350EC" w:rsidTr="006A425D">
        <w:trPr>
          <w:trHeight w:val="374"/>
        </w:trPr>
        <w:tc>
          <w:tcPr>
            <w:tcW w:w="6031" w:type="dxa"/>
            <w:tcBorders>
              <w:bottom w:val="single" w:sz="4" w:space="0" w:color="auto"/>
            </w:tcBorders>
            <w:shd w:val="clear" w:color="auto" w:fill="auto"/>
            <w:noWrap/>
            <w:vAlign w:val="center"/>
          </w:tcPr>
          <w:p w:rsidR="006A425D" w:rsidRPr="003350EC" w:rsidRDefault="006A425D" w:rsidP="002B31A9">
            <w:pPr>
              <w:keepLines/>
              <w:jc w:val="center"/>
              <w:rPr>
                <w:rFonts w:ascii="Calibri" w:hAnsi="Calibri" w:cs="Arial"/>
                <w:b/>
                <w:bCs/>
                <w:color w:val="000000" w:themeColor="text1"/>
                <w:lang w:val="ro-RO"/>
              </w:rPr>
            </w:pPr>
          </w:p>
        </w:tc>
        <w:tc>
          <w:tcPr>
            <w:tcW w:w="1246"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Calibri"/>
                <w:b/>
                <w:bCs/>
                <w:color w:val="000000" w:themeColor="text1"/>
                <w:lang w:val="ro-RO"/>
              </w:rPr>
            </w:pPr>
            <w:r w:rsidRPr="003350EC">
              <w:rPr>
                <w:rFonts w:ascii="Calibri" w:hAnsi="Calibri" w:cs="Calibri"/>
                <w:b/>
                <w:bCs/>
                <w:color w:val="000000" w:themeColor="text1"/>
                <w:lang w:val="ro-RO"/>
              </w:rPr>
              <w:t>2018</w:t>
            </w:r>
          </w:p>
        </w:tc>
        <w:tc>
          <w:tcPr>
            <w:tcW w:w="1609"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Calibri"/>
                <w:b/>
                <w:bCs/>
                <w:color w:val="000000" w:themeColor="text1"/>
                <w:lang w:val="ro-RO"/>
              </w:rPr>
            </w:pPr>
            <w:r w:rsidRPr="003350EC">
              <w:rPr>
                <w:rFonts w:ascii="Calibri" w:hAnsi="Calibri" w:cs="Calibri"/>
                <w:b/>
                <w:bCs/>
                <w:color w:val="000000" w:themeColor="text1"/>
                <w:lang w:val="ro-RO"/>
              </w:rPr>
              <w:t>2019</w:t>
            </w:r>
          </w:p>
        </w:tc>
      </w:tr>
      <w:tr w:rsidR="003350EC" w:rsidRPr="003350EC" w:rsidTr="006A425D">
        <w:trPr>
          <w:trHeight w:val="340"/>
        </w:trPr>
        <w:tc>
          <w:tcPr>
            <w:tcW w:w="6031" w:type="dxa"/>
            <w:tcBorders>
              <w:bottom w:val="nil"/>
            </w:tcBorders>
            <w:shd w:val="clear" w:color="auto" w:fill="auto"/>
            <w:noWrap/>
            <w:vAlign w:val="bottom"/>
          </w:tcPr>
          <w:p w:rsidR="006A425D" w:rsidRPr="003350EC" w:rsidRDefault="006A425D" w:rsidP="002B31A9">
            <w:pPr>
              <w:keepLines/>
              <w:rPr>
                <w:rFonts w:ascii="Calibri" w:hAnsi="Calibri" w:cs="Arial"/>
                <w:color w:val="000000" w:themeColor="text1"/>
                <w:lang w:val="ro-RO"/>
              </w:rPr>
            </w:pPr>
            <w:r w:rsidRPr="003350EC">
              <w:rPr>
                <w:rFonts w:ascii="Calibri" w:hAnsi="Calibri" w:cs="Arial"/>
                <w:color w:val="000000" w:themeColor="text1"/>
                <w:lang w:val="ro-RO"/>
              </w:rPr>
              <w:t>Industrie</w:t>
            </w:r>
          </w:p>
        </w:tc>
        <w:tc>
          <w:tcPr>
            <w:tcW w:w="1246" w:type="dxa"/>
            <w:tcBorders>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1,</w:t>
            </w:r>
            <w:r w:rsidR="00915668" w:rsidRPr="003350EC">
              <w:rPr>
                <w:rFonts w:ascii="Calibri" w:hAnsi="Calibri" w:cs="Arial"/>
                <w:color w:val="000000" w:themeColor="text1"/>
              </w:rPr>
              <w:t>0</w:t>
            </w:r>
          </w:p>
        </w:tc>
        <w:tc>
          <w:tcPr>
            <w:tcW w:w="1609" w:type="dxa"/>
            <w:tcBorders>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1,3</w:t>
            </w:r>
          </w:p>
        </w:tc>
      </w:tr>
      <w:tr w:rsidR="003350EC" w:rsidRPr="003350EC" w:rsidTr="006A425D">
        <w:trPr>
          <w:trHeight w:val="340"/>
        </w:trPr>
        <w:tc>
          <w:tcPr>
            <w:tcW w:w="6031" w:type="dxa"/>
            <w:tcBorders>
              <w:top w:val="nil"/>
              <w:bottom w:val="nil"/>
            </w:tcBorders>
            <w:shd w:val="clear" w:color="auto" w:fill="auto"/>
            <w:vAlign w:val="bottom"/>
          </w:tcPr>
          <w:p w:rsidR="006A425D" w:rsidRPr="003350EC" w:rsidRDefault="006A425D" w:rsidP="002B31A9">
            <w:pPr>
              <w:keepLines/>
              <w:rPr>
                <w:rFonts w:ascii="Calibri" w:hAnsi="Calibri" w:cs="Arial"/>
                <w:color w:val="000000" w:themeColor="text1"/>
                <w:lang w:val="ro-RO"/>
              </w:rPr>
            </w:pPr>
            <w:r w:rsidRPr="003350EC">
              <w:rPr>
                <w:rFonts w:ascii="Calibri" w:hAnsi="Calibri" w:cs="Arial"/>
                <w:color w:val="000000" w:themeColor="text1"/>
                <w:lang w:val="ro-RO"/>
              </w:rPr>
              <w:t>Agricultură, silvicultură, pescuit</w:t>
            </w:r>
          </w:p>
        </w:tc>
        <w:tc>
          <w:tcPr>
            <w:tcW w:w="1246"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0,4</w:t>
            </w:r>
          </w:p>
        </w:tc>
        <w:tc>
          <w:tcPr>
            <w:tcW w:w="1609"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0,1</w:t>
            </w:r>
          </w:p>
        </w:tc>
      </w:tr>
      <w:tr w:rsidR="003350EC" w:rsidRPr="003350EC" w:rsidTr="006A425D">
        <w:trPr>
          <w:trHeight w:val="340"/>
        </w:trPr>
        <w:tc>
          <w:tcPr>
            <w:tcW w:w="6031" w:type="dxa"/>
            <w:tcBorders>
              <w:top w:val="nil"/>
              <w:bottom w:val="nil"/>
            </w:tcBorders>
            <w:shd w:val="clear" w:color="auto" w:fill="auto"/>
            <w:noWrap/>
            <w:vAlign w:val="bottom"/>
          </w:tcPr>
          <w:p w:rsidR="006A425D" w:rsidRPr="003350EC" w:rsidRDefault="006A425D" w:rsidP="002B31A9">
            <w:pPr>
              <w:keepLines/>
              <w:rPr>
                <w:rFonts w:ascii="Calibri" w:hAnsi="Calibri" w:cs="Arial"/>
                <w:color w:val="000000" w:themeColor="text1"/>
                <w:lang w:val="ro-RO"/>
              </w:rPr>
            </w:pPr>
            <w:r w:rsidRPr="003350EC">
              <w:rPr>
                <w:rFonts w:ascii="Calibri" w:hAnsi="Calibri" w:cs="Arial"/>
                <w:color w:val="000000" w:themeColor="text1"/>
                <w:lang w:val="ro-RO"/>
              </w:rPr>
              <w:t>Construcţii</w:t>
            </w:r>
          </w:p>
        </w:tc>
        <w:tc>
          <w:tcPr>
            <w:tcW w:w="1246" w:type="dxa"/>
            <w:tcBorders>
              <w:top w:val="nil"/>
              <w:bottom w:val="nil"/>
            </w:tcBorders>
            <w:shd w:val="clear" w:color="auto" w:fill="auto"/>
            <w:noWrap/>
            <w:vAlign w:val="bottom"/>
          </w:tcPr>
          <w:p w:rsidR="006A425D" w:rsidRPr="003350EC" w:rsidRDefault="00915668" w:rsidP="002B31A9">
            <w:pPr>
              <w:keepLines/>
              <w:jc w:val="center"/>
              <w:rPr>
                <w:rFonts w:ascii="Calibri" w:hAnsi="Calibri" w:cs="Arial"/>
                <w:color w:val="000000" w:themeColor="text1"/>
              </w:rPr>
            </w:pPr>
            <w:r w:rsidRPr="003350EC">
              <w:rPr>
                <w:rFonts w:ascii="Calibri" w:hAnsi="Calibri" w:cs="Arial"/>
                <w:color w:val="000000" w:themeColor="text1"/>
              </w:rPr>
              <w:t>-0,3</w:t>
            </w:r>
          </w:p>
        </w:tc>
        <w:tc>
          <w:tcPr>
            <w:tcW w:w="1609"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0,4</w:t>
            </w:r>
          </w:p>
        </w:tc>
      </w:tr>
      <w:tr w:rsidR="003350EC" w:rsidRPr="003350EC" w:rsidTr="006A425D">
        <w:trPr>
          <w:trHeight w:val="340"/>
        </w:trPr>
        <w:tc>
          <w:tcPr>
            <w:tcW w:w="6031" w:type="dxa"/>
            <w:tcBorders>
              <w:top w:val="nil"/>
            </w:tcBorders>
            <w:shd w:val="clear" w:color="auto" w:fill="auto"/>
            <w:noWrap/>
            <w:vAlign w:val="bottom"/>
          </w:tcPr>
          <w:p w:rsidR="006A425D" w:rsidRPr="003350EC" w:rsidRDefault="006A425D" w:rsidP="002B31A9">
            <w:pPr>
              <w:keepLines/>
              <w:rPr>
                <w:rFonts w:ascii="Calibri" w:hAnsi="Calibri" w:cs="Arial"/>
                <w:color w:val="000000" w:themeColor="text1"/>
                <w:lang w:val="ro-RO"/>
              </w:rPr>
            </w:pPr>
            <w:r w:rsidRPr="003350EC">
              <w:rPr>
                <w:rFonts w:ascii="Calibri" w:hAnsi="Calibri" w:cs="Arial"/>
                <w:color w:val="000000" w:themeColor="text1"/>
                <w:lang w:val="ro-RO"/>
              </w:rPr>
              <w:t>Total servicii</w:t>
            </w:r>
          </w:p>
        </w:tc>
        <w:tc>
          <w:tcPr>
            <w:tcW w:w="1246" w:type="dxa"/>
            <w:tcBorders>
              <w:top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2,</w:t>
            </w:r>
            <w:r w:rsidR="00915668" w:rsidRPr="003350EC">
              <w:rPr>
                <w:rFonts w:ascii="Calibri" w:hAnsi="Calibri" w:cs="Arial"/>
                <w:color w:val="000000" w:themeColor="text1"/>
              </w:rPr>
              <w:t>0</w:t>
            </w:r>
          </w:p>
        </w:tc>
        <w:tc>
          <w:tcPr>
            <w:tcW w:w="1609" w:type="dxa"/>
            <w:tcBorders>
              <w:top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3,3</w:t>
            </w:r>
          </w:p>
        </w:tc>
      </w:tr>
      <w:tr w:rsidR="003350EC" w:rsidRPr="003350EC" w:rsidTr="006A425D">
        <w:trPr>
          <w:trHeight w:val="340"/>
        </w:trPr>
        <w:tc>
          <w:tcPr>
            <w:tcW w:w="6031" w:type="dxa"/>
            <w:tcBorders>
              <w:bottom w:val="single" w:sz="4" w:space="0" w:color="auto"/>
            </w:tcBorders>
            <w:shd w:val="clear" w:color="auto" w:fill="auto"/>
            <w:noWrap/>
            <w:vAlign w:val="bottom"/>
          </w:tcPr>
          <w:p w:rsidR="006A425D" w:rsidRPr="003350EC" w:rsidRDefault="006A425D" w:rsidP="002B31A9">
            <w:pPr>
              <w:keepLines/>
              <w:rPr>
                <w:rFonts w:ascii="Calibri" w:hAnsi="Calibri" w:cs="Arial"/>
                <w:color w:val="000000" w:themeColor="text1"/>
                <w:lang w:val="ro-RO"/>
              </w:rPr>
            </w:pPr>
            <w:r w:rsidRPr="003350EC">
              <w:rPr>
                <w:rFonts w:ascii="Calibri" w:hAnsi="Calibri" w:cs="Arial"/>
                <w:color w:val="000000" w:themeColor="text1"/>
                <w:lang w:val="ro-RO"/>
              </w:rPr>
              <w:t>Impozite nete pe produs</w:t>
            </w:r>
          </w:p>
        </w:tc>
        <w:tc>
          <w:tcPr>
            <w:tcW w:w="1246" w:type="dxa"/>
            <w:tcBorders>
              <w:bottom w:val="single" w:sz="4" w:space="0" w:color="auto"/>
            </w:tcBorders>
            <w:shd w:val="clear" w:color="auto" w:fill="auto"/>
            <w:noWrap/>
            <w:vAlign w:val="bottom"/>
          </w:tcPr>
          <w:p w:rsidR="006A425D" w:rsidRPr="003350EC" w:rsidRDefault="00915668" w:rsidP="002B31A9">
            <w:pPr>
              <w:keepLines/>
              <w:jc w:val="center"/>
              <w:rPr>
                <w:rFonts w:ascii="Calibri" w:hAnsi="Calibri" w:cs="Arial"/>
                <w:color w:val="000000" w:themeColor="text1"/>
              </w:rPr>
            </w:pPr>
            <w:r w:rsidRPr="003350EC">
              <w:rPr>
                <w:rFonts w:ascii="Calibri" w:hAnsi="Calibri" w:cs="Arial"/>
                <w:color w:val="000000" w:themeColor="text1"/>
              </w:rPr>
              <w:t>1</w:t>
            </w:r>
            <w:r w:rsidR="006A425D" w:rsidRPr="003350EC">
              <w:rPr>
                <w:rFonts w:ascii="Calibri" w:hAnsi="Calibri" w:cs="Arial"/>
                <w:color w:val="000000" w:themeColor="text1"/>
              </w:rPr>
              <w:t>,</w:t>
            </w:r>
            <w:r w:rsidRPr="003350EC">
              <w:rPr>
                <w:rFonts w:ascii="Calibri" w:hAnsi="Calibri" w:cs="Arial"/>
                <w:color w:val="000000" w:themeColor="text1"/>
              </w:rPr>
              <w:t>0</w:t>
            </w:r>
          </w:p>
        </w:tc>
        <w:tc>
          <w:tcPr>
            <w:tcW w:w="1609"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sidRPr="003350EC">
              <w:rPr>
                <w:rFonts w:ascii="Calibri" w:hAnsi="Calibri" w:cs="Arial"/>
                <w:color w:val="000000" w:themeColor="text1"/>
              </w:rPr>
              <w:t>0,4</w:t>
            </w:r>
          </w:p>
        </w:tc>
      </w:tr>
      <w:tr w:rsidR="003350EC" w:rsidRPr="003350EC" w:rsidTr="00BF22CD">
        <w:trPr>
          <w:trHeight w:val="357"/>
        </w:trPr>
        <w:tc>
          <w:tcPr>
            <w:tcW w:w="6031" w:type="dxa"/>
            <w:tcBorders>
              <w:bottom w:val="single" w:sz="4" w:space="0" w:color="auto"/>
            </w:tcBorders>
            <w:shd w:val="clear" w:color="auto" w:fill="8DB3E2"/>
            <w:noWrap/>
            <w:vAlign w:val="bottom"/>
          </w:tcPr>
          <w:p w:rsidR="006A425D" w:rsidRPr="003350EC" w:rsidRDefault="006A425D" w:rsidP="002B31A9">
            <w:pPr>
              <w:keepLines/>
              <w:rPr>
                <w:rFonts w:ascii="Calibri" w:hAnsi="Calibri" w:cs="Arial"/>
                <w:b/>
                <w:bCs/>
                <w:color w:val="000000" w:themeColor="text1"/>
                <w:lang w:val="ro-RO"/>
              </w:rPr>
            </w:pPr>
            <w:r w:rsidRPr="003350EC">
              <w:rPr>
                <w:rFonts w:ascii="Calibri" w:hAnsi="Calibri" w:cs="Arial"/>
                <w:b/>
                <w:bCs/>
                <w:color w:val="000000" w:themeColor="text1"/>
                <w:lang w:val="ro-RO"/>
              </w:rPr>
              <w:t>PRODUS INTERN BRUT</w:t>
            </w:r>
          </w:p>
        </w:tc>
        <w:tc>
          <w:tcPr>
            <w:tcW w:w="1246" w:type="dxa"/>
            <w:tcBorders>
              <w:bottom w:val="single" w:sz="4" w:space="0" w:color="auto"/>
            </w:tcBorders>
            <w:shd w:val="clear" w:color="auto" w:fill="8DB3E2"/>
            <w:noWrap/>
            <w:vAlign w:val="bottom"/>
          </w:tcPr>
          <w:p w:rsidR="006A425D" w:rsidRPr="003350EC" w:rsidRDefault="006A425D" w:rsidP="002B31A9">
            <w:pPr>
              <w:keepLines/>
              <w:jc w:val="center"/>
              <w:rPr>
                <w:rFonts w:ascii="Calibri" w:hAnsi="Calibri" w:cs="Calibri"/>
                <w:b/>
                <w:bCs/>
                <w:color w:val="000000" w:themeColor="text1"/>
                <w:lang w:val="ro-RO"/>
              </w:rPr>
            </w:pPr>
            <w:r w:rsidRPr="003350EC">
              <w:rPr>
                <w:rFonts w:ascii="Calibri" w:hAnsi="Calibri" w:cs="Calibri"/>
                <w:b/>
                <w:bCs/>
                <w:color w:val="000000" w:themeColor="text1"/>
                <w:lang w:val="ro-RO"/>
              </w:rPr>
              <w:t>4,</w:t>
            </w:r>
            <w:r w:rsidR="00915668" w:rsidRPr="003350EC">
              <w:rPr>
                <w:rFonts w:ascii="Calibri" w:hAnsi="Calibri" w:cs="Calibri"/>
                <w:b/>
                <w:bCs/>
                <w:color w:val="000000" w:themeColor="text1"/>
                <w:lang w:val="ro-RO"/>
              </w:rPr>
              <w:t>1</w:t>
            </w:r>
          </w:p>
        </w:tc>
        <w:tc>
          <w:tcPr>
            <w:tcW w:w="1609" w:type="dxa"/>
            <w:tcBorders>
              <w:bottom w:val="single" w:sz="4" w:space="0" w:color="auto"/>
            </w:tcBorders>
            <w:shd w:val="clear" w:color="auto" w:fill="8DB3E2"/>
            <w:noWrap/>
            <w:vAlign w:val="bottom"/>
          </w:tcPr>
          <w:p w:rsidR="006A425D" w:rsidRPr="003350EC" w:rsidRDefault="006A425D" w:rsidP="002B31A9">
            <w:pPr>
              <w:keepLines/>
              <w:jc w:val="center"/>
              <w:rPr>
                <w:rFonts w:ascii="Calibri" w:hAnsi="Calibri" w:cs="Calibri"/>
                <w:b/>
                <w:bCs/>
                <w:color w:val="000000" w:themeColor="text1"/>
                <w:lang w:val="ro-RO"/>
              </w:rPr>
            </w:pPr>
            <w:r w:rsidRPr="003350EC">
              <w:rPr>
                <w:rFonts w:ascii="Calibri" w:hAnsi="Calibri" w:cs="Calibri"/>
                <w:b/>
                <w:bCs/>
                <w:color w:val="000000" w:themeColor="text1"/>
                <w:lang w:val="ro-RO"/>
              </w:rPr>
              <w:t>5,5</w:t>
            </w:r>
          </w:p>
        </w:tc>
      </w:tr>
      <w:tr w:rsidR="00BF22CD" w:rsidRPr="003350EC" w:rsidTr="00BF22CD">
        <w:trPr>
          <w:trHeight w:val="357"/>
        </w:trPr>
        <w:tc>
          <w:tcPr>
            <w:tcW w:w="6031" w:type="dxa"/>
            <w:tcBorders>
              <w:bottom w:val="nil"/>
            </w:tcBorders>
            <w:shd w:val="clear" w:color="auto" w:fill="FFFFFF" w:themeFill="background1"/>
            <w:noWrap/>
            <w:vAlign w:val="bottom"/>
          </w:tcPr>
          <w:p w:rsidR="00BF22CD" w:rsidRPr="002C1741" w:rsidRDefault="00BF22CD" w:rsidP="00BF22CD">
            <w:pPr>
              <w:keepNext/>
              <w:keepLines/>
              <w:autoSpaceDE w:val="0"/>
              <w:autoSpaceDN w:val="0"/>
              <w:adjustRightInd w:val="0"/>
              <w:rPr>
                <w:rFonts w:ascii="Arial Narrow" w:hAnsi="Arial Narrow" w:cs="Arial"/>
                <w:i/>
                <w:sz w:val="22"/>
                <w:szCs w:val="22"/>
                <w:lang w:val="ro-RO"/>
              </w:rPr>
            </w:pPr>
            <w:r w:rsidRPr="00BF22CD">
              <w:rPr>
                <w:rFonts w:ascii="Arial Narrow" w:hAnsi="Arial Narrow" w:cs="Arial"/>
                <w:i/>
                <w:sz w:val="20"/>
                <w:szCs w:val="20"/>
                <w:lang w:val="ro-RO"/>
              </w:rPr>
              <w:t>Notă: Eventuale neconcordanţe la însumare sunt ca urmare a rotunjirilor</w:t>
            </w:r>
            <w:r w:rsidRPr="002C1741">
              <w:rPr>
                <w:rFonts w:ascii="Arial Narrow" w:hAnsi="Arial Narrow" w:cs="Arial"/>
                <w:i/>
                <w:sz w:val="22"/>
                <w:szCs w:val="22"/>
                <w:lang w:val="ro-RO"/>
              </w:rPr>
              <w:t>.</w:t>
            </w:r>
          </w:p>
          <w:p w:rsidR="00BF22CD" w:rsidRPr="003350EC" w:rsidRDefault="00BF22CD" w:rsidP="002B31A9">
            <w:pPr>
              <w:keepLines/>
              <w:rPr>
                <w:rFonts w:ascii="Calibri" w:hAnsi="Calibri" w:cs="Arial"/>
                <w:b/>
                <w:bCs/>
                <w:color w:val="000000" w:themeColor="text1"/>
                <w:lang w:val="ro-RO"/>
              </w:rPr>
            </w:pPr>
          </w:p>
        </w:tc>
        <w:tc>
          <w:tcPr>
            <w:tcW w:w="1246" w:type="dxa"/>
            <w:tcBorders>
              <w:bottom w:val="nil"/>
            </w:tcBorders>
            <w:shd w:val="clear" w:color="auto" w:fill="FFFFFF" w:themeFill="background1"/>
            <w:noWrap/>
            <w:vAlign w:val="bottom"/>
          </w:tcPr>
          <w:p w:rsidR="00BF22CD" w:rsidRPr="003350EC" w:rsidRDefault="00BF22CD" w:rsidP="002B31A9">
            <w:pPr>
              <w:keepLines/>
              <w:jc w:val="center"/>
              <w:rPr>
                <w:rFonts w:ascii="Calibri" w:hAnsi="Calibri" w:cs="Calibri"/>
                <w:b/>
                <w:bCs/>
                <w:color w:val="000000" w:themeColor="text1"/>
                <w:lang w:val="ro-RO"/>
              </w:rPr>
            </w:pPr>
          </w:p>
        </w:tc>
        <w:tc>
          <w:tcPr>
            <w:tcW w:w="1609" w:type="dxa"/>
            <w:tcBorders>
              <w:bottom w:val="nil"/>
            </w:tcBorders>
            <w:shd w:val="clear" w:color="auto" w:fill="FFFFFF" w:themeFill="background1"/>
            <w:noWrap/>
            <w:vAlign w:val="bottom"/>
          </w:tcPr>
          <w:p w:rsidR="00BF22CD" w:rsidRPr="003350EC" w:rsidRDefault="00BF22CD" w:rsidP="002B31A9">
            <w:pPr>
              <w:keepLines/>
              <w:jc w:val="center"/>
              <w:rPr>
                <w:rFonts w:ascii="Calibri" w:hAnsi="Calibri" w:cs="Calibri"/>
                <w:b/>
                <w:bCs/>
                <w:color w:val="000000" w:themeColor="text1"/>
                <w:lang w:val="ro-RO"/>
              </w:rPr>
            </w:pPr>
          </w:p>
        </w:tc>
      </w:tr>
    </w:tbl>
    <w:p w:rsidR="006A425D" w:rsidRPr="007D658E" w:rsidRDefault="006A425D" w:rsidP="006A425D">
      <w:pPr>
        <w:keepNext/>
        <w:spacing w:line="360" w:lineRule="auto"/>
        <w:ind w:left="57"/>
        <w:jc w:val="both"/>
        <w:rPr>
          <w:rFonts w:ascii="Calibri" w:hAnsi="Calibri" w:cs="Arial"/>
          <w:color w:val="000000" w:themeColor="text1"/>
          <w:lang w:val="ro-RO"/>
        </w:rPr>
      </w:pPr>
      <w:r w:rsidRPr="007D658E">
        <w:rPr>
          <w:rFonts w:ascii="Calibri" w:hAnsi="Calibri" w:cs="Arial"/>
          <w:color w:val="000000" w:themeColor="text1"/>
          <w:lang w:val="ro-RO"/>
        </w:rPr>
        <w:t xml:space="preserve">     Creşterea economică pentru anul 2019 este estimată la  5,5% cu contribuția următorilor factori:</w:t>
      </w:r>
    </w:p>
    <w:p w:rsidR="006A425D" w:rsidRPr="007D658E" w:rsidRDefault="006A425D" w:rsidP="006A425D">
      <w:pPr>
        <w:keepNext/>
        <w:numPr>
          <w:ilvl w:val="0"/>
          <w:numId w:val="172"/>
        </w:numPr>
        <w:spacing w:line="276" w:lineRule="auto"/>
        <w:ind w:left="426" w:hanging="284"/>
        <w:contextualSpacing/>
        <w:jc w:val="both"/>
        <w:rPr>
          <w:rFonts w:ascii="Calibri" w:eastAsia="Calibri" w:hAnsi="Calibri" w:cs="Calibri"/>
          <w:color w:val="000000" w:themeColor="text1"/>
          <w:szCs w:val="22"/>
          <w:lang w:val="ro-RO"/>
        </w:rPr>
      </w:pPr>
      <w:r w:rsidRPr="007D658E">
        <w:rPr>
          <w:rFonts w:ascii="Calibri" w:eastAsia="Calibri" w:hAnsi="Calibri" w:cs="Calibri"/>
          <w:b/>
          <w:bCs/>
          <w:color w:val="000000" w:themeColor="text1"/>
          <w:szCs w:val="22"/>
          <w:shd w:val="clear" w:color="auto" w:fill="DEEAF6"/>
          <w:lang w:val="ro-RO"/>
        </w:rPr>
        <w:t>Cererea internă</w:t>
      </w:r>
      <w:r w:rsidRPr="007D658E">
        <w:rPr>
          <w:rFonts w:ascii="Calibri" w:eastAsia="Calibri" w:hAnsi="Calibri" w:cs="Calibri"/>
          <w:color w:val="000000" w:themeColor="text1"/>
          <w:szCs w:val="22"/>
          <w:lang w:val="ro-RO"/>
        </w:rPr>
        <w:t xml:space="preserve"> va reprezenta motorul creşterii economice, iar pe latura ofertei se estimează o îmbunătăţire a activităţii economice în toate sectoarele, în special în sectorul serviciilor şi în ramurile industriale cu potenţial ridicat de export.</w:t>
      </w:r>
    </w:p>
    <w:p w:rsidR="006A425D" w:rsidRPr="007D658E" w:rsidRDefault="006A425D" w:rsidP="006A425D">
      <w:pPr>
        <w:keepNext/>
        <w:ind w:left="426" w:hanging="284"/>
        <w:rPr>
          <w:rFonts w:ascii="Calibri" w:hAnsi="Calibri" w:cs="Calibri"/>
          <w:color w:val="000000" w:themeColor="text1"/>
          <w:sz w:val="14"/>
          <w:szCs w:val="14"/>
          <w:lang w:val="ro-RO"/>
        </w:rPr>
      </w:pPr>
    </w:p>
    <w:p w:rsidR="006A425D" w:rsidRPr="007D658E" w:rsidRDefault="006A425D" w:rsidP="006A425D">
      <w:pPr>
        <w:keepNext/>
        <w:numPr>
          <w:ilvl w:val="0"/>
          <w:numId w:val="172"/>
        </w:numPr>
        <w:spacing w:line="276" w:lineRule="auto"/>
        <w:ind w:left="426" w:hanging="284"/>
        <w:contextualSpacing/>
        <w:rPr>
          <w:rFonts w:ascii="Calibri" w:eastAsia="Calibri" w:hAnsi="Calibri" w:cs="Calibri"/>
          <w:color w:val="000000" w:themeColor="text1"/>
          <w:szCs w:val="22"/>
          <w:lang w:val="ro-RO"/>
        </w:rPr>
      </w:pPr>
      <w:r w:rsidRPr="007D658E">
        <w:rPr>
          <w:rFonts w:ascii="Calibri" w:eastAsia="Calibri" w:hAnsi="Calibri" w:cs="Calibri"/>
          <w:b/>
          <w:bCs/>
          <w:color w:val="000000" w:themeColor="text1"/>
          <w:szCs w:val="22"/>
          <w:shd w:val="clear" w:color="auto" w:fill="DEEAF6"/>
          <w:lang w:val="ro-RO"/>
        </w:rPr>
        <w:t xml:space="preserve">Ritmul anual de creştere a formării brute de capital fix </w:t>
      </w:r>
      <w:r w:rsidRPr="007D658E">
        <w:rPr>
          <w:rFonts w:ascii="Calibri" w:eastAsia="Calibri" w:hAnsi="Calibri" w:cs="Calibri"/>
          <w:color w:val="000000" w:themeColor="text1"/>
          <w:szCs w:val="22"/>
          <w:lang w:val="ro-RO"/>
        </w:rPr>
        <w:t>va fi de 6,9%</w:t>
      </w:r>
    </w:p>
    <w:p w:rsidR="006A425D" w:rsidRPr="007D658E" w:rsidRDefault="006A425D" w:rsidP="006A425D">
      <w:pPr>
        <w:keepNext/>
        <w:ind w:left="426" w:hanging="284"/>
        <w:rPr>
          <w:rFonts w:ascii="Calibri" w:hAnsi="Calibri" w:cs="Calibri"/>
          <w:color w:val="000000" w:themeColor="text1"/>
          <w:sz w:val="14"/>
          <w:szCs w:val="14"/>
          <w:lang w:val="ro-RO"/>
        </w:rPr>
      </w:pPr>
    </w:p>
    <w:p w:rsidR="006A425D" w:rsidRPr="007D658E" w:rsidRDefault="006A425D" w:rsidP="006A425D">
      <w:pPr>
        <w:keepNext/>
        <w:numPr>
          <w:ilvl w:val="0"/>
          <w:numId w:val="172"/>
        </w:numPr>
        <w:spacing w:line="276" w:lineRule="auto"/>
        <w:ind w:left="426" w:hanging="284"/>
        <w:contextualSpacing/>
        <w:rPr>
          <w:rFonts w:ascii="Calibri" w:eastAsia="Calibri" w:hAnsi="Calibri" w:cs="Calibri"/>
          <w:color w:val="000000" w:themeColor="text1"/>
          <w:szCs w:val="22"/>
          <w:lang w:val="ro-RO"/>
        </w:rPr>
      </w:pPr>
      <w:r w:rsidRPr="007D658E">
        <w:rPr>
          <w:rFonts w:ascii="Calibri" w:eastAsia="Calibri" w:hAnsi="Calibri" w:cs="Calibri"/>
          <w:b/>
          <w:bCs/>
          <w:color w:val="000000" w:themeColor="text1"/>
          <w:szCs w:val="22"/>
          <w:shd w:val="clear" w:color="auto" w:fill="DEEAF6"/>
          <w:lang w:val="ro-RO"/>
        </w:rPr>
        <w:t xml:space="preserve">Cheltuielile cu consumul final al populaţiei </w:t>
      </w:r>
      <w:r w:rsidRPr="007D658E">
        <w:rPr>
          <w:rFonts w:ascii="Calibri" w:eastAsia="Calibri" w:hAnsi="Calibri" w:cs="Calibri"/>
          <w:color w:val="000000" w:themeColor="text1"/>
          <w:szCs w:val="22"/>
          <w:lang w:val="ro-RO"/>
        </w:rPr>
        <w:t>se vor majora cu 6,5%.</w:t>
      </w:r>
    </w:p>
    <w:p w:rsidR="006A425D" w:rsidRPr="007D658E" w:rsidRDefault="006A425D" w:rsidP="006A425D">
      <w:pPr>
        <w:spacing w:line="276" w:lineRule="auto"/>
        <w:ind w:left="720"/>
        <w:contextualSpacing/>
        <w:rPr>
          <w:rFonts w:ascii="Calibri" w:eastAsia="Calibri" w:hAnsi="Calibri" w:cs="Calibri"/>
          <w:color w:val="000000" w:themeColor="text1"/>
          <w:szCs w:val="22"/>
          <w:lang w:val="ro-RO"/>
        </w:rPr>
      </w:pPr>
    </w:p>
    <w:p w:rsidR="006A425D" w:rsidRPr="007D658E" w:rsidRDefault="006A425D" w:rsidP="006A425D">
      <w:pPr>
        <w:keepNext/>
        <w:numPr>
          <w:ilvl w:val="0"/>
          <w:numId w:val="172"/>
        </w:numPr>
        <w:spacing w:line="276" w:lineRule="auto"/>
        <w:ind w:left="426" w:hanging="284"/>
        <w:contextualSpacing/>
        <w:jc w:val="both"/>
        <w:rPr>
          <w:rFonts w:ascii="Calibri" w:eastAsia="Calibri" w:hAnsi="Calibri" w:cs="Calibri"/>
          <w:color w:val="000000" w:themeColor="text1"/>
          <w:szCs w:val="22"/>
          <w:lang w:val="ro-RO"/>
        </w:rPr>
      </w:pPr>
      <w:r w:rsidRPr="007D658E">
        <w:rPr>
          <w:rFonts w:ascii="Calibri" w:eastAsia="Calibri" w:hAnsi="Calibri" w:cs="Calibri"/>
          <w:b/>
          <w:bCs/>
          <w:color w:val="000000" w:themeColor="text1"/>
          <w:szCs w:val="22"/>
          <w:shd w:val="clear" w:color="auto" w:fill="DEEAF6"/>
          <w:lang w:val="ro-RO"/>
        </w:rPr>
        <w:t xml:space="preserve">Măsuri care să asigure o mai bună participare pe piaţa muncii </w:t>
      </w:r>
      <w:r w:rsidRPr="007D658E">
        <w:rPr>
          <w:rFonts w:ascii="Calibri" w:eastAsia="Calibri" w:hAnsi="Calibri" w:cs="Calibri"/>
          <w:color w:val="000000" w:themeColor="text1"/>
          <w:szCs w:val="22"/>
          <w:lang w:val="ro-RO"/>
        </w:rPr>
        <w:t xml:space="preserve">în scopul atingerii până în 2020 a unei rate de ocupare de 70% pentru populaţia în vârstă de 20-64 ani, în concordanţă cu priorităţile  Strategiei Europa 2020. </w:t>
      </w:r>
      <w:r w:rsidRPr="007D658E">
        <w:rPr>
          <w:rFonts w:ascii="Calibri" w:eastAsia="Calibri" w:hAnsi="Calibri" w:cs="Calibri"/>
          <w:color w:val="000000" w:themeColor="text1"/>
          <w:szCs w:val="22"/>
          <w:lang w:val="ro-RO" w:eastAsia="zh-CN"/>
        </w:rPr>
        <w:t xml:space="preserve">Se aşteaptă continuarea îmbunătăţirii pieţei muncii, prin majorarea populaţiei ocupate cu </w:t>
      </w:r>
      <w:r>
        <w:rPr>
          <w:rFonts w:ascii="Calibri" w:eastAsia="Calibri" w:hAnsi="Calibri" w:cs="Calibri"/>
          <w:color w:val="000000" w:themeColor="text1"/>
          <w:szCs w:val="22"/>
          <w:lang w:val="ro-RO" w:eastAsia="zh-CN"/>
        </w:rPr>
        <w:t xml:space="preserve">1,4 </w:t>
      </w:r>
      <w:r w:rsidRPr="007D658E">
        <w:rPr>
          <w:rFonts w:ascii="Calibri" w:eastAsia="Calibri" w:hAnsi="Calibri" w:cs="Calibri"/>
          <w:color w:val="000000" w:themeColor="text1"/>
          <w:szCs w:val="22"/>
          <w:lang w:val="ro-RO" w:eastAsia="zh-CN"/>
        </w:rPr>
        <w:t xml:space="preserve">%, concomitent cu reducerea ratei şomajului </w:t>
      </w:r>
      <w:r w:rsidRPr="007D658E">
        <w:rPr>
          <w:rFonts w:ascii="Calibri" w:eastAsia="Calibri" w:hAnsi="Calibri" w:cs="Calibri"/>
          <w:color w:val="000000" w:themeColor="text1"/>
          <w:szCs w:val="22"/>
          <w:shd w:val="clear" w:color="auto" w:fill="FFFFFF"/>
          <w:lang w:val="ro-RO" w:eastAsia="zh-CN"/>
        </w:rPr>
        <w:t>la 4,1%</w:t>
      </w:r>
      <w:r w:rsidRPr="007D658E">
        <w:rPr>
          <w:rFonts w:ascii="Calibri" w:eastAsia="Calibri" w:hAnsi="Calibri" w:cs="Calibri"/>
          <w:color w:val="000000" w:themeColor="text1"/>
          <w:szCs w:val="22"/>
          <w:lang w:val="ro-RO" w:eastAsia="zh-CN"/>
        </w:rPr>
        <w:t>.</w:t>
      </w:r>
    </w:p>
    <w:p w:rsidR="006A425D" w:rsidRPr="007D658E" w:rsidRDefault="006A425D" w:rsidP="006A425D">
      <w:pPr>
        <w:widowControl w:val="0"/>
        <w:spacing w:line="276" w:lineRule="auto"/>
        <w:ind w:left="426"/>
        <w:contextualSpacing/>
        <w:jc w:val="both"/>
        <w:rPr>
          <w:rFonts w:ascii="Calibri" w:eastAsia="Calibri" w:hAnsi="Calibri" w:cs="Calibri"/>
          <w:color w:val="000000" w:themeColor="text1"/>
          <w:szCs w:val="22"/>
          <w:lang w:val="ro-RO"/>
        </w:rPr>
      </w:pPr>
      <w:r w:rsidRPr="007D658E">
        <w:rPr>
          <w:rFonts w:ascii="Calibri" w:eastAsia="Calibri" w:hAnsi="Calibri" w:cs="Calibri"/>
          <w:color w:val="000000" w:themeColor="text1"/>
          <w:szCs w:val="22"/>
          <w:lang w:val="ro-RO"/>
        </w:rPr>
        <w:t xml:space="preserve">In acest context, vor fi finanțate urmatoarele programe: </w:t>
      </w:r>
    </w:p>
    <w:p w:rsidR="006A425D" w:rsidRPr="007D658E" w:rsidRDefault="006A425D" w:rsidP="006A425D">
      <w:pPr>
        <w:widowControl w:val="0"/>
        <w:spacing w:line="276" w:lineRule="auto"/>
        <w:ind w:left="426"/>
        <w:contextualSpacing/>
        <w:jc w:val="both"/>
        <w:rPr>
          <w:rFonts w:ascii="Calibri" w:eastAsia="Calibri" w:hAnsi="Calibri" w:cs="Calibri"/>
          <w:color w:val="000000" w:themeColor="text1"/>
          <w:szCs w:val="22"/>
          <w:lang w:val="ro-RO"/>
        </w:rPr>
      </w:pPr>
    </w:p>
    <w:p w:rsidR="006A425D" w:rsidRPr="003C7CB5" w:rsidRDefault="006A425D" w:rsidP="00565476">
      <w:pPr>
        <w:widowControl w:val="0"/>
        <w:numPr>
          <w:ilvl w:val="0"/>
          <w:numId w:val="190"/>
        </w:numPr>
        <w:spacing w:before="120" w:after="120" w:line="276" w:lineRule="auto"/>
        <w:contextualSpacing/>
        <w:jc w:val="both"/>
        <w:rPr>
          <w:rFonts w:ascii="Calibri" w:hAnsi="Calibri" w:cs="Arial"/>
          <w:lang w:val="ro-RO"/>
        </w:rPr>
      </w:pPr>
      <w:r w:rsidRPr="003C7CB5">
        <w:rPr>
          <w:rFonts w:ascii="Calibri" w:eastAsia="Calibri" w:hAnsi="Calibri" w:cs="Calibri"/>
          <w:szCs w:val="22"/>
          <w:lang w:val="ro-RO"/>
        </w:rPr>
        <w:t xml:space="preserve">Programul </w:t>
      </w:r>
      <w:r w:rsidRPr="003C7CB5">
        <w:rPr>
          <w:rFonts w:ascii="Calibri" w:hAnsi="Calibri" w:cs="Arial"/>
          <w:b/>
          <w:color w:val="00003E"/>
          <w:lang w:val="ro-RO"/>
        </w:rPr>
        <w:t>guvernamental "INVESTEŞTE ÎN TINE</w:t>
      </w:r>
      <w:r w:rsidRPr="003C7CB5">
        <w:rPr>
          <w:rFonts w:ascii="Calibri" w:hAnsi="Calibri" w:cs="Arial"/>
          <w:lang w:val="ro-RO"/>
        </w:rPr>
        <w:t>" are ca obiect facilitarea accesului la finanţare pentru tinerii cu vârsta cuprinsă între 16 ani şi până la 26 de ani şi care sunt cuprinşi în sistemul de învăţământ sau care efectuează cursuri de specializare, autorizate de către Ministerul Educaţiei Naţionale, şi după caz, de către Ministerul Muncii şi Justiţiei Sociale.  De asemenea, programul poate fi accesat şi de persoane cu vârsta cuprinsă între 26 şi 55 de ani, dacă acestea sunt cuprinse în sistemul de învăţământ sau efectuează cursuri de reconversie şi/sau specializare profesională.</w:t>
      </w:r>
    </w:p>
    <w:p w:rsidR="006A425D" w:rsidRPr="003C7CB5" w:rsidRDefault="006A425D" w:rsidP="00565476">
      <w:pPr>
        <w:numPr>
          <w:ilvl w:val="1"/>
          <w:numId w:val="188"/>
        </w:numPr>
        <w:spacing w:before="120" w:after="120"/>
        <w:jc w:val="both"/>
        <w:rPr>
          <w:rFonts w:ascii="Calibri" w:hAnsi="Calibri" w:cs="Arial"/>
          <w:lang w:val="ro-RO"/>
        </w:rPr>
      </w:pPr>
      <w:r w:rsidRPr="003C7CB5">
        <w:rPr>
          <w:rFonts w:ascii="Calibri" w:hAnsi="Calibri" w:cs="Arial"/>
          <w:lang w:val="ro-RO"/>
        </w:rPr>
        <w:t>Facilitarea accesului la finanţare constă în garantarea unui credit în valoare de maximum 40.000 lei, în proporţie de 80% de către stat prin Fondul Naţional de Garantare a Creditelor pentru Întreprinderi Mici şi Mijlocii şi prin Fondul Român de Contragarantare, exceptând dobânzile, comisioanele şi spezele bancare, precum şi în suportarea dobânzilor şi a cheltuielilor adiacente creditului.</w:t>
      </w:r>
    </w:p>
    <w:p w:rsidR="006A425D" w:rsidRPr="003C7CB5" w:rsidRDefault="006A425D" w:rsidP="00565476">
      <w:pPr>
        <w:numPr>
          <w:ilvl w:val="1"/>
          <w:numId w:val="188"/>
        </w:numPr>
        <w:spacing w:before="120" w:after="120"/>
        <w:jc w:val="both"/>
        <w:rPr>
          <w:rFonts w:ascii="Calibri" w:hAnsi="Calibri" w:cs="Arial"/>
          <w:lang w:val="ro-RO"/>
        </w:rPr>
      </w:pPr>
      <w:r w:rsidRPr="003C7CB5">
        <w:rPr>
          <w:rFonts w:ascii="Calibri" w:hAnsi="Calibri" w:cs="Arial"/>
          <w:lang w:val="ro-RO"/>
        </w:rPr>
        <w:t>Creditul acordat poate fi suplimentat cu până la 20.000 lei în cazul în care beneficiarul este angajat sau se angajează pe perioada derulării creditului.</w:t>
      </w:r>
    </w:p>
    <w:p w:rsidR="006A425D" w:rsidRPr="003C7CB5" w:rsidRDefault="006A425D" w:rsidP="00565476">
      <w:pPr>
        <w:numPr>
          <w:ilvl w:val="1"/>
          <w:numId w:val="188"/>
        </w:numPr>
        <w:spacing w:before="120" w:after="120"/>
        <w:jc w:val="both"/>
        <w:rPr>
          <w:rFonts w:ascii="Calibri" w:eastAsia="Calibri" w:hAnsi="Calibri" w:cs="Arial"/>
          <w:lang w:val="ro-RO"/>
        </w:rPr>
      </w:pPr>
      <w:r w:rsidRPr="003C7CB5">
        <w:rPr>
          <w:rFonts w:ascii="Calibri" w:eastAsia="Calibri" w:hAnsi="Calibri" w:cs="Arial"/>
          <w:lang w:val="ro-RO"/>
        </w:rPr>
        <w:t>Creditul se acordă pentru o perioadă maximă de 10 ani, inclusiv perioada de graţie.</w:t>
      </w:r>
    </w:p>
    <w:p w:rsidR="006A425D" w:rsidRPr="003C7CB5" w:rsidRDefault="006A425D" w:rsidP="00565476">
      <w:pPr>
        <w:numPr>
          <w:ilvl w:val="1"/>
          <w:numId w:val="188"/>
        </w:numPr>
        <w:spacing w:before="120" w:after="120"/>
        <w:jc w:val="both"/>
        <w:rPr>
          <w:rFonts w:ascii="Calibri" w:hAnsi="Calibri" w:cs="Arial"/>
          <w:lang w:val="ro-RO"/>
        </w:rPr>
      </w:pPr>
      <w:r w:rsidRPr="003C7CB5">
        <w:rPr>
          <w:rFonts w:ascii="Calibri" w:hAnsi="Calibri" w:cs="Arial"/>
          <w:lang w:val="ro-RO"/>
        </w:rPr>
        <w:t xml:space="preserve">Destinaţia creditului este de a acoperi nevoile beneficiarilor şi familiilor acestora privind educaţia, sănătatea, cultura, sportul şi de habitat. </w:t>
      </w:r>
    </w:p>
    <w:p w:rsidR="006A425D" w:rsidRPr="003C7CB5" w:rsidRDefault="006A425D" w:rsidP="00565476">
      <w:pPr>
        <w:numPr>
          <w:ilvl w:val="1"/>
          <w:numId w:val="189"/>
        </w:numPr>
        <w:spacing w:before="120" w:after="120"/>
        <w:jc w:val="both"/>
        <w:rPr>
          <w:rFonts w:ascii="Calibri" w:hAnsi="Calibri" w:cs="Arial"/>
          <w:lang w:val="ro-RO"/>
        </w:rPr>
      </w:pPr>
      <w:r w:rsidRPr="003C7CB5">
        <w:rPr>
          <w:rFonts w:ascii="Calibri" w:hAnsi="Calibri" w:cs="Arial"/>
          <w:lang w:val="ro-RO"/>
        </w:rPr>
        <w:t xml:space="preserve">In prezent programul se derulează prin CEC Bank, la care deja  s-au primit şi s-au aprobat circa </w:t>
      </w:r>
      <w:r w:rsidRPr="003C7CB5">
        <w:rPr>
          <w:rFonts w:ascii="Calibri" w:hAnsi="Calibri" w:cs="Arial"/>
          <w:color w:val="000000" w:themeColor="text1"/>
          <w:lang w:val="ro-RO"/>
        </w:rPr>
        <w:t>2500 de cereri. S-</w:t>
      </w:r>
      <w:r w:rsidRPr="003C7CB5">
        <w:rPr>
          <w:rFonts w:ascii="Calibri" w:hAnsi="Calibri" w:cs="Arial"/>
          <w:lang w:val="ro-RO"/>
        </w:rPr>
        <w:t>a aprobat ca Programul să se desfăşoare şi prin Banca Transilvania şi Banca Comercială Română S.A.</w:t>
      </w:r>
    </w:p>
    <w:p w:rsidR="006A425D" w:rsidRPr="003C7CB5" w:rsidRDefault="006A425D" w:rsidP="00565476">
      <w:pPr>
        <w:numPr>
          <w:ilvl w:val="0"/>
          <w:numId w:val="189"/>
        </w:numPr>
        <w:spacing w:before="120" w:after="120"/>
        <w:ind w:left="1440"/>
        <w:jc w:val="both"/>
        <w:rPr>
          <w:rFonts w:ascii="Calibri" w:hAnsi="Calibri" w:cs="Arial"/>
          <w:color w:val="000000" w:themeColor="text1"/>
          <w:lang w:val="ro-RO"/>
        </w:rPr>
      </w:pPr>
      <w:r w:rsidRPr="003C7CB5">
        <w:rPr>
          <w:rFonts w:ascii="Calibri" w:hAnsi="Calibri" w:cs="Arial"/>
          <w:lang w:val="ro-RO"/>
        </w:rPr>
        <w:t>În conformitate cu prevederile art.1 alin.(3) din OUG nr. 50/2018 privind implementarea Programului guvernamental „INVESTEŞTE ÎN TINE“ plăţile de dobândă pentru creditul acordat, precum si cheltuielile privind comisioanele de analiză şi de gestiune a garanţiilor vor fi suportate din bugetul de stat prin bugetul Comisiei Naţionale de Strategie şi Prognoză</w:t>
      </w:r>
      <w:r w:rsidRPr="003C7CB5">
        <w:rPr>
          <w:rFonts w:ascii="Calibri" w:hAnsi="Calibri" w:cs="Arial"/>
          <w:color w:val="000000" w:themeColor="text1"/>
          <w:lang w:val="ro-RO"/>
        </w:rPr>
        <w:t xml:space="preserve">. Pentru anul 2019 sunt prevăzute credite de  </w:t>
      </w:r>
      <w:r>
        <w:rPr>
          <w:rFonts w:ascii="Calibri" w:hAnsi="Calibri" w:cs="Arial"/>
          <w:color w:val="000000" w:themeColor="text1"/>
          <w:lang w:val="ro-RO"/>
        </w:rPr>
        <w:t xml:space="preserve">angajament in valoare de 60 milioane </w:t>
      </w:r>
      <w:r w:rsidRPr="003C7CB5">
        <w:rPr>
          <w:rFonts w:ascii="Calibri" w:hAnsi="Calibri" w:cs="Arial"/>
          <w:color w:val="000000" w:themeColor="text1"/>
          <w:lang w:val="ro-RO"/>
        </w:rPr>
        <w:t xml:space="preserve"> lei şi credite bugetare în valoare de 10 </w:t>
      </w:r>
      <w:r>
        <w:rPr>
          <w:rFonts w:ascii="Calibri" w:hAnsi="Calibri" w:cs="Arial"/>
          <w:color w:val="000000" w:themeColor="text1"/>
          <w:lang w:val="ro-RO"/>
        </w:rPr>
        <w:t>milioane</w:t>
      </w:r>
      <w:r w:rsidRPr="003C7CB5">
        <w:rPr>
          <w:rFonts w:ascii="Calibri" w:hAnsi="Calibri" w:cs="Arial"/>
          <w:color w:val="000000" w:themeColor="text1"/>
          <w:lang w:val="ro-RO"/>
        </w:rPr>
        <w:t xml:space="preserve"> lei.</w:t>
      </w:r>
    </w:p>
    <w:p w:rsidR="006A425D" w:rsidRPr="0027359A" w:rsidRDefault="006A425D" w:rsidP="00565476">
      <w:pPr>
        <w:numPr>
          <w:ilvl w:val="0"/>
          <w:numId w:val="176"/>
        </w:numPr>
        <w:spacing w:before="120" w:after="120" w:line="276" w:lineRule="auto"/>
        <w:contextualSpacing/>
        <w:jc w:val="both"/>
        <w:rPr>
          <w:rFonts w:ascii="Calibri" w:eastAsia="Calibri" w:hAnsi="Calibri" w:cs="Arial"/>
          <w:b/>
          <w:color w:val="000000"/>
          <w:szCs w:val="22"/>
          <w:u w:val="single"/>
          <w:lang w:val="ro-RO"/>
        </w:rPr>
      </w:pPr>
      <w:r w:rsidRPr="000E1748">
        <w:rPr>
          <w:rFonts w:ascii="Calibri" w:eastAsia="Calibri" w:hAnsi="Calibri" w:cs="Arial"/>
          <w:b/>
          <w:color w:val="0D0163"/>
          <w:szCs w:val="22"/>
          <w:lang w:val="ro-RO"/>
        </w:rPr>
        <w:t xml:space="preserve">Programul prima </w:t>
      </w:r>
      <w:r w:rsidRPr="001F3A7D">
        <w:rPr>
          <w:rFonts w:ascii="Calibri" w:eastAsia="Calibri" w:hAnsi="Calibri" w:cs="Arial"/>
          <w:b/>
          <w:color w:val="0D0163"/>
          <w:szCs w:val="22"/>
          <w:lang w:val="ro-RO"/>
        </w:rPr>
        <w:t xml:space="preserve">Chirie </w:t>
      </w:r>
      <w:r w:rsidRPr="001F3A7D">
        <w:rPr>
          <w:rFonts w:ascii="Calibri" w:eastAsia="Calibri" w:hAnsi="Calibri"/>
          <w:szCs w:val="22"/>
          <w:lang w:val="ro-RO"/>
        </w:rPr>
        <w:t>e</w:t>
      </w:r>
      <w:r w:rsidRPr="0027359A">
        <w:rPr>
          <w:rFonts w:ascii="Calibri" w:eastAsia="Calibri" w:hAnsi="Calibri"/>
          <w:szCs w:val="22"/>
          <w:lang w:val="ro-RO"/>
        </w:rPr>
        <w:t>ste un program prin care şomerii care îşi găsesc un loc de muncă la o distanţă mai mare de 50 kilometri de domiciliu pot beneficia de o subvenţie de maximum 75% din valoarea chiriei, dar nu mai mult de 900 de lei pe lună.</w:t>
      </w:r>
    </w:p>
    <w:p w:rsidR="006A425D" w:rsidRPr="002C1741" w:rsidRDefault="006A425D" w:rsidP="006A425D">
      <w:pPr>
        <w:numPr>
          <w:ilvl w:val="0"/>
          <w:numId w:val="171"/>
        </w:numPr>
        <w:tabs>
          <w:tab w:val="left" w:pos="993"/>
          <w:tab w:val="left" w:pos="1276"/>
        </w:tabs>
        <w:autoSpaceDE w:val="0"/>
        <w:spacing w:before="120" w:line="276" w:lineRule="auto"/>
        <w:ind w:left="993" w:hanging="284"/>
        <w:contextualSpacing/>
        <w:jc w:val="both"/>
        <w:rPr>
          <w:rFonts w:ascii="Calibri" w:hAnsi="Calibri" w:cs="Arial"/>
          <w:lang w:val="ro-RO"/>
        </w:rPr>
      </w:pPr>
      <w:r w:rsidRPr="003964D3">
        <w:rPr>
          <w:rFonts w:ascii="Calibri" w:hAnsi="Calibri"/>
          <w:b/>
          <w:color w:val="0D0163"/>
          <w:lang w:val="fr-FR"/>
        </w:rPr>
        <w:t xml:space="preserve">  Programul Start-up Nation</w:t>
      </w:r>
      <w:r w:rsidRPr="003964D3">
        <w:rPr>
          <w:rFonts w:ascii="Calibri" w:hAnsi="Calibri"/>
          <w:lang w:val="fr-FR"/>
        </w:rPr>
        <w:t xml:space="preserve"> având ca obiectiv creşterea numărului întreprinderilor şi a locurilor de muncă,</w:t>
      </w:r>
      <w:r w:rsidRPr="002C1741">
        <w:rPr>
          <w:rFonts w:ascii="Calibri" w:hAnsi="Calibri" w:cs="Arial"/>
          <w:lang w:val="ro-RO"/>
        </w:rPr>
        <w:t xml:space="preserve"> inserţia pe piaţa muncii a persoanelor defavorizate, şomerilor şi absolvenţilor, creşterea investiţiilor în tehnologii noi inovative.</w:t>
      </w:r>
      <w:r w:rsidRPr="003964D3">
        <w:rPr>
          <w:rFonts w:ascii="Calibri" w:hAnsi="Calibri"/>
          <w:lang w:val="fr-FR"/>
        </w:rPr>
        <w:t xml:space="preserve"> Prin acest program  </w:t>
      </w:r>
      <w:r w:rsidRPr="002C1741">
        <w:rPr>
          <w:rFonts w:ascii="Calibri" w:eastAsia="Calibri" w:hAnsi="Calibri"/>
          <w:iCs/>
          <w:lang w:val="ro-RO"/>
        </w:rPr>
        <w:t xml:space="preserve"> se acordă un ajutor de minimis unui număr maxim anual de 10.000 de beneficiari întreprinderi mici şi mijlocii în sumă maximă de 200.000 lei/beneficiar, reprezentând 100% din valoarea cheltuielilor eligibile.</w:t>
      </w:r>
    </w:p>
    <w:p w:rsidR="006A425D" w:rsidRPr="003964D3" w:rsidRDefault="006A425D" w:rsidP="006A425D">
      <w:pPr>
        <w:keepNext/>
        <w:tabs>
          <w:tab w:val="left" w:pos="3465"/>
        </w:tabs>
        <w:spacing w:after="40"/>
        <w:ind w:left="426" w:hanging="284"/>
        <w:jc w:val="both"/>
        <w:rPr>
          <w:rFonts w:ascii="Calibri" w:hAnsi="Calibri" w:cs="Calibri"/>
          <w:lang w:val="fr-FR" w:eastAsia="ro-RO"/>
        </w:rPr>
      </w:pPr>
    </w:p>
    <w:p w:rsidR="006A425D" w:rsidRPr="002C1741" w:rsidRDefault="006A425D" w:rsidP="006A425D">
      <w:pPr>
        <w:keepNext/>
        <w:numPr>
          <w:ilvl w:val="0"/>
          <w:numId w:val="172"/>
        </w:numPr>
        <w:spacing w:after="40" w:line="276" w:lineRule="auto"/>
        <w:ind w:left="426" w:hanging="284"/>
        <w:contextualSpacing/>
        <w:jc w:val="both"/>
        <w:rPr>
          <w:rFonts w:ascii="Calibri" w:eastAsia="Calibri" w:hAnsi="Calibri" w:cs="Calibri"/>
          <w:b/>
          <w:bCs/>
          <w:szCs w:val="22"/>
          <w:shd w:val="clear" w:color="auto" w:fill="DEEAF6"/>
          <w:lang w:val="ro-RO"/>
        </w:rPr>
      </w:pPr>
      <w:r w:rsidRPr="002C1741">
        <w:rPr>
          <w:rFonts w:ascii="Calibri" w:eastAsia="Calibri" w:hAnsi="Calibri" w:cs="Calibri"/>
          <w:b/>
          <w:bCs/>
          <w:szCs w:val="22"/>
          <w:shd w:val="clear" w:color="auto" w:fill="DEEAF6"/>
          <w:lang w:val="ro-RO"/>
        </w:rPr>
        <w:t>Susținerea mediului de afaceri pentru a crea premisele unei creșteri sustenabile.</w:t>
      </w:r>
    </w:p>
    <w:p w:rsidR="006A425D" w:rsidRPr="002C1741" w:rsidRDefault="006A425D" w:rsidP="006A425D">
      <w:pPr>
        <w:keepNext/>
        <w:spacing w:after="40" w:line="276" w:lineRule="auto"/>
        <w:ind w:left="426"/>
        <w:contextualSpacing/>
        <w:jc w:val="both"/>
        <w:rPr>
          <w:rFonts w:ascii="Calibri" w:eastAsia="Calibri" w:hAnsi="Calibri" w:cs="Calibri"/>
          <w:b/>
          <w:bCs/>
          <w:szCs w:val="22"/>
          <w:shd w:val="clear" w:color="auto" w:fill="DEEAF6"/>
          <w:lang w:val="ro-RO"/>
        </w:rPr>
      </w:pPr>
    </w:p>
    <w:p w:rsidR="006A425D" w:rsidRPr="002C1741" w:rsidRDefault="006A425D" w:rsidP="00565476">
      <w:pPr>
        <w:numPr>
          <w:ilvl w:val="0"/>
          <w:numId w:val="179"/>
        </w:numPr>
        <w:spacing w:before="120" w:after="120" w:line="276" w:lineRule="auto"/>
        <w:contextualSpacing/>
        <w:jc w:val="both"/>
        <w:rPr>
          <w:rFonts w:ascii="Calibri" w:eastAsia="Calibri" w:hAnsi="Calibri"/>
          <w:color w:val="0D0163"/>
          <w:szCs w:val="22"/>
          <w:lang w:val="ro-RO"/>
        </w:rPr>
      </w:pPr>
      <w:r w:rsidRPr="002C1741">
        <w:rPr>
          <w:rFonts w:ascii="Calibri" w:eastAsia="Calibri" w:hAnsi="Calibri"/>
          <w:color w:val="0D0163"/>
          <w:szCs w:val="22"/>
          <w:lang w:val="ro-RO"/>
        </w:rPr>
        <w:t xml:space="preserve">La începutul anului 2018 au fost implementate următoarele măsuri:  </w:t>
      </w:r>
    </w:p>
    <w:p w:rsidR="006A425D" w:rsidRPr="002C1741" w:rsidRDefault="006A425D" w:rsidP="00565476">
      <w:pPr>
        <w:numPr>
          <w:ilvl w:val="0"/>
          <w:numId w:val="180"/>
        </w:numPr>
        <w:spacing w:line="276" w:lineRule="auto"/>
        <w:contextualSpacing/>
        <w:jc w:val="both"/>
        <w:rPr>
          <w:rFonts w:ascii="Calibri" w:eastAsia="Calibri" w:hAnsi="Calibri" w:cs="Arial"/>
          <w:color w:val="0D0163"/>
          <w:szCs w:val="22"/>
          <w:lang w:val="ro-RO" w:eastAsia="ro-RO"/>
        </w:rPr>
      </w:pPr>
      <w:r w:rsidRPr="002C1741">
        <w:rPr>
          <w:rFonts w:ascii="Calibri" w:eastAsia="Calibri" w:hAnsi="Calibri" w:cs="Arial"/>
          <w:color w:val="0D0163"/>
          <w:szCs w:val="22"/>
          <w:lang w:val="ro-RO" w:eastAsia="ro-RO"/>
        </w:rPr>
        <w:t>Reducerea cotei impozitului pe venit de la 16% la 10% începând cu 1 ianuarie 2018;</w:t>
      </w:r>
    </w:p>
    <w:p w:rsidR="006A425D" w:rsidRPr="002C1741" w:rsidRDefault="006A425D" w:rsidP="00565476">
      <w:pPr>
        <w:numPr>
          <w:ilvl w:val="0"/>
          <w:numId w:val="180"/>
        </w:numPr>
        <w:spacing w:line="276" w:lineRule="auto"/>
        <w:contextualSpacing/>
        <w:jc w:val="both"/>
        <w:rPr>
          <w:rFonts w:ascii="Calibri" w:eastAsia="Calibri" w:hAnsi="Calibri" w:cs="Arial"/>
          <w:szCs w:val="22"/>
          <w:lang w:val="ro-RO" w:eastAsia="ro-RO"/>
        </w:rPr>
      </w:pPr>
      <w:r w:rsidRPr="002C1741">
        <w:rPr>
          <w:rFonts w:ascii="Calibri" w:eastAsia="Calibri" w:hAnsi="Calibri" w:cs="Arial"/>
          <w:color w:val="0D0163"/>
          <w:szCs w:val="22"/>
          <w:lang w:val="ro-RO" w:eastAsia="ro-RO"/>
        </w:rPr>
        <w:t>Reforma contribuțiilor sociale</w:t>
      </w:r>
      <w:r w:rsidRPr="002C1741">
        <w:rPr>
          <w:rFonts w:ascii="Calibri" w:eastAsia="Calibri" w:hAnsi="Calibri" w:cs="Arial"/>
          <w:szCs w:val="22"/>
          <w:lang w:val="ro-RO" w:eastAsia="ro-RO"/>
        </w:rPr>
        <w:t xml:space="preserve">: </w:t>
      </w:r>
      <w:r w:rsidRPr="002C1741">
        <w:rPr>
          <w:rFonts w:ascii="Calibri" w:eastAsia="Calibri" w:hAnsi="Calibri"/>
          <w:szCs w:val="22"/>
          <w:lang w:val="ro-RO"/>
        </w:rPr>
        <w:t xml:space="preserve">reducerea cotei totale a contribuţiilor sociale obligatorii, per total cu 2 puncte procentuale, de la 39,25% la 37,25%, reducerea numărului contribuţiilor sociale la 2 contribuţii datorate de angajat (CAS, CASS); introducerea contribuţiei asiguratorii de muncă datorate de angajator, modificarea sarcinii fiscale a obligaţiilor privind contribuţiile sociale obligatorii datorate de angajat şi angajator, în sensul că CAS şi CASS sunt datorate numai de către angajat; </w:t>
      </w:r>
    </w:p>
    <w:p w:rsidR="006A425D" w:rsidRPr="002C1741" w:rsidRDefault="006A425D" w:rsidP="00565476">
      <w:pPr>
        <w:numPr>
          <w:ilvl w:val="0"/>
          <w:numId w:val="180"/>
        </w:numPr>
        <w:spacing w:after="120" w:line="276" w:lineRule="auto"/>
        <w:jc w:val="both"/>
        <w:rPr>
          <w:rFonts w:ascii="Calibri" w:eastAsia="Calibri" w:hAnsi="Calibri" w:cs="Calibri"/>
          <w:color w:val="000000"/>
          <w:szCs w:val="22"/>
          <w:lang w:val="ro-RO"/>
        </w:rPr>
      </w:pPr>
      <w:r w:rsidRPr="002C1741">
        <w:rPr>
          <w:rFonts w:ascii="Calibri" w:eastAsia="Calibri" w:hAnsi="Calibri" w:cs="Calibri"/>
          <w:color w:val="0D0163"/>
          <w:szCs w:val="22"/>
          <w:lang w:val="ro-RO"/>
        </w:rPr>
        <w:t xml:space="preserve">Începând cu anul 2018, au fost modificate condițiile de încadrare a persoanelor juridice române în categoria microîntreprinderilor: </w:t>
      </w:r>
      <w:r w:rsidRPr="002C1741">
        <w:rPr>
          <w:rFonts w:ascii="Calibri" w:eastAsia="Calibri" w:hAnsi="Calibri" w:cs="Calibri"/>
          <w:color w:val="000000"/>
          <w:szCs w:val="22"/>
          <w:lang w:val="ro-RO"/>
        </w:rPr>
        <w:t>i) majorarea nivelului veniturilor realizate la data de 31 decembrie a anului fiscal precedent de la 500.000 euro la 1.000.000 euro; ii) eliminarea condiției privind realizarea veniturilor din consultanță și management; iii) eliminarea activităților pentru care contribuabilii nu aplică acest sistem de impunere (Fondul de garantare a depozitelor în sistemul bancar, Fondul de compensare a investitorilor, Fondul de garantare a pensiilor private, Fondul de garantare a asiguraților).</w:t>
      </w:r>
    </w:p>
    <w:p w:rsidR="006A425D" w:rsidRPr="002C1741" w:rsidRDefault="006A425D" w:rsidP="00565476">
      <w:pPr>
        <w:numPr>
          <w:ilvl w:val="0"/>
          <w:numId w:val="180"/>
        </w:numPr>
        <w:spacing w:line="276" w:lineRule="auto"/>
        <w:contextualSpacing/>
        <w:jc w:val="both"/>
        <w:rPr>
          <w:rFonts w:ascii="Calibri" w:eastAsia="Calibri" w:hAnsi="Calibri" w:cs="Arial"/>
          <w:color w:val="0D0163"/>
          <w:szCs w:val="22"/>
          <w:lang w:val="ro-RO" w:eastAsia="ro-RO"/>
        </w:rPr>
      </w:pPr>
      <w:r w:rsidRPr="002C1741">
        <w:rPr>
          <w:rFonts w:ascii="Calibri" w:eastAsia="Calibri" w:hAnsi="Calibri" w:cs="Arial"/>
          <w:color w:val="0D0163"/>
          <w:szCs w:val="22"/>
          <w:lang w:val="ro-RO" w:eastAsia="ro-RO"/>
        </w:rPr>
        <w:t>Reducerea cotei de transfer către pilonul II de la 5,1% la 3,75% începând cu 1 ianuarie 2018;.</w:t>
      </w:r>
    </w:p>
    <w:p w:rsidR="006A425D" w:rsidRPr="002C1741" w:rsidRDefault="006A425D" w:rsidP="006A425D">
      <w:pPr>
        <w:rPr>
          <w:rFonts w:ascii="Calibri" w:hAnsi="Calibri" w:cs="Arial"/>
          <w:sz w:val="20"/>
          <w:lang w:val="ro-RO" w:eastAsia="ro-RO"/>
        </w:rPr>
      </w:pPr>
    </w:p>
    <w:p w:rsidR="006A425D" w:rsidRPr="002C1741" w:rsidRDefault="006A425D" w:rsidP="00565476">
      <w:pPr>
        <w:numPr>
          <w:ilvl w:val="0"/>
          <w:numId w:val="174"/>
        </w:numPr>
        <w:tabs>
          <w:tab w:val="left" w:pos="709"/>
        </w:tabs>
        <w:suppressAutoHyphens/>
        <w:autoSpaceDE w:val="0"/>
        <w:spacing w:before="120" w:line="276" w:lineRule="auto"/>
        <w:ind w:left="567" w:hanging="567"/>
        <w:contextualSpacing/>
        <w:jc w:val="both"/>
        <w:rPr>
          <w:rFonts w:ascii="Calibri" w:eastAsia="Calibri" w:hAnsi="Calibri" w:cs="Arial"/>
          <w:szCs w:val="22"/>
          <w:lang w:val="ro-RO" w:eastAsia="zh-CN"/>
        </w:rPr>
      </w:pPr>
      <w:r w:rsidRPr="002C1741">
        <w:rPr>
          <w:rFonts w:ascii="Calibri" w:eastAsia="Calibri" w:hAnsi="Calibri" w:cs="Arial"/>
          <w:b/>
          <w:color w:val="000048"/>
          <w:szCs w:val="22"/>
          <w:lang w:val="ro-RO" w:eastAsia="zh-CN"/>
        </w:rPr>
        <w:t>Programul ”Ajutoare de stat pentru finanţarea proiectelor de investiţii</w:t>
      </w:r>
      <w:r w:rsidRPr="002C1741">
        <w:rPr>
          <w:rFonts w:ascii="Calibri" w:eastAsia="Calibri" w:hAnsi="Calibri" w:cs="Arial"/>
          <w:color w:val="00003E"/>
          <w:szCs w:val="22"/>
          <w:lang w:val="ro-RO" w:eastAsia="zh-CN"/>
        </w:rPr>
        <w:t xml:space="preserve">”, </w:t>
      </w:r>
      <w:r w:rsidRPr="002C1741">
        <w:rPr>
          <w:rFonts w:ascii="Calibri" w:eastAsia="Calibri" w:hAnsi="Calibri" w:cs="Arial"/>
          <w:color w:val="000076"/>
          <w:szCs w:val="22"/>
          <w:lang w:val="ro-RO" w:eastAsia="zh-CN"/>
        </w:rPr>
        <w:t>i</w:t>
      </w:r>
      <w:r w:rsidRPr="002C1741">
        <w:rPr>
          <w:rFonts w:ascii="Calibri" w:eastAsia="Calibri" w:hAnsi="Calibri" w:cs="Arial"/>
          <w:color w:val="000000"/>
          <w:szCs w:val="22"/>
          <w:lang w:val="ro-RO" w:eastAsia="zh-CN"/>
        </w:rPr>
        <w:t xml:space="preserve">nclude scheme de ajutor de stat care se aplică atât întreprinderilor mari cât şi IMM-urilor, având ca obiectiv dezvoltarea regională prin stimularea realizării de investiţii, creării de noi locuri de muncă, precum şi modernizarea sau dezvoltarea IMM-urilor, care cuprinde </w:t>
      </w:r>
      <w:r w:rsidRPr="002C1741">
        <w:rPr>
          <w:rFonts w:ascii="Calibri" w:eastAsia="Calibri" w:hAnsi="Calibri" w:cs="Arial"/>
          <w:szCs w:val="22"/>
          <w:lang w:val="ro-RO" w:eastAsia="zh-CN"/>
        </w:rPr>
        <w:t>6 scheme de ajutor de stat, din care:</w:t>
      </w:r>
    </w:p>
    <w:p w:rsidR="006A425D" w:rsidRPr="002C1741" w:rsidRDefault="006A425D" w:rsidP="00565476">
      <w:pPr>
        <w:numPr>
          <w:ilvl w:val="1"/>
          <w:numId w:val="191"/>
        </w:numPr>
        <w:tabs>
          <w:tab w:val="left" w:pos="709"/>
        </w:tabs>
        <w:suppressAutoHyphens/>
        <w:autoSpaceDE w:val="0"/>
        <w:spacing w:before="120" w:line="276" w:lineRule="auto"/>
        <w:ind w:left="709"/>
        <w:contextualSpacing/>
        <w:jc w:val="both"/>
        <w:rPr>
          <w:rFonts w:ascii="Calibri" w:eastAsia="Calibri" w:hAnsi="Calibri" w:cs="Arial"/>
          <w:color w:val="000000"/>
          <w:szCs w:val="22"/>
          <w:lang w:val="ro-RO" w:eastAsia="zh-CN"/>
        </w:rPr>
      </w:pPr>
      <w:r w:rsidRPr="002C1741">
        <w:rPr>
          <w:rFonts w:ascii="Calibri" w:eastAsia="Calibri" w:hAnsi="Calibri" w:cs="Arial"/>
          <w:color w:val="000000"/>
          <w:szCs w:val="22"/>
          <w:lang w:val="ro-RO" w:eastAsia="zh-CN"/>
        </w:rPr>
        <w:t xml:space="preserve">4 scheme de ajutor de stat </w:t>
      </w:r>
      <w:r w:rsidRPr="002C1741">
        <w:rPr>
          <w:rFonts w:ascii="Calibri" w:eastAsia="Calibri" w:hAnsi="Calibri" w:cs="Arial"/>
          <w:szCs w:val="22"/>
          <w:lang w:val="ro-RO" w:eastAsia="zh-CN"/>
        </w:rPr>
        <w:t xml:space="preserve">care sunt închise pentru emiterea de acorduri pentru finanțare, </w:t>
      </w:r>
      <w:r w:rsidRPr="002C1741">
        <w:rPr>
          <w:rFonts w:ascii="Calibri" w:eastAsia="Calibri" w:hAnsi="Calibri" w:cs="Arial"/>
          <w:color w:val="000000"/>
          <w:szCs w:val="22"/>
          <w:lang w:val="ro-RO" w:eastAsia="zh-CN"/>
        </w:rPr>
        <w:t xml:space="preserve">dar pentru care se continuă procedurile de plată a ajutorului de stat și de monitorizare </w:t>
      </w:r>
      <w:r w:rsidRPr="002C1741">
        <w:rPr>
          <w:rFonts w:ascii="Calibri" w:eastAsia="Calibri" w:hAnsi="Calibri" w:cs="Arial"/>
          <w:b/>
          <w:color w:val="000000"/>
          <w:szCs w:val="22"/>
          <w:lang w:val="ro-RO" w:eastAsia="zh-CN"/>
        </w:rPr>
        <w:t>a realizării investițiilor și a creării locurilor de muncă</w:t>
      </w:r>
      <w:r w:rsidRPr="002C1741">
        <w:rPr>
          <w:rFonts w:ascii="Calibri" w:eastAsia="Calibri" w:hAnsi="Calibri" w:cs="Arial"/>
          <w:color w:val="000000"/>
          <w:szCs w:val="22"/>
          <w:lang w:val="ro-RO" w:eastAsia="zh-CN"/>
        </w:rPr>
        <w:t xml:space="preserve"> ( H.G. nr. 1165/2007, H.G. nr. 1680/2008, H.G. nr. 753/2008, H.G. nr. 797/2012);</w:t>
      </w:r>
    </w:p>
    <w:p w:rsidR="006A425D" w:rsidRPr="002C1741" w:rsidRDefault="006A425D" w:rsidP="00565476">
      <w:pPr>
        <w:numPr>
          <w:ilvl w:val="0"/>
          <w:numId w:val="191"/>
        </w:numPr>
        <w:tabs>
          <w:tab w:val="left" w:pos="709"/>
        </w:tabs>
        <w:suppressAutoHyphens/>
        <w:autoSpaceDE w:val="0"/>
        <w:spacing w:before="120" w:line="276" w:lineRule="auto"/>
        <w:contextualSpacing/>
        <w:jc w:val="both"/>
        <w:rPr>
          <w:rFonts w:ascii="Calibri" w:eastAsia="Calibri" w:hAnsi="Calibri" w:cs="Arial"/>
          <w:b/>
          <w:color w:val="000000"/>
          <w:szCs w:val="22"/>
          <w:lang w:val="ro-RO" w:eastAsia="zh-CN"/>
        </w:rPr>
      </w:pPr>
      <w:r w:rsidRPr="002C1741">
        <w:rPr>
          <w:rFonts w:ascii="Calibri" w:eastAsia="Calibri" w:hAnsi="Calibri" w:cs="Arial"/>
          <w:color w:val="000000"/>
          <w:szCs w:val="22"/>
          <w:lang w:val="ro-RO" w:eastAsia="zh-CN"/>
        </w:rPr>
        <w:t xml:space="preserve">două scheme de ajutor de stat deschise pentru emiterea de acorduri pentru finanțare, instituite prin H.G. nr. 332/2014 </w:t>
      </w:r>
      <w:r w:rsidRPr="002C1741">
        <w:rPr>
          <w:rFonts w:ascii="Calibri" w:eastAsia="Calibri" w:hAnsi="Calibri" w:cs="Arial"/>
          <w:bCs/>
          <w:i/>
          <w:color w:val="000000"/>
          <w:szCs w:val="22"/>
          <w:lang w:val="ro-RO" w:eastAsia="zh-CN"/>
        </w:rPr>
        <w:t xml:space="preserve">privind instituirea unei scheme de ajutor de stat </w:t>
      </w:r>
      <w:r w:rsidRPr="002C1741">
        <w:rPr>
          <w:rFonts w:ascii="Calibri" w:eastAsia="Calibri" w:hAnsi="Calibri" w:cs="Arial"/>
          <w:b/>
          <w:bCs/>
          <w:i/>
          <w:color w:val="000000"/>
          <w:szCs w:val="22"/>
          <w:lang w:val="ro-RO" w:eastAsia="zh-CN"/>
        </w:rPr>
        <w:t>pentru sprijinirea investițiilor care promovează dezvoltarea regională prin crearea de locuri de munc</w:t>
      </w:r>
      <w:r w:rsidRPr="002C1741">
        <w:rPr>
          <w:rFonts w:ascii="Calibri" w:eastAsia="Calibri" w:hAnsi="Calibri" w:cs="Arial"/>
          <w:b/>
          <w:bCs/>
          <w:color w:val="000000"/>
          <w:szCs w:val="22"/>
          <w:lang w:val="ro-RO" w:eastAsia="zh-CN"/>
        </w:rPr>
        <w:t>ă,</w:t>
      </w:r>
      <w:r w:rsidRPr="002C1741">
        <w:rPr>
          <w:rFonts w:ascii="Calibri" w:eastAsia="Calibri" w:hAnsi="Calibri" w:cs="Arial"/>
          <w:bCs/>
          <w:color w:val="000000"/>
          <w:szCs w:val="22"/>
          <w:lang w:val="ro-RO" w:eastAsia="zh-CN"/>
        </w:rPr>
        <w:t xml:space="preserve"> cu modificările și completările ulterioare și </w:t>
      </w:r>
      <w:r w:rsidRPr="002C1741">
        <w:rPr>
          <w:rFonts w:ascii="Calibri" w:eastAsia="Calibri" w:hAnsi="Calibri" w:cs="Arial"/>
          <w:bCs/>
          <w:color w:val="000000"/>
          <w:kern w:val="1"/>
          <w:szCs w:val="22"/>
          <w:lang w:val="ro-RO" w:eastAsia="zh-CN"/>
        </w:rPr>
        <w:t xml:space="preserve">H.G. nr. 807/2014 </w:t>
      </w:r>
      <w:r w:rsidRPr="002C1741">
        <w:rPr>
          <w:rFonts w:ascii="Calibri" w:eastAsia="Calibri" w:hAnsi="Calibri" w:cs="Arial"/>
          <w:bCs/>
          <w:i/>
          <w:color w:val="000000"/>
          <w:kern w:val="1"/>
          <w:szCs w:val="22"/>
          <w:lang w:val="ro-RO" w:eastAsia="zh-CN"/>
        </w:rPr>
        <w:t xml:space="preserve">pentru instituirea unei scheme de ajutor de stat </w:t>
      </w:r>
      <w:r w:rsidRPr="002C1741">
        <w:rPr>
          <w:rFonts w:ascii="Calibri" w:eastAsia="Calibri" w:hAnsi="Calibri" w:cs="Arial"/>
          <w:b/>
          <w:bCs/>
          <w:i/>
          <w:color w:val="000000"/>
          <w:kern w:val="1"/>
          <w:szCs w:val="22"/>
          <w:lang w:val="ro-RO" w:eastAsia="zh-CN"/>
        </w:rPr>
        <w:t>având ca obiectiv stimularea investițiilor cu impact major în economie,</w:t>
      </w:r>
      <w:r w:rsidRPr="002C1741">
        <w:rPr>
          <w:rFonts w:ascii="Calibri" w:eastAsia="Calibri" w:hAnsi="Calibri" w:cs="Arial"/>
          <w:bCs/>
          <w:color w:val="000000"/>
          <w:szCs w:val="22"/>
          <w:lang w:val="ro-RO" w:eastAsia="zh-CN"/>
        </w:rPr>
        <w:t>cu modificările și completările ulterioare:</w:t>
      </w:r>
    </w:p>
    <w:p w:rsidR="006A425D" w:rsidRPr="002C1741" w:rsidRDefault="006A425D" w:rsidP="006A425D">
      <w:pPr>
        <w:tabs>
          <w:tab w:val="left" w:pos="709"/>
        </w:tabs>
        <w:suppressAutoHyphens/>
        <w:autoSpaceDE w:val="0"/>
        <w:spacing w:before="120" w:line="276" w:lineRule="auto"/>
        <w:ind w:left="720"/>
        <w:contextualSpacing/>
        <w:jc w:val="both"/>
        <w:rPr>
          <w:rFonts w:ascii="Calibri" w:eastAsia="Calibri" w:hAnsi="Calibri" w:cs="Arial"/>
          <w:b/>
          <w:szCs w:val="22"/>
          <w:lang w:val="ro-RO" w:eastAsia="zh-CN"/>
        </w:rPr>
      </w:pPr>
    </w:p>
    <w:p w:rsidR="006A425D" w:rsidRPr="002C1741" w:rsidRDefault="006A425D" w:rsidP="00565476">
      <w:pPr>
        <w:numPr>
          <w:ilvl w:val="0"/>
          <w:numId w:val="175"/>
        </w:numPr>
        <w:tabs>
          <w:tab w:val="left" w:pos="0"/>
        </w:tabs>
        <w:spacing w:before="120" w:line="276" w:lineRule="auto"/>
        <w:ind w:hanging="578"/>
        <w:contextualSpacing/>
        <w:jc w:val="both"/>
        <w:rPr>
          <w:rFonts w:ascii="Calibri" w:eastAsia="Calibri" w:hAnsi="Calibri"/>
          <w:bCs/>
          <w:kern w:val="1"/>
          <w:szCs w:val="22"/>
          <w:lang w:val="ro-RO"/>
        </w:rPr>
      </w:pPr>
      <w:r w:rsidRPr="002C1741">
        <w:rPr>
          <w:rFonts w:ascii="Calibri" w:eastAsia="Calibri" w:hAnsi="Calibri"/>
          <w:b/>
          <w:color w:val="000048"/>
          <w:szCs w:val="22"/>
          <w:lang w:val="ro-RO"/>
        </w:rPr>
        <w:t xml:space="preserve">Programul ”Transferuri în cadrul schemelor de ajutor de stat reprezentând sume restituite la acciză pentru motorina utilizată drept combustibil'' </w:t>
      </w:r>
      <w:r w:rsidRPr="002C1741">
        <w:rPr>
          <w:rFonts w:ascii="Calibri" w:eastAsia="Calibri" w:hAnsi="Calibri"/>
          <w:b/>
          <w:color w:val="0E016B"/>
          <w:szCs w:val="22"/>
          <w:lang w:val="ro-RO"/>
        </w:rPr>
        <w:t>,</w:t>
      </w:r>
      <w:r w:rsidRPr="002C1741">
        <w:rPr>
          <w:rFonts w:ascii="Calibri" w:eastAsia="Calibri" w:hAnsi="Calibri"/>
          <w:bCs/>
          <w:color w:val="000000"/>
          <w:szCs w:val="22"/>
          <w:lang w:val="ro-RO"/>
        </w:rPr>
        <w:t>derulat în perioada2014-2017conform prevederilor</w:t>
      </w:r>
      <w:r w:rsidRPr="002C1741">
        <w:rPr>
          <w:rFonts w:ascii="Calibri" w:eastAsia="Calibri" w:hAnsi="Calibri"/>
          <w:b/>
          <w:bCs/>
          <w:color w:val="000000"/>
          <w:szCs w:val="22"/>
          <w:lang w:val="ro-RO"/>
        </w:rPr>
        <w:t xml:space="preserve"> H.G. nr. 537/2014.</w:t>
      </w:r>
      <w:r w:rsidRPr="002C1741">
        <w:rPr>
          <w:rFonts w:ascii="Calibri" w:eastAsia="Arial" w:hAnsi="Calibri"/>
          <w:szCs w:val="22"/>
          <w:lang w:val="ro-RO"/>
        </w:rPr>
        <w:t xml:space="preserve"> Pentru a veni în sprijinul operatorilor economici, Guvernul a decis </w:t>
      </w:r>
      <w:r w:rsidRPr="002C1741">
        <w:rPr>
          <w:rFonts w:ascii="Calibri" w:eastAsia="Arial" w:hAnsi="Calibri"/>
          <w:b/>
          <w:szCs w:val="22"/>
          <w:lang w:val="ro-RO"/>
        </w:rPr>
        <w:t>continuarea acestei măsuri de ajutor de stat.</w:t>
      </w:r>
    </w:p>
    <w:p w:rsidR="006A425D" w:rsidRPr="002C1741" w:rsidRDefault="006A425D" w:rsidP="00565476">
      <w:pPr>
        <w:numPr>
          <w:ilvl w:val="0"/>
          <w:numId w:val="192"/>
        </w:numPr>
        <w:shd w:val="clear" w:color="auto" w:fill="FFFFFF"/>
        <w:tabs>
          <w:tab w:val="left" w:pos="0"/>
          <w:tab w:val="left" w:pos="1122"/>
        </w:tabs>
        <w:spacing w:before="120" w:line="276" w:lineRule="auto"/>
        <w:contextualSpacing/>
        <w:jc w:val="both"/>
        <w:rPr>
          <w:rFonts w:ascii="Calibri" w:eastAsia="Calibri" w:hAnsi="Calibri"/>
          <w:szCs w:val="22"/>
          <w:lang w:val="ro-RO"/>
        </w:rPr>
      </w:pPr>
      <w:r w:rsidRPr="002C1741">
        <w:rPr>
          <w:rFonts w:ascii="Calibri" w:eastAsia="Calibri" w:hAnsi="Calibri"/>
          <w:bCs/>
          <w:kern w:val="1"/>
          <w:szCs w:val="22"/>
          <w:lang w:val="ro-RO"/>
        </w:rPr>
        <w:t>Schema de ajutor de stat are un buget maxim estimat de 60.000 mii lei, cu un buget anual de 20.000 mii lei.</w:t>
      </w:r>
    </w:p>
    <w:p w:rsidR="006A425D" w:rsidRPr="002C1741" w:rsidRDefault="006A425D" w:rsidP="00565476">
      <w:pPr>
        <w:numPr>
          <w:ilvl w:val="0"/>
          <w:numId w:val="192"/>
        </w:numPr>
        <w:spacing w:before="120" w:line="276" w:lineRule="auto"/>
        <w:ind w:right="28"/>
        <w:contextualSpacing/>
        <w:jc w:val="both"/>
        <w:rPr>
          <w:rFonts w:ascii="Calibri" w:eastAsia="Calibri" w:hAnsi="Calibri"/>
          <w:szCs w:val="22"/>
          <w:lang w:val="ro-RO"/>
        </w:rPr>
      </w:pPr>
      <w:r w:rsidRPr="002C1741">
        <w:rPr>
          <w:rFonts w:ascii="Calibri" w:eastAsia="Calibri" w:hAnsi="Calibri"/>
          <w:szCs w:val="22"/>
          <w:lang w:val="ro-RO"/>
        </w:rPr>
        <w:t>Numărul total estimat al operatorilor economici care urmează să beneficieze de ajutor de stat în baza schemei este de 1500.</w:t>
      </w:r>
    </w:p>
    <w:p w:rsidR="006A425D" w:rsidRPr="002C1741" w:rsidRDefault="006A425D" w:rsidP="006A425D">
      <w:pPr>
        <w:spacing w:before="120" w:line="276" w:lineRule="auto"/>
        <w:ind w:left="1428" w:right="28"/>
        <w:contextualSpacing/>
        <w:jc w:val="both"/>
        <w:rPr>
          <w:rFonts w:ascii="Calibri" w:eastAsia="Calibri" w:hAnsi="Calibri"/>
          <w:szCs w:val="22"/>
          <w:lang w:val="ro-RO"/>
        </w:rPr>
      </w:pPr>
    </w:p>
    <w:p w:rsidR="006A425D" w:rsidRPr="002C1741" w:rsidRDefault="006A425D" w:rsidP="00565476">
      <w:pPr>
        <w:numPr>
          <w:ilvl w:val="0"/>
          <w:numId w:val="175"/>
        </w:numPr>
        <w:suppressAutoHyphens/>
        <w:autoSpaceDE w:val="0"/>
        <w:autoSpaceDN w:val="0"/>
        <w:adjustRightInd w:val="0"/>
        <w:spacing w:line="276" w:lineRule="auto"/>
        <w:ind w:left="426" w:hanging="284"/>
        <w:contextualSpacing/>
        <w:jc w:val="both"/>
        <w:rPr>
          <w:rFonts w:ascii="Calibri" w:eastAsia="Calibri" w:hAnsi="Calibri" w:cs="Arial"/>
          <w:color w:val="000048"/>
          <w:lang w:val="ro-RO"/>
        </w:rPr>
      </w:pPr>
      <w:r w:rsidRPr="002C1741">
        <w:rPr>
          <w:rFonts w:ascii="Calibri" w:eastAsia="Calibri" w:hAnsi="Calibri" w:cs="Arial"/>
          <w:b/>
          <w:color w:val="000048"/>
          <w:szCs w:val="22"/>
          <w:lang w:val="ro-RO"/>
        </w:rPr>
        <w:t>Programul de susținere a întreprinderilor mici și mijlocii – IMM Invest România.</w:t>
      </w: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lang w:val="ro-RO"/>
        </w:rPr>
      </w:pPr>
      <w:r w:rsidRPr="002C1741">
        <w:rPr>
          <w:rFonts w:ascii="Calibri" w:eastAsia="Calibri" w:hAnsi="Calibri" w:cs="Arial"/>
          <w:color w:val="000000"/>
          <w:szCs w:val="22"/>
          <w:lang w:val="ro-RO"/>
        </w:rPr>
        <w:t xml:space="preserve">Prin Programul de susținere a IMM-urilor se are în vedere acordarea de garanții de stat, prin intermediul FNGCIMM, pentru creditele bancare pentru capital de lucru și credite de investiții contractate de IMM-uri. Procentul de garantare este de 50% din valoarea finanțării, cu excepția proiectelor de centre de agreement pentru care procentul de garantare este de 80%. </w:t>
      </w:r>
    </w:p>
    <w:p w:rsidR="006A425D" w:rsidRPr="003964D3" w:rsidRDefault="006A425D" w:rsidP="006A425D">
      <w:pPr>
        <w:suppressAutoHyphens/>
        <w:autoSpaceDE w:val="0"/>
        <w:autoSpaceDN w:val="0"/>
        <w:adjustRightInd w:val="0"/>
        <w:ind w:left="1068" w:firstLine="708"/>
        <w:contextualSpacing/>
        <w:jc w:val="both"/>
        <w:rPr>
          <w:rFonts w:ascii="Calibri" w:eastAsia="Calibri" w:hAnsi="Calibri" w:cs="Arial"/>
          <w:color w:val="000000"/>
          <w:lang w:val="fr-FR"/>
        </w:rPr>
      </w:pP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lang w:val="ro-RO"/>
        </w:rPr>
      </w:pPr>
      <w:r w:rsidRPr="002C1741">
        <w:rPr>
          <w:rFonts w:ascii="Calibri" w:eastAsia="Calibri" w:hAnsi="Calibri" w:cs="Arial"/>
          <w:color w:val="000000"/>
          <w:szCs w:val="22"/>
          <w:lang w:val="ro-RO"/>
        </w:rPr>
        <w:t>Valoarea maximă cumulată a finanțărilor garantate de stat care pot fi acordate unui beneficiar este de 10.000.000 lei, iar valoarea maximă a fiecărei finanțări acordate unui beneficiar nu poate depăși 5.000.000 lei pentru creditele/liniile de credit pentru finanțarea capitalului de lucru, respectiv 10.000.000 lei pentru creditele de investiții.</w:t>
      </w:r>
    </w:p>
    <w:p w:rsidR="006A425D" w:rsidRPr="003964D3" w:rsidRDefault="006A425D" w:rsidP="006A425D">
      <w:pPr>
        <w:suppressAutoHyphens/>
        <w:autoSpaceDE w:val="0"/>
        <w:autoSpaceDN w:val="0"/>
        <w:adjustRightInd w:val="0"/>
        <w:ind w:left="1068" w:firstLine="708"/>
        <w:contextualSpacing/>
        <w:jc w:val="both"/>
        <w:rPr>
          <w:rFonts w:ascii="Calibri" w:eastAsia="Calibri" w:hAnsi="Calibri" w:cs="Arial"/>
          <w:color w:val="000000"/>
          <w:lang w:val="fr-FR"/>
        </w:rPr>
      </w:pP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lang w:val="ro-RO"/>
        </w:rPr>
      </w:pPr>
      <w:r w:rsidRPr="002C1741">
        <w:rPr>
          <w:rFonts w:ascii="Calibri" w:eastAsia="Calibri" w:hAnsi="Calibri" w:cs="Arial"/>
          <w:color w:val="000000"/>
          <w:szCs w:val="22"/>
          <w:lang w:val="ro-RO"/>
        </w:rPr>
        <w:t>Durata maximă a finanțării este de 120 luni, în cazul creditelor pentru investiții și de maxim 24 luni în cazul creditelor/liniilor de credit pentru finanțarea capitalului de lucru. Liniile de credit pot fi prelungite cu maximum 24 luni.</w:t>
      </w:r>
    </w:p>
    <w:p w:rsidR="006A425D" w:rsidRPr="002C1741" w:rsidRDefault="006A425D" w:rsidP="006A425D">
      <w:pPr>
        <w:suppressAutoHyphens/>
        <w:autoSpaceDE w:val="0"/>
        <w:autoSpaceDN w:val="0"/>
        <w:adjustRightInd w:val="0"/>
        <w:contextualSpacing/>
        <w:jc w:val="both"/>
        <w:rPr>
          <w:rFonts w:ascii="Calibri" w:eastAsia="Calibri" w:hAnsi="Calibri" w:cs="Arial"/>
          <w:color w:val="000000"/>
        </w:rPr>
      </w:pPr>
      <w:r w:rsidRPr="002C1741">
        <w:rPr>
          <w:rFonts w:ascii="Calibri" w:eastAsia="Calibri" w:hAnsi="Calibri" w:cs="Arial"/>
          <w:color w:val="000000"/>
        </w:rPr>
        <w:tab/>
      </w:r>
    </w:p>
    <w:p w:rsidR="006A425D" w:rsidRPr="002C1741" w:rsidRDefault="006A425D" w:rsidP="006A425D">
      <w:pPr>
        <w:suppressAutoHyphens/>
        <w:autoSpaceDE w:val="0"/>
        <w:autoSpaceDN w:val="0"/>
        <w:adjustRightInd w:val="0"/>
        <w:contextualSpacing/>
        <w:jc w:val="both"/>
        <w:rPr>
          <w:rFonts w:ascii="Calibri" w:eastAsia="Calibri" w:hAnsi="Calibri" w:cs="Arial"/>
          <w:b/>
          <w:color w:val="000048"/>
        </w:rPr>
      </w:pPr>
      <w:r w:rsidRPr="002C1741">
        <w:rPr>
          <w:rFonts w:ascii="Calibri" w:eastAsia="Calibri" w:hAnsi="Calibri" w:cs="Arial"/>
          <w:b/>
          <w:color w:val="000048"/>
        </w:rPr>
        <w:t xml:space="preserve">                 Principalele avantaje ale Programului:</w:t>
      </w:r>
    </w:p>
    <w:p w:rsidR="006A425D" w:rsidRPr="002C1741" w:rsidRDefault="006A425D" w:rsidP="006A425D">
      <w:pPr>
        <w:suppressAutoHyphens/>
        <w:autoSpaceDE w:val="0"/>
        <w:autoSpaceDN w:val="0"/>
        <w:adjustRightInd w:val="0"/>
        <w:contextualSpacing/>
        <w:jc w:val="both"/>
        <w:rPr>
          <w:rFonts w:ascii="Calibri" w:eastAsia="Calibri" w:hAnsi="Calibri" w:cs="Arial"/>
          <w:b/>
          <w:color w:val="000048"/>
        </w:rPr>
      </w:pPr>
    </w:p>
    <w:p w:rsidR="006A425D" w:rsidRPr="003964D3"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lang w:val="fr-FR"/>
        </w:rPr>
      </w:pPr>
      <w:r w:rsidRPr="003964D3">
        <w:rPr>
          <w:rFonts w:ascii="Calibri" w:eastAsia="Calibri" w:hAnsi="Calibri" w:cs="Arial"/>
          <w:color w:val="000000"/>
          <w:lang w:val="fr-FR"/>
        </w:rPr>
        <w:t>stimularea instituțiilor de credit în crearea de produse de finanțare care să se adreseze unui segment de IMM-uri cu profil de risc ridicat prin oferirea unui produs de garantare în nume și cont stat;</w:t>
      </w:r>
    </w:p>
    <w:p w:rsidR="006A425D" w:rsidRPr="003964D3"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lang w:val="fr-FR"/>
        </w:rPr>
      </w:pPr>
      <w:r w:rsidRPr="003964D3">
        <w:rPr>
          <w:rFonts w:ascii="Calibri" w:eastAsia="Calibri" w:hAnsi="Calibri" w:cs="Arial"/>
          <w:color w:val="000000"/>
          <w:lang w:val="fr-FR"/>
        </w:rPr>
        <w:t>sprijinirea dezvoltării sectorului IMM atât prin consolidarea societăților existente cât și prin stimularea înființării de noi întreprinderi mici sau mijlocii.</w:t>
      </w:r>
    </w:p>
    <w:p w:rsidR="006A425D" w:rsidRPr="002C1741"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rPr>
      </w:pPr>
      <w:r w:rsidRPr="002C1741">
        <w:rPr>
          <w:rFonts w:ascii="Calibri" w:eastAsia="Calibri" w:hAnsi="Calibri" w:cs="Arial"/>
          <w:color w:val="000000"/>
        </w:rPr>
        <w:t>creșterea gradului de accesare a fondurilor europene in actualul exercițiu de programare 2014-2020</w:t>
      </w:r>
    </w:p>
    <w:p w:rsidR="006A425D" w:rsidRDefault="006A425D" w:rsidP="006A425D">
      <w:pPr>
        <w:suppressAutoHyphens/>
        <w:autoSpaceDE w:val="0"/>
        <w:autoSpaceDN w:val="0"/>
        <w:adjustRightInd w:val="0"/>
        <w:spacing w:line="276" w:lineRule="auto"/>
        <w:contextualSpacing/>
        <w:jc w:val="both"/>
        <w:rPr>
          <w:rFonts w:ascii="Calibri" w:eastAsia="Calibri" w:hAnsi="Calibri" w:cs="Arial"/>
          <w:color w:val="000000"/>
        </w:rPr>
      </w:pPr>
    </w:p>
    <w:p w:rsidR="00BF22CD" w:rsidRDefault="00BF22CD" w:rsidP="006A425D">
      <w:pPr>
        <w:suppressAutoHyphens/>
        <w:autoSpaceDE w:val="0"/>
        <w:autoSpaceDN w:val="0"/>
        <w:adjustRightInd w:val="0"/>
        <w:spacing w:line="276" w:lineRule="auto"/>
        <w:contextualSpacing/>
        <w:jc w:val="both"/>
        <w:rPr>
          <w:rFonts w:ascii="Calibri" w:eastAsia="Calibri" w:hAnsi="Calibri" w:cs="Arial"/>
          <w:color w:val="000000"/>
        </w:rPr>
      </w:pPr>
    </w:p>
    <w:p w:rsidR="00BF22CD" w:rsidRPr="002C1741" w:rsidRDefault="00BF22CD" w:rsidP="006A425D">
      <w:pPr>
        <w:suppressAutoHyphens/>
        <w:autoSpaceDE w:val="0"/>
        <w:autoSpaceDN w:val="0"/>
        <w:adjustRightInd w:val="0"/>
        <w:spacing w:line="276" w:lineRule="auto"/>
        <w:contextualSpacing/>
        <w:jc w:val="both"/>
        <w:rPr>
          <w:rFonts w:ascii="Calibri" w:eastAsia="Calibri" w:hAnsi="Calibri" w:cs="Arial"/>
          <w:color w:val="000000"/>
        </w:rPr>
      </w:pPr>
    </w:p>
    <w:p w:rsidR="006A425D" w:rsidRPr="002C1741" w:rsidRDefault="006A425D" w:rsidP="00565476">
      <w:pPr>
        <w:numPr>
          <w:ilvl w:val="0"/>
          <w:numId w:val="175"/>
        </w:numPr>
        <w:spacing w:before="120" w:after="120"/>
        <w:rPr>
          <w:rFonts w:ascii="Calibri" w:hAnsi="Calibri" w:cs="Arial"/>
          <w:b/>
          <w:color w:val="00003E"/>
          <w:lang w:val="ro-RO"/>
        </w:rPr>
      </w:pPr>
      <w:r w:rsidRPr="002C1741">
        <w:rPr>
          <w:rFonts w:ascii="Calibri" w:hAnsi="Calibri" w:cs="Arial"/>
          <w:b/>
          <w:color w:val="00003E"/>
          <w:lang w:val="ro-RO"/>
        </w:rPr>
        <w:t>Programe guvernamentale de sprijin a populaţiei şi mediului de afaceri</w:t>
      </w:r>
    </w:p>
    <w:p w:rsidR="006A425D" w:rsidRPr="003C7CB5" w:rsidRDefault="006A425D" w:rsidP="00565476">
      <w:pPr>
        <w:numPr>
          <w:ilvl w:val="0"/>
          <w:numId w:val="195"/>
        </w:numPr>
        <w:spacing w:before="120" w:after="120"/>
        <w:jc w:val="both"/>
        <w:rPr>
          <w:rFonts w:ascii="Calibri" w:hAnsi="Calibri" w:cs="Arial"/>
          <w:b/>
          <w:color w:val="00003E"/>
          <w:lang w:val="ro-RO"/>
        </w:rPr>
      </w:pPr>
      <w:r w:rsidRPr="003C7CB5">
        <w:rPr>
          <w:rFonts w:ascii="Calibri" w:hAnsi="Calibri" w:cs="Arial"/>
          <w:b/>
          <w:color w:val="00003E"/>
          <w:lang w:val="ro-RO"/>
        </w:rPr>
        <w:t>Schemă de ajutor de stat privind sprijinirea industriei cinematografice</w:t>
      </w:r>
    </w:p>
    <w:p w:rsidR="006A425D" w:rsidRPr="003C7CB5" w:rsidRDefault="006A425D" w:rsidP="00565476">
      <w:pPr>
        <w:numPr>
          <w:ilvl w:val="1"/>
          <w:numId w:val="196"/>
        </w:numPr>
        <w:spacing w:before="120" w:after="120"/>
        <w:jc w:val="both"/>
        <w:rPr>
          <w:rFonts w:ascii="Calibri" w:hAnsi="Calibri" w:cs="Arial"/>
          <w:lang w:val="ro-RO"/>
        </w:rPr>
      </w:pPr>
      <w:r w:rsidRPr="003C7CB5">
        <w:rPr>
          <w:rFonts w:ascii="Calibri" w:hAnsi="Calibri" w:cs="Arial"/>
          <w:lang w:val="ro-RO"/>
        </w:rPr>
        <w:t>Schema de ajutor de stat pentru sprijinirea industriei cinematografice a fost reglementată prin Hotărârea Guvernului nr. 421/2018 având ca obiective dezvoltarea cooperării cinematografice europene şi internaţionale, susţinerea producătorilor de film, în vederea creşterii producţiei autohtone de film, crearea de noi locuri de muncă în industriile creative şi cele conexe, promovarea identităţii culturale naţionale şi a minorităţilor naţionale din România prin realizarea filmelor cinematografice şi promovarea în circuitul mondial de valori şi sprijinirea formării profesionale în domeniul industriei filmului.</w:t>
      </w:r>
    </w:p>
    <w:p w:rsidR="006A425D" w:rsidRPr="003C7CB5" w:rsidRDefault="006A425D" w:rsidP="00565476">
      <w:pPr>
        <w:numPr>
          <w:ilvl w:val="1"/>
          <w:numId w:val="196"/>
        </w:numPr>
        <w:spacing w:before="120" w:after="120"/>
        <w:jc w:val="both"/>
        <w:rPr>
          <w:rFonts w:ascii="Calibri" w:hAnsi="Calibri" w:cs="Arial"/>
          <w:color w:val="000000" w:themeColor="text1"/>
          <w:lang w:val="ro-RO"/>
        </w:rPr>
      </w:pPr>
      <w:r w:rsidRPr="003C7CB5">
        <w:rPr>
          <w:rFonts w:ascii="Calibri" w:hAnsi="Calibri" w:cs="Arial"/>
          <w:color w:val="000000" w:themeColor="text1"/>
          <w:lang w:val="ro-RO"/>
        </w:rPr>
        <w:t xml:space="preserve">De la lansarea sesiunii de deschidere a schemei până la finalul anului  2018 a fost depus un număr de 41 cereri de finanţare în valoare totală de 209,5 </w:t>
      </w:r>
      <w:r w:rsidR="001F3A7D">
        <w:rPr>
          <w:rFonts w:ascii="Calibri" w:hAnsi="Calibri" w:cs="Arial"/>
          <w:color w:val="000000" w:themeColor="text1"/>
          <w:lang w:val="ro-RO"/>
        </w:rPr>
        <w:t>mili</w:t>
      </w:r>
      <w:r>
        <w:rPr>
          <w:rFonts w:ascii="Calibri" w:hAnsi="Calibri" w:cs="Arial"/>
          <w:color w:val="000000" w:themeColor="text1"/>
          <w:lang w:val="ro-RO"/>
        </w:rPr>
        <w:t xml:space="preserve">oane </w:t>
      </w:r>
      <w:r w:rsidRPr="003C7CB5">
        <w:rPr>
          <w:rFonts w:ascii="Calibri" w:hAnsi="Calibri" w:cs="Arial"/>
          <w:color w:val="000000" w:themeColor="text1"/>
          <w:lang w:val="ro-RO"/>
        </w:rPr>
        <w:t xml:space="preserve"> lei, din care 19 au fost aprobate, valoarea ajutorului de stat aprobat ridicându-se la 147,3 </w:t>
      </w:r>
      <w:r>
        <w:rPr>
          <w:rFonts w:ascii="Calibri" w:hAnsi="Calibri" w:cs="Arial"/>
          <w:color w:val="000000" w:themeColor="text1"/>
          <w:lang w:val="ro-RO"/>
        </w:rPr>
        <w:t>milioane</w:t>
      </w:r>
      <w:r w:rsidRPr="003C7CB5">
        <w:rPr>
          <w:rFonts w:ascii="Calibri" w:hAnsi="Calibri" w:cs="Arial"/>
          <w:color w:val="000000" w:themeColor="text1"/>
          <w:lang w:val="ro-RO"/>
        </w:rPr>
        <w:t xml:space="preserve"> lei. Un număr de  16 cereri de finanţare care au solicitat un ajutor de stat în valoare de 53,5 </w:t>
      </w:r>
      <w:r>
        <w:rPr>
          <w:rFonts w:ascii="Calibri" w:hAnsi="Calibri" w:cs="Arial"/>
          <w:color w:val="000000" w:themeColor="text1"/>
          <w:lang w:val="ro-RO"/>
        </w:rPr>
        <w:t>milioane</w:t>
      </w:r>
      <w:r w:rsidRPr="003C7CB5">
        <w:rPr>
          <w:rFonts w:ascii="Calibri" w:hAnsi="Calibri" w:cs="Arial"/>
          <w:color w:val="000000" w:themeColor="text1"/>
          <w:lang w:val="ro-RO"/>
        </w:rPr>
        <w:t xml:space="preserve"> lei se află încă în analiză.</w:t>
      </w:r>
    </w:p>
    <w:p w:rsidR="006A425D" w:rsidRPr="003C7CB5" w:rsidRDefault="006A425D" w:rsidP="00565476">
      <w:pPr>
        <w:numPr>
          <w:ilvl w:val="1"/>
          <w:numId w:val="196"/>
        </w:numPr>
        <w:spacing w:before="120" w:after="120"/>
        <w:jc w:val="both"/>
        <w:rPr>
          <w:rFonts w:ascii="Calibri" w:hAnsi="Calibri" w:cs="Arial"/>
          <w:lang w:val="ro-RO"/>
        </w:rPr>
      </w:pPr>
      <w:r w:rsidRPr="003C7CB5">
        <w:rPr>
          <w:rFonts w:ascii="Calibri" w:hAnsi="Calibri" w:cs="Arial"/>
          <w:lang w:val="ro-RO"/>
        </w:rPr>
        <w:t>Proiectele cinematografice sunt în marea lor majoritate co-producţii în parteneriat cu companii din România ceea ce înseamnă angrenarea capacităţilor autohtone în crearea unor produse culturale care vor intra în circuitul internaţional. Este de subliniat că  toate producţiile vor avea pe genericul filmului şi în toate materialele publicitare, precizarea: "Film realizat cu sprijinul Guvernului României".</w:t>
      </w:r>
    </w:p>
    <w:p w:rsidR="006A425D" w:rsidRPr="003C7CB5" w:rsidRDefault="006A425D" w:rsidP="00565476">
      <w:pPr>
        <w:numPr>
          <w:ilvl w:val="1"/>
          <w:numId w:val="196"/>
        </w:numPr>
        <w:spacing w:before="120" w:after="120"/>
        <w:jc w:val="both"/>
        <w:rPr>
          <w:rFonts w:ascii="Calibri" w:hAnsi="Calibri" w:cs="Arial"/>
          <w:lang w:val="ro-RO"/>
        </w:rPr>
      </w:pPr>
      <w:r w:rsidRPr="003C7CB5">
        <w:rPr>
          <w:rFonts w:ascii="Calibri" w:hAnsi="Calibri" w:cs="Arial"/>
          <w:lang w:val="ro-RO"/>
        </w:rPr>
        <w:t>Obiectivele urmărite, odată cu introducerea acestui nou mecanism de sprijin, au fost atinse de Guvern care a reușit să aducă România în prim-planul lumii artistice promovând atât peisajele, tradițiile și valorile noastre naționale, cât și specialiștii care activează în industriile creative.</w:t>
      </w:r>
    </w:p>
    <w:p w:rsidR="006A425D" w:rsidRPr="005F6299" w:rsidRDefault="006A425D" w:rsidP="00565476">
      <w:pPr>
        <w:numPr>
          <w:ilvl w:val="0"/>
          <w:numId w:val="214"/>
        </w:numPr>
        <w:spacing w:before="120" w:after="120"/>
        <w:jc w:val="both"/>
        <w:rPr>
          <w:rFonts w:ascii="Calibri" w:hAnsi="Calibri" w:cs="Arial"/>
          <w:b/>
          <w:color w:val="00003E"/>
          <w:lang w:val="ro-RO"/>
        </w:rPr>
      </w:pPr>
      <w:r w:rsidRPr="005F6299">
        <w:rPr>
          <w:rFonts w:ascii="Calibri" w:hAnsi="Calibri" w:cs="Arial"/>
          <w:lang w:val="ro-RO"/>
        </w:rPr>
        <w:t xml:space="preserve">Având în vedere şi prevederile HG nr. 421/2018 pentru instituirea unei scheme de ajutor de stat privind sprijinirea industriei cinematografice, se preconizează a se efectua în cursul anului 2019 contracte  în valoare </w:t>
      </w:r>
      <w:r w:rsidRPr="005F6299">
        <w:rPr>
          <w:rFonts w:ascii="Calibri" w:hAnsi="Calibri" w:cs="Arial"/>
          <w:color w:val="000000" w:themeColor="text1"/>
          <w:lang w:val="ro-RO"/>
        </w:rPr>
        <w:t xml:space="preserve">de 233 </w:t>
      </w:r>
      <w:r>
        <w:rPr>
          <w:rFonts w:ascii="Calibri" w:hAnsi="Calibri" w:cs="Arial"/>
          <w:color w:val="000000" w:themeColor="text1"/>
          <w:lang w:val="ro-RO"/>
        </w:rPr>
        <w:t>milioane lei.</w:t>
      </w:r>
    </w:p>
    <w:p w:rsidR="006A425D" w:rsidRPr="005F6299" w:rsidRDefault="006A425D" w:rsidP="006A425D">
      <w:pPr>
        <w:spacing w:before="120" w:after="120"/>
        <w:ind w:left="1440"/>
        <w:jc w:val="both"/>
        <w:rPr>
          <w:rFonts w:ascii="Calibri" w:hAnsi="Calibri" w:cs="Arial"/>
          <w:b/>
          <w:color w:val="00003E"/>
          <w:lang w:val="ro-RO"/>
        </w:rPr>
      </w:pPr>
    </w:p>
    <w:p w:rsidR="006A425D" w:rsidRPr="005F6299" w:rsidRDefault="006A425D" w:rsidP="00565476">
      <w:pPr>
        <w:numPr>
          <w:ilvl w:val="0"/>
          <w:numId w:val="195"/>
        </w:numPr>
        <w:spacing w:before="120" w:after="120"/>
        <w:jc w:val="both"/>
        <w:rPr>
          <w:rFonts w:ascii="Calibri" w:hAnsi="Calibri" w:cs="Arial"/>
          <w:b/>
          <w:color w:val="00003E"/>
          <w:lang w:val="ro-RO"/>
        </w:rPr>
      </w:pPr>
      <w:r w:rsidRPr="005F6299">
        <w:rPr>
          <w:rFonts w:ascii="Calibri" w:hAnsi="Calibri" w:cs="Arial"/>
          <w:b/>
          <w:color w:val="00003E"/>
          <w:lang w:val="ro-RO"/>
        </w:rPr>
        <w:t>Programul guvernamental "gROwth– Contul individual de economii Junior  Centenar"</w:t>
      </w:r>
    </w:p>
    <w:p w:rsidR="006A425D" w:rsidRPr="003C7CB5" w:rsidRDefault="006A425D" w:rsidP="00565476">
      <w:pPr>
        <w:numPr>
          <w:ilvl w:val="1"/>
          <w:numId w:val="197"/>
        </w:numPr>
        <w:spacing w:before="120" w:after="120"/>
        <w:jc w:val="both"/>
        <w:rPr>
          <w:rFonts w:ascii="Calibri" w:eastAsia="Calibri" w:hAnsi="Calibri" w:cs="Arial"/>
          <w:color w:val="000000"/>
          <w:lang w:val="ro-RO"/>
        </w:rPr>
      </w:pPr>
      <w:r w:rsidRPr="003C7CB5">
        <w:rPr>
          <w:rFonts w:ascii="Calibri" w:eastAsia="Calibri" w:hAnsi="Calibri" w:cs="Arial"/>
          <w:color w:val="000000"/>
          <w:lang w:val="ro-RO"/>
        </w:rPr>
        <w:t>Programului guvernamental "gROwth– Contul individual de economii Junior Centenar" care are ca principal obiectiv asigurarea de către stat pentru toţi copiii din România a unui sprijin financiar, astfel încât, atunci când aceştia vor împlini vârsta de 18 ani să aibe într-un cont o sumă de bani suficientă pentru educaţie, pregătire profesională sau pentru orice alte necesităţi vor avea.</w:t>
      </w:r>
    </w:p>
    <w:p w:rsidR="006A425D" w:rsidRPr="003C7CB5" w:rsidRDefault="006A425D" w:rsidP="00565476">
      <w:pPr>
        <w:numPr>
          <w:ilvl w:val="1"/>
          <w:numId w:val="197"/>
        </w:numPr>
        <w:spacing w:before="120" w:after="120"/>
        <w:jc w:val="both"/>
        <w:rPr>
          <w:rFonts w:ascii="Calibri" w:eastAsia="Calibri" w:hAnsi="Calibri" w:cs="Arial"/>
          <w:color w:val="000000"/>
          <w:lang w:val="ro-RO"/>
        </w:rPr>
      </w:pPr>
      <w:r w:rsidRPr="003C7CB5">
        <w:rPr>
          <w:rFonts w:ascii="Calibri" w:eastAsia="Calibri" w:hAnsi="Calibri" w:cs="Arial"/>
          <w:color w:val="000000"/>
          <w:lang w:val="ro-RO"/>
        </w:rPr>
        <w:t>Programul îşi propune să stimuleze pe toţi părinţii, ca împreună cu statul, să contribuie la acest cont de economie al copiilor.</w:t>
      </w:r>
    </w:p>
    <w:p w:rsidR="006A425D" w:rsidRPr="003C7CB5" w:rsidRDefault="006A425D" w:rsidP="00565476">
      <w:pPr>
        <w:numPr>
          <w:ilvl w:val="1"/>
          <w:numId w:val="197"/>
        </w:numPr>
        <w:spacing w:before="120" w:after="120"/>
        <w:jc w:val="both"/>
        <w:rPr>
          <w:rFonts w:ascii="Calibri" w:eastAsia="Calibri" w:hAnsi="Calibri" w:cs="Arial"/>
          <w:color w:val="000000"/>
          <w:lang w:val="ro-RO"/>
        </w:rPr>
      </w:pPr>
      <w:r w:rsidRPr="003C7CB5">
        <w:rPr>
          <w:rFonts w:ascii="Calibri" w:eastAsia="Calibri" w:hAnsi="Calibri" w:cs="Arial"/>
          <w:color w:val="000000"/>
          <w:lang w:val="ro-RO"/>
        </w:rPr>
        <w:t>În acest sens, prin ordonanţă s-a conceput un mecanism extrem de simplu de deschidere a conturilor pentru fiecare copil din România, respectiv deschiderea automată la unităţile Trezoreriei Statului.</w:t>
      </w:r>
    </w:p>
    <w:p w:rsidR="006A425D" w:rsidRPr="003C7CB5" w:rsidRDefault="006A425D" w:rsidP="00565476">
      <w:pPr>
        <w:numPr>
          <w:ilvl w:val="1"/>
          <w:numId w:val="197"/>
        </w:numPr>
        <w:spacing w:before="120" w:after="120"/>
        <w:jc w:val="both"/>
        <w:rPr>
          <w:rFonts w:ascii="Calibri" w:hAnsi="Calibri" w:cs="Arial"/>
          <w:color w:val="000000"/>
          <w:lang w:val="ro-RO" w:eastAsia="en-GB"/>
        </w:rPr>
      </w:pPr>
      <w:r w:rsidRPr="003C7CB5">
        <w:rPr>
          <w:rFonts w:ascii="Calibri" w:hAnsi="Calibri" w:cs="Arial"/>
          <w:color w:val="000000"/>
          <w:lang w:val="ro-RO" w:eastAsia="en-GB"/>
        </w:rPr>
        <w:t>Programul guvernamental "</w:t>
      </w:r>
      <w:r w:rsidRPr="003C7CB5">
        <w:rPr>
          <w:rFonts w:ascii="Calibri" w:hAnsi="Calibri" w:cs="Arial"/>
          <w:b/>
          <w:color w:val="000000"/>
          <w:lang w:val="ro-RO"/>
        </w:rPr>
        <w:t>gROwth - Contul individual de economii Junior Centenar</w:t>
      </w:r>
      <w:r w:rsidRPr="003C7CB5">
        <w:rPr>
          <w:rFonts w:ascii="Calibri" w:hAnsi="Calibri" w:cs="Arial"/>
          <w:color w:val="000000"/>
          <w:lang w:val="ro-RO" w:eastAsia="en-GB"/>
        </w:rPr>
        <w:t>" are ca obiect înfiinţarea unui cont special de economisire sub forma de depozit şi se adresează oricărui copil care   este cetăţean român şi nu a împlinit vârsta de 18 ani.</w:t>
      </w:r>
    </w:p>
    <w:p w:rsidR="006A425D" w:rsidRPr="003C7CB5" w:rsidRDefault="006A425D" w:rsidP="00565476">
      <w:pPr>
        <w:numPr>
          <w:ilvl w:val="1"/>
          <w:numId w:val="197"/>
        </w:numPr>
        <w:spacing w:before="120" w:after="120"/>
        <w:jc w:val="both"/>
        <w:rPr>
          <w:rFonts w:ascii="Calibri" w:hAnsi="Calibri" w:cs="Arial"/>
          <w:color w:val="000000"/>
          <w:lang w:val="ro-RO" w:eastAsia="en-GB"/>
        </w:rPr>
      </w:pPr>
      <w:r w:rsidRPr="003C7CB5">
        <w:rPr>
          <w:rFonts w:ascii="Calibri" w:hAnsi="Calibri" w:cs="Arial"/>
          <w:color w:val="000000"/>
          <w:lang w:val="ro-RO" w:eastAsia="en-GB"/>
        </w:rPr>
        <w:t xml:space="preserve">Începând cu anul 2019, titularii de cont beneficiază de o primă de stat în valoare de 600 lei anual până la vârsta de 18 ani, cu condiţia ca suma depusă în anul respectiv în cont să fie de minim 1.200 lei. </w:t>
      </w:r>
    </w:p>
    <w:p w:rsidR="006A425D" w:rsidRPr="003C7CB5" w:rsidRDefault="006A425D" w:rsidP="00565476">
      <w:pPr>
        <w:numPr>
          <w:ilvl w:val="1"/>
          <w:numId w:val="197"/>
        </w:numPr>
        <w:spacing w:before="120" w:after="120"/>
        <w:jc w:val="both"/>
        <w:rPr>
          <w:rFonts w:ascii="Calibri" w:hAnsi="Calibri" w:cs="Arial"/>
          <w:color w:val="000000"/>
          <w:lang w:val="ro-RO" w:eastAsia="en-GB"/>
        </w:rPr>
      </w:pPr>
      <w:r w:rsidRPr="003C7CB5">
        <w:rPr>
          <w:rFonts w:ascii="Calibri" w:hAnsi="Calibri" w:cs="Arial"/>
          <w:color w:val="000000"/>
          <w:lang w:val="ro-RO" w:eastAsia="en-GB"/>
        </w:rPr>
        <w:t>Sumele depuse în contul individual de economii Junior Centenar, cu excepţia sumelor reprezentând prima de stat, sunt purtătoare de dobândă.</w:t>
      </w:r>
    </w:p>
    <w:p w:rsidR="006A425D" w:rsidRPr="003C7CB5" w:rsidRDefault="006A425D" w:rsidP="00565476">
      <w:pPr>
        <w:numPr>
          <w:ilvl w:val="1"/>
          <w:numId w:val="197"/>
        </w:numPr>
        <w:spacing w:before="120" w:after="120"/>
        <w:jc w:val="both"/>
        <w:rPr>
          <w:rFonts w:ascii="Calibri" w:hAnsi="Calibri" w:cs="Arial"/>
          <w:color w:val="000000"/>
          <w:lang w:val="ro-RO" w:eastAsia="en-GB"/>
        </w:rPr>
      </w:pPr>
      <w:r w:rsidRPr="003C7CB5">
        <w:rPr>
          <w:rFonts w:ascii="Calibri" w:hAnsi="Calibri" w:cs="Arial"/>
          <w:color w:val="000000"/>
          <w:lang w:val="ro-RO" w:eastAsia="en-GB"/>
        </w:rPr>
        <w:t>Prin ordonanţă se prevede că  statul va depune în contul fiecărui copil o primă de stat de 600 lei, dacă părinţii sau reprezentanţii legali ai acestora depun o sumă minimă de 1200 lei.</w:t>
      </w:r>
    </w:p>
    <w:p w:rsidR="006A425D" w:rsidRPr="003C7CB5" w:rsidRDefault="006A425D" w:rsidP="00565476">
      <w:pPr>
        <w:numPr>
          <w:ilvl w:val="0"/>
          <w:numId w:val="198"/>
        </w:numPr>
        <w:spacing w:before="120" w:after="120"/>
        <w:jc w:val="both"/>
        <w:rPr>
          <w:rFonts w:ascii="Calibri" w:hAnsi="Calibri" w:cs="Arial"/>
          <w:lang w:val="ro-RO" w:eastAsia="en-GB"/>
        </w:rPr>
      </w:pPr>
      <w:r w:rsidRPr="003C7CB5">
        <w:rPr>
          <w:rFonts w:ascii="Calibri" w:hAnsi="Calibri" w:cs="Arial"/>
          <w:lang w:val="ro-RO" w:eastAsia="en-GB"/>
        </w:rPr>
        <w:t>a doua modalitate de sprijin constă în acordarea de la buget a unei dobânzi de 3% pe an, dobândă stimulativă şi constantă până la vârsta de 18 ani.</w:t>
      </w:r>
    </w:p>
    <w:p w:rsidR="006A425D" w:rsidRPr="003C7CB5" w:rsidRDefault="006A425D" w:rsidP="006A425D">
      <w:pPr>
        <w:spacing w:before="120" w:after="120"/>
        <w:jc w:val="both"/>
        <w:rPr>
          <w:rFonts w:ascii="Calibri" w:hAnsi="Calibri" w:cs="Arial"/>
          <w:color w:val="000000" w:themeColor="text1"/>
          <w:lang w:val="ro-RO" w:eastAsia="en-GB"/>
        </w:rPr>
      </w:pPr>
      <w:r w:rsidRPr="003C7CB5">
        <w:rPr>
          <w:rFonts w:ascii="Calibri" w:hAnsi="Calibri" w:cs="Arial"/>
          <w:lang w:val="ro-RO" w:eastAsia="en-GB"/>
        </w:rPr>
        <w:t xml:space="preserve">Este de subliniat că s-a prevăzut ca de acest program să beneficieze şi copii ocrotiţi prin serviciile publice specializate, caz în care şi depunerea minimă de 1200 lei va fi de la buget. </w:t>
      </w:r>
      <w:r w:rsidRPr="003C7CB5">
        <w:rPr>
          <w:rFonts w:ascii="Calibri" w:hAnsi="Calibri" w:cs="Arial"/>
          <w:color w:val="000000" w:themeColor="text1"/>
          <w:lang w:val="ro-RO" w:eastAsia="en-GB"/>
        </w:rPr>
        <w:t>Practic aceşti copii vor primi în contul deschis pe numele lor 1800 lei anual, până la împlinirea vârstei de 18 ani.</w:t>
      </w:r>
    </w:p>
    <w:p w:rsidR="006A425D" w:rsidRDefault="006A425D" w:rsidP="006A425D">
      <w:pPr>
        <w:spacing w:before="120" w:after="120"/>
        <w:jc w:val="both"/>
        <w:rPr>
          <w:rFonts w:ascii="Calibri" w:hAnsi="Calibri" w:cs="Arial"/>
          <w:color w:val="000000" w:themeColor="text1"/>
          <w:lang w:val="ro-RO"/>
        </w:rPr>
      </w:pPr>
      <w:r w:rsidRPr="003C7CB5">
        <w:rPr>
          <w:rFonts w:ascii="Calibri" w:hAnsi="Calibri" w:cs="Arial"/>
          <w:color w:val="000000" w:themeColor="text1"/>
          <w:lang w:val="ro-RO"/>
        </w:rPr>
        <w:t xml:space="preserve">Pentru acest program se preconizează a se efectua în cursul anului 2019 angajamente în valoare de 2 </w:t>
      </w:r>
      <w:r>
        <w:rPr>
          <w:rFonts w:ascii="Calibri" w:hAnsi="Calibri" w:cs="Arial"/>
          <w:color w:val="000000" w:themeColor="text1"/>
          <w:lang w:val="ro-RO"/>
        </w:rPr>
        <w:t>milioane</w:t>
      </w:r>
      <w:r w:rsidRPr="003C7CB5">
        <w:rPr>
          <w:rFonts w:ascii="Calibri" w:hAnsi="Calibri" w:cs="Arial"/>
          <w:color w:val="000000" w:themeColor="text1"/>
          <w:lang w:val="ro-RO"/>
        </w:rPr>
        <w:t xml:space="preserve"> lei şi plăţi în valoare de </w:t>
      </w:r>
      <w:r>
        <w:rPr>
          <w:rFonts w:ascii="Calibri" w:hAnsi="Calibri" w:cs="Arial"/>
          <w:color w:val="000000" w:themeColor="text1"/>
          <w:lang w:val="ro-RO"/>
        </w:rPr>
        <w:t>milioane</w:t>
      </w:r>
      <w:r w:rsidRPr="003C7CB5">
        <w:rPr>
          <w:rFonts w:ascii="Calibri" w:hAnsi="Calibri" w:cs="Arial"/>
          <w:color w:val="000000" w:themeColor="text1"/>
          <w:lang w:val="ro-RO"/>
        </w:rPr>
        <w:t xml:space="preserve"> lei.</w:t>
      </w:r>
    </w:p>
    <w:p w:rsidR="006A425D" w:rsidRPr="003C7CB5" w:rsidRDefault="006A425D" w:rsidP="00565476">
      <w:pPr>
        <w:numPr>
          <w:ilvl w:val="0"/>
          <w:numId w:val="195"/>
        </w:numPr>
        <w:spacing w:before="120" w:after="120"/>
        <w:ind w:left="1134" w:hanging="425"/>
        <w:jc w:val="both"/>
        <w:rPr>
          <w:rFonts w:ascii="Calibri" w:hAnsi="Calibri"/>
          <w:color w:val="000000" w:themeColor="text1"/>
          <w:lang w:val="ro-RO" w:eastAsia="ro-RO"/>
        </w:rPr>
      </w:pPr>
      <w:r w:rsidRPr="003C7CB5">
        <w:rPr>
          <w:rFonts w:ascii="Calibri" w:hAnsi="Calibri"/>
          <w:b/>
          <w:color w:val="000000" w:themeColor="text1"/>
          <w:lang w:val="ro-RO" w:eastAsia="ro-RO"/>
        </w:rPr>
        <w:t>Infiintarea programului  "gROwth - investim în copii, investim în viitor”</w:t>
      </w:r>
      <w:r w:rsidRPr="003C7CB5">
        <w:rPr>
          <w:rFonts w:ascii="Calibri" w:hAnsi="Calibri"/>
          <w:color w:val="000000" w:themeColor="text1"/>
          <w:lang w:val="ro-RO" w:eastAsia="ro-RO"/>
        </w:rPr>
        <w:t xml:space="preserve"> ca program guvernamental având ca obiect susţinerea financiară a investiţiilor private în construcţia şi/sau înfiinţarea, amenajarea şi dotarea de grădiniţe cu profil sportiv.</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lang w:val="ro-RO" w:eastAsia="ro-RO"/>
        </w:rPr>
      </w:pPr>
      <w:r w:rsidRPr="003C7CB5">
        <w:rPr>
          <w:rFonts w:ascii="Calibri" w:hAnsi="Calibri"/>
          <w:color w:val="000000" w:themeColor="text1"/>
          <w:lang w:val="ro-RO" w:eastAsia="ro-RO"/>
        </w:rPr>
        <w:t>Susţinerea financiară constă atât într-un ajutor nerambursabil privind o parte din cheltuielile eligibile, cât şi în garantarea de către stat a unei părţi din creditul utilizat de către investitor pentru construcţia şi/sau înfiinţarea, amenajarea şi dotarea grădiniţelor cu profil sportiv.</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lang w:val="ro-RO" w:eastAsia="ro-RO"/>
        </w:rPr>
      </w:pPr>
      <w:r w:rsidRPr="003C7CB5">
        <w:rPr>
          <w:rFonts w:ascii="Calibri" w:hAnsi="Calibri"/>
          <w:color w:val="000000" w:themeColor="text1"/>
          <w:lang w:val="ro-RO" w:eastAsia="ro-RO"/>
        </w:rPr>
        <w:t>Beneficiarii Programului sunt persoane juridice de drept privat, inclusiv organizaţii neguvernamentale, asociaţii, fundaţii şi/sau grupuri fiscale,  precum și Comitetul Olimpic şi Sportiv Român, asociaţiile şi fundaţiile, federaţiile sau cluburile sportive care iau iniţiativa construirii de grădiniţe cu profil sportiv.</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lang w:val="ro-RO" w:eastAsia="ro-RO"/>
        </w:rPr>
      </w:pPr>
      <w:r w:rsidRPr="003C7CB5">
        <w:rPr>
          <w:rFonts w:ascii="Calibri" w:hAnsi="Calibri"/>
          <w:color w:val="000000" w:themeColor="text1"/>
          <w:lang w:val="ro-RO" w:eastAsia="ro-RO"/>
        </w:rPr>
        <w:t>Pentru construcţia clădirii, înfiinţarea, amenajarea şi dotarea grădiniţelor cu profil sportiv, plafonul maxim al sprijinului din surse publice ce poate fi acordat unui beneficiar este de maximum 500.000 euro.</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lang w:val="ro-RO" w:eastAsia="ro-RO"/>
        </w:rPr>
      </w:pPr>
      <w:r w:rsidRPr="003C7CB5">
        <w:rPr>
          <w:rFonts w:ascii="Calibri" w:hAnsi="Calibri"/>
          <w:color w:val="000000" w:themeColor="text1"/>
          <w:lang w:val="ro-RO" w:eastAsia="ro-RO"/>
        </w:rPr>
        <w:t>Ajutorul nerambursabil, plătit în conformitate cu schema de ajutor de stat constituită în baza prezentei ordonanţe de urgenţă, va fi suportat din bugetul de stat, respectiv din bugetul Secretariatului General al Guvernului prin bugetul Comisiei Naţionale de Strategie şi Prognoză.</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lang w:val="ro-RO" w:eastAsia="ro-RO"/>
        </w:rPr>
      </w:pPr>
      <w:r w:rsidRPr="003C7CB5">
        <w:rPr>
          <w:rFonts w:ascii="Calibri" w:hAnsi="Calibri"/>
          <w:color w:val="000000" w:themeColor="text1"/>
          <w:lang w:val="ro-RO" w:eastAsia="ro-RO"/>
        </w:rPr>
        <w:t>Ministerul Finanţelor Publice este autorizat să mandateze Fondul Naţional de Garantare a Creditelor pentru Întreprinderi Mici şi Mijlocii şi Fondul Român de Contragarantare în vederea emiterii de garanţii în numele şi în contul statului, în favoarea băncilor care acordă credite în cadrul Programului.</w:t>
      </w:r>
    </w:p>
    <w:p w:rsidR="006A425D" w:rsidRPr="003C7CB5" w:rsidRDefault="006A425D" w:rsidP="006A425D">
      <w:pPr>
        <w:spacing w:before="120" w:after="120"/>
        <w:jc w:val="both"/>
        <w:rPr>
          <w:rFonts w:ascii="Calibri" w:hAnsi="Calibri" w:cs="Arial"/>
          <w:color w:val="000000" w:themeColor="text1"/>
          <w:lang w:val="ro-RO" w:eastAsia="en-GB"/>
        </w:rPr>
      </w:pPr>
      <w:r w:rsidRPr="003C7CB5">
        <w:rPr>
          <w:rFonts w:ascii="Calibri" w:hAnsi="Calibri" w:cs="Arial"/>
          <w:color w:val="000000" w:themeColor="text1"/>
          <w:lang w:val="ro-RO"/>
        </w:rPr>
        <w:t>Pentru Programul "</w:t>
      </w:r>
      <w:r w:rsidRPr="003C7CB5">
        <w:rPr>
          <w:rFonts w:ascii="Calibri" w:hAnsi="Calibri"/>
          <w:color w:val="000000" w:themeColor="text1"/>
          <w:lang w:val="ro-RO" w:eastAsia="ro-RO"/>
        </w:rPr>
        <w:t>gROwth - investim în copii, investim în viitor"</w:t>
      </w:r>
      <w:r w:rsidRPr="003C7CB5">
        <w:rPr>
          <w:rFonts w:ascii="Calibri" w:hAnsi="Calibri" w:cs="Arial"/>
          <w:color w:val="000000" w:themeColor="text1"/>
          <w:lang w:val="ro-RO"/>
        </w:rPr>
        <w:t xml:space="preserve"> se preconizează a se efectua în cursul anului </w:t>
      </w:r>
      <w:r>
        <w:rPr>
          <w:rFonts w:ascii="Calibri" w:hAnsi="Calibri" w:cs="Arial"/>
          <w:color w:val="000000" w:themeColor="text1"/>
          <w:lang w:val="ro-RO"/>
        </w:rPr>
        <w:t xml:space="preserve">2019 angajamente în valoare </w:t>
      </w:r>
      <w:r w:rsidRPr="005E0909">
        <w:rPr>
          <w:rFonts w:ascii="Calibri" w:hAnsi="Calibri" w:cs="Arial"/>
          <w:color w:val="000000" w:themeColor="text1"/>
          <w:lang w:val="ro-RO"/>
        </w:rPr>
        <w:t>de 300 miioane</w:t>
      </w:r>
      <w:r w:rsidRPr="003C7CB5">
        <w:rPr>
          <w:rFonts w:ascii="Calibri" w:hAnsi="Calibri" w:cs="Arial"/>
          <w:color w:val="000000" w:themeColor="text1"/>
          <w:lang w:val="ro-RO"/>
        </w:rPr>
        <w:t xml:space="preserve"> lei.</w:t>
      </w:r>
    </w:p>
    <w:p w:rsidR="006A425D" w:rsidRPr="002C1741" w:rsidRDefault="006A425D" w:rsidP="00565476">
      <w:pPr>
        <w:numPr>
          <w:ilvl w:val="0"/>
          <w:numId w:val="175"/>
        </w:numPr>
        <w:tabs>
          <w:tab w:val="left" w:pos="0"/>
          <w:tab w:val="left" w:pos="993"/>
        </w:tabs>
        <w:autoSpaceDE w:val="0"/>
        <w:spacing w:before="120" w:line="276" w:lineRule="auto"/>
        <w:contextualSpacing/>
        <w:jc w:val="both"/>
        <w:rPr>
          <w:rFonts w:asciiTheme="minorHAnsi" w:eastAsia="Calibri" w:hAnsiTheme="minorHAnsi"/>
          <w:szCs w:val="22"/>
          <w:lang w:val="ro-RO"/>
        </w:rPr>
      </w:pPr>
      <w:r w:rsidRPr="002C1741">
        <w:rPr>
          <w:rFonts w:asciiTheme="minorHAnsi" w:eastAsia="Calibri" w:hAnsiTheme="minorHAnsi"/>
          <w:b/>
          <w:color w:val="000048"/>
          <w:szCs w:val="22"/>
          <w:lang w:val="ro-RO"/>
        </w:rPr>
        <w:t xml:space="preserve">Adoptarea Legii prevenirii  nr. 270/2017, </w:t>
      </w:r>
      <w:r w:rsidRPr="002C1741">
        <w:rPr>
          <w:rFonts w:asciiTheme="minorHAnsi" w:eastAsia="Calibri" w:hAnsiTheme="minorHAnsi"/>
          <w:szCs w:val="22"/>
          <w:lang w:val="ro-RO"/>
        </w:rPr>
        <w:t>pentru  eliminarea  cauzelor care frânează mediul de afaceri în România, în special legislaţia stufoasă şi modificările frecvente,  și care creează premisele pentru prevenirea săvârşirii de contravenţii, fapt ce are un impact macroeconomic semnificativ pe termen mediu şi lung, mai ales asupra IMM-urilor, categorie ce reprezintă motorul oricărei economii moderne, datorită faptului că sunt mai dinamice şi mai flexibile decât întreprinderile mari. Prin această lege s-au instituit instrumente care asigură prevenirea săvârşirii unor contravenţii.</w:t>
      </w:r>
    </w:p>
    <w:p w:rsidR="006A425D" w:rsidRPr="002C1741" w:rsidRDefault="006A425D" w:rsidP="006A425D">
      <w:pPr>
        <w:tabs>
          <w:tab w:val="left" w:pos="0"/>
          <w:tab w:val="left" w:pos="993"/>
        </w:tabs>
        <w:autoSpaceDE w:val="0"/>
        <w:spacing w:before="120" w:line="276" w:lineRule="auto"/>
        <w:contextualSpacing/>
        <w:jc w:val="both"/>
        <w:rPr>
          <w:rFonts w:asciiTheme="minorHAnsi" w:hAnsiTheme="minorHAnsi"/>
        </w:rPr>
      </w:pPr>
    </w:p>
    <w:p w:rsidR="006A425D" w:rsidRPr="00715536" w:rsidRDefault="006A425D" w:rsidP="006A425D">
      <w:pPr>
        <w:widowControl w:val="0"/>
        <w:tabs>
          <w:tab w:val="left" w:pos="821"/>
        </w:tabs>
        <w:spacing w:line="276" w:lineRule="auto"/>
        <w:ind w:firstLine="567"/>
        <w:jc w:val="both"/>
        <w:rPr>
          <w:rFonts w:asciiTheme="minorHAnsi" w:eastAsia="Calibri" w:hAnsiTheme="minorHAnsi" w:cs="Arial"/>
          <w:color w:val="000000"/>
        </w:rPr>
      </w:pPr>
      <w:r w:rsidRPr="00715536">
        <w:rPr>
          <w:rFonts w:asciiTheme="minorHAnsi" w:eastAsia="Calibri" w:hAnsiTheme="minorHAnsi" w:cs="Arial"/>
          <w:color w:val="000000"/>
        </w:rPr>
        <w:t xml:space="preserve">Ministerul Finanţelor Publice </w:t>
      </w:r>
      <w:r w:rsidRPr="00715536">
        <w:rPr>
          <w:rFonts w:asciiTheme="minorHAnsi" w:eastAsia="Calibri" w:hAnsiTheme="minorHAnsi" w:cs="Arial"/>
          <w:b/>
          <w:color w:val="000048"/>
        </w:rPr>
        <w:t>va continua susţinerea mediului de afaceri</w:t>
      </w:r>
      <w:r w:rsidRPr="00715536">
        <w:rPr>
          <w:rFonts w:asciiTheme="minorHAnsi" w:eastAsia="Calibri" w:hAnsiTheme="minorHAnsi" w:cs="Arial"/>
          <w:color w:val="000000"/>
        </w:rPr>
        <w:t>prin intermediul măsurilor de sprijin de natura ajutorului de stat, cu respectarea reglementărilor comunitare în domeniu, urmărind cu predilecţie:</w:t>
      </w:r>
    </w:p>
    <w:p w:rsidR="006A425D" w:rsidRPr="002C1741" w:rsidRDefault="006A425D" w:rsidP="00565476">
      <w:pPr>
        <w:numPr>
          <w:ilvl w:val="0"/>
          <w:numId w:val="181"/>
        </w:numPr>
        <w:tabs>
          <w:tab w:val="left" w:pos="737"/>
          <w:tab w:val="left" w:pos="1122"/>
        </w:tabs>
        <w:suppressAutoHyphens/>
        <w:spacing w:before="60" w:line="276" w:lineRule="auto"/>
        <w:contextualSpacing/>
        <w:jc w:val="both"/>
        <w:rPr>
          <w:rFonts w:asciiTheme="minorHAnsi" w:eastAsia="Calibri" w:hAnsiTheme="minorHAnsi" w:cs="Arial"/>
          <w:bCs/>
          <w:color w:val="000000"/>
          <w:szCs w:val="22"/>
          <w:lang w:val="ro-RO" w:eastAsia="zh-CN"/>
        </w:rPr>
      </w:pPr>
      <w:r w:rsidRPr="002C1741">
        <w:rPr>
          <w:rFonts w:asciiTheme="minorHAnsi" w:eastAsia="Calibri" w:hAnsiTheme="minorHAnsi" w:cs="Arial"/>
          <w:color w:val="000000"/>
          <w:szCs w:val="22"/>
          <w:lang w:val="ro-RO" w:eastAsia="zh-CN"/>
        </w:rPr>
        <w:t>selectarea investiţiilor cu real impact asupra dezvoltării regionale prin crearea de noi locuri de muncă şi, implicit, creşterea contribuţiilor întreprinderilor finanţate prin plata de taxe şi impozite la bugetul general consolidat al statului, precum şi la bugetele locale;</w:t>
      </w:r>
    </w:p>
    <w:p w:rsidR="006A425D" w:rsidRPr="002C1741" w:rsidRDefault="006A425D" w:rsidP="00565476">
      <w:pPr>
        <w:numPr>
          <w:ilvl w:val="4"/>
          <w:numId w:val="181"/>
        </w:numPr>
        <w:tabs>
          <w:tab w:val="left" w:pos="737"/>
          <w:tab w:val="left" w:pos="1122"/>
        </w:tabs>
        <w:suppressAutoHyphens/>
        <w:spacing w:before="60" w:line="276" w:lineRule="auto"/>
        <w:ind w:left="709" w:hanging="425"/>
        <w:contextualSpacing/>
        <w:jc w:val="both"/>
        <w:rPr>
          <w:rFonts w:asciiTheme="minorHAnsi" w:eastAsia="Calibri" w:hAnsiTheme="minorHAnsi" w:cs="Arial"/>
          <w:bCs/>
          <w:color w:val="000000"/>
          <w:szCs w:val="22"/>
          <w:lang w:val="ro-RO" w:eastAsia="zh-CN"/>
        </w:rPr>
      </w:pPr>
      <w:r w:rsidRPr="002C1741">
        <w:rPr>
          <w:rFonts w:asciiTheme="minorHAnsi" w:eastAsia="Calibri" w:hAnsiTheme="minorHAnsi" w:cs="Arial"/>
          <w:bCs/>
          <w:color w:val="000000"/>
          <w:szCs w:val="22"/>
          <w:lang w:val="ro-RO" w:eastAsia="zh-CN"/>
        </w:rPr>
        <w:t>alocarea eficientă şi transparentă a resurselor bugetare prin politica ajutorului de stat, conform prevederilor comunitare şi naţionale în domeniu;</w:t>
      </w:r>
    </w:p>
    <w:p w:rsidR="006A425D" w:rsidRPr="002C1741" w:rsidRDefault="006A425D" w:rsidP="00565476">
      <w:pPr>
        <w:numPr>
          <w:ilvl w:val="4"/>
          <w:numId w:val="181"/>
        </w:numPr>
        <w:tabs>
          <w:tab w:val="left" w:pos="0"/>
          <w:tab w:val="left" w:pos="709"/>
          <w:tab w:val="left" w:pos="1122"/>
          <w:tab w:val="left" w:pos="1309"/>
        </w:tabs>
        <w:suppressAutoHyphens/>
        <w:spacing w:before="60" w:line="276" w:lineRule="auto"/>
        <w:ind w:left="709" w:hanging="425"/>
        <w:contextualSpacing/>
        <w:jc w:val="both"/>
        <w:rPr>
          <w:rFonts w:asciiTheme="minorHAnsi" w:eastAsia="Calibri" w:hAnsiTheme="minorHAnsi" w:cs="Arial"/>
          <w:color w:val="000000"/>
          <w:szCs w:val="22"/>
          <w:lang w:val="ro-RO" w:eastAsia="zh-CN"/>
        </w:rPr>
      </w:pPr>
      <w:r w:rsidRPr="002C1741">
        <w:rPr>
          <w:rFonts w:asciiTheme="minorHAnsi" w:eastAsia="Calibri" w:hAnsiTheme="minorHAnsi" w:cs="Arial"/>
          <w:color w:val="000000"/>
          <w:szCs w:val="22"/>
          <w:lang w:val="ro-RO" w:eastAsia="zh-CN"/>
        </w:rPr>
        <w:t>îmbunătăţirea planificării activităţii de analiză şi control în vederea eficientizării emiterii  acordurilor de finanţare şi efectuării plăţilor,îmbunătăţirea comunicării cu mediul de afaceri;</w:t>
      </w:r>
    </w:p>
    <w:p w:rsidR="006A425D" w:rsidRPr="002C1741" w:rsidRDefault="006A425D" w:rsidP="00565476">
      <w:pPr>
        <w:numPr>
          <w:ilvl w:val="1"/>
          <w:numId w:val="181"/>
        </w:numPr>
        <w:tabs>
          <w:tab w:val="left" w:pos="709"/>
          <w:tab w:val="left" w:pos="1122"/>
        </w:tabs>
        <w:suppressAutoHyphens/>
        <w:spacing w:before="60" w:line="276" w:lineRule="auto"/>
        <w:ind w:left="709" w:hanging="425"/>
        <w:contextualSpacing/>
        <w:jc w:val="both"/>
        <w:rPr>
          <w:rFonts w:asciiTheme="minorHAnsi" w:eastAsia="Calibri" w:hAnsiTheme="minorHAnsi" w:cs="Arial"/>
          <w:color w:val="000000"/>
          <w:szCs w:val="22"/>
          <w:lang w:val="ro-RO" w:eastAsia="zh-CN"/>
        </w:rPr>
      </w:pPr>
      <w:r w:rsidRPr="002C1741">
        <w:rPr>
          <w:rFonts w:asciiTheme="minorHAnsi" w:eastAsia="Calibri" w:hAnsiTheme="minorHAnsi" w:cs="Arial"/>
          <w:color w:val="000000"/>
          <w:szCs w:val="22"/>
          <w:lang w:val="ro-RO" w:eastAsia="zh-CN"/>
        </w:rPr>
        <w:t xml:space="preserve"> sprijinirea tuturor întreprinderilor care realizează investiţii şi creează noi locuri de   muncă, participând astfel activ la reducerea decalajelor economice dintre regiuni şi la scăderea şomajului;</w:t>
      </w:r>
    </w:p>
    <w:p w:rsidR="006A425D" w:rsidRPr="002C1741" w:rsidRDefault="006A425D" w:rsidP="00565476">
      <w:pPr>
        <w:numPr>
          <w:ilvl w:val="0"/>
          <w:numId w:val="181"/>
        </w:numPr>
        <w:tabs>
          <w:tab w:val="left" w:pos="0"/>
          <w:tab w:val="left" w:pos="709"/>
          <w:tab w:val="left" w:pos="1122"/>
          <w:tab w:val="left" w:pos="1309"/>
        </w:tabs>
        <w:suppressAutoHyphens/>
        <w:spacing w:before="60" w:line="276" w:lineRule="auto"/>
        <w:contextualSpacing/>
        <w:jc w:val="both"/>
        <w:rPr>
          <w:rFonts w:asciiTheme="minorHAnsi" w:eastAsia="Calibri" w:hAnsiTheme="minorHAnsi" w:cs="Arial"/>
          <w:color w:val="000000"/>
          <w:szCs w:val="22"/>
          <w:lang w:val="ro-RO" w:eastAsia="zh-CN"/>
        </w:rPr>
      </w:pPr>
      <w:r w:rsidRPr="002C1741">
        <w:rPr>
          <w:rFonts w:asciiTheme="minorHAnsi" w:eastAsia="Calibri" w:hAnsiTheme="minorHAnsi" w:cs="Arial"/>
          <w:color w:val="000000"/>
          <w:szCs w:val="22"/>
          <w:lang w:val="ro-RO" w:eastAsia="zh-CN"/>
        </w:rPr>
        <w:t>creşterea cifrei de afaceri, datorită dezvoltării şi modernizării  întreprinderilor mari şi a IMM-urilor, respectiv dezvoltarea furnizorilor de active, materii prime, materiale;</w:t>
      </w:r>
    </w:p>
    <w:p w:rsidR="006A425D" w:rsidRPr="002C1741" w:rsidRDefault="006A425D" w:rsidP="006A425D">
      <w:pPr>
        <w:keepNext/>
        <w:widowControl w:val="0"/>
        <w:numPr>
          <w:ilvl w:val="0"/>
          <w:numId w:val="168"/>
        </w:numPr>
        <w:shd w:val="clear" w:color="auto" w:fill="FFFFFF" w:themeFill="background1"/>
        <w:tabs>
          <w:tab w:val="left" w:pos="180"/>
        </w:tabs>
        <w:autoSpaceDE w:val="0"/>
        <w:autoSpaceDN w:val="0"/>
        <w:adjustRightInd w:val="0"/>
        <w:spacing w:after="150" w:line="240" w:lineRule="atLeast"/>
        <w:ind w:left="567" w:hanging="709"/>
        <w:jc w:val="both"/>
        <w:textAlignment w:val="baseline"/>
        <w:rPr>
          <w:rFonts w:asciiTheme="minorHAnsi" w:eastAsiaTheme="minorHAnsi" w:hAnsiTheme="minorHAnsi" w:cstheme="minorHAnsi"/>
          <w:color w:val="000048"/>
          <w:lang w:val="ro-RO"/>
        </w:rPr>
      </w:pPr>
      <w:r w:rsidRPr="002C1741">
        <w:rPr>
          <w:rFonts w:asciiTheme="minorHAnsi" w:hAnsiTheme="minorHAnsi"/>
          <w:b/>
          <w:color w:val="000048"/>
          <w:shd w:val="clear" w:color="auto" w:fill="DEEAF6" w:themeFill="accent1" w:themeFillTint="33"/>
          <w:lang w:val="ro-RO"/>
        </w:rPr>
        <w:t>alte măsuri pentru stimularea creșterii  economice</w:t>
      </w:r>
    </w:p>
    <w:p w:rsidR="006A425D" w:rsidRPr="002C1741" w:rsidRDefault="006A425D" w:rsidP="00565476">
      <w:pPr>
        <w:keepNext/>
        <w:widowControl w:val="0"/>
        <w:numPr>
          <w:ilvl w:val="0"/>
          <w:numId w:val="173"/>
        </w:numPr>
        <w:shd w:val="clear" w:color="auto" w:fill="FFFFFF" w:themeFill="background1"/>
        <w:tabs>
          <w:tab w:val="left" w:pos="180"/>
        </w:tabs>
        <w:autoSpaceDE w:val="0"/>
        <w:autoSpaceDN w:val="0"/>
        <w:adjustRightInd w:val="0"/>
        <w:spacing w:after="150" w:line="240" w:lineRule="atLeast"/>
        <w:contextualSpacing/>
        <w:jc w:val="both"/>
        <w:textAlignment w:val="baseline"/>
        <w:rPr>
          <w:rFonts w:asciiTheme="minorHAnsi" w:eastAsiaTheme="minorHAnsi" w:hAnsiTheme="minorHAnsi" w:cstheme="minorHAnsi"/>
          <w:color w:val="000000" w:themeColor="text1"/>
          <w:szCs w:val="22"/>
          <w:lang w:val="ro-RO"/>
        </w:rPr>
      </w:pPr>
      <w:r w:rsidRPr="002C1741">
        <w:rPr>
          <w:rFonts w:asciiTheme="minorHAnsi" w:eastAsia="Calibri" w:hAnsiTheme="minorHAnsi"/>
          <w:b/>
          <w:color w:val="000000" w:themeColor="text1"/>
          <w:szCs w:val="22"/>
          <w:shd w:val="clear" w:color="auto" w:fill="D9D9D9" w:themeFill="background1" w:themeFillShade="D9"/>
          <w:lang w:val="ro-RO"/>
        </w:rPr>
        <w:t>Reforme structurale în sectorul companiilor,</w:t>
      </w:r>
      <w:r w:rsidRPr="002C1741">
        <w:rPr>
          <w:rFonts w:asciiTheme="minorHAnsi" w:eastAsia="Calibri" w:hAnsiTheme="minorHAnsi"/>
          <w:b/>
          <w:color w:val="000000" w:themeColor="text1"/>
          <w:szCs w:val="22"/>
          <w:lang w:val="ro-RO"/>
        </w:rPr>
        <w:t xml:space="preserve"> respectiv î</w:t>
      </w:r>
      <w:r w:rsidRPr="002C1741">
        <w:rPr>
          <w:rFonts w:asciiTheme="minorHAnsi" w:eastAsia="SimSun" w:hAnsiTheme="minorHAnsi" w:cstheme="minorBidi"/>
          <w:b/>
          <w:bCs/>
          <w:color w:val="000000" w:themeColor="text1"/>
          <w:szCs w:val="22"/>
          <w:lang w:val="ro-RO" w:eastAsia="zh-CN"/>
        </w:rPr>
        <w:t xml:space="preserve">mbunătățirea guvernanței corporative </w:t>
      </w:r>
      <w:r w:rsidRPr="002C1741">
        <w:rPr>
          <w:rFonts w:asciiTheme="minorHAnsi" w:eastAsia="SimSun" w:hAnsiTheme="minorHAnsi" w:cstheme="minorBidi"/>
          <w:bCs/>
          <w:color w:val="000000" w:themeColor="text1"/>
          <w:szCs w:val="22"/>
          <w:lang w:val="ro-RO" w:eastAsia="zh-CN"/>
        </w:rPr>
        <w:t xml:space="preserve">reprezintă  o prioritate pentru guvern, vizând </w:t>
      </w:r>
      <w:r w:rsidRPr="002C1741">
        <w:rPr>
          <w:rFonts w:asciiTheme="minorHAnsi" w:eastAsiaTheme="minorHAnsi" w:hAnsiTheme="minorHAnsi" w:cstheme="minorHAnsi"/>
          <w:color w:val="000000" w:themeColor="text1"/>
          <w:szCs w:val="22"/>
          <w:lang w:val="ro-RO"/>
        </w:rPr>
        <w:t>reforma managementului privat la companiile de stat din domenii strategice. Se va avea în vedere:</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lang w:val="ro-RO"/>
        </w:rPr>
      </w:pPr>
      <w:r w:rsidRPr="002C1741">
        <w:rPr>
          <w:rFonts w:asciiTheme="minorHAnsi" w:eastAsiaTheme="minorHAnsi" w:hAnsiTheme="minorHAnsi"/>
          <w:color w:val="000000"/>
          <w:lang w:val="ro-RO"/>
        </w:rPr>
        <w:t xml:space="preserve">întărirea </w:t>
      </w:r>
      <w:r w:rsidRPr="002C1741">
        <w:rPr>
          <w:rFonts w:asciiTheme="minorHAnsi" w:eastAsiaTheme="minorHAnsi" w:hAnsiTheme="minorHAnsi"/>
          <w:b/>
          <w:bCs/>
          <w:i/>
          <w:iCs/>
          <w:color w:val="000000"/>
          <w:lang w:val="ro-RO"/>
        </w:rPr>
        <w:t>disciplinei financiare la nivelul ÎP</w:t>
      </w:r>
      <w:r w:rsidRPr="002C1741">
        <w:rPr>
          <w:rFonts w:asciiTheme="minorHAnsi" w:eastAsiaTheme="minorHAnsi" w:hAnsiTheme="minorHAnsi"/>
          <w:color w:val="000000"/>
          <w:lang w:val="ro-RO"/>
        </w:rPr>
        <w:t xml:space="preserve">, continuarea </w:t>
      </w:r>
      <w:r w:rsidRPr="002C1741">
        <w:rPr>
          <w:rFonts w:asciiTheme="minorHAnsi" w:eastAsiaTheme="minorHAnsi" w:hAnsiTheme="minorHAnsi"/>
          <w:b/>
          <w:bCs/>
          <w:i/>
          <w:iCs/>
          <w:color w:val="000000"/>
          <w:lang w:val="ro-RO"/>
        </w:rPr>
        <w:t>procesului de consolidare/creare a structurilor responsabile în gestionarea ÎP din cadrul autorităţilor tutelare</w:t>
      </w:r>
      <w:r w:rsidRPr="002C1741">
        <w:rPr>
          <w:rFonts w:asciiTheme="minorHAnsi" w:eastAsiaTheme="minorHAnsi" w:hAnsiTheme="minorHAnsi"/>
          <w:color w:val="000000"/>
          <w:lang w:val="ro-RO"/>
        </w:rPr>
        <w:t xml:space="preserve">, având ca principale obiective asigurarea transparenţei şi integrităţii în aplicarea principiilor guvernanţei corporative la nivelul ÎP, monitorizarea rezultatelor operaţionale ale ÎP din subordine, precum şi asigurarea unui management stabil şi eficient la nivelul acestora. </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lang w:val="ro-RO"/>
        </w:rPr>
      </w:pPr>
      <w:r w:rsidRPr="002C1741">
        <w:rPr>
          <w:rFonts w:asciiTheme="minorHAnsi" w:eastAsiaTheme="minorHAnsi" w:hAnsiTheme="minorHAnsi"/>
          <w:lang w:val="ro-RO"/>
        </w:rPr>
        <w:t xml:space="preserve">Continuarea activităților derulate în scopul </w:t>
      </w:r>
      <w:r w:rsidRPr="002C1741">
        <w:rPr>
          <w:rFonts w:asciiTheme="minorHAnsi" w:eastAsiaTheme="minorHAnsi" w:hAnsiTheme="minorHAnsi"/>
          <w:i/>
          <w:iCs/>
          <w:lang w:val="ro-RO"/>
        </w:rPr>
        <w:t>selectării managementului profesionist la ÎP din domeniul transporturilor</w:t>
      </w:r>
      <w:r w:rsidRPr="002C1741">
        <w:rPr>
          <w:rFonts w:asciiTheme="minorHAnsi" w:eastAsiaTheme="minorHAnsi" w:hAnsiTheme="minorHAnsi"/>
          <w:lang w:val="ro-RO"/>
        </w:rPr>
        <w:t xml:space="preserve">. </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lang w:val="ro-RO"/>
        </w:rPr>
      </w:pPr>
      <w:r w:rsidRPr="002C1741">
        <w:rPr>
          <w:rFonts w:asciiTheme="minorHAnsi" w:eastAsiaTheme="minorHAnsi" w:hAnsiTheme="minorHAnsi"/>
          <w:lang w:val="ro-RO"/>
        </w:rPr>
        <w:t xml:space="preserve">În vederea creșterii performanțelor economice a unor </w:t>
      </w:r>
      <w:r w:rsidRPr="002C1741">
        <w:rPr>
          <w:rFonts w:asciiTheme="minorHAnsi" w:eastAsiaTheme="minorHAnsi" w:hAnsiTheme="minorHAnsi"/>
          <w:b/>
          <w:bCs/>
          <w:i/>
          <w:iCs/>
          <w:lang w:val="ro-RO"/>
        </w:rPr>
        <w:t>ÎP din domeniul energiei</w:t>
      </w:r>
      <w:r w:rsidRPr="002C1741">
        <w:rPr>
          <w:rFonts w:asciiTheme="minorHAnsi" w:eastAsiaTheme="minorHAnsi" w:hAnsiTheme="minorHAnsi"/>
          <w:lang w:val="ro-RO"/>
        </w:rPr>
        <w:t xml:space="preserve">, </w:t>
      </w:r>
      <w:r w:rsidRPr="002C1741">
        <w:rPr>
          <w:rFonts w:asciiTheme="minorHAnsi" w:eastAsiaTheme="minorHAnsi" w:hAnsiTheme="minorHAnsi"/>
          <w:b/>
          <w:bCs/>
          <w:i/>
          <w:iCs/>
          <w:lang w:val="ro-RO"/>
        </w:rPr>
        <w:t xml:space="preserve">transporturilor </w:t>
      </w:r>
      <w:r w:rsidRPr="002C1741">
        <w:rPr>
          <w:rFonts w:asciiTheme="minorHAnsi" w:eastAsiaTheme="minorHAnsi" w:hAnsiTheme="minorHAnsi"/>
          <w:i/>
          <w:iCs/>
          <w:lang w:val="ro-RO"/>
        </w:rPr>
        <w:t xml:space="preserve">și </w:t>
      </w:r>
      <w:r w:rsidRPr="002C1741">
        <w:rPr>
          <w:rFonts w:asciiTheme="minorHAnsi" w:eastAsiaTheme="minorHAnsi" w:hAnsiTheme="minorHAnsi"/>
          <w:b/>
          <w:bCs/>
          <w:i/>
          <w:iCs/>
          <w:lang w:val="ro-RO"/>
        </w:rPr>
        <w:t xml:space="preserve">industriei de apărare </w:t>
      </w:r>
      <w:r w:rsidRPr="002C1741">
        <w:rPr>
          <w:rFonts w:asciiTheme="minorHAnsi" w:eastAsiaTheme="minorHAnsi" w:hAnsiTheme="minorHAnsi"/>
          <w:lang w:val="ro-RO"/>
        </w:rPr>
        <w:t xml:space="preserve">se au în vedere acțiuni pentru continuarea </w:t>
      </w:r>
      <w:r w:rsidRPr="002C1741">
        <w:rPr>
          <w:rFonts w:asciiTheme="minorHAnsi" w:eastAsiaTheme="minorHAnsi" w:hAnsiTheme="minorHAnsi"/>
          <w:i/>
          <w:iCs/>
          <w:lang w:val="ro-RO"/>
        </w:rPr>
        <w:t>procesului de restructurare/reorganizare și eficientizare a acestora</w:t>
      </w:r>
      <w:r w:rsidRPr="002C1741">
        <w:rPr>
          <w:rFonts w:asciiTheme="minorHAnsi" w:eastAsiaTheme="minorHAnsi" w:hAnsiTheme="minorHAnsi"/>
          <w:lang w:val="ro-RO"/>
        </w:rPr>
        <w:t>;</w:t>
      </w:r>
    </w:p>
    <w:p w:rsidR="006A425D" w:rsidRPr="002C1741" w:rsidRDefault="006A425D" w:rsidP="006A425D">
      <w:pPr>
        <w:autoSpaceDE w:val="0"/>
        <w:autoSpaceDN w:val="0"/>
        <w:adjustRightInd w:val="0"/>
        <w:ind w:left="360"/>
        <w:jc w:val="both"/>
        <w:rPr>
          <w:rFonts w:asciiTheme="minorHAnsi" w:eastAsiaTheme="minorHAnsi" w:hAnsiTheme="minorHAnsi"/>
          <w:lang w:val="ro-RO"/>
        </w:rPr>
      </w:pPr>
    </w:p>
    <w:p w:rsidR="006A425D" w:rsidRPr="00BA6A25" w:rsidRDefault="006A425D" w:rsidP="00565476">
      <w:pPr>
        <w:pStyle w:val="ListParagraph"/>
        <w:keepNext/>
        <w:widowControl w:val="0"/>
        <w:numPr>
          <w:ilvl w:val="0"/>
          <w:numId w:val="173"/>
        </w:numPr>
        <w:tabs>
          <w:tab w:val="left" w:pos="993"/>
        </w:tabs>
        <w:autoSpaceDE w:val="0"/>
        <w:autoSpaceDN w:val="0"/>
        <w:adjustRightInd w:val="0"/>
        <w:spacing w:after="60" w:line="259" w:lineRule="auto"/>
        <w:jc w:val="both"/>
        <w:rPr>
          <w:rFonts w:ascii="Calibri" w:hAnsi="Calibri"/>
        </w:rPr>
      </w:pPr>
      <w:r w:rsidRPr="00BA6A25">
        <w:rPr>
          <w:rFonts w:asciiTheme="minorHAnsi" w:hAnsiTheme="minorHAnsi"/>
          <w:b/>
          <w:color w:val="000000" w:themeColor="text1"/>
          <w:shd w:val="clear" w:color="auto" w:fill="D9D9D9" w:themeFill="background1" w:themeFillShade="D9"/>
        </w:rPr>
        <w:t>Consolidarea investițiilor publice, în special în infrastructură</w:t>
      </w:r>
      <w:r w:rsidRPr="00BA6A25">
        <w:rPr>
          <w:rFonts w:asciiTheme="minorHAnsi" w:hAnsiTheme="minorHAnsi"/>
          <w:color w:val="000000" w:themeColor="text1"/>
        </w:rPr>
        <w:t>,</w:t>
      </w:r>
      <w:r w:rsidRPr="00BA6A25">
        <w:rPr>
          <w:rFonts w:asciiTheme="minorHAnsi" w:hAnsiTheme="minorHAnsi"/>
          <w:color w:val="000000"/>
        </w:rPr>
        <w:t xml:space="preserve"> este esențială pentru o expansiune e</w:t>
      </w:r>
      <w:r w:rsidR="00BA6A25" w:rsidRPr="00BA6A25">
        <w:rPr>
          <w:rFonts w:asciiTheme="minorHAnsi" w:hAnsiTheme="minorHAnsi"/>
          <w:color w:val="000000"/>
        </w:rPr>
        <w:t xml:space="preserve">conomică mai echilibrată. </w:t>
      </w:r>
    </w:p>
    <w:p w:rsidR="002C487B" w:rsidRPr="002C487B" w:rsidRDefault="002C487B" w:rsidP="00565476">
      <w:pPr>
        <w:numPr>
          <w:ilvl w:val="0"/>
          <w:numId w:val="187"/>
        </w:numPr>
        <w:autoSpaceDE w:val="0"/>
        <w:autoSpaceDN w:val="0"/>
        <w:adjustRightInd w:val="0"/>
        <w:ind w:left="709"/>
        <w:jc w:val="both"/>
        <w:rPr>
          <w:rFonts w:ascii="Calibri" w:hAnsi="Calibri"/>
          <w:lang w:val="ro-RO"/>
        </w:rPr>
      </w:pPr>
      <w:r w:rsidRPr="002C487B">
        <w:rPr>
          <w:rFonts w:ascii="Calibri" w:eastAsia="Calibri" w:hAnsi="Calibri"/>
          <w:color w:val="000066"/>
          <w:lang w:val="ro-RO"/>
        </w:rPr>
        <w:t xml:space="preserve">În </w:t>
      </w:r>
      <w:r w:rsidRPr="002C487B">
        <w:rPr>
          <w:rFonts w:ascii="Calibri" w:eastAsia="Calibri" w:hAnsi="Calibri"/>
          <w:b/>
          <w:bCs/>
          <w:color w:val="000066"/>
          <w:lang w:val="ro-RO"/>
        </w:rPr>
        <w:t>domeniul transporturilor</w:t>
      </w:r>
      <w:r w:rsidRPr="002C487B">
        <w:rPr>
          <w:rFonts w:ascii="Calibri" w:eastAsia="Calibri" w:hAnsi="Calibri"/>
          <w:color w:val="000000"/>
          <w:lang w:val="ro-RO"/>
        </w:rPr>
        <w:t xml:space="preserve">, </w:t>
      </w:r>
      <w:r w:rsidRPr="002C487B">
        <w:rPr>
          <w:rFonts w:ascii="Calibri" w:hAnsi="Calibri" w:cs="Arial"/>
          <w:lang w:val="ro-RO"/>
        </w:rPr>
        <w:t>priorităţile strategice în domeniul infrastructurilor şi serviciilor de transport, pentru perioada 2019- 2022, vizează:</w:t>
      </w:r>
      <w:r w:rsidRPr="00715536">
        <w:rPr>
          <w:rFonts w:ascii="Calibri" w:hAnsi="Calibri" w:cs="Arial"/>
          <w:b/>
          <w:i/>
          <w:lang w:val="ro-RO"/>
        </w:rPr>
        <w:t>coeziunea teritorială</w:t>
      </w:r>
      <w:r w:rsidRPr="00715536">
        <w:rPr>
          <w:rFonts w:ascii="Calibri" w:hAnsi="Calibri" w:cs="Arial"/>
          <w:lang w:val="ro-RO"/>
        </w:rPr>
        <w:t>, asigurând interconectarea teritoriului na</w:t>
      </w:r>
      <w:r w:rsidRPr="00715536">
        <w:rPr>
          <w:rFonts w:ascii="Calibri" w:hAnsi="Calibri" w:cs="Cambria Math"/>
          <w:lang w:val="ro-RO"/>
        </w:rPr>
        <w:t>ț</w:t>
      </w:r>
      <w:r w:rsidRPr="00715536">
        <w:rPr>
          <w:rFonts w:ascii="Calibri" w:hAnsi="Calibri" w:cs="Arial"/>
          <w:lang w:val="ro-RO"/>
        </w:rPr>
        <w:t>ional la rutele interna</w:t>
      </w:r>
      <w:r w:rsidRPr="00715536">
        <w:rPr>
          <w:rFonts w:ascii="Calibri" w:hAnsi="Calibri" w:cs="Cambria Math"/>
          <w:lang w:val="ro-RO"/>
        </w:rPr>
        <w:t>ț</w:t>
      </w:r>
      <w:r w:rsidRPr="00715536">
        <w:rPr>
          <w:rFonts w:ascii="Calibri" w:hAnsi="Calibri" w:cs="Arial"/>
          <w:lang w:val="ro-RO"/>
        </w:rPr>
        <w:t xml:space="preserve">ionale, precum </w:t>
      </w:r>
      <w:r w:rsidRPr="00715536">
        <w:rPr>
          <w:rFonts w:ascii="Calibri" w:hAnsi="Calibri" w:cs="Cambria Math"/>
          <w:lang w:val="ro-RO"/>
        </w:rPr>
        <w:t>ș</w:t>
      </w:r>
      <w:r w:rsidRPr="00715536">
        <w:rPr>
          <w:rFonts w:ascii="Calibri" w:hAnsi="Calibri" w:cs="Arial"/>
          <w:lang w:val="ro-RO"/>
        </w:rPr>
        <w:t xml:space="preserve">i interconectivitatea regională, asigurând infrastructura de bază necesarului economiilor moderne de transport, </w:t>
      </w:r>
      <w:r w:rsidRPr="00715536">
        <w:rPr>
          <w:rFonts w:ascii="Calibri" w:hAnsi="Calibri" w:cs="Arial"/>
          <w:b/>
          <w:i/>
          <w:lang w:val="ro-RO"/>
        </w:rPr>
        <w:t>eficien</w:t>
      </w:r>
      <w:r w:rsidRPr="00715536">
        <w:rPr>
          <w:rFonts w:ascii="Calibri" w:hAnsi="Calibri" w:cs="Cambria Math"/>
          <w:b/>
          <w:i/>
          <w:lang w:val="ro-RO"/>
        </w:rPr>
        <w:t>ț</w:t>
      </w:r>
      <w:r w:rsidRPr="00715536">
        <w:rPr>
          <w:rFonts w:ascii="Calibri" w:hAnsi="Calibri" w:cs="Arial"/>
          <w:b/>
          <w:i/>
          <w:lang w:val="ro-RO"/>
        </w:rPr>
        <w:t>a</w:t>
      </w:r>
      <w:r w:rsidRPr="00715536">
        <w:rPr>
          <w:rFonts w:ascii="Calibri" w:hAnsi="Calibri" w:cs="Arial"/>
          <w:lang w:val="ro-RO"/>
        </w:rPr>
        <w:t xml:space="preserve">, prin eliminarea blocajelor </w:t>
      </w:r>
      <w:r w:rsidRPr="00715536">
        <w:rPr>
          <w:rFonts w:ascii="Calibri" w:hAnsi="Calibri" w:cs="Cambria Math"/>
          <w:lang w:val="ro-RO"/>
        </w:rPr>
        <w:t>ș</w:t>
      </w:r>
      <w:r w:rsidRPr="00715536">
        <w:rPr>
          <w:rFonts w:ascii="Calibri" w:hAnsi="Calibri" w:cs="Arial"/>
          <w:lang w:val="ro-RO"/>
        </w:rPr>
        <w:t xml:space="preserve">i întârzierilor cu impact asupra mediului economic </w:t>
      </w:r>
      <w:r w:rsidRPr="00715536">
        <w:rPr>
          <w:rFonts w:ascii="Calibri" w:hAnsi="Calibri" w:cs="Cambria Math"/>
          <w:lang w:val="ro-RO"/>
        </w:rPr>
        <w:t>ș</w:t>
      </w:r>
      <w:r w:rsidRPr="00715536">
        <w:rPr>
          <w:rFonts w:ascii="Calibri" w:hAnsi="Calibri" w:cs="Arial"/>
          <w:lang w:val="ro-RO"/>
        </w:rPr>
        <w:t xml:space="preserve">i social;  </w:t>
      </w:r>
      <w:r w:rsidRPr="00715536">
        <w:rPr>
          <w:rFonts w:ascii="Calibri" w:hAnsi="Calibri" w:cs="Arial"/>
          <w:b/>
          <w:i/>
          <w:lang w:val="ro-RO"/>
        </w:rPr>
        <w:t>durabilitatea</w:t>
      </w:r>
      <w:r w:rsidRPr="00715536">
        <w:rPr>
          <w:rFonts w:ascii="Calibri" w:hAnsi="Calibri" w:cs="Arial"/>
          <w:lang w:val="ro-RO"/>
        </w:rPr>
        <w:t xml:space="preserve">, prin promovarea </w:t>
      </w:r>
      <w:r w:rsidRPr="00715536">
        <w:rPr>
          <w:rFonts w:ascii="Calibri" w:hAnsi="Calibri" w:cs="Cambria Math"/>
          <w:lang w:val="ro-RO"/>
        </w:rPr>
        <w:t>ș</w:t>
      </w:r>
      <w:r w:rsidRPr="00715536">
        <w:rPr>
          <w:rFonts w:ascii="Calibri" w:hAnsi="Calibri" w:cs="Arial"/>
          <w:lang w:val="ro-RO"/>
        </w:rPr>
        <w:t>i introducerea mijloacelor inteligente de transport, pu</w:t>
      </w:r>
      <w:r w:rsidRPr="00715536">
        <w:rPr>
          <w:rFonts w:ascii="Calibri" w:hAnsi="Calibri" w:cs="Cambria Math"/>
          <w:lang w:val="ro-RO"/>
        </w:rPr>
        <w:t>ț</w:t>
      </w:r>
      <w:r w:rsidRPr="00715536">
        <w:rPr>
          <w:rFonts w:ascii="Calibri" w:hAnsi="Calibri" w:cs="Arial"/>
          <w:lang w:val="ro-RO"/>
        </w:rPr>
        <w:t>in poluante contribuind astfel, la îndeplinirea obiectivelor Strategiei Europa 2020.</w:t>
      </w:r>
      <w:r w:rsidRPr="00715536">
        <w:rPr>
          <w:rFonts w:ascii="Calibri" w:hAnsi="Calibri" w:cs="Arial"/>
          <w:b/>
          <w:lang w:val="ro-RO"/>
        </w:rPr>
        <w:t>Master Planul General de Transport</w:t>
      </w:r>
      <w:r w:rsidRPr="00715536">
        <w:rPr>
          <w:rFonts w:ascii="Calibri" w:hAnsi="Calibri" w:cs="Arial"/>
          <w:lang w:val="ro-RO"/>
        </w:rPr>
        <w:t xml:space="preserve"> (MPGT) elaborat pentru perioada până în 2020 </w:t>
      </w:r>
      <w:r w:rsidRPr="00715536">
        <w:rPr>
          <w:rFonts w:ascii="Calibri" w:hAnsi="Calibri" w:cs="Cambria Math"/>
          <w:lang w:val="ro-RO"/>
        </w:rPr>
        <w:t>ș</w:t>
      </w:r>
      <w:r w:rsidRPr="00715536">
        <w:rPr>
          <w:rFonts w:ascii="Calibri" w:hAnsi="Calibri" w:cs="Arial"/>
          <w:lang w:val="ro-RO"/>
        </w:rPr>
        <w:t>i 2030 furnizează elementele necesare pentru priotizarea investi</w:t>
      </w:r>
      <w:r w:rsidRPr="00715536">
        <w:rPr>
          <w:rFonts w:ascii="Calibri" w:hAnsi="Calibri" w:cs="Cambria Math"/>
          <w:lang w:val="ro-RO"/>
        </w:rPr>
        <w:t>ț</w:t>
      </w:r>
      <w:r w:rsidRPr="00715536">
        <w:rPr>
          <w:rFonts w:ascii="Calibri" w:hAnsi="Calibri" w:cs="Arial"/>
          <w:lang w:val="ro-RO"/>
        </w:rPr>
        <w:t>iilor în domeniul transportului, pentru toate modurile de transport (rutier, feroviar, naval, aerian), pe baza unei analize multicriteriale.</w:t>
      </w:r>
    </w:p>
    <w:p w:rsidR="002C487B" w:rsidRPr="002C1741" w:rsidRDefault="002C487B" w:rsidP="002C487B">
      <w:pPr>
        <w:keepNext/>
        <w:widowControl w:val="0"/>
        <w:tabs>
          <w:tab w:val="left" w:pos="993"/>
        </w:tabs>
        <w:autoSpaceDE w:val="0"/>
        <w:autoSpaceDN w:val="0"/>
        <w:adjustRightInd w:val="0"/>
        <w:spacing w:after="60" w:line="259" w:lineRule="auto"/>
        <w:ind w:left="709"/>
        <w:jc w:val="both"/>
        <w:rPr>
          <w:rFonts w:ascii="Calibri" w:hAnsi="Calibri"/>
          <w:lang w:val="ro-RO"/>
        </w:rPr>
      </w:pPr>
    </w:p>
    <w:p w:rsidR="006A425D" w:rsidRDefault="006A425D" w:rsidP="00565476">
      <w:pPr>
        <w:numPr>
          <w:ilvl w:val="0"/>
          <w:numId w:val="183"/>
        </w:numPr>
        <w:jc w:val="both"/>
        <w:rPr>
          <w:rFonts w:ascii="Calibri" w:hAnsi="Calibri" w:cs="Arial"/>
          <w:color w:val="000000" w:themeColor="text1"/>
          <w:lang w:val="fr-FR"/>
        </w:rPr>
      </w:pPr>
      <w:r w:rsidRPr="003964D3">
        <w:rPr>
          <w:rFonts w:ascii="Calibri" w:hAnsi="Calibri" w:cs="Arial"/>
          <w:b/>
          <w:color w:val="000000" w:themeColor="text1"/>
          <w:lang w:val="fr-FR"/>
        </w:rPr>
        <w:t>Infiintarea Fondului de Dezvoltare și investitii gestionat de Comisia Națională de Strategie  și Prognoză,</w:t>
      </w:r>
      <w:r w:rsidRPr="003964D3">
        <w:rPr>
          <w:rFonts w:ascii="Calibri" w:hAnsi="Calibri" w:cs="Arial"/>
          <w:color w:val="000000" w:themeColor="text1"/>
          <w:lang w:val="fr-FR"/>
        </w:rPr>
        <w:t xml:space="preserve"> pentru finanțarea proiectelor de investiții ale unităților/subdiviziunilor administrativ-teritoriale în domenii prioritare principale si secundare, cum sunt: sănătate, educație,  apă – canalizare, retea de energie electrica, si retea de gaze, transport, drumuri, salubrizare, cultură, culte, sport si locuinte. Deasemenea Fondul se utilizează si pentru finanțarea proiectelor de investiții ale universităţilor.</w:t>
      </w:r>
    </w:p>
    <w:p w:rsidR="002C487B" w:rsidRDefault="002C487B" w:rsidP="002C487B">
      <w:pPr>
        <w:jc w:val="both"/>
        <w:rPr>
          <w:rFonts w:ascii="Calibri" w:hAnsi="Calibri" w:cs="Arial"/>
          <w:color w:val="000000" w:themeColor="text1"/>
          <w:lang w:val="fr-FR"/>
        </w:rPr>
      </w:pPr>
    </w:p>
    <w:p w:rsidR="002C487B" w:rsidRPr="003964D3" w:rsidRDefault="002C487B" w:rsidP="002C487B">
      <w:pPr>
        <w:jc w:val="both"/>
        <w:rPr>
          <w:rFonts w:ascii="Calibri" w:hAnsi="Calibri" w:cs="Arial"/>
          <w:color w:val="000000" w:themeColor="text1"/>
          <w:lang w:val="fr-FR"/>
        </w:rPr>
      </w:pPr>
    </w:p>
    <w:p w:rsidR="006A425D" w:rsidRPr="003964D3" w:rsidRDefault="006A425D" w:rsidP="00565476">
      <w:pPr>
        <w:numPr>
          <w:ilvl w:val="0"/>
          <w:numId w:val="206"/>
        </w:numPr>
        <w:jc w:val="both"/>
        <w:rPr>
          <w:rFonts w:ascii="Calibri" w:hAnsi="Calibri" w:cs="Arial"/>
          <w:color w:val="000000" w:themeColor="text1"/>
          <w:lang w:val="fr-FR"/>
        </w:rPr>
      </w:pPr>
      <w:r w:rsidRPr="003964D3">
        <w:rPr>
          <w:rFonts w:ascii="Calibri" w:hAnsi="Calibri" w:cs="Arial"/>
          <w:color w:val="000000" w:themeColor="text1"/>
          <w:lang w:val="fr-FR"/>
        </w:rPr>
        <w:t xml:space="preserve"> Finanțarea acestor proiecte se asigura sub formă de granturi, acordate din  Fond. </w:t>
      </w:r>
    </w:p>
    <w:p w:rsidR="006A425D" w:rsidRPr="003964D3" w:rsidRDefault="006A425D" w:rsidP="00565476">
      <w:pPr>
        <w:numPr>
          <w:ilvl w:val="0"/>
          <w:numId w:val="206"/>
        </w:numPr>
        <w:jc w:val="both"/>
        <w:rPr>
          <w:rFonts w:ascii="Calibri" w:hAnsi="Calibri" w:cs="Arial"/>
          <w:color w:val="000000" w:themeColor="text1"/>
          <w:lang w:val="fr-FR"/>
        </w:rPr>
      </w:pPr>
      <w:r w:rsidRPr="003964D3">
        <w:rPr>
          <w:rFonts w:ascii="Calibri" w:hAnsi="Calibri" w:cs="Arial"/>
          <w:color w:val="000000" w:themeColor="text1"/>
          <w:lang w:val="fr-FR"/>
        </w:rPr>
        <w:t>Sursa de finanțare a fondului o reprezinta imprumuturile in lei, acordate din disponibilitatile contului curent general al trezoreriei statului in limita sumei de 10.000 mil. Euro echivalent lei calculat la cursul de schimb al BNR la data intrarii in vigoare a prezentului act normativ, pe un interval de 20 de ani.</w:t>
      </w:r>
    </w:p>
    <w:p w:rsidR="006A425D" w:rsidRPr="003964D3" w:rsidRDefault="006A425D" w:rsidP="00565476">
      <w:pPr>
        <w:numPr>
          <w:ilvl w:val="0"/>
          <w:numId w:val="206"/>
        </w:numPr>
        <w:jc w:val="both"/>
        <w:rPr>
          <w:rFonts w:ascii="Calibri" w:hAnsi="Calibri" w:cs="Arial"/>
          <w:color w:val="000000" w:themeColor="text1"/>
          <w:lang w:val="fr-FR"/>
        </w:rPr>
      </w:pPr>
      <w:r w:rsidRPr="003964D3">
        <w:rPr>
          <w:rFonts w:ascii="Calibri" w:hAnsi="Calibri" w:cs="Arial"/>
          <w:color w:val="000000" w:themeColor="text1"/>
          <w:lang w:val="fr-FR"/>
        </w:rPr>
        <w:t>Investiții  eligibile a fi finanțate din Fond sunt investițiile noi și extinderea/finalizarea investițiilor existente, constand in constructii, modernizari si dotari.</w:t>
      </w:r>
    </w:p>
    <w:p w:rsidR="006A425D" w:rsidRPr="003964D3" w:rsidRDefault="006A425D" w:rsidP="00565476">
      <w:pPr>
        <w:numPr>
          <w:ilvl w:val="0"/>
          <w:numId w:val="206"/>
        </w:numPr>
        <w:jc w:val="both"/>
        <w:rPr>
          <w:rFonts w:ascii="Calibri" w:hAnsi="Calibri" w:cs="Arial"/>
          <w:color w:val="000000" w:themeColor="text1"/>
          <w:lang w:val="fr-FR"/>
        </w:rPr>
      </w:pPr>
      <w:r w:rsidRPr="003964D3">
        <w:rPr>
          <w:rFonts w:ascii="Calibri" w:hAnsi="Calibri" w:cs="Arial"/>
          <w:color w:val="000000" w:themeColor="text1"/>
          <w:lang w:val="fr-FR"/>
        </w:rPr>
        <w:t>Unitățile/subdiviziunile administrative-teritoriale si universitatile beneficiare de granturi din Fond, au obligatia de a restitui anual pe o perioada fixa de 20 de ani o suma reprezentand contributia proprie la proiect.</w:t>
      </w:r>
    </w:p>
    <w:p w:rsidR="006A425D" w:rsidRPr="003C7CB5" w:rsidRDefault="006A425D" w:rsidP="006A425D">
      <w:pPr>
        <w:widowControl w:val="0"/>
        <w:spacing w:before="120"/>
        <w:ind w:left="720"/>
        <w:jc w:val="both"/>
        <w:rPr>
          <w:rFonts w:ascii="Calibri" w:hAnsi="Calibri" w:cs="Arial"/>
          <w:iCs/>
          <w:color w:val="000000" w:themeColor="text1"/>
          <w:lang w:val="ro-RO" w:eastAsia="ro-RO"/>
        </w:rPr>
      </w:pPr>
    </w:p>
    <w:p w:rsidR="006A425D" w:rsidRPr="003C7CB5" w:rsidRDefault="006A425D" w:rsidP="00565476">
      <w:pPr>
        <w:numPr>
          <w:ilvl w:val="0"/>
          <w:numId w:val="207"/>
        </w:numPr>
        <w:autoSpaceDE w:val="0"/>
        <w:autoSpaceDN w:val="0"/>
        <w:adjustRightInd w:val="0"/>
        <w:jc w:val="both"/>
        <w:rPr>
          <w:rFonts w:ascii="Calibri" w:hAnsi="Calibri"/>
          <w:color w:val="000000" w:themeColor="text1"/>
          <w:lang w:val="ro-RO" w:eastAsia="ro-RO"/>
        </w:rPr>
      </w:pPr>
      <w:r w:rsidRPr="003964D3">
        <w:rPr>
          <w:rFonts w:ascii="Calibri" w:hAnsi="Calibri" w:cs="Arial"/>
          <w:b/>
          <w:iCs/>
          <w:color w:val="000000" w:themeColor="text1"/>
          <w:lang w:val="ro-RO"/>
        </w:rPr>
        <w:t xml:space="preserve">Infiintarea </w:t>
      </w:r>
      <w:r w:rsidRPr="003C7CB5">
        <w:rPr>
          <w:rFonts w:ascii="Calibri" w:hAnsi="Calibri" w:cs="Arial"/>
          <w:b/>
          <w:iCs/>
          <w:color w:val="000000" w:themeColor="text1"/>
          <w:lang w:val="ro-RO"/>
        </w:rPr>
        <w:t>Programul</w:t>
      </w:r>
      <w:r w:rsidRPr="003964D3">
        <w:rPr>
          <w:rFonts w:ascii="Calibri" w:hAnsi="Calibri" w:cs="Arial"/>
          <w:b/>
          <w:iCs/>
          <w:color w:val="000000" w:themeColor="text1"/>
          <w:lang w:val="ro-RO"/>
        </w:rPr>
        <w:t xml:space="preserve">ui </w:t>
      </w:r>
      <w:r w:rsidRPr="003C7CB5">
        <w:rPr>
          <w:rFonts w:ascii="Calibri" w:hAnsi="Calibri" w:cs="Arial"/>
          <w:b/>
          <w:iCs/>
          <w:color w:val="000000" w:themeColor="text1"/>
          <w:lang w:val="ro-RO"/>
        </w:rPr>
        <w:t xml:space="preserve"> de finanţare a investiţiilor pentru modernizarea şi dezvoltarea staţiunilor balneare, denumit în continuare "Programul stațiuni balneare"</w:t>
      </w:r>
      <w:r w:rsidRPr="003C7CB5">
        <w:rPr>
          <w:rFonts w:ascii="Calibri" w:hAnsi="Calibri" w:cs="Arial"/>
          <w:iCs/>
          <w:color w:val="000000" w:themeColor="text1"/>
          <w:lang w:val="ro-RO"/>
        </w:rPr>
        <w:t xml:space="preserve">, finanțat integral din bugetul Secretariatului General al Guvernului,  prin bugetul Comisiei Naţionale de Strategie şi Prognoză. </w:t>
      </w:r>
      <w:r w:rsidRPr="003C7CB5">
        <w:rPr>
          <w:rFonts w:ascii="Calibri" w:hAnsi="Calibri"/>
          <w:color w:val="000000" w:themeColor="text1"/>
          <w:lang w:val="ro-RO" w:eastAsia="ro-RO"/>
        </w:rPr>
        <w:t>Beneficiarii Programului staţiuni balneare sunt unităţile/subdiviziunile administrativ-teritoriale, denumite în continuare UAT, şi societăţile înfiinţate în conformitate cu prevederile Legii societăţilor nr. 31/1990, republicată, cu modificările şi completările ulterioare, iar sumele alocate se folosesc potrivit destinațiilor prevazute de OUG 114/2018.</w:t>
      </w:r>
    </w:p>
    <w:p w:rsidR="006A425D" w:rsidRPr="003C7CB5" w:rsidRDefault="006A425D" w:rsidP="00565476">
      <w:pPr>
        <w:numPr>
          <w:ilvl w:val="0"/>
          <w:numId w:val="208"/>
        </w:numPr>
        <w:autoSpaceDE w:val="0"/>
        <w:autoSpaceDN w:val="0"/>
        <w:adjustRightInd w:val="0"/>
        <w:jc w:val="both"/>
        <w:rPr>
          <w:rFonts w:ascii="Calibri" w:hAnsi="Calibri"/>
          <w:color w:val="000000" w:themeColor="text1"/>
          <w:lang w:val="ro-RO" w:eastAsia="ro-RO"/>
        </w:rPr>
      </w:pPr>
      <w:r w:rsidRPr="003C7CB5">
        <w:rPr>
          <w:rFonts w:ascii="Calibri" w:hAnsi="Calibri"/>
          <w:color w:val="000000" w:themeColor="text1"/>
          <w:lang w:val="ro-RO" w:eastAsia="ro-RO"/>
        </w:rPr>
        <w:t>Profilul şi conţinutul activităţii în investiţiile efectuate de către beneficiarii Programului staţiuni balneare vor fi menţinute cel puţin 10 ani de la accesarea sumelor din acest program; în caz contrar, beneficiarii vor rambursa integral sumele obţinute ca sprijin financiar potrivit legislaţiei în domeniul ajutorului de stat.</w:t>
      </w:r>
    </w:p>
    <w:p w:rsidR="006A425D" w:rsidRPr="003C7CB5" w:rsidRDefault="006A425D" w:rsidP="00565476">
      <w:pPr>
        <w:numPr>
          <w:ilvl w:val="0"/>
          <w:numId w:val="208"/>
        </w:numPr>
        <w:autoSpaceDE w:val="0"/>
        <w:autoSpaceDN w:val="0"/>
        <w:adjustRightInd w:val="0"/>
        <w:jc w:val="both"/>
        <w:rPr>
          <w:rFonts w:ascii="Calibri" w:hAnsi="Calibri"/>
          <w:color w:val="000000" w:themeColor="text1"/>
          <w:lang w:val="ro-RO" w:eastAsia="ro-RO"/>
        </w:rPr>
      </w:pPr>
      <w:r w:rsidRPr="003C7CB5">
        <w:rPr>
          <w:rFonts w:ascii="Calibri" w:hAnsi="Calibri"/>
          <w:color w:val="000000" w:themeColor="text1"/>
          <w:lang w:val="ro-RO" w:eastAsia="ro-RO"/>
        </w:rPr>
        <w:t>Proiectele de investiţii efectuate în cadrul Programului staţiuni balneare trebuie să fie realizate în cel mult 12 luni de la încheierea acordului de finanţare.</w:t>
      </w:r>
    </w:p>
    <w:p w:rsidR="006A425D" w:rsidRPr="005E0909" w:rsidRDefault="006A425D" w:rsidP="006A425D">
      <w:pPr>
        <w:spacing w:before="120" w:after="120"/>
        <w:ind w:left="284"/>
        <w:contextualSpacing/>
        <w:jc w:val="both"/>
        <w:rPr>
          <w:rFonts w:ascii="Calibri" w:hAnsi="Calibri" w:cs="Arial"/>
          <w:color w:val="000000" w:themeColor="text1"/>
          <w:lang w:val="ro-RO" w:eastAsia="en-GB"/>
        </w:rPr>
      </w:pPr>
      <w:r w:rsidRPr="003C7CB5">
        <w:rPr>
          <w:rFonts w:ascii="Calibri" w:hAnsi="Calibri" w:cs="Arial"/>
          <w:lang w:val="ro-RO"/>
        </w:rPr>
        <w:tab/>
      </w:r>
      <w:r w:rsidRPr="005E0909">
        <w:rPr>
          <w:rFonts w:ascii="Calibri" w:hAnsi="Calibri" w:cs="Arial"/>
          <w:lang w:val="ro-RO"/>
        </w:rPr>
        <w:t xml:space="preserve">Pentru acest program se preconizează a se efectua în cursul anului 2019 angajamente </w:t>
      </w:r>
      <w:r w:rsidRPr="005E0909">
        <w:rPr>
          <w:rFonts w:ascii="Calibri" w:hAnsi="Calibri" w:cs="Arial"/>
          <w:color w:val="000000" w:themeColor="text1"/>
          <w:lang w:val="ro-RO"/>
        </w:rPr>
        <w:t>în valoare de  400 milioane  lei şi plăţi în valoare de  80 milioane  lei.</w:t>
      </w:r>
    </w:p>
    <w:p w:rsidR="006A425D" w:rsidRPr="005E0909" w:rsidRDefault="006A425D" w:rsidP="006A425D">
      <w:pPr>
        <w:autoSpaceDE w:val="0"/>
        <w:autoSpaceDN w:val="0"/>
        <w:adjustRightInd w:val="0"/>
        <w:ind w:left="709"/>
        <w:jc w:val="both"/>
        <w:rPr>
          <w:rFonts w:ascii="Calibri" w:hAnsi="Calibri"/>
          <w:color w:val="000000" w:themeColor="text1"/>
          <w:lang w:val="ro-RO"/>
        </w:rPr>
      </w:pPr>
    </w:p>
    <w:p w:rsidR="006A425D" w:rsidRPr="003C7CB5" w:rsidRDefault="006A425D" w:rsidP="006A425D">
      <w:pPr>
        <w:spacing w:before="120" w:after="120"/>
        <w:ind w:left="284"/>
        <w:contextualSpacing/>
        <w:jc w:val="both"/>
        <w:rPr>
          <w:rFonts w:ascii="Calibri" w:hAnsi="Calibri"/>
          <w:color w:val="000000" w:themeColor="text1"/>
          <w:lang w:val="ro-RO"/>
        </w:rPr>
      </w:pPr>
    </w:p>
    <w:p w:rsidR="006A425D" w:rsidRPr="002C1741" w:rsidRDefault="006A425D" w:rsidP="00565476">
      <w:pPr>
        <w:numPr>
          <w:ilvl w:val="0"/>
          <w:numId w:val="183"/>
        </w:numPr>
        <w:spacing w:after="120" w:line="276" w:lineRule="auto"/>
        <w:contextualSpacing/>
        <w:jc w:val="both"/>
        <w:rPr>
          <w:rFonts w:asciiTheme="minorHAnsi" w:eastAsia="Calibri" w:hAnsiTheme="minorHAnsi"/>
          <w:szCs w:val="22"/>
          <w:lang w:val="ro-RO"/>
        </w:rPr>
      </w:pPr>
      <w:r w:rsidRPr="002C1741">
        <w:rPr>
          <w:rFonts w:asciiTheme="minorHAnsi" w:eastAsia="Calibri" w:hAnsiTheme="minorHAnsi"/>
          <w:szCs w:val="22"/>
          <w:lang w:val="ro-RO"/>
        </w:rPr>
        <w:t xml:space="preserve">Pentru </w:t>
      </w:r>
      <w:r w:rsidRPr="002C1741">
        <w:rPr>
          <w:rFonts w:asciiTheme="minorHAnsi" w:eastAsia="Calibri" w:hAnsiTheme="minorHAnsi"/>
          <w:b/>
          <w:bCs/>
          <w:i/>
          <w:iCs/>
          <w:color w:val="000048"/>
          <w:szCs w:val="22"/>
          <w:lang w:val="ro-RO"/>
        </w:rPr>
        <w:t xml:space="preserve">Programul Național de Dezvoltare Locală </w:t>
      </w:r>
      <w:r w:rsidRPr="002C1741">
        <w:rPr>
          <w:rFonts w:asciiTheme="minorHAnsi" w:eastAsia="Calibri" w:hAnsiTheme="minorHAnsi"/>
          <w:szCs w:val="22"/>
          <w:lang w:val="ro-RO"/>
        </w:rPr>
        <w:t>(PNDL) a fost instituită etapa a II-a, urmărindu-se, mai întâi, repartizarea echilibrată a fondurilor de la de la bugetul de stat  pe județe, pe bază de indicatori, iar apoi, alocarea acestora în interiorul județelor, în mai mulți pași, luându-se în considerare principii directoare pentru selecția proiectelor. Corelarea surselor de finanțare, evitarea dublei finanțări și armonizarea criteriilor tehnice de selecție pentru proiectele de investiții rămân în atenția MDRAP și în perioada următoare.</w:t>
      </w:r>
    </w:p>
    <w:p w:rsidR="006A425D" w:rsidRPr="003964D3" w:rsidRDefault="006A425D" w:rsidP="006A425D">
      <w:pPr>
        <w:widowControl w:val="0"/>
        <w:numPr>
          <w:ilvl w:val="0"/>
          <w:numId w:val="1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line="276" w:lineRule="auto"/>
        <w:ind w:left="993" w:hanging="284"/>
        <w:contextualSpacing/>
        <w:jc w:val="both"/>
        <w:rPr>
          <w:rFonts w:asciiTheme="minorHAnsi" w:hAnsiTheme="minorHAnsi"/>
          <w:i/>
          <w:color w:val="000048"/>
          <w:lang w:val="fr-FR"/>
        </w:rPr>
      </w:pPr>
      <w:r w:rsidRPr="002C1741">
        <w:rPr>
          <w:rFonts w:asciiTheme="minorHAnsi" w:eastAsia="Calibri" w:hAnsiTheme="minorHAnsi"/>
          <w:b/>
          <w:color w:val="000048"/>
          <w:szCs w:val="22"/>
          <w:shd w:val="clear" w:color="auto" w:fill="D9D9D9" w:themeFill="background1" w:themeFillShade="D9"/>
          <w:lang w:val="ro-RO"/>
        </w:rPr>
        <w:t>Creşterea gradului de absorbţ</w:t>
      </w:r>
      <w:r w:rsidRPr="002C1741">
        <w:rPr>
          <w:rFonts w:ascii="Calibri" w:eastAsia="Calibri" w:hAnsi="Calibri"/>
          <w:b/>
          <w:color w:val="000048"/>
          <w:szCs w:val="22"/>
          <w:shd w:val="clear" w:color="auto" w:fill="D9D9D9" w:themeFill="background1" w:themeFillShade="D9"/>
          <w:lang w:val="ro-RO"/>
        </w:rPr>
        <w:t>ie a fondurilor structurale şi de coeziune</w:t>
      </w:r>
      <w:r w:rsidRPr="002C1741">
        <w:rPr>
          <w:rFonts w:ascii="Calibri" w:eastAsia="Calibri" w:hAnsi="Calibri"/>
          <w:color w:val="000048"/>
          <w:szCs w:val="22"/>
          <w:lang w:val="ro-RO"/>
        </w:rPr>
        <w:t xml:space="preserve">; </w:t>
      </w:r>
    </w:p>
    <w:p w:rsidR="006A425D" w:rsidRPr="002C1741" w:rsidRDefault="006A425D" w:rsidP="006A425D">
      <w:pPr>
        <w:spacing w:line="276" w:lineRule="auto"/>
        <w:contextualSpacing/>
        <w:jc w:val="both"/>
        <w:textAlignment w:val="baseline"/>
        <w:rPr>
          <w:rFonts w:ascii="Calibri" w:eastAsia="Calibri" w:hAnsi="Calibri" w:cs="Arial"/>
          <w:szCs w:val="22"/>
          <w:lang w:val="ro-RO"/>
        </w:rPr>
      </w:pPr>
      <w:r w:rsidRPr="002C1741">
        <w:rPr>
          <w:rFonts w:ascii="Calibri" w:eastAsia="Calibri" w:hAnsi="Calibri" w:cs="Arial"/>
          <w:szCs w:val="22"/>
          <w:lang w:val="ro-RO"/>
        </w:rPr>
        <w:t xml:space="preserve">Fondurile europene reprezintă un element central al sustenabilității bugetare prin prisma strategiei investiționale și a caracterului nerambursabil al acestora. Crearea cadrului legislativ și instituțional în domeniul fondurilor ESI va permite creșterea absorbției pe orizontul de referință, cu rol de stimulare a activității economice. </w:t>
      </w:r>
    </w:p>
    <w:p w:rsidR="006A425D" w:rsidRPr="002C1741" w:rsidRDefault="006A425D" w:rsidP="00565476">
      <w:pPr>
        <w:numPr>
          <w:ilvl w:val="0"/>
          <w:numId w:val="184"/>
        </w:numPr>
        <w:spacing w:before="120" w:after="120" w:line="276" w:lineRule="auto"/>
        <w:contextualSpacing/>
        <w:jc w:val="both"/>
        <w:rPr>
          <w:rFonts w:ascii="Calibri" w:eastAsia="Calibri" w:hAnsi="Calibri" w:cs="Arial"/>
          <w:bCs/>
          <w:sz w:val="22"/>
          <w:szCs w:val="22"/>
          <w:u w:val="single"/>
          <w:lang w:val="ro-RO"/>
        </w:rPr>
      </w:pPr>
      <w:r w:rsidRPr="002C1741">
        <w:rPr>
          <w:rFonts w:ascii="Calibri" w:eastAsia="Calibri" w:hAnsi="Calibri" w:cs="Arial"/>
          <w:szCs w:val="22"/>
          <w:lang w:val="ro-RO" w:eastAsia="zh-CN"/>
        </w:rPr>
        <w:t>Valoarea aplicațiilor de plată care a fost declarată Comisiei Europene este de 16,73 miliarde euro</w:t>
      </w:r>
      <w:r w:rsidRPr="002C1741">
        <w:rPr>
          <w:rFonts w:ascii="Calibri" w:eastAsia="Calibri" w:hAnsi="Calibri" w:cs="Arial"/>
          <w:b/>
          <w:color w:val="000048"/>
          <w:szCs w:val="22"/>
          <w:lang w:val="ro-RO" w:eastAsia="zh-CN"/>
        </w:rPr>
        <w:t>, ceea ce reprezintă o rată de absorbţie curentă</w:t>
      </w:r>
      <w:r w:rsidRPr="002C1741">
        <w:rPr>
          <w:rFonts w:ascii="Calibri" w:eastAsia="Calibri" w:hAnsi="Calibri" w:cs="Arial"/>
          <w:b/>
          <w:color w:val="000048"/>
          <w:szCs w:val="22"/>
          <w:vertAlign w:val="superscript"/>
          <w:lang w:val="ro-RO" w:eastAsia="zh-CN"/>
        </w:rPr>
        <w:footnoteReference w:id="1"/>
      </w:r>
      <w:r w:rsidRPr="002C1741">
        <w:rPr>
          <w:rFonts w:ascii="Calibri" w:eastAsia="Calibri" w:hAnsi="Calibri" w:cs="Arial"/>
          <w:b/>
          <w:color w:val="000048"/>
          <w:szCs w:val="22"/>
          <w:lang w:val="ro-RO" w:eastAsia="zh-CN"/>
        </w:rPr>
        <w:t xml:space="preserve"> de aprox. 95,23%</w:t>
      </w:r>
      <w:r w:rsidRPr="002C1741">
        <w:rPr>
          <w:rFonts w:ascii="Calibri" w:eastAsia="Calibri" w:hAnsi="Calibri" w:cs="Arial"/>
          <w:szCs w:val="22"/>
          <w:lang w:val="ro-RO" w:eastAsia="zh-CN"/>
        </w:rPr>
        <w:t>din alocarea UE pentru perioada 2007 - 2013.</w:t>
      </w:r>
    </w:p>
    <w:p w:rsidR="006A425D" w:rsidRPr="002C1741" w:rsidRDefault="006A425D" w:rsidP="00565476">
      <w:pPr>
        <w:numPr>
          <w:ilvl w:val="0"/>
          <w:numId w:val="184"/>
        </w:numPr>
        <w:tabs>
          <w:tab w:val="left" w:pos="426"/>
        </w:tabs>
        <w:spacing w:before="120" w:after="120" w:line="276" w:lineRule="auto"/>
        <w:contextualSpacing/>
        <w:jc w:val="both"/>
        <w:rPr>
          <w:rFonts w:ascii="Calibri" w:eastAsia="Calibri" w:hAnsi="Calibri" w:cs="Arial"/>
          <w:b/>
          <w:color w:val="000048"/>
          <w:szCs w:val="22"/>
          <w:lang w:val="ro-RO" w:eastAsia="zh-CN"/>
        </w:rPr>
      </w:pPr>
      <w:r w:rsidRPr="002C1741">
        <w:rPr>
          <w:rFonts w:ascii="Calibri" w:eastAsia="Calibri" w:hAnsi="Calibri" w:cs="Arial"/>
          <w:szCs w:val="22"/>
          <w:lang w:val="ro-RO" w:eastAsia="zh-CN"/>
        </w:rPr>
        <w:t xml:space="preserve">Suma totală primită de România de la Comisia Europeană pentru perioada 2007 - 2013 este de 16,99 miliarde euro, ceea ce reprezintă aprox. 96,69% din alocarea UE pentru perioada 2007 – 2013, </w:t>
      </w:r>
      <w:r w:rsidRPr="002C1741">
        <w:rPr>
          <w:rFonts w:ascii="Calibri" w:eastAsia="Calibri" w:hAnsi="Calibri" w:cs="Arial"/>
          <w:b/>
          <w:color w:val="000048"/>
          <w:szCs w:val="22"/>
          <w:lang w:val="ro-RO" w:eastAsia="zh-CN"/>
        </w:rPr>
        <w:t>rata rambursărilor</w:t>
      </w:r>
      <w:r w:rsidRPr="002C1741">
        <w:rPr>
          <w:rFonts w:ascii="Calibri" w:eastAsia="Calibri" w:hAnsi="Calibri" w:cs="Arial"/>
          <w:b/>
          <w:color w:val="000048"/>
          <w:szCs w:val="22"/>
          <w:vertAlign w:val="superscript"/>
          <w:lang w:val="ro-RO" w:eastAsia="zh-CN"/>
        </w:rPr>
        <w:footnoteReference w:id="2"/>
      </w:r>
      <w:r w:rsidRPr="002C1741">
        <w:rPr>
          <w:rFonts w:ascii="Calibri" w:eastAsia="Calibri" w:hAnsi="Calibri" w:cs="Arial"/>
          <w:b/>
          <w:color w:val="000048"/>
          <w:szCs w:val="22"/>
          <w:lang w:val="ro-RO" w:eastAsia="zh-CN"/>
        </w:rPr>
        <w:t xml:space="preserve"> fiind de 84,7% din totalul alocat pentru perioada 2007 - 2013.</w:t>
      </w:r>
    </w:p>
    <w:p w:rsidR="006A425D" w:rsidRPr="002C1741" w:rsidRDefault="006A425D" w:rsidP="006A425D">
      <w:pPr>
        <w:suppressAutoHyphens/>
        <w:spacing w:before="120" w:after="120"/>
        <w:ind w:firstLine="360"/>
        <w:jc w:val="both"/>
        <w:rPr>
          <w:rFonts w:ascii="Calibri" w:hAnsi="Calibri" w:cs="Arial"/>
          <w:lang w:val="ro-RO" w:eastAsia="zh-CN"/>
        </w:rPr>
      </w:pPr>
      <w:r w:rsidRPr="002C1741">
        <w:rPr>
          <w:rFonts w:ascii="Calibri" w:hAnsi="Calibri" w:cs="Arial"/>
          <w:lang w:val="ro-RO" w:eastAsia="zh-CN"/>
        </w:rPr>
        <w:t>In exercițiul financiar 2014-2020 alocarea totală a României este de peste 43 miliarde euro, din care 22,9 miliarde euro prin Politica de Coeziune și aproximativ 20 miliarde euro prin Politica Agricolă Comună şi Politica Maritimă Integrată.</w:t>
      </w:r>
    </w:p>
    <w:p w:rsidR="006A425D" w:rsidRPr="002C1741" w:rsidRDefault="006A425D" w:rsidP="006A425D">
      <w:pPr>
        <w:suppressAutoHyphens/>
        <w:spacing w:before="120" w:after="120"/>
        <w:ind w:firstLine="709"/>
        <w:jc w:val="both"/>
        <w:rPr>
          <w:rFonts w:ascii="Calibri" w:hAnsi="Calibri" w:cs="Arial"/>
          <w:lang w:val="ro-RO" w:eastAsia="zh-CN"/>
        </w:rPr>
      </w:pPr>
      <w:r w:rsidRPr="002C1741">
        <w:rPr>
          <w:rFonts w:ascii="Calibri" w:hAnsi="Calibri" w:cs="Arial"/>
          <w:lang w:val="ro-RO" w:eastAsia="zh-CN"/>
        </w:rPr>
        <w:t xml:space="preserve">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(din care contribuția UE este de aprox. 670 milioane euro) milioane euro din fondurile aferente obiectivului cooperării teritoriale europene. </w:t>
      </w:r>
    </w:p>
    <w:p w:rsidR="006A425D" w:rsidRPr="003964D3" w:rsidRDefault="006A425D" w:rsidP="006A425D">
      <w:pPr>
        <w:widowControl w:val="0"/>
        <w:numPr>
          <w:ilvl w:val="0"/>
          <w:numId w:val="1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line="276" w:lineRule="auto"/>
        <w:ind w:left="993" w:hanging="426"/>
        <w:contextualSpacing/>
        <w:jc w:val="both"/>
        <w:rPr>
          <w:rFonts w:asciiTheme="minorHAnsi" w:hAnsiTheme="minorHAnsi"/>
          <w:i/>
          <w:color w:val="000048"/>
          <w:lang w:val="fr-FR"/>
        </w:rPr>
      </w:pPr>
      <w:r w:rsidRPr="003964D3">
        <w:rPr>
          <w:rFonts w:asciiTheme="minorHAnsi" w:hAnsiTheme="minorHAnsi"/>
          <w:i/>
          <w:color w:val="000048"/>
          <w:lang w:val="fr-FR"/>
        </w:rPr>
        <w:t>Guvernul își propune accelerarea ritmului de cheltuire a fondurilor europene pentru a ajunge la o rată de 72,5% până la 31 decembrie 2020 și 100% până la 31 decembrie 2023</w:t>
      </w:r>
      <w:r w:rsidRPr="002C1741">
        <w:rPr>
          <w:rFonts w:asciiTheme="minorHAnsi" w:hAnsiTheme="minorHAnsi"/>
          <w:i/>
          <w:color w:val="000048"/>
          <w:vertAlign w:val="superscript"/>
        </w:rPr>
        <w:footnoteReference w:id="3"/>
      </w:r>
      <w:r w:rsidRPr="003964D3">
        <w:rPr>
          <w:rFonts w:asciiTheme="minorHAnsi" w:hAnsiTheme="minorHAnsi"/>
          <w:i/>
          <w:color w:val="000048"/>
          <w:lang w:val="fr-FR"/>
        </w:rPr>
        <w:t>.</w:t>
      </w:r>
    </w:p>
    <w:p w:rsidR="006A425D" w:rsidRPr="003964D3" w:rsidRDefault="006A425D" w:rsidP="006A425D">
      <w:pPr>
        <w:widowControl w:val="0"/>
        <w:autoSpaceDE w:val="0"/>
        <w:autoSpaceDN w:val="0"/>
        <w:adjustRightInd w:val="0"/>
        <w:spacing w:after="120"/>
        <w:contextualSpacing/>
        <w:jc w:val="both"/>
        <w:rPr>
          <w:rFonts w:asciiTheme="minorHAnsi" w:hAnsiTheme="minorHAnsi"/>
          <w:i/>
          <w:color w:val="002060"/>
          <w:lang w:val="fr-FR"/>
        </w:rPr>
      </w:pPr>
    </w:p>
    <w:p w:rsidR="006A425D" w:rsidRPr="002C1741" w:rsidRDefault="006A425D" w:rsidP="006A425D">
      <w:pPr>
        <w:widowControl w:val="0"/>
        <w:autoSpaceDE w:val="0"/>
        <w:autoSpaceDN w:val="0"/>
        <w:adjustRightInd w:val="0"/>
        <w:spacing w:after="120"/>
        <w:contextualSpacing/>
        <w:jc w:val="both"/>
        <w:rPr>
          <w:rFonts w:ascii="Calibri" w:hAnsi="Calibri" w:cs="Arial"/>
          <w:color w:val="000080"/>
          <w:lang w:val="ro-RO"/>
        </w:rPr>
      </w:pPr>
    </w:p>
    <w:tbl>
      <w:tblPr>
        <w:tblW w:w="0" w:type="auto"/>
        <w:shd w:val="clear" w:color="auto" w:fill="E0E0E0"/>
        <w:tblLook w:val="01E0" w:firstRow="1" w:lastRow="1" w:firstColumn="1" w:lastColumn="1" w:noHBand="0" w:noVBand="0"/>
      </w:tblPr>
      <w:tblGrid>
        <w:gridCol w:w="9856"/>
      </w:tblGrid>
      <w:tr w:rsidR="006A425D" w:rsidRPr="008368B9" w:rsidTr="006A425D">
        <w:tc>
          <w:tcPr>
            <w:tcW w:w="9856" w:type="dxa"/>
            <w:shd w:val="clear" w:color="auto" w:fill="E0E0E0"/>
          </w:tcPr>
          <w:p w:rsidR="006A425D" w:rsidRPr="002C1741" w:rsidRDefault="006A425D" w:rsidP="006A425D">
            <w:pPr>
              <w:spacing w:before="120" w:after="100" w:line="269" w:lineRule="auto"/>
              <w:ind w:left="720" w:hanging="270"/>
              <w:jc w:val="both"/>
              <w:rPr>
                <w:rFonts w:ascii="Calibri" w:eastAsia="Calibri" w:hAnsi="Calibri"/>
                <w:b/>
                <w:color w:val="000048"/>
                <w:lang w:val="ro-RO"/>
              </w:rPr>
            </w:pPr>
            <w:r w:rsidRPr="002C1741">
              <w:rPr>
                <w:rFonts w:ascii="Calibri" w:hAnsi="Calibri" w:cs="Arial"/>
                <w:b/>
                <w:color w:val="000080"/>
                <w:lang w:val="ro-RO"/>
              </w:rPr>
              <w:t>2</w:t>
            </w:r>
            <w:r w:rsidRPr="002C1741">
              <w:rPr>
                <w:rFonts w:ascii="Calibri" w:hAnsi="Calibri" w:cs="Arial"/>
                <w:b/>
                <w:color w:val="000048"/>
                <w:lang w:val="ro-RO"/>
              </w:rPr>
              <w:t xml:space="preserve">. </w:t>
            </w:r>
            <w:r w:rsidRPr="002C1741">
              <w:rPr>
                <w:rFonts w:ascii="Calibri" w:eastAsia="Calibri" w:hAnsi="Calibri"/>
                <w:b/>
                <w:color w:val="000048"/>
                <w:lang w:val="ro-RO"/>
              </w:rPr>
              <w:t xml:space="preserve">Alocarea unor sume importante pentru sustinerea  investițiilor publice prin prioritizarea investițiilor publice semnificative pentru </w:t>
            </w:r>
            <w:r w:rsidRPr="002C1741">
              <w:rPr>
                <w:rFonts w:asciiTheme="minorHAnsi" w:eastAsiaTheme="minorHAnsi" w:hAnsiTheme="minorHAnsi" w:cstheme="minorBidi"/>
                <w:b/>
                <w:color w:val="000048"/>
                <w:lang w:val="ro-RO"/>
              </w:rPr>
              <w:t>asigurarea infrastructurii şi serviciilor, pentru îmbunătăţirea calităţii vieţii</w:t>
            </w:r>
            <w:r w:rsidRPr="002C1741">
              <w:rPr>
                <w:rFonts w:ascii="Calibri" w:eastAsia="Calibri" w:hAnsi="Calibri"/>
                <w:b/>
                <w:color w:val="000048"/>
                <w:lang w:val="ro-RO"/>
              </w:rPr>
              <w:t xml:space="preserve"> cu  efect multiplicator şi aport direct la formarea brută de capital fix;</w:t>
            </w:r>
          </w:p>
          <w:p w:rsidR="006A425D" w:rsidRPr="002C1741" w:rsidRDefault="006A425D" w:rsidP="006A425D">
            <w:pPr>
              <w:contextualSpacing/>
              <w:textAlignment w:val="baseline"/>
              <w:rPr>
                <w:rFonts w:ascii="Calibri" w:hAnsi="Calibri" w:cs="Arial"/>
                <w:color w:val="000080"/>
                <w:lang w:val="ro-RO"/>
              </w:rPr>
            </w:pPr>
          </w:p>
        </w:tc>
      </w:tr>
    </w:tbl>
    <w:p w:rsidR="006A425D" w:rsidRDefault="006A425D" w:rsidP="006A425D">
      <w:pPr>
        <w:contextualSpacing/>
        <w:textAlignment w:val="baseline"/>
        <w:rPr>
          <w:rFonts w:ascii="Calibri" w:hAnsi="Calibri" w:cs="Arial"/>
          <w:color w:val="000080"/>
          <w:lang w:val="ro-RO"/>
        </w:rPr>
      </w:pPr>
    </w:p>
    <w:p w:rsidR="00BF22CD" w:rsidRPr="002C1741" w:rsidRDefault="00BF22CD" w:rsidP="006A425D">
      <w:pPr>
        <w:contextualSpacing/>
        <w:textAlignment w:val="baseline"/>
        <w:rPr>
          <w:rFonts w:ascii="Calibri" w:hAnsi="Calibri" w:cs="Arial"/>
          <w:color w:val="000080"/>
          <w:lang w:val="ro-RO"/>
        </w:rPr>
      </w:pPr>
    </w:p>
    <w:p w:rsidR="006A425D" w:rsidRDefault="006A425D" w:rsidP="006A425D">
      <w:pPr>
        <w:autoSpaceDE w:val="0"/>
        <w:autoSpaceDN w:val="0"/>
        <w:adjustRightInd w:val="0"/>
        <w:jc w:val="both"/>
        <w:rPr>
          <w:rFonts w:ascii="Calibri" w:hAnsi="Calibri" w:cs="Arial"/>
          <w:b/>
          <w:color w:val="000066"/>
          <w:lang w:val="ro-RO"/>
        </w:rPr>
      </w:pPr>
      <w:r w:rsidRPr="002C1741">
        <w:rPr>
          <w:rFonts w:ascii="Calibri" w:hAnsi="Calibri" w:cs="Arial"/>
          <w:b/>
          <w:color w:val="000066"/>
          <w:lang w:val="ro-RO"/>
        </w:rPr>
        <w:t>Cheltuielile de investiţii în perioada 2017-2021</w:t>
      </w:r>
    </w:p>
    <w:p w:rsidR="006A425D" w:rsidRDefault="006A425D" w:rsidP="006A425D">
      <w:pPr>
        <w:autoSpaceDE w:val="0"/>
        <w:autoSpaceDN w:val="0"/>
        <w:adjustRightInd w:val="0"/>
        <w:jc w:val="both"/>
        <w:rPr>
          <w:rFonts w:ascii="Calibri" w:hAnsi="Calibri" w:cs="Arial"/>
          <w:b/>
          <w:color w:val="000066"/>
          <w:lang w:val="ro-RO"/>
        </w:rPr>
      </w:pPr>
    </w:p>
    <w:tbl>
      <w:tblPr>
        <w:tblW w:w="8502" w:type="dxa"/>
        <w:jc w:val="center"/>
        <w:tblLayout w:type="fixed"/>
        <w:tblLook w:val="0000" w:firstRow="0" w:lastRow="0" w:firstColumn="0" w:lastColumn="0" w:noHBand="0" w:noVBand="0"/>
      </w:tblPr>
      <w:tblGrid>
        <w:gridCol w:w="2562"/>
        <w:gridCol w:w="1080"/>
        <w:gridCol w:w="1260"/>
        <w:gridCol w:w="1260"/>
        <w:gridCol w:w="1260"/>
        <w:gridCol w:w="1080"/>
      </w:tblGrid>
      <w:tr w:rsidR="006A425D" w:rsidRPr="001B7F00" w:rsidTr="006A425D">
        <w:trPr>
          <w:trHeight w:val="315"/>
          <w:jc w:val="center"/>
        </w:trPr>
        <w:tc>
          <w:tcPr>
            <w:tcW w:w="2562" w:type="dxa"/>
            <w:tcBorders>
              <w:top w:val="nil"/>
            </w:tcBorders>
            <w:shd w:val="clear" w:color="auto" w:fill="99CCFF"/>
          </w:tcPr>
          <w:p w:rsidR="006A425D" w:rsidRPr="001B7F00" w:rsidRDefault="006A425D" w:rsidP="006A425D">
            <w:pPr>
              <w:spacing w:line="360" w:lineRule="auto"/>
              <w:rPr>
                <w:rFonts w:ascii="Calibri" w:hAnsi="Calibri" w:cs="Arial"/>
                <w:lang w:val="ro-RO"/>
              </w:rPr>
            </w:pPr>
          </w:p>
        </w:tc>
        <w:tc>
          <w:tcPr>
            <w:tcW w:w="1080" w:type="dxa"/>
            <w:tcBorders>
              <w:top w:val="nil"/>
            </w:tcBorders>
            <w:shd w:val="clear" w:color="auto" w:fill="99CCFF"/>
          </w:tcPr>
          <w:p w:rsidR="006A425D" w:rsidRPr="001B7F00" w:rsidRDefault="006A425D" w:rsidP="006A425D">
            <w:pPr>
              <w:spacing w:line="360" w:lineRule="auto"/>
              <w:jc w:val="center"/>
              <w:rPr>
                <w:rFonts w:ascii="Calibri" w:hAnsi="Calibri" w:cs="Arial"/>
                <w:b/>
                <w:bCs/>
                <w:lang w:val="ro-RO"/>
              </w:rPr>
            </w:pPr>
            <w:r w:rsidRPr="001B7F00">
              <w:rPr>
                <w:rFonts w:ascii="Calibri" w:eastAsia="Calibri" w:hAnsi="Calibri" w:cs="Arial"/>
                <w:b/>
                <w:bCs/>
                <w:lang w:val="ro-RO"/>
              </w:rPr>
              <w:t>2017</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lang w:val="ro-RO"/>
              </w:rPr>
            </w:pPr>
            <w:r w:rsidRPr="001B7F00">
              <w:rPr>
                <w:rFonts w:ascii="Calibri" w:eastAsia="Calibri" w:hAnsi="Calibri" w:cs="Arial"/>
                <w:b/>
                <w:bCs/>
                <w:lang w:val="ro-RO"/>
              </w:rPr>
              <w:t>2018</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lang w:val="ro-RO"/>
              </w:rPr>
            </w:pPr>
            <w:r w:rsidRPr="001B7F00">
              <w:rPr>
                <w:rFonts w:ascii="Calibri" w:eastAsia="Calibri" w:hAnsi="Calibri" w:cs="Arial"/>
                <w:b/>
                <w:bCs/>
                <w:lang w:val="ro-RO"/>
              </w:rPr>
              <w:t>2019</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lang w:val="ro-RO"/>
              </w:rPr>
            </w:pPr>
            <w:r w:rsidRPr="001B7F00">
              <w:rPr>
                <w:rFonts w:ascii="Calibri" w:eastAsia="Calibri" w:hAnsi="Calibri" w:cs="Arial"/>
                <w:b/>
                <w:bCs/>
                <w:lang w:val="ro-RO"/>
              </w:rPr>
              <w:t>2020</w:t>
            </w:r>
          </w:p>
        </w:tc>
        <w:tc>
          <w:tcPr>
            <w:tcW w:w="1080" w:type="dxa"/>
            <w:tcBorders>
              <w:top w:val="nil"/>
            </w:tcBorders>
            <w:shd w:val="clear" w:color="auto" w:fill="99CCFF"/>
          </w:tcPr>
          <w:p w:rsidR="006A425D" w:rsidRPr="001B7F00" w:rsidRDefault="006A425D" w:rsidP="006A425D">
            <w:pPr>
              <w:spacing w:line="360" w:lineRule="auto"/>
              <w:jc w:val="center"/>
              <w:rPr>
                <w:rFonts w:ascii="Calibri" w:hAnsi="Calibri" w:cs="Arial"/>
                <w:b/>
                <w:bCs/>
                <w:lang w:val="ro-RO"/>
              </w:rPr>
            </w:pPr>
            <w:r w:rsidRPr="001B7F00">
              <w:rPr>
                <w:rFonts w:ascii="Calibri" w:eastAsia="Calibri" w:hAnsi="Calibri" w:cs="Arial"/>
                <w:b/>
                <w:bCs/>
                <w:lang w:val="ro-RO"/>
              </w:rPr>
              <w:t>2021</w:t>
            </w:r>
          </w:p>
        </w:tc>
      </w:tr>
      <w:tr w:rsidR="006A425D" w:rsidRPr="001B7F00" w:rsidTr="006A425D">
        <w:trPr>
          <w:trHeight w:val="315"/>
          <w:jc w:val="center"/>
        </w:trPr>
        <w:tc>
          <w:tcPr>
            <w:tcW w:w="2562" w:type="dxa"/>
            <w:shd w:val="clear" w:color="auto" w:fill="99CCFF"/>
            <w:vAlign w:val="center"/>
          </w:tcPr>
          <w:p w:rsidR="006A425D" w:rsidRPr="001B7F00" w:rsidRDefault="006A425D" w:rsidP="006A425D">
            <w:pPr>
              <w:spacing w:line="360" w:lineRule="auto"/>
              <w:rPr>
                <w:rFonts w:ascii="Calibri" w:hAnsi="Calibri" w:cs="Arial"/>
                <w:lang w:val="ro-RO"/>
              </w:rPr>
            </w:pPr>
          </w:p>
        </w:tc>
        <w:tc>
          <w:tcPr>
            <w:tcW w:w="1080" w:type="dxa"/>
            <w:tcBorders>
              <w:right w:val="nil"/>
            </w:tcBorders>
            <w:shd w:val="clear" w:color="auto" w:fill="99CCFF"/>
            <w:vAlign w:val="center"/>
          </w:tcPr>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hAnsi="Calibri" w:cs="Arial"/>
                <w:b/>
                <w:bCs/>
                <w:sz w:val="20"/>
                <w:szCs w:val="20"/>
                <w:lang w:val="ro-RO"/>
              </w:rPr>
              <w:t>realizari</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hAnsi="Calibri" w:cs="Arial"/>
                <w:b/>
                <w:bCs/>
                <w:sz w:val="20"/>
                <w:szCs w:val="20"/>
                <w:lang w:val="ro-RO"/>
              </w:rPr>
              <w:t>execuție</w:t>
            </w:r>
          </w:p>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hAnsi="Calibri" w:cs="Arial"/>
                <w:b/>
                <w:bCs/>
                <w:sz w:val="20"/>
                <w:szCs w:val="20"/>
                <w:lang w:val="ro-RO"/>
              </w:rPr>
              <w:t>preliminată</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hAnsi="Calibri" w:cs="Arial"/>
                <w:b/>
                <w:bCs/>
                <w:sz w:val="20"/>
                <w:szCs w:val="20"/>
                <w:lang w:val="ro-RO"/>
              </w:rPr>
              <w:t>propuneri</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hAnsi="Calibri" w:cs="Arial"/>
                <w:b/>
                <w:bCs/>
                <w:sz w:val="20"/>
                <w:szCs w:val="20"/>
                <w:lang w:val="ro-RO"/>
              </w:rPr>
              <w:t>estimări</w:t>
            </w:r>
          </w:p>
        </w:tc>
        <w:tc>
          <w:tcPr>
            <w:tcW w:w="108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lang w:val="ro-RO"/>
              </w:rPr>
            </w:pPr>
            <w:r w:rsidRPr="001B7F00">
              <w:rPr>
                <w:rFonts w:ascii="Calibri" w:eastAsia="Calibri" w:hAnsi="Calibri" w:cs="Arial"/>
                <w:b/>
                <w:bCs/>
                <w:sz w:val="20"/>
                <w:szCs w:val="20"/>
                <w:lang w:val="ro-RO"/>
              </w:rPr>
              <w:t>estimări</w:t>
            </w:r>
          </w:p>
        </w:tc>
      </w:tr>
      <w:tr w:rsidR="006A425D" w:rsidRPr="001B7F00" w:rsidTr="006A425D">
        <w:trPr>
          <w:trHeight w:val="600"/>
          <w:jc w:val="center"/>
        </w:trPr>
        <w:tc>
          <w:tcPr>
            <w:tcW w:w="2562" w:type="dxa"/>
            <w:tcBorders>
              <w:bottom w:val="nil"/>
            </w:tcBorders>
            <w:shd w:val="clear" w:color="auto" w:fill="FFFFFF"/>
          </w:tcPr>
          <w:p w:rsidR="006A425D" w:rsidRPr="001B7F00" w:rsidRDefault="006A425D" w:rsidP="006A425D">
            <w:pPr>
              <w:rPr>
                <w:rFonts w:ascii="Calibri" w:hAnsi="Calibri" w:cs="Arial"/>
                <w:sz w:val="22"/>
                <w:szCs w:val="22"/>
                <w:lang w:val="ro-RO"/>
              </w:rPr>
            </w:pPr>
            <w:r w:rsidRPr="001B7F00">
              <w:rPr>
                <w:rFonts w:ascii="Calibri" w:hAnsi="Calibri" w:cs="Arial"/>
                <w:sz w:val="22"/>
                <w:szCs w:val="22"/>
                <w:lang w:val="ro-RO"/>
              </w:rPr>
              <w:t>Cheltuieli totale BGC (mil. lei)</w:t>
            </w:r>
          </w:p>
        </w:tc>
        <w:tc>
          <w:tcPr>
            <w:tcW w:w="1080" w:type="dxa"/>
            <w:tcBorders>
              <w:left w:val="nil"/>
              <w:bottom w:val="nil"/>
              <w:right w:val="nil"/>
            </w:tcBorders>
            <w:shd w:val="clear" w:color="auto" w:fill="FFFFFF"/>
          </w:tcPr>
          <w:p w:rsidR="006A425D" w:rsidRPr="001B7F00" w:rsidRDefault="006A425D" w:rsidP="006A425D">
            <w:pPr>
              <w:spacing w:line="360" w:lineRule="auto"/>
              <w:jc w:val="center"/>
              <w:rPr>
                <w:rFonts w:ascii="Calibri" w:hAnsi="Calibri" w:cs="Arial"/>
                <w:sz w:val="22"/>
                <w:szCs w:val="22"/>
                <w:lang w:val="ro-RO"/>
              </w:rPr>
            </w:pPr>
            <w:r w:rsidRPr="001B7F00">
              <w:rPr>
                <w:rFonts w:ascii="Calibri" w:hAnsi="Calibri" w:cs="Arial"/>
                <w:sz w:val="22"/>
                <w:szCs w:val="22"/>
                <w:lang w:val="ro-RO"/>
              </w:rPr>
              <w:t>276.161</w:t>
            </w:r>
          </w:p>
        </w:tc>
        <w:tc>
          <w:tcPr>
            <w:tcW w:w="1260" w:type="dxa"/>
            <w:tcBorders>
              <w:left w:val="nil"/>
              <w:bottom w:val="nil"/>
              <w:right w:val="nil"/>
            </w:tcBorders>
            <w:shd w:val="clear" w:color="auto" w:fill="FFFFFF"/>
          </w:tcPr>
          <w:p w:rsidR="006A425D" w:rsidRPr="003350EC" w:rsidRDefault="006A425D" w:rsidP="006A425D">
            <w:pPr>
              <w:spacing w:line="360" w:lineRule="auto"/>
              <w:jc w:val="center"/>
              <w:rPr>
                <w:rFonts w:ascii="Calibri" w:hAnsi="Calibri" w:cs="Arial"/>
                <w:color w:val="000000" w:themeColor="text1"/>
                <w:sz w:val="22"/>
                <w:szCs w:val="22"/>
                <w:lang w:val="ro-RO"/>
              </w:rPr>
            </w:pPr>
            <w:r w:rsidRPr="003350EC">
              <w:rPr>
                <w:rFonts w:ascii="Calibri" w:hAnsi="Calibri" w:cs="Arial"/>
                <w:color w:val="000000" w:themeColor="text1"/>
                <w:sz w:val="22"/>
                <w:szCs w:val="22"/>
                <w:lang w:val="ro-RO"/>
              </w:rPr>
              <w:t>322.454</w:t>
            </w:r>
          </w:p>
        </w:tc>
        <w:tc>
          <w:tcPr>
            <w:tcW w:w="126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lang w:val="ro-RO"/>
              </w:rPr>
            </w:pPr>
            <w:r>
              <w:rPr>
                <w:rFonts w:ascii="Calibri" w:hAnsi="Calibri" w:cs="Arial"/>
                <w:sz w:val="22"/>
                <w:szCs w:val="22"/>
                <w:lang w:val="ro-RO"/>
              </w:rPr>
              <w:t>370.924</w:t>
            </w:r>
          </w:p>
        </w:tc>
        <w:tc>
          <w:tcPr>
            <w:tcW w:w="126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lang w:val="ro-RO"/>
              </w:rPr>
            </w:pPr>
            <w:r>
              <w:rPr>
                <w:rFonts w:ascii="Calibri" w:hAnsi="Calibri" w:cs="Arial"/>
                <w:sz w:val="22"/>
                <w:szCs w:val="22"/>
                <w:lang w:val="ro-RO"/>
              </w:rPr>
              <w:t>380.433</w:t>
            </w:r>
          </w:p>
        </w:tc>
        <w:tc>
          <w:tcPr>
            <w:tcW w:w="108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lang w:val="ro-RO"/>
              </w:rPr>
            </w:pPr>
            <w:r>
              <w:rPr>
                <w:rFonts w:ascii="Calibri" w:hAnsi="Calibri" w:cs="Arial"/>
                <w:sz w:val="22"/>
                <w:szCs w:val="22"/>
                <w:lang w:val="ro-RO"/>
              </w:rPr>
              <w:t>400.500</w:t>
            </w:r>
          </w:p>
        </w:tc>
      </w:tr>
      <w:tr w:rsidR="006A425D" w:rsidRPr="001B7F00" w:rsidTr="006A425D">
        <w:trPr>
          <w:trHeight w:val="300"/>
          <w:jc w:val="center"/>
        </w:trPr>
        <w:tc>
          <w:tcPr>
            <w:tcW w:w="2562" w:type="dxa"/>
            <w:tcBorders>
              <w:top w:val="nil"/>
              <w:left w:val="nil"/>
              <w:bottom w:val="nil"/>
              <w:right w:val="nil"/>
            </w:tcBorders>
            <w:shd w:val="clear" w:color="auto" w:fill="FFFFFF"/>
          </w:tcPr>
          <w:p w:rsidR="006A425D" w:rsidRPr="001B7F00" w:rsidRDefault="006A425D" w:rsidP="006A425D">
            <w:pPr>
              <w:rPr>
                <w:rFonts w:ascii="Calibri" w:hAnsi="Calibri" w:cs="Arial"/>
                <w:sz w:val="22"/>
                <w:szCs w:val="22"/>
                <w:lang w:val="ro-RO"/>
              </w:rPr>
            </w:pPr>
            <w:r w:rsidRPr="001B7F00">
              <w:rPr>
                <w:rFonts w:ascii="Calibri" w:eastAsia="Calibri" w:hAnsi="Calibri" w:cs="Arial"/>
                <w:sz w:val="22"/>
                <w:szCs w:val="22"/>
                <w:lang w:val="ro-RO"/>
              </w:rPr>
              <w:t>- % din PIB</w:t>
            </w:r>
          </w:p>
        </w:tc>
        <w:tc>
          <w:tcPr>
            <w:tcW w:w="1080" w:type="dxa"/>
            <w:tcBorders>
              <w:top w:val="nil"/>
              <w:left w:val="nil"/>
              <w:bottom w:val="nil"/>
              <w:right w:val="nil"/>
            </w:tcBorders>
            <w:shd w:val="clear" w:color="auto" w:fill="FFFFFF"/>
          </w:tcPr>
          <w:p w:rsidR="006A425D" w:rsidRPr="001B7F00" w:rsidRDefault="006A425D" w:rsidP="006A425D">
            <w:pPr>
              <w:spacing w:line="360" w:lineRule="auto"/>
              <w:jc w:val="center"/>
              <w:rPr>
                <w:rFonts w:ascii="Calibri" w:hAnsi="Calibri" w:cs="Arial"/>
                <w:sz w:val="22"/>
                <w:szCs w:val="22"/>
                <w:lang w:val="ro-RO"/>
              </w:rPr>
            </w:pPr>
            <w:r w:rsidRPr="001B7F00">
              <w:rPr>
                <w:rFonts w:ascii="Calibri" w:hAnsi="Calibri" w:cs="Arial"/>
                <w:sz w:val="22"/>
                <w:szCs w:val="22"/>
                <w:lang w:val="ro-RO"/>
              </w:rPr>
              <w:t>32,24</w:t>
            </w:r>
          </w:p>
        </w:tc>
        <w:tc>
          <w:tcPr>
            <w:tcW w:w="1260" w:type="dxa"/>
            <w:tcBorders>
              <w:top w:val="nil"/>
              <w:left w:val="nil"/>
              <w:bottom w:val="nil"/>
              <w:right w:val="nil"/>
            </w:tcBorders>
            <w:shd w:val="clear" w:color="auto" w:fill="FFFFFF"/>
          </w:tcPr>
          <w:p w:rsidR="006A425D" w:rsidRPr="003350EC" w:rsidRDefault="006A425D" w:rsidP="00C55301">
            <w:pPr>
              <w:spacing w:line="360" w:lineRule="auto"/>
              <w:jc w:val="center"/>
              <w:rPr>
                <w:rFonts w:ascii="Calibri" w:hAnsi="Calibri" w:cs="Arial"/>
                <w:color w:val="000000" w:themeColor="text1"/>
                <w:sz w:val="22"/>
                <w:szCs w:val="22"/>
                <w:lang w:val="ro-RO"/>
              </w:rPr>
            </w:pPr>
            <w:r w:rsidRPr="003350EC">
              <w:rPr>
                <w:rFonts w:ascii="Calibri" w:hAnsi="Calibri" w:cs="Arial"/>
                <w:color w:val="000000" w:themeColor="text1"/>
                <w:sz w:val="22"/>
                <w:szCs w:val="22"/>
                <w:lang w:val="ro-RO"/>
              </w:rPr>
              <w:t>3</w:t>
            </w:r>
            <w:r w:rsidR="00C55301" w:rsidRPr="003350EC">
              <w:rPr>
                <w:rFonts w:ascii="Calibri" w:hAnsi="Calibri" w:cs="Arial"/>
                <w:color w:val="000000" w:themeColor="text1"/>
                <w:sz w:val="22"/>
                <w:szCs w:val="22"/>
                <w:lang w:val="ro-RO"/>
              </w:rPr>
              <w:t>4</w:t>
            </w:r>
            <w:r w:rsidRPr="003350EC">
              <w:rPr>
                <w:rFonts w:ascii="Calibri" w:hAnsi="Calibri" w:cs="Arial"/>
                <w:color w:val="000000" w:themeColor="text1"/>
                <w:sz w:val="22"/>
                <w:szCs w:val="22"/>
                <w:lang w:val="ro-RO"/>
              </w:rPr>
              <w:t>,</w:t>
            </w:r>
            <w:r w:rsidR="00C55301" w:rsidRPr="003350EC">
              <w:rPr>
                <w:rFonts w:ascii="Calibri" w:hAnsi="Calibri" w:cs="Arial"/>
                <w:color w:val="000000" w:themeColor="text1"/>
                <w:sz w:val="22"/>
                <w:szCs w:val="22"/>
                <w:lang w:val="ro-RO"/>
              </w:rPr>
              <w:t>29</w:t>
            </w:r>
          </w:p>
        </w:tc>
        <w:tc>
          <w:tcPr>
            <w:tcW w:w="126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lang w:val="ro-RO"/>
              </w:rPr>
            </w:pPr>
            <w:r>
              <w:rPr>
                <w:rFonts w:ascii="Calibri" w:hAnsi="Calibri" w:cs="Arial"/>
                <w:sz w:val="22"/>
                <w:szCs w:val="22"/>
                <w:lang w:val="ro-RO"/>
              </w:rPr>
              <w:t>36,28</w:t>
            </w:r>
          </w:p>
        </w:tc>
        <w:tc>
          <w:tcPr>
            <w:tcW w:w="126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color w:val="000000"/>
                <w:sz w:val="22"/>
                <w:szCs w:val="22"/>
                <w:lang w:val="ro-RO"/>
              </w:rPr>
            </w:pPr>
            <w:r>
              <w:rPr>
                <w:rFonts w:ascii="Calibri" w:hAnsi="Calibri" w:cs="Arial"/>
                <w:color w:val="000000"/>
                <w:sz w:val="22"/>
                <w:szCs w:val="22"/>
                <w:lang w:val="ro-RO"/>
              </w:rPr>
              <w:t>34,55</w:t>
            </w:r>
          </w:p>
        </w:tc>
        <w:tc>
          <w:tcPr>
            <w:tcW w:w="108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color w:val="000000"/>
                <w:sz w:val="22"/>
                <w:szCs w:val="22"/>
                <w:lang w:val="ro-RO"/>
              </w:rPr>
            </w:pPr>
            <w:r>
              <w:rPr>
                <w:rFonts w:ascii="Calibri" w:hAnsi="Calibri" w:cs="Arial"/>
                <w:color w:val="000000"/>
                <w:sz w:val="22"/>
                <w:szCs w:val="22"/>
                <w:lang w:val="ro-RO"/>
              </w:rPr>
              <w:t>33,98</w:t>
            </w:r>
          </w:p>
        </w:tc>
      </w:tr>
      <w:tr w:rsidR="006A425D" w:rsidRPr="001B7F00" w:rsidTr="006A425D">
        <w:trPr>
          <w:trHeight w:val="814"/>
          <w:jc w:val="center"/>
        </w:trPr>
        <w:tc>
          <w:tcPr>
            <w:tcW w:w="2562" w:type="dxa"/>
            <w:tcBorders>
              <w:top w:val="nil"/>
              <w:left w:val="nil"/>
              <w:right w:val="nil"/>
            </w:tcBorders>
            <w:shd w:val="clear" w:color="auto" w:fill="FFFFFF"/>
          </w:tcPr>
          <w:p w:rsidR="006A425D" w:rsidRPr="001B7F00" w:rsidRDefault="006A425D" w:rsidP="006A425D">
            <w:pPr>
              <w:rPr>
                <w:rFonts w:ascii="Calibri" w:hAnsi="Calibri" w:cs="Arial"/>
                <w:sz w:val="22"/>
                <w:szCs w:val="22"/>
                <w:lang w:val="ro-RO"/>
              </w:rPr>
            </w:pPr>
            <w:r w:rsidRPr="001B7F00">
              <w:rPr>
                <w:rFonts w:ascii="Calibri" w:hAnsi="Calibri" w:cs="Arial"/>
                <w:sz w:val="22"/>
                <w:szCs w:val="22"/>
                <w:lang w:val="ro-RO"/>
              </w:rPr>
              <w:t>Cheltuieli de investiţii BGC (mil. lei)</w:t>
            </w:r>
          </w:p>
        </w:tc>
        <w:tc>
          <w:tcPr>
            <w:tcW w:w="108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sz w:val="22"/>
                <w:szCs w:val="22"/>
                <w:lang w:val="ro-RO"/>
              </w:rPr>
            </w:pPr>
            <w:r>
              <w:rPr>
                <w:rFonts w:ascii="Calibri" w:hAnsi="Calibri" w:cs="Arial"/>
                <w:sz w:val="22"/>
                <w:szCs w:val="22"/>
                <w:lang w:val="ro-RO"/>
              </w:rPr>
              <w:t>26.753</w:t>
            </w:r>
          </w:p>
        </w:tc>
        <w:tc>
          <w:tcPr>
            <w:tcW w:w="126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sz w:val="22"/>
                <w:szCs w:val="22"/>
                <w:lang w:val="ro-RO"/>
              </w:rPr>
            </w:pPr>
            <w:r w:rsidRPr="001B7F00">
              <w:rPr>
                <w:rFonts w:ascii="Calibri" w:hAnsi="Calibri" w:cs="Arial"/>
                <w:sz w:val="22"/>
                <w:szCs w:val="22"/>
                <w:lang w:val="ro-RO"/>
              </w:rPr>
              <w:t>34.229</w:t>
            </w:r>
          </w:p>
        </w:tc>
        <w:tc>
          <w:tcPr>
            <w:tcW w:w="1260" w:type="dxa"/>
            <w:tcBorders>
              <w:top w:val="nil"/>
              <w:left w:val="nil"/>
              <w:right w:val="nil"/>
            </w:tcBorders>
            <w:shd w:val="clear" w:color="auto" w:fill="FFFFFF"/>
          </w:tcPr>
          <w:p w:rsidR="006A425D" w:rsidRPr="001B7F00" w:rsidRDefault="0055261B" w:rsidP="006A425D">
            <w:pPr>
              <w:spacing w:line="360" w:lineRule="auto"/>
              <w:jc w:val="center"/>
              <w:rPr>
                <w:rFonts w:ascii="Calibri" w:hAnsi="Calibri" w:cs="Arial"/>
                <w:sz w:val="22"/>
                <w:szCs w:val="22"/>
                <w:lang w:val="ro-RO"/>
              </w:rPr>
            </w:pPr>
            <w:r>
              <w:rPr>
                <w:rFonts w:ascii="Calibri" w:hAnsi="Calibri" w:cs="Arial"/>
                <w:sz w:val="22"/>
                <w:szCs w:val="22"/>
                <w:lang w:val="ro-RO"/>
              </w:rPr>
              <w:t>49.9</w:t>
            </w:r>
            <w:r w:rsidR="00870F9B">
              <w:rPr>
                <w:rFonts w:ascii="Calibri" w:hAnsi="Calibri" w:cs="Arial"/>
                <w:sz w:val="22"/>
                <w:szCs w:val="22"/>
                <w:lang w:val="ro-RO"/>
              </w:rPr>
              <w:t>5</w:t>
            </w:r>
            <w:r>
              <w:rPr>
                <w:rFonts w:ascii="Calibri" w:hAnsi="Calibri" w:cs="Arial"/>
                <w:sz w:val="22"/>
                <w:szCs w:val="22"/>
                <w:lang w:val="ro-RO"/>
              </w:rPr>
              <w:t>3</w:t>
            </w:r>
          </w:p>
        </w:tc>
        <w:tc>
          <w:tcPr>
            <w:tcW w:w="1260" w:type="dxa"/>
            <w:tcBorders>
              <w:top w:val="nil"/>
              <w:left w:val="nil"/>
              <w:right w:val="nil"/>
            </w:tcBorders>
            <w:shd w:val="clear" w:color="auto" w:fill="FFFFFF"/>
          </w:tcPr>
          <w:p w:rsidR="006A425D" w:rsidRPr="001B7F00" w:rsidRDefault="00766DE9" w:rsidP="006A425D">
            <w:pPr>
              <w:spacing w:line="360" w:lineRule="auto"/>
              <w:jc w:val="center"/>
              <w:rPr>
                <w:rFonts w:ascii="Calibri" w:hAnsi="Calibri" w:cs="Arial"/>
                <w:color w:val="000000"/>
                <w:sz w:val="22"/>
                <w:szCs w:val="22"/>
                <w:lang w:val="ro-RO"/>
              </w:rPr>
            </w:pPr>
            <w:r>
              <w:rPr>
                <w:rFonts w:ascii="Calibri" w:hAnsi="Calibri" w:cs="Arial"/>
                <w:color w:val="000000"/>
                <w:sz w:val="22"/>
                <w:szCs w:val="22"/>
                <w:lang w:val="ro-RO"/>
              </w:rPr>
              <w:t>42.978</w:t>
            </w:r>
          </w:p>
        </w:tc>
        <w:tc>
          <w:tcPr>
            <w:tcW w:w="108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color w:val="000000"/>
                <w:sz w:val="22"/>
                <w:szCs w:val="22"/>
                <w:lang w:val="ro-RO"/>
              </w:rPr>
            </w:pPr>
            <w:r w:rsidRPr="001B7F00">
              <w:rPr>
                <w:rFonts w:ascii="Calibri" w:hAnsi="Calibri" w:cs="Arial"/>
                <w:color w:val="000000"/>
                <w:sz w:val="22"/>
                <w:szCs w:val="22"/>
                <w:lang w:val="ro-RO"/>
              </w:rPr>
              <w:t>43.18</w:t>
            </w:r>
            <w:r w:rsidR="00766DE9">
              <w:rPr>
                <w:rFonts w:ascii="Calibri" w:hAnsi="Calibri" w:cs="Arial"/>
                <w:color w:val="000000"/>
                <w:sz w:val="22"/>
                <w:szCs w:val="22"/>
                <w:lang w:val="ro-RO"/>
              </w:rPr>
              <w:t>2</w:t>
            </w:r>
          </w:p>
        </w:tc>
      </w:tr>
      <w:tr w:rsidR="006A425D" w:rsidRPr="001B7F00" w:rsidTr="006A425D">
        <w:trPr>
          <w:trHeight w:val="589"/>
          <w:jc w:val="center"/>
        </w:trPr>
        <w:tc>
          <w:tcPr>
            <w:tcW w:w="2562" w:type="dxa"/>
            <w:tcBorders>
              <w:top w:val="nil"/>
            </w:tcBorders>
            <w:shd w:val="clear" w:color="auto" w:fill="FFFFFF"/>
          </w:tcPr>
          <w:p w:rsidR="006A425D" w:rsidRPr="001B7F00" w:rsidRDefault="006A425D" w:rsidP="006A425D">
            <w:pPr>
              <w:rPr>
                <w:rFonts w:ascii="Calibri" w:hAnsi="Calibri" w:cs="Arial"/>
                <w:sz w:val="22"/>
                <w:szCs w:val="22"/>
                <w:lang w:val="ro-RO"/>
              </w:rPr>
            </w:pPr>
            <w:r w:rsidRPr="001B7F00">
              <w:rPr>
                <w:rFonts w:ascii="Calibri" w:eastAsia="Calibri" w:hAnsi="Calibri" w:cs="Arial"/>
                <w:sz w:val="22"/>
                <w:szCs w:val="22"/>
                <w:lang w:val="ro-RO"/>
              </w:rPr>
              <w:t>% din cheltuieli  totale</w:t>
            </w:r>
          </w:p>
        </w:tc>
        <w:tc>
          <w:tcPr>
            <w:tcW w:w="1080" w:type="dxa"/>
            <w:tcBorders>
              <w:top w:val="nil"/>
            </w:tcBorders>
            <w:shd w:val="clear" w:color="auto" w:fill="FFFFFF"/>
          </w:tcPr>
          <w:p w:rsidR="006A425D" w:rsidRPr="001B7F00" w:rsidRDefault="006A425D" w:rsidP="006A425D">
            <w:pPr>
              <w:spacing w:line="360" w:lineRule="auto"/>
              <w:jc w:val="center"/>
              <w:rPr>
                <w:rFonts w:ascii="Calibri" w:hAnsi="Calibri" w:cs="Arial"/>
                <w:sz w:val="22"/>
                <w:szCs w:val="22"/>
                <w:lang w:val="ro-RO"/>
              </w:rPr>
            </w:pPr>
            <w:r w:rsidRPr="001B7F00">
              <w:rPr>
                <w:rFonts w:ascii="Calibri" w:hAnsi="Calibri" w:cs="Arial"/>
                <w:sz w:val="22"/>
                <w:szCs w:val="22"/>
                <w:lang w:val="ro-RO"/>
              </w:rPr>
              <w:t>9,68</w:t>
            </w:r>
          </w:p>
        </w:tc>
        <w:tc>
          <w:tcPr>
            <w:tcW w:w="1260" w:type="dxa"/>
            <w:tcBorders>
              <w:top w:val="nil"/>
            </w:tcBorders>
            <w:shd w:val="clear" w:color="auto" w:fill="FFFFFF"/>
          </w:tcPr>
          <w:p w:rsidR="006A425D" w:rsidRPr="003350EC" w:rsidRDefault="006A425D" w:rsidP="006A425D">
            <w:pPr>
              <w:spacing w:line="360" w:lineRule="auto"/>
              <w:jc w:val="center"/>
              <w:rPr>
                <w:rFonts w:ascii="Calibri" w:hAnsi="Calibri" w:cs="Arial"/>
                <w:color w:val="000000" w:themeColor="text1"/>
                <w:sz w:val="22"/>
                <w:szCs w:val="22"/>
                <w:lang w:val="ro-RO"/>
              </w:rPr>
            </w:pPr>
            <w:r w:rsidRPr="003350EC">
              <w:rPr>
                <w:rFonts w:ascii="Calibri" w:hAnsi="Calibri" w:cs="Arial"/>
                <w:color w:val="000000" w:themeColor="text1"/>
                <w:sz w:val="22"/>
                <w:szCs w:val="22"/>
                <w:lang w:val="ro-RO"/>
              </w:rPr>
              <w:t>10,61</w:t>
            </w:r>
          </w:p>
        </w:tc>
        <w:tc>
          <w:tcPr>
            <w:tcW w:w="1260" w:type="dxa"/>
            <w:tcBorders>
              <w:top w:val="nil"/>
            </w:tcBorders>
            <w:shd w:val="clear" w:color="auto" w:fill="FFFFFF"/>
          </w:tcPr>
          <w:p w:rsidR="006A425D" w:rsidRPr="001B7F00" w:rsidRDefault="009A7AAC" w:rsidP="006A425D">
            <w:pPr>
              <w:spacing w:line="360" w:lineRule="auto"/>
              <w:jc w:val="center"/>
              <w:rPr>
                <w:rFonts w:ascii="Calibri" w:hAnsi="Calibri" w:cs="Arial"/>
                <w:sz w:val="22"/>
                <w:szCs w:val="22"/>
                <w:lang w:val="ro-RO"/>
              </w:rPr>
            </w:pPr>
            <w:r>
              <w:rPr>
                <w:rFonts w:ascii="Calibri" w:hAnsi="Calibri" w:cs="Arial"/>
                <w:sz w:val="22"/>
                <w:szCs w:val="22"/>
                <w:lang w:val="ro-RO"/>
              </w:rPr>
              <w:t>13,46</w:t>
            </w:r>
          </w:p>
        </w:tc>
        <w:tc>
          <w:tcPr>
            <w:tcW w:w="1260" w:type="dxa"/>
            <w:tcBorders>
              <w:top w:val="nil"/>
            </w:tcBorders>
            <w:shd w:val="clear" w:color="auto" w:fill="FFFFFF"/>
          </w:tcPr>
          <w:p w:rsidR="006A425D" w:rsidRPr="001B7F00" w:rsidRDefault="00550F1F" w:rsidP="006A425D">
            <w:pPr>
              <w:spacing w:line="360" w:lineRule="auto"/>
              <w:jc w:val="center"/>
              <w:rPr>
                <w:rFonts w:ascii="Calibri" w:hAnsi="Calibri" w:cs="Arial"/>
                <w:color w:val="000000"/>
                <w:sz w:val="22"/>
                <w:szCs w:val="22"/>
                <w:lang w:val="ro-RO"/>
              </w:rPr>
            </w:pPr>
            <w:r>
              <w:rPr>
                <w:rFonts w:ascii="Calibri" w:hAnsi="Calibri" w:cs="Arial"/>
                <w:color w:val="000000"/>
                <w:sz w:val="22"/>
                <w:szCs w:val="22"/>
                <w:lang w:val="ro-RO"/>
              </w:rPr>
              <w:t>11,29</w:t>
            </w:r>
          </w:p>
        </w:tc>
        <w:tc>
          <w:tcPr>
            <w:tcW w:w="1080" w:type="dxa"/>
            <w:tcBorders>
              <w:top w:val="nil"/>
            </w:tcBorders>
            <w:shd w:val="clear" w:color="auto" w:fill="FFFFFF"/>
          </w:tcPr>
          <w:p w:rsidR="006A425D" w:rsidRPr="001B7F00" w:rsidRDefault="00550F1F" w:rsidP="006A425D">
            <w:pPr>
              <w:spacing w:line="360" w:lineRule="auto"/>
              <w:jc w:val="center"/>
              <w:rPr>
                <w:rFonts w:ascii="Calibri" w:hAnsi="Calibri" w:cs="Arial"/>
                <w:color w:val="000000"/>
                <w:sz w:val="22"/>
                <w:szCs w:val="22"/>
                <w:lang w:val="ro-RO"/>
              </w:rPr>
            </w:pPr>
            <w:r>
              <w:rPr>
                <w:rFonts w:ascii="Calibri" w:hAnsi="Calibri" w:cs="Arial"/>
                <w:color w:val="000000"/>
                <w:sz w:val="22"/>
                <w:szCs w:val="22"/>
                <w:lang w:val="ro-RO"/>
              </w:rPr>
              <w:t>10,78</w:t>
            </w:r>
          </w:p>
        </w:tc>
      </w:tr>
      <w:tr w:rsidR="006A425D" w:rsidRPr="001B7F00" w:rsidTr="006A425D">
        <w:trPr>
          <w:trHeight w:val="589"/>
          <w:jc w:val="center"/>
        </w:trPr>
        <w:tc>
          <w:tcPr>
            <w:tcW w:w="2562" w:type="dxa"/>
            <w:tcBorders>
              <w:top w:val="nil"/>
              <w:bottom w:val="single" w:sz="4" w:space="0" w:color="auto"/>
            </w:tcBorders>
            <w:shd w:val="clear" w:color="auto" w:fill="FFFFFF"/>
          </w:tcPr>
          <w:p w:rsidR="006A425D" w:rsidRPr="001B7F00" w:rsidRDefault="006A425D" w:rsidP="006A425D">
            <w:pPr>
              <w:rPr>
                <w:rFonts w:ascii="Calibri" w:eastAsia="Calibri" w:hAnsi="Calibri" w:cs="Arial"/>
                <w:sz w:val="22"/>
                <w:szCs w:val="22"/>
                <w:lang w:val="ro-RO"/>
              </w:rPr>
            </w:pPr>
            <w:r w:rsidRPr="001B7F00">
              <w:rPr>
                <w:rFonts w:ascii="Calibri" w:eastAsia="Calibri" w:hAnsi="Calibri" w:cs="Arial"/>
                <w:sz w:val="22"/>
                <w:szCs w:val="22"/>
                <w:lang w:val="ro-RO"/>
              </w:rPr>
              <w:t xml:space="preserve">- % in PIB </w:t>
            </w:r>
          </w:p>
        </w:tc>
        <w:tc>
          <w:tcPr>
            <w:tcW w:w="1080" w:type="dxa"/>
            <w:tcBorders>
              <w:top w:val="nil"/>
              <w:bottom w:val="single" w:sz="4" w:space="0" w:color="auto"/>
            </w:tcBorders>
            <w:shd w:val="clear" w:color="auto" w:fill="FFFFFF"/>
          </w:tcPr>
          <w:p w:rsidR="006A425D" w:rsidRPr="001B7F00" w:rsidRDefault="006A425D" w:rsidP="006A425D">
            <w:pPr>
              <w:spacing w:line="360" w:lineRule="auto"/>
              <w:jc w:val="center"/>
              <w:rPr>
                <w:rFonts w:ascii="Calibri" w:eastAsia="Calibri" w:hAnsi="Calibri" w:cs="Arial"/>
                <w:sz w:val="22"/>
                <w:szCs w:val="22"/>
                <w:lang w:val="ro-RO"/>
              </w:rPr>
            </w:pPr>
            <w:r w:rsidRPr="001B7F00">
              <w:rPr>
                <w:rFonts w:ascii="Calibri" w:eastAsia="Calibri" w:hAnsi="Calibri" w:cs="Arial"/>
                <w:sz w:val="22"/>
                <w:szCs w:val="22"/>
                <w:lang w:val="ro-RO"/>
              </w:rPr>
              <w:t>3,12</w:t>
            </w:r>
          </w:p>
        </w:tc>
        <w:tc>
          <w:tcPr>
            <w:tcW w:w="1260" w:type="dxa"/>
            <w:tcBorders>
              <w:top w:val="nil"/>
              <w:bottom w:val="single" w:sz="4" w:space="0" w:color="auto"/>
            </w:tcBorders>
            <w:shd w:val="clear" w:color="auto" w:fill="FFFFFF"/>
          </w:tcPr>
          <w:p w:rsidR="006A425D" w:rsidRPr="003350EC" w:rsidRDefault="006A425D" w:rsidP="00C55301">
            <w:pPr>
              <w:spacing w:line="360" w:lineRule="auto"/>
              <w:jc w:val="center"/>
              <w:rPr>
                <w:rFonts w:ascii="Calibri" w:eastAsia="Calibri" w:hAnsi="Calibri" w:cs="Arial"/>
                <w:color w:val="000000" w:themeColor="text1"/>
                <w:sz w:val="22"/>
                <w:szCs w:val="22"/>
                <w:lang w:val="ro-RO"/>
              </w:rPr>
            </w:pPr>
            <w:r w:rsidRPr="003350EC">
              <w:rPr>
                <w:rFonts w:ascii="Calibri" w:eastAsia="Calibri" w:hAnsi="Calibri" w:cs="Arial"/>
                <w:color w:val="000000" w:themeColor="text1"/>
                <w:sz w:val="22"/>
                <w:szCs w:val="22"/>
                <w:lang w:val="ro-RO"/>
              </w:rPr>
              <w:t>3,6</w:t>
            </w:r>
            <w:r w:rsidR="00C55301" w:rsidRPr="003350EC">
              <w:rPr>
                <w:rFonts w:ascii="Calibri" w:eastAsia="Calibri" w:hAnsi="Calibri" w:cs="Arial"/>
                <w:color w:val="000000" w:themeColor="text1"/>
                <w:sz w:val="22"/>
                <w:szCs w:val="22"/>
                <w:lang w:val="ro-RO"/>
              </w:rPr>
              <w:t>4</w:t>
            </w:r>
          </w:p>
        </w:tc>
        <w:tc>
          <w:tcPr>
            <w:tcW w:w="1260" w:type="dxa"/>
            <w:tcBorders>
              <w:top w:val="nil"/>
              <w:bottom w:val="single" w:sz="4" w:space="0" w:color="auto"/>
            </w:tcBorders>
            <w:shd w:val="clear" w:color="auto" w:fill="FFFFFF"/>
          </w:tcPr>
          <w:p w:rsidR="006A425D" w:rsidRPr="001B7F00" w:rsidRDefault="00870F9B" w:rsidP="006A425D">
            <w:pPr>
              <w:spacing w:line="360" w:lineRule="auto"/>
              <w:jc w:val="center"/>
              <w:rPr>
                <w:rFonts w:ascii="Calibri" w:eastAsia="Calibri" w:hAnsi="Calibri" w:cs="Arial"/>
                <w:sz w:val="22"/>
                <w:szCs w:val="22"/>
                <w:lang w:val="ro-RO"/>
              </w:rPr>
            </w:pPr>
            <w:r>
              <w:rPr>
                <w:rFonts w:ascii="Calibri" w:eastAsia="Calibri" w:hAnsi="Calibri" w:cs="Arial"/>
                <w:sz w:val="22"/>
                <w:szCs w:val="22"/>
                <w:lang w:val="ro-RO"/>
              </w:rPr>
              <w:t>4,8</w:t>
            </w:r>
            <w:r w:rsidR="00550F1F">
              <w:rPr>
                <w:rFonts w:ascii="Calibri" w:eastAsia="Calibri" w:hAnsi="Calibri" w:cs="Arial"/>
                <w:sz w:val="22"/>
                <w:szCs w:val="22"/>
                <w:lang w:val="ro-RO"/>
              </w:rPr>
              <w:t>9</w:t>
            </w:r>
          </w:p>
        </w:tc>
        <w:tc>
          <w:tcPr>
            <w:tcW w:w="1260" w:type="dxa"/>
            <w:tcBorders>
              <w:top w:val="nil"/>
              <w:bottom w:val="single" w:sz="4" w:space="0" w:color="auto"/>
            </w:tcBorders>
            <w:shd w:val="clear" w:color="auto" w:fill="FFFFFF"/>
          </w:tcPr>
          <w:p w:rsidR="006A425D" w:rsidRPr="001B7F00" w:rsidRDefault="006A425D" w:rsidP="006A425D">
            <w:pPr>
              <w:spacing w:line="360" w:lineRule="auto"/>
              <w:jc w:val="center"/>
              <w:rPr>
                <w:rFonts w:ascii="Calibri" w:eastAsia="Calibri" w:hAnsi="Calibri" w:cs="Arial"/>
                <w:sz w:val="22"/>
                <w:szCs w:val="22"/>
                <w:lang w:val="ro-RO"/>
              </w:rPr>
            </w:pPr>
            <w:r w:rsidRPr="001B7F00">
              <w:rPr>
                <w:rFonts w:ascii="Calibri" w:eastAsia="Calibri" w:hAnsi="Calibri" w:cs="Arial"/>
                <w:sz w:val="22"/>
                <w:szCs w:val="22"/>
                <w:lang w:val="ro-RO"/>
              </w:rPr>
              <w:t>3,90</w:t>
            </w:r>
          </w:p>
        </w:tc>
        <w:tc>
          <w:tcPr>
            <w:tcW w:w="1080" w:type="dxa"/>
            <w:tcBorders>
              <w:top w:val="nil"/>
              <w:bottom w:val="single" w:sz="4" w:space="0" w:color="auto"/>
            </w:tcBorders>
            <w:shd w:val="clear" w:color="auto" w:fill="FFFFFF"/>
          </w:tcPr>
          <w:p w:rsidR="006A425D" w:rsidRPr="001B7F00" w:rsidRDefault="006A425D" w:rsidP="006A425D">
            <w:pPr>
              <w:tabs>
                <w:tab w:val="left" w:pos="615"/>
                <w:tab w:val="center" w:pos="784"/>
              </w:tabs>
              <w:spacing w:line="360" w:lineRule="auto"/>
              <w:jc w:val="center"/>
              <w:rPr>
                <w:rFonts w:ascii="Calibri" w:eastAsia="Calibri" w:hAnsi="Calibri" w:cs="Arial"/>
                <w:sz w:val="22"/>
                <w:szCs w:val="22"/>
                <w:lang w:val="ro-RO"/>
              </w:rPr>
            </w:pPr>
            <w:r w:rsidRPr="001B7F00">
              <w:rPr>
                <w:rFonts w:ascii="Calibri" w:eastAsia="Calibri" w:hAnsi="Calibri" w:cs="Arial"/>
                <w:sz w:val="22"/>
                <w:szCs w:val="22"/>
                <w:lang w:val="ro-RO"/>
              </w:rPr>
              <w:t>3,66</w:t>
            </w:r>
          </w:p>
        </w:tc>
      </w:tr>
    </w:tbl>
    <w:p w:rsidR="006A425D" w:rsidRPr="002C1741" w:rsidRDefault="006A425D" w:rsidP="006A425D">
      <w:pPr>
        <w:autoSpaceDE w:val="0"/>
        <w:autoSpaceDN w:val="0"/>
        <w:adjustRightInd w:val="0"/>
        <w:jc w:val="both"/>
        <w:rPr>
          <w:rFonts w:ascii="Calibri" w:hAnsi="Calibri" w:cs="Arial"/>
          <w:b/>
          <w:color w:val="000066"/>
          <w:lang w:val="ro-RO"/>
        </w:rPr>
      </w:pPr>
    </w:p>
    <w:p w:rsidR="006A425D" w:rsidRPr="002C1741" w:rsidRDefault="006A425D" w:rsidP="006A425D">
      <w:pPr>
        <w:contextualSpacing/>
        <w:jc w:val="center"/>
        <w:textAlignment w:val="baseline"/>
        <w:rPr>
          <w:rFonts w:ascii="Calibri" w:hAnsi="Calibri" w:cs="Arial"/>
          <w:color w:val="C00000"/>
          <w:lang w:val="ro-RO"/>
        </w:rPr>
      </w:pPr>
    </w:p>
    <w:p w:rsidR="006A425D" w:rsidRPr="002C1741" w:rsidRDefault="006A425D" w:rsidP="006A425D">
      <w:pPr>
        <w:jc w:val="both"/>
        <w:rPr>
          <w:rFonts w:ascii="Calibri" w:eastAsia="Calibri" w:hAnsi="Calibri"/>
          <w:b/>
          <w:sz w:val="20"/>
          <w:szCs w:val="20"/>
          <w:lang w:val="ro-RO"/>
        </w:rPr>
      </w:pPr>
      <w:r w:rsidRPr="002C1741">
        <w:rPr>
          <w:rFonts w:ascii="Calibri" w:eastAsia="Calibri" w:hAnsi="Calibri"/>
          <w:b/>
          <w:sz w:val="20"/>
          <w:szCs w:val="20"/>
          <w:lang w:val="ro-RO"/>
        </w:rPr>
        <w:t>Notă: Cheltuielile de investiții cuprind cheltuielile aferente programelor cu finanțare din fonduri externe nerambursabile postaderare (FEN postaderare), cheltuieli de capital şi cheltuieli aferente programelor cu finanțare rambursabilă.</w:t>
      </w:r>
    </w:p>
    <w:bookmarkStart w:id="0" w:name="_MON_1611039536"/>
    <w:bookmarkEnd w:id="0"/>
    <w:p w:rsidR="006A425D" w:rsidRDefault="006C467E" w:rsidP="006A425D">
      <w:pPr>
        <w:jc w:val="both"/>
        <w:rPr>
          <w:rFonts w:ascii="Calibri" w:eastAsia="Calibri" w:hAnsi="Calibri"/>
          <w:b/>
          <w:sz w:val="20"/>
          <w:szCs w:val="20"/>
          <w:lang w:val="ro-RO"/>
        </w:rPr>
      </w:pPr>
      <w:r w:rsidRPr="001312B3">
        <w:rPr>
          <w:rFonts w:ascii="Calibri" w:eastAsia="Calibri" w:hAnsi="Calibri"/>
          <w:b/>
          <w:sz w:val="20"/>
          <w:szCs w:val="20"/>
          <w:lang w:val="ro-RO"/>
        </w:rPr>
        <w:object w:dxaOrig="9648" w:dyaOrig="5037">
          <v:shape id="_x0000_i1026" type="#_x0000_t75" style="width:482.55pt;height:252pt" o:ole="">
            <v:imagedata r:id="rId10" o:title=""/>
          </v:shape>
          <o:OLEObject Type="Embed" ProgID="Excel.Sheet.8" ShapeID="_x0000_i1026" DrawAspect="Content" ObjectID="_1613909266" r:id="rId11"/>
        </w:object>
      </w:r>
    </w:p>
    <w:p w:rsidR="006A425D" w:rsidRDefault="006A425D" w:rsidP="006A425D">
      <w:pPr>
        <w:jc w:val="both"/>
        <w:rPr>
          <w:rFonts w:ascii="Calibri" w:eastAsia="Calibri" w:hAnsi="Calibri"/>
          <w:b/>
          <w:sz w:val="20"/>
          <w:szCs w:val="20"/>
          <w:lang w:val="ro-RO"/>
        </w:rPr>
      </w:pPr>
    </w:p>
    <w:p w:rsidR="006A425D" w:rsidRDefault="006A425D" w:rsidP="006A425D">
      <w:pPr>
        <w:jc w:val="both"/>
        <w:rPr>
          <w:rFonts w:ascii="Calibri" w:hAnsi="Calibri"/>
          <w:bCs/>
          <w:color w:val="000000" w:themeColor="text1"/>
          <w:lang w:val="ro-RO"/>
        </w:rPr>
      </w:pPr>
      <w:r>
        <w:rPr>
          <w:rFonts w:ascii="Calibri" w:hAnsi="Calibri"/>
          <w:bCs/>
          <w:color w:val="000000" w:themeColor="text1"/>
          <w:sz w:val="22"/>
          <w:szCs w:val="22"/>
          <w:lang w:val="ro-RO" w:eastAsia="ro-RO"/>
        </w:rPr>
        <w:t xml:space="preserve">Sursa MFP </w:t>
      </w:r>
    </w:p>
    <w:p w:rsidR="006A425D" w:rsidRPr="002C1741" w:rsidRDefault="006A425D" w:rsidP="006A425D">
      <w:pPr>
        <w:jc w:val="both"/>
        <w:rPr>
          <w:rFonts w:ascii="Calibri" w:hAnsi="Calibri"/>
          <w:bCs/>
          <w:color w:val="000000" w:themeColor="text1"/>
          <w:lang w:val="ro-RO"/>
        </w:rPr>
      </w:pPr>
    </w:p>
    <w:p w:rsidR="006A425D" w:rsidRPr="002C1741" w:rsidRDefault="006A425D" w:rsidP="006A425D">
      <w:pPr>
        <w:jc w:val="both"/>
        <w:rPr>
          <w:rFonts w:ascii="Calibri" w:hAnsi="Calibri"/>
          <w:b/>
          <w:bCs/>
          <w:color w:val="000000" w:themeColor="text1"/>
          <w:lang w:val="ro-RO"/>
        </w:rPr>
      </w:pPr>
      <w:r w:rsidRPr="002C1741">
        <w:rPr>
          <w:rFonts w:ascii="Calibri" w:hAnsi="Calibri"/>
          <w:bCs/>
          <w:color w:val="000000" w:themeColor="text1"/>
          <w:lang w:val="ro-RO"/>
        </w:rPr>
        <w:t>În perioada 2017-2021 cheltuielile de investiții s-au situat în permanență peste nivelul deficitului bugetar, deși se constată o adâ</w:t>
      </w:r>
      <w:r>
        <w:rPr>
          <w:rFonts w:ascii="Calibri" w:hAnsi="Calibri"/>
          <w:bCs/>
          <w:color w:val="000000" w:themeColor="text1"/>
          <w:lang w:val="ro-RO"/>
        </w:rPr>
        <w:t>ncire a deficitului in anul 2018</w:t>
      </w:r>
      <w:r w:rsidRPr="002C1741">
        <w:rPr>
          <w:rFonts w:ascii="Calibri" w:hAnsi="Calibri"/>
          <w:bCs/>
          <w:color w:val="000000" w:themeColor="text1"/>
          <w:lang w:val="ro-RO"/>
        </w:rPr>
        <w:t xml:space="preserve">, </w:t>
      </w:r>
      <w:r w:rsidRPr="002C1741">
        <w:rPr>
          <w:rFonts w:ascii="Calibri" w:hAnsi="Calibri"/>
          <w:b/>
          <w:bCs/>
          <w:color w:val="000000" w:themeColor="text1"/>
          <w:lang w:val="ro-RO"/>
        </w:rPr>
        <w:t>acesta intră pe traiectoria de ajustare începând cu anul 2019.</w:t>
      </w:r>
    </w:p>
    <w:p w:rsidR="006A425D" w:rsidRPr="002C1741" w:rsidRDefault="006A425D" w:rsidP="006A425D">
      <w:pPr>
        <w:jc w:val="both"/>
        <w:rPr>
          <w:rFonts w:ascii="Calibri" w:hAnsi="Calibri"/>
          <w:bCs/>
          <w:color w:val="000000" w:themeColor="text1"/>
          <w:lang w:val="ro-RO"/>
        </w:rPr>
      </w:pPr>
    </w:p>
    <w:p w:rsidR="006A425D" w:rsidRPr="002C1741" w:rsidRDefault="006A425D" w:rsidP="006A425D">
      <w:pPr>
        <w:ind w:firstLine="708"/>
        <w:jc w:val="both"/>
        <w:rPr>
          <w:rFonts w:ascii="Calibri" w:hAnsi="Calibri"/>
          <w:color w:val="000000" w:themeColor="text1"/>
          <w:lang w:val="ro-RO"/>
        </w:rPr>
      </w:pPr>
      <w:r w:rsidRPr="002C1741">
        <w:rPr>
          <w:rFonts w:ascii="Calibri" w:hAnsi="Calibri"/>
          <w:bCs/>
          <w:color w:val="000000" w:themeColor="text1"/>
          <w:lang w:val="ro-RO"/>
        </w:rPr>
        <w:t xml:space="preserve">O prioritate majoră a Guvernului o reprezintă îmbunătățirea procesului de evaluare, selecție, prioritizare și </w:t>
      </w:r>
      <w:r w:rsidRPr="002C1741">
        <w:rPr>
          <w:rFonts w:ascii="Calibri" w:hAnsi="Calibri"/>
          <w:color w:val="000000" w:themeColor="text1"/>
          <w:lang w:val="ro-RO"/>
        </w:rPr>
        <w:t>implementare</w:t>
      </w:r>
      <w:r w:rsidRPr="002C1741">
        <w:rPr>
          <w:rFonts w:ascii="Calibri" w:hAnsi="Calibri"/>
          <w:bCs/>
          <w:color w:val="000000" w:themeColor="text1"/>
          <w:lang w:val="ro-RO"/>
        </w:rPr>
        <w:t xml:space="preserve"> a investițiilor publice, pentru a spori absorbția fondurilor europene,</w:t>
      </w:r>
      <w:r w:rsidRPr="002C1741">
        <w:rPr>
          <w:rFonts w:ascii="Calibri" w:hAnsi="Calibri"/>
          <w:color w:val="000000" w:themeColor="text1"/>
          <w:lang w:val="ro-RO"/>
        </w:rPr>
        <w:t xml:space="preserve"> în vederea descongestionării spațiului fiscal și a susținerii creșterii economice.</w:t>
      </w:r>
    </w:p>
    <w:p w:rsidR="006A425D" w:rsidRPr="002C1741" w:rsidRDefault="006A425D" w:rsidP="006A425D">
      <w:pPr>
        <w:ind w:firstLine="708"/>
        <w:jc w:val="both"/>
        <w:rPr>
          <w:rFonts w:ascii="Calibri" w:hAnsi="Calibri"/>
          <w:color w:val="000000" w:themeColor="text1"/>
          <w:lang w:val="ro-RO"/>
        </w:rPr>
      </w:pPr>
    </w:p>
    <w:p w:rsidR="006A425D" w:rsidRDefault="006A425D" w:rsidP="006A425D">
      <w:pPr>
        <w:ind w:firstLine="720"/>
        <w:jc w:val="both"/>
        <w:rPr>
          <w:rFonts w:ascii="Calibri" w:hAnsi="Calibri"/>
          <w:color w:val="000000" w:themeColor="text1"/>
          <w:lang w:val="ro-RO"/>
        </w:rPr>
      </w:pPr>
    </w:p>
    <w:p w:rsidR="006A425D" w:rsidRDefault="006A425D" w:rsidP="006A425D">
      <w:pPr>
        <w:ind w:firstLine="720"/>
        <w:jc w:val="both"/>
        <w:rPr>
          <w:rFonts w:ascii="Calibri" w:hAnsi="Calibri"/>
          <w:color w:val="000000" w:themeColor="text1"/>
          <w:lang w:val="ro-RO"/>
        </w:rPr>
      </w:pPr>
    </w:p>
    <w:bookmarkStart w:id="1" w:name="_MON_1611039583"/>
    <w:bookmarkEnd w:id="1"/>
    <w:p w:rsidR="006A425D" w:rsidRDefault="006C467E" w:rsidP="006A425D">
      <w:pPr>
        <w:ind w:firstLine="720"/>
        <w:jc w:val="both"/>
        <w:rPr>
          <w:rFonts w:ascii="Calibri" w:hAnsi="Calibri"/>
          <w:color w:val="000000" w:themeColor="text1"/>
          <w:lang w:val="ro-RO"/>
        </w:rPr>
      </w:pPr>
      <w:r w:rsidRPr="001312B3">
        <w:rPr>
          <w:rFonts w:ascii="Calibri" w:hAnsi="Calibri"/>
          <w:color w:val="000000" w:themeColor="text1"/>
          <w:lang w:val="ro-RO"/>
        </w:rPr>
        <w:object w:dxaOrig="11915" w:dyaOrig="9372">
          <v:shape id="_x0000_i1027" type="#_x0000_t75" style="width:446.55pt;height:237.45pt" o:ole="">
            <v:imagedata r:id="rId12" o:title=""/>
          </v:shape>
          <o:OLEObject Type="Embed" ProgID="Excel.Sheet.8" ShapeID="_x0000_i1027" DrawAspect="Content" ObjectID="_1613909267" r:id="rId13"/>
        </w:object>
      </w:r>
    </w:p>
    <w:p w:rsidR="006A425D" w:rsidRPr="002C1741" w:rsidRDefault="006A425D" w:rsidP="006A425D">
      <w:pPr>
        <w:ind w:firstLine="720"/>
        <w:jc w:val="both"/>
        <w:rPr>
          <w:rFonts w:ascii="Calibri" w:hAnsi="Calibri"/>
          <w:color w:val="000000" w:themeColor="text1"/>
          <w:lang w:val="ro-RO"/>
        </w:rPr>
      </w:pPr>
    </w:p>
    <w:p w:rsidR="006A425D" w:rsidRPr="002C1741" w:rsidRDefault="006A425D" w:rsidP="006A425D">
      <w:pPr>
        <w:ind w:firstLine="720"/>
        <w:jc w:val="both"/>
        <w:rPr>
          <w:rFonts w:ascii="Calibri" w:hAnsi="Calibri"/>
          <w:lang w:val="ro-RO"/>
        </w:rPr>
      </w:pPr>
      <w:r w:rsidRPr="002C1741">
        <w:rPr>
          <w:rFonts w:ascii="Calibri" w:hAnsi="Calibri"/>
          <w:color w:val="000000"/>
          <w:lang w:val="ro-RO"/>
        </w:rPr>
        <w:t>În anul 2019 cheltuielile dest</w:t>
      </w:r>
      <w:r>
        <w:rPr>
          <w:rFonts w:ascii="Calibri" w:hAnsi="Calibri"/>
          <w:color w:val="000000"/>
          <w:lang w:val="ro-RO"/>
        </w:rPr>
        <w:t>inate in</w:t>
      </w:r>
      <w:r w:rsidR="00550F1F">
        <w:rPr>
          <w:rFonts w:ascii="Calibri" w:hAnsi="Calibri"/>
          <w:color w:val="000000"/>
          <w:lang w:val="ro-RO"/>
        </w:rPr>
        <w:t>vestițiilor însumează 49,9</w:t>
      </w:r>
      <w:r w:rsidRPr="002C1741">
        <w:rPr>
          <w:rFonts w:ascii="Calibri" w:hAnsi="Calibri"/>
          <w:color w:val="000000"/>
          <w:lang w:val="ro-RO"/>
        </w:rPr>
        <w:t xml:space="preserve"> miliarde</w:t>
      </w:r>
      <w:r>
        <w:rPr>
          <w:rFonts w:ascii="Calibri" w:hAnsi="Calibri"/>
          <w:color w:val="000000"/>
          <w:lang w:val="ro-RO"/>
        </w:rPr>
        <w:t xml:space="preserve"> le</w:t>
      </w:r>
      <w:r w:rsidR="00550F1F">
        <w:rPr>
          <w:rFonts w:ascii="Calibri" w:hAnsi="Calibri"/>
          <w:color w:val="000000"/>
          <w:lang w:val="ro-RO"/>
        </w:rPr>
        <w:t>i, reprezentând aproximativ 4,89</w:t>
      </w:r>
      <w:r>
        <w:rPr>
          <w:rFonts w:ascii="Calibri" w:hAnsi="Calibri"/>
          <w:color w:val="000000"/>
          <w:lang w:val="ro-RO"/>
        </w:rPr>
        <w:t>% în PIB.</w:t>
      </w:r>
    </w:p>
    <w:p w:rsidR="006A425D" w:rsidRPr="002C1741" w:rsidRDefault="006A425D" w:rsidP="006A425D">
      <w:pPr>
        <w:ind w:firstLine="720"/>
        <w:jc w:val="both"/>
        <w:rPr>
          <w:rFonts w:ascii="Calibri" w:hAnsi="Calibri"/>
          <w:lang w:val="ro-RO"/>
        </w:rPr>
      </w:pPr>
    </w:p>
    <w:p w:rsidR="006A425D" w:rsidRPr="002C1741" w:rsidRDefault="006A425D" w:rsidP="006A425D">
      <w:pPr>
        <w:shd w:val="clear" w:color="auto" w:fill="D9D9D9" w:themeFill="background1" w:themeFillShade="D9"/>
        <w:spacing w:before="120" w:after="100" w:line="269" w:lineRule="auto"/>
        <w:ind w:left="360" w:hanging="360"/>
        <w:jc w:val="both"/>
        <w:rPr>
          <w:rFonts w:ascii="Calibri" w:eastAsia="Calibri" w:hAnsi="Calibri"/>
          <w:b/>
          <w:color w:val="000066"/>
          <w:lang w:val="ro-RO"/>
        </w:rPr>
      </w:pPr>
      <w:r w:rsidRPr="002C1741">
        <w:rPr>
          <w:rFonts w:ascii="Calibri" w:hAnsi="Calibri" w:cs="Arial"/>
          <w:b/>
          <w:color w:val="333399"/>
          <w:shd w:val="clear" w:color="auto" w:fill="E0E0E0"/>
          <w:lang w:val="ro-RO"/>
        </w:rPr>
        <w:t>3</w:t>
      </w:r>
      <w:r w:rsidRPr="002C1741">
        <w:rPr>
          <w:rFonts w:ascii="Calibri" w:hAnsi="Calibri" w:cs="Arial"/>
          <w:b/>
          <w:color w:val="000080"/>
          <w:shd w:val="clear" w:color="auto" w:fill="E0E0E0"/>
          <w:lang w:val="ro-RO"/>
        </w:rPr>
        <w:t xml:space="preserve">. </w:t>
      </w:r>
      <w:r w:rsidRPr="002C1741">
        <w:rPr>
          <w:rFonts w:ascii="Calibri" w:eastAsia="Calibri" w:hAnsi="Calibri"/>
          <w:b/>
          <w:color w:val="000066"/>
          <w:lang w:val="ro-RO"/>
        </w:rPr>
        <w:t xml:space="preserve">Crearea unei politici fiscale predictibile pentru  stustinerea </w:t>
      </w:r>
      <w:r w:rsidRPr="002C1741">
        <w:rPr>
          <w:rFonts w:ascii="Calibri" w:eastAsia="Calibri" w:hAnsi="Calibri" w:cs="Arial"/>
          <w:b/>
          <w:color w:val="000066"/>
          <w:lang w:val="ro-RO" w:eastAsia="ro-RO"/>
        </w:rPr>
        <w:t xml:space="preserve">mediului de afaceri și stimularea investițiilor in sectoarele cu valoare adaugată ridicată, </w:t>
      </w:r>
      <w:r w:rsidRPr="002C1741">
        <w:rPr>
          <w:rFonts w:ascii="Calibri" w:eastAsia="Calibri" w:hAnsi="Calibri"/>
          <w:b/>
          <w:color w:val="000066"/>
          <w:lang w:val="ro-RO"/>
        </w:rPr>
        <w:t xml:space="preserve"> simplificarea fiscalității, care să  creeze premisa unei creșteri economice sustenabile;</w:t>
      </w:r>
    </w:p>
    <w:p w:rsidR="006A425D" w:rsidRPr="002C1741" w:rsidRDefault="006A425D" w:rsidP="006A425D">
      <w:pPr>
        <w:keepNext/>
        <w:widowControl w:val="0"/>
        <w:spacing w:after="60"/>
        <w:jc w:val="both"/>
        <w:rPr>
          <w:rFonts w:ascii="Calibri" w:hAnsi="Calibri"/>
          <w:color w:val="002060"/>
          <w:lang w:val="ro-RO"/>
        </w:rPr>
      </w:pPr>
    </w:p>
    <w:p w:rsidR="006A425D" w:rsidRPr="002C1741" w:rsidRDefault="006A425D" w:rsidP="006A425D">
      <w:pPr>
        <w:autoSpaceDE w:val="0"/>
        <w:jc w:val="both"/>
        <w:rPr>
          <w:rFonts w:ascii="Calibri" w:hAnsi="Calibri" w:cs="Arial"/>
          <w:lang w:val="ro-RO"/>
        </w:rPr>
      </w:pPr>
      <w:r w:rsidRPr="002C1741">
        <w:rPr>
          <w:rFonts w:ascii="Calibri" w:hAnsi="Calibri" w:cs="Arial"/>
          <w:lang w:val="ro-RO"/>
        </w:rPr>
        <w:t>Principalele obiective ale politicii fiscale avute în vedere pe termen mediu vizează în principal următoarele aspecte:</w:t>
      </w:r>
    </w:p>
    <w:p w:rsidR="006A425D" w:rsidRPr="002C1741" w:rsidRDefault="006A425D" w:rsidP="00565476">
      <w:pPr>
        <w:numPr>
          <w:ilvl w:val="0"/>
          <w:numId w:val="186"/>
        </w:numPr>
        <w:autoSpaceDE w:val="0"/>
        <w:jc w:val="both"/>
        <w:rPr>
          <w:rFonts w:ascii="Calibri" w:hAnsi="Calibri"/>
          <w:lang w:val="ro-RO"/>
        </w:rPr>
      </w:pPr>
      <w:r w:rsidRPr="002C1741">
        <w:rPr>
          <w:rFonts w:ascii="Calibri" w:hAnsi="Calibri" w:cs="Arial"/>
          <w:lang w:val="ro-RO"/>
        </w:rPr>
        <w:t>Continuarea implementării măsurilor cuprinse în Programul de guvernare 2018-2020, pe măsură ce spațiul fiscal-bugetar va permite;</w:t>
      </w:r>
    </w:p>
    <w:p w:rsidR="006A425D" w:rsidRPr="002C1741" w:rsidRDefault="006A425D" w:rsidP="00565476">
      <w:pPr>
        <w:numPr>
          <w:ilvl w:val="0"/>
          <w:numId w:val="186"/>
        </w:numPr>
        <w:autoSpaceDE w:val="0"/>
        <w:jc w:val="both"/>
        <w:rPr>
          <w:rFonts w:ascii="Calibri" w:hAnsi="Calibri"/>
          <w:lang w:val="ro-RO"/>
        </w:rPr>
      </w:pPr>
      <w:r w:rsidRPr="002C1741">
        <w:rPr>
          <w:rFonts w:ascii="Calibri" w:hAnsi="Calibri" w:cs="Arial"/>
          <w:lang w:val="ro-RO"/>
        </w:rPr>
        <w:t>Continuarea perfecționării legislației pentru a corespunde criteriilor de armonizare cu legislația comunitară, prin transpunerea în legislația națională a măsurilor adoptate la nivel european;</w:t>
      </w:r>
    </w:p>
    <w:p w:rsidR="006A425D" w:rsidRPr="002C1741" w:rsidRDefault="006A425D" w:rsidP="00565476">
      <w:pPr>
        <w:numPr>
          <w:ilvl w:val="0"/>
          <w:numId w:val="186"/>
        </w:numPr>
        <w:autoSpaceDE w:val="0"/>
        <w:jc w:val="both"/>
        <w:rPr>
          <w:rFonts w:ascii="Calibri" w:hAnsi="Calibri"/>
          <w:lang w:val="ro-RO"/>
        </w:rPr>
      </w:pPr>
      <w:r w:rsidRPr="002C1741">
        <w:rPr>
          <w:rFonts w:ascii="Calibri" w:hAnsi="Calibri" w:cs="Arial"/>
          <w:lang w:val="ro-RO"/>
        </w:rPr>
        <w:t>Îmbunătățirea și simplificarea legislației fiscale, ca urmare a dialogului cu mediul de afaceri;</w:t>
      </w:r>
    </w:p>
    <w:p w:rsidR="006A425D" w:rsidRPr="002C1741" w:rsidRDefault="006A425D" w:rsidP="00565476">
      <w:pPr>
        <w:numPr>
          <w:ilvl w:val="0"/>
          <w:numId w:val="186"/>
        </w:numPr>
        <w:autoSpaceDE w:val="0"/>
        <w:jc w:val="both"/>
        <w:rPr>
          <w:rFonts w:ascii="Calibri" w:hAnsi="Calibri"/>
          <w:lang w:val="ro-RO"/>
        </w:rPr>
      </w:pPr>
      <w:r w:rsidRPr="002C1741">
        <w:rPr>
          <w:rFonts w:ascii="Calibri" w:hAnsi="Calibri" w:cs="Arial"/>
          <w:lang w:val="ro-RO"/>
        </w:rPr>
        <w:t>Perfecționarea legislației în funcție de fenomenele evazioniste, în vederea contracarării acestora.</w:t>
      </w:r>
    </w:p>
    <w:p w:rsidR="006A425D" w:rsidRPr="002C1741" w:rsidRDefault="006A425D" w:rsidP="006A425D">
      <w:pPr>
        <w:suppressAutoHyphens/>
        <w:spacing w:line="276" w:lineRule="auto"/>
        <w:jc w:val="both"/>
        <w:rPr>
          <w:rFonts w:ascii="Calibri" w:hAnsi="Calibri" w:cs="Calibri"/>
          <w:lang w:val="ro-RO" w:eastAsia="ro-RO"/>
        </w:rPr>
      </w:pPr>
      <w:r w:rsidRPr="002C1741">
        <w:rPr>
          <w:rFonts w:asciiTheme="minorHAnsi" w:eastAsia="Arial" w:hAnsiTheme="minorHAnsi" w:cs="Arial"/>
          <w:kern w:val="1"/>
          <w:lang w:val="ro-RO" w:eastAsia="zh-CN"/>
        </w:rPr>
        <w:tab/>
      </w:r>
      <w:r w:rsidRPr="002C1741">
        <w:rPr>
          <w:rFonts w:ascii="Calibri" w:hAnsi="Calibri" w:cs="Calibri"/>
          <w:lang w:val="ro-RO" w:eastAsia="ro-RO"/>
        </w:rPr>
        <w:t>Principalele măsuri fiscale sunt prezentate în detaliu în capitolul 4 din strategie.</w:t>
      </w:r>
    </w:p>
    <w:p w:rsidR="006A425D" w:rsidRPr="002C1741" w:rsidRDefault="006A425D" w:rsidP="006A425D">
      <w:pPr>
        <w:suppressAutoHyphens/>
        <w:spacing w:line="276" w:lineRule="auto"/>
        <w:jc w:val="both"/>
        <w:rPr>
          <w:rFonts w:ascii="Calibri" w:hAnsi="Calibri"/>
          <w:color w:val="002060"/>
          <w:lang w:val="ro-RO"/>
        </w:rPr>
      </w:pPr>
      <w:r w:rsidRPr="002C1741">
        <w:rPr>
          <w:rFonts w:asciiTheme="minorHAnsi" w:eastAsia="Arial" w:hAnsiTheme="minorHAnsi" w:cs="Arial"/>
          <w:kern w:val="1"/>
          <w:lang w:val="ro-RO" w:eastAsia="zh-CN"/>
        </w:rPr>
        <w:tab/>
      </w:r>
    </w:p>
    <w:p w:rsidR="006A425D" w:rsidRPr="002C1741" w:rsidRDefault="006A425D" w:rsidP="006A425D">
      <w:pPr>
        <w:shd w:val="clear" w:color="auto" w:fill="D9D9D9" w:themeFill="background1" w:themeFillShade="D9"/>
        <w:tabs>
          <w:tab w:val="left" w:pos="142"/>
        </w:tabs>
        <w:jc w:val="both"/>
        <w:rPr>
          <w:rFonts w:ascii="Calibri" w:hAnsi="Calibri"/>
          <w:b/>
          <w:i/>
          <w:color w:val="000066"/>
          <w:lang w:val="ro-RO"/>
        </w:rPr>
      </w:pPr>
      <w:r w:rsidRPr="002C1741">
        <w:rPr>
          <w:rFonts w:ascii="Calibri" w:eastAsia="Calibri" w:hAnsi="Calibri"/>
          <w:b/>
          <w:i/>
          <w:color w:val="000066"/>
          <w:lang w:val="ro-RO"/>
        </w:rPr>
        <w:t>4.</w:t>
      </w:r>
      <w:r w:rsidRPr="002C1741">
        <w:rPr>
          <w:rFonts w:ascii="Calibri" w:hAnsi="Calibri"/>
          <w:b/>
          <w:i/>
          <w:color w:val="000066"/>
          <w:lang w:val="ro-RO"/>
        </w:rPr>
        <w:t xml:space="preserve">Măsuri adoptate de Guvern privind stimularea consumului </w:t>
      </w:r>
      <w:r w:rsidRPr="002C1741">
        <w:rPr>
          <w:rFonts w:asciiTheme="minorHAnsi" w:hAnsiTheme="minorHAnsi" w:cstheme="minorHAnsi"/>
          <w:b/>
          <w:i/>
          <w:color w:val="000066"/>
          <w:lang w:val="ro-RO"/>
        </w:rPr>
        <w:t xml:space="preserve">prin adoptarea unor măsuri salariale, </w:t>
      </w:r>
      <w:r w:rsidRPr="002C1741">
        <w:rPr>
          <w:rFonts w:ascii="Calibri" w:hAnsi="Calibri"/>
          <w:b/>
          <w:i/>
          <w:color w:val="000066"/>
          <w:lang w:val="ro-RO"/>
        </w:rPr>
        <w:t>concomitent cu adoptarea unor măsuri sociale pentru asigurarea protecției sociale și securității sociale pentru persoane vârstnice, pensionari, studenți  și categoriile cele mai vulnerabile.</w:t>
      </w:r>
    </w:p>
    <w:p w:rsidR="006A425D" w:rsidRPr="002C1741" w:rsidRDefault="006A425D" w:rsidP="006A425D">
      <w:pPr>
        <w:autoSpaceDE w:val="0"/>
        <w:autoSpaceDN w:val="0"/>
        <w:adjustRightInd w:val="0"/>
        <w:jc w:val="both"/>
        <w:rPr>
          <w:rFonts w:ascii="Calibri" w:eastAsiaTheme="minorHAnsi" w:hAnsi="Calibri" w:cs="Calibri"/>
          <w:b/>
          <w:color w:val="000000"/>
          <w:lang w:val="ro-RO"/>
        </w:rPr>
      </w:pPr>
      <w:bookmarkStart w:id="2" w:name="__RefHeading___Toc386110854"/>
      <w:bookmarkEnd w:id="2"/>
    </w:p>
    <w:p w:rsidR="006A425D" w:rsidRPr="002C1741" w:rsidRDefault="006A425D" w:rsidP="006A425D">
      <w:pPr>
        <w:autoSpaceDE w:val="0"/>
        <w:autoSpaceDN w:val="0"/>
        <w:adjustRightInd w:val="0"/>
        <w:jc w:val="both"/>
        <w:rPr>
          <w:rFonts w:ascii="Calibri" w:eastAsia="Calibri" w:hAnsi="Calibri" w:cs="Calibri"/>
          <w:b/>
          <w:color w:val="000000"/>
          <w:lang w:val="ro-RO"/>
        </w:rPr>
      </w:pPr>
    </w:p>
    <w:p w:rsidR="006A425D" w:rsidRPr="003964D3" w:rsidRDefault="006A425D" w:rsidP="00565476">
      <w:pPr>
        <w:numPr>
          <w:ilvl w:val="0"/>
          <w:numId w:val="205"/>
        </w:numPr>
        <w:autoSpaceDE w:val="0"/>
        <w:autoSpaceDN w:val="0"/>
        <w:adjustRightInd w:val="0"/>
        <w:spacing w:after="160" w:line="259" w:lineRule="auto"/>
        <w:ind w:left="720"/>
        <w:contextualSpacing/>
        <w:jc w:val="both"/>
        <w:rPr>
          <w:rFonts w:ascii="Calibri" w:eastAsia="Calibri" w:hAnsi="Calibri" w:cs="Arial"/>
          <w:color w:val="000000" w:themeColor="text1"/>
          <w:lang w:val="ro-RO"/>
        </w:rPr>
      </w:pPr>
      <w:r w:rsidRPr="00950853">
        <w:rPr>
          <w:rFonts w:ascii="Calibri" w:hAnsi="Calibri"/>
          <w:color w:val="000000" w:themeColor="text1"/>
          <w:lang w:val="ro-RO" w:eastAsia="ro-RO"/>
        </w:rPr>
        <w:t>Începând cu data de 1 ianuarie 2019, salariul de bază minim brut pe ţară garantat în plată, prevăzut la art. 164 alin. (1) din Legea nr. 53/2003 - Codul muncii, republicată, cu modificările şi completările ulterioare, se stabileşte în bani, fără a include sporuri şi alte adaosuri, la su</w:t>
      </w:r>
      <w:r>
        <w:rPr>
          <w:rFonts w:ascii="Calibri" w:hAnsi="Calibri"/>
          <w:color w:val="000000" w:themeColor="text1"/>
          <w:lang w:val="ro-RO" w:eastAsia="ro-RO"/>
        </w:rPr>
        <w:t>ma de 2.080 lei lunar.</w:t>
      </w:r>
    </w:p>
    <w:p w:rsidR="006A425D" w:rsidRPr="003964D3" w:rsidRDefault="006A425D" w:rsidP="00565476">
      <w:pPr>
        <w:numPr>
          <w:ilvl w:val="0"/>
          <w:numId w:val="203"/>
        </w:numPr>
        <w:spacing w:after="160" w:line="259" w:lineRule="auto"/>
        <w:ind w:left="720"/>
        <w:contextualSpacing/>
        <w:jc w:val="both"/>
        <w:rPr>
          <w:rFonts w:ascii="Calibri" w:eastAsia="Calibri" w:hAnsi="Calibri" w:cs="Arial"/>
          <w:color w:val="000000" w:themeColor="text1"/>
          <w:lang w:val="ro-RO"/>
        </w:rPr>
      </w:pPr>
      <w:r w:rsidRPr="003964D3">
        <w:rPr>
          <w:rFonts w:ascii="Calibri" w:eastAsia="Calibri" w:hAnsi="Calibri" w:cs="Arial"/>
          <w:color w:val="000000" w:themeColor="text1"/>
          <w:lang w:val="ro-RO"/>
        </w:rPr>
        <w:t>începând cu 1 ianuarie 2019, salariile de bază, soldele de functie/salariile de functie, indemnizatiile de încadrare se majorează cu 1/4 din diferenţa dintre salariul de bază, solda de functie/salariul de functie, indemnizatia de încadrare prevăzute de lege pentru anul 2022 şi cel/cea din luna decembrie 2018;</w:t>
      </w:r>
    </w:p>
    <w:p w:rsidR="006A425D" w:rsidRPr="003964D3" w:rsidRDefault="006A425D" w:rsidP="006A425D">
      <w:pPr>
        <w:suppressAutoHyphens/>
        <w:autoSpaceDE w:val="0"/>
        <w:adjustRightInd w:val="0"/>
        <w:spacing w:line="276" w:lineRule="auto"/>
        <w:ind w:left="1068"/>
        <w:contextualSpacing/>
        <w:jc w:val="both"/>
        <w:rPr>
          <w:rFonts w:ascii="Calibri" w:eastAsia="Calibri" w:hAnsi="Calibri" w:cs="Arial"/>
          <w:color w:val="000000" w:themeColor="text1"/>
          <w:szCs w:val="22"/>
          <w:lang w:val="ro-RO" w:eastAsia="zh-CN"/>
        </w:rPr>
      </w:pPr>
    </w:p>
    <w:p w:rsidR="006A425D" w:rsidRPr="003964D3" w:rsidRDefault="006A425D" w:rsidP="006A425D">
      <w:pPr>
        <w:numPr>
          <w:ilvl w:val="0"/>
          <w:numId w:val="170"/>
        </w:numPr>
        <w:suppressAutoHyphens/>
        <w:spacing w:after="120" w:line="276" w:lineRule="auto"/>
        <w:ind w:left="426" w:firstLine="0"/>
        <w:contextualSpacing/>
        <w:jc w:val="both"/>
        <w:rPr>
          <w:rFonts w:ascii="Calibri" w:eastAsia="MS Mincho" w:hAnsi="Calibri" w:cs="Arial"/>
          <w:bCs/>
          <w:color w:val="000000"/>
          <w:lang w:val="ro-RO"/>
        </w:rPr>
      </w:pPr>
      <w:r w:rsidRPr="003964D3">
        <w:rPr>
          <w:rFonts w:ascii="Calibri" w:eastAsia="MS Mincho" w:hAnsi="Calibri" w:cs="Arial"/>
          <w:bCs/>
          <w:color w:val="000066"/>
          <w:lang w:val="ro-RO"/>
        </w:rPr>
        <w:t xml:space="preserve">Asigurarea unor venituri decente, pentru pensionari </w:t>
      </w:r>
      <w:r w:rsidRPr="003964D3">
        <w:rPr>
          <w:rFonts w:ascii="Calibri" w:eastAsia="MS Mincho" w:hAnsi="Calibri" w:cs="Arial"/>
          <w:bCs/>
          <w:color w:val="000000"/>
          <w:lang w:val="ro-RO"/>
        </w:rPr>
        <w:t>care să le permită acestora să ducă o viață demnă şi decentă şi după pensionare este prioritate a Programului de Guvernare 2018-2020;</w:t>
      </w:r>
    </w:p>
    <w:p w:rsidR="006A425D" w:rsidRPr="00950853" w:rsidRDefault="006A425D" w:rsidP="00565476">
      <w:pPr>
        <w:numPr>
          <w:ilvl w:val="1"/>
          <w:numId w:val="231"/>
        </w:numPr>
        <w:tabs>
          <w:tab w:val="left" w:pos="810"/>
        </w:tabs>
        <w:autoSpaceDE w:val="0"/>
        <w:autoSpaceDN w:val="0"/>
        <w:adjustRightInd w:val="0"/>
        <w:spacing w:after="120" w:line="276" w:lineRule="auto"/>
        <w:contextualSpacing/>
        <w:jc w:val="both"/>
        <w:rPr>
          <w:rFonts w:ascii="Calibri" w:eastAsia="Calibri" w:hAnsi="Calibri" w:cs="Arial"/>
          <w:color w:val="000000"/>
          <w:lang w:val="fr-FR"/>
        </w:rPr>
      </w:pPr>
      <w:r w:rsidRPr="00950853">
        <w:rPr>
          <w:rFonts w:ascii="Calibri" w:eastAsia="Calibri" w:hAnsi="Calibri" w:cs="Arial"/>
          <w:color w:val="000000"/>
          <w:lang w:val="fr-FR"/>
        </w:rPr>
        <w:t>începând cu 1 septembrie 2019, valoarea punctului de pensie se majorează cu 15%, respectiv de la 1.100 lei la 1.265 lei;</w:t>
      </w:r>
    </w:p>
    <w:p w:rsidR="006A425D" w:rsidRPr="005E0909" w:rsidRDefault="006A425D" w:rsidP="00565476">
      <w:pPr>
        <w:numPr>
          <w:ilvl w:val="1"/>
          <w:numId w:val="231"/>
        </w:numPr>
        <w:tabs>
          <w:tab w:val="left" w:pos="810"/>
        </w:tabs>
        <w:autoSpaceDE w:val="0"/>
        <w:autoSpaceDN w:val="0"/>
        <w:adjustRightInd w:val="0"/>
        <w:spacing w:after="120" w:line="276" w:lineRule="auto"/>
        <w:contextualSpacing/>
        <w:jc w:val="both"/>
        <w:rPr>
          <w:rFonts w:ascii="Calibri" w:eastAsia="Calibri" w:hAnsi="Calibri" w:cs="Arial"/>
          <w:color w:val="000000"/>
          <w:lang w:val="fr-FR"/>
        </w:rPr>
      </w:pPr>
      <w:r w:rsidRPr="00950853">
        <w:rPr>
          <w:rFonts w:ascii="Calibri" w:eastAsia="Calibri" w:hAnsi="Calibri" w:cs="Arial"/>
          <w:color w:val="000000"/>
          <w:lang w:val="fr-FR"/>
        </w:rPr>
        <w:t xml:space="preserve">începând cu 1 septembrie </w:t>
      </w:r>
      <w:r w:rsidRPr="005E0909">
        <w:rPr>
          <w:rFonts w:ascii="Calibri" w:eastAsia="Calibri" w:hAnsi="Calibri" w:cs="Arial"/>
          <w:color w:val="000000" w:themeColor="text1"/>
          <w:lang w:val="fr-FR"/>
        </w:rPr>
        <w:t xml:space="preserve">2019, indemnizația socială pentru pensionari garantată </w:t>
      </w:r>
      <w:r w:rsidRPr="005E0909">
        <w:rPr>
          <w:rFonts w:ascii="Calibri" w:eastAsia="Calibri" w:hAnsi="Calibri" w:cs="Arial"/>
          <w:color w:val="000000"/>
          <w:lang w:val="fr-FR"/>
        </w:rPr>
        <w:t>se majorează cu 10%, respectiv de la 640 lei la 704 lei;</w:t>
      </w:r>
    </w:p>
    <w:p w:rsidR="006A425D" w:rsidRPr="002C1741" w:rsidRDefault="006A425D" w:rsidP="006A425D">
      <w:pPr>
        <w:tabs>
          <w:tab w:val="left" w:pos="810"/>
        </w:tabs>
        <w:autoSpaceDE w:val="0"/>
        <w:autoSpaceDN w:val="0"/>
        <w:adjustRightInd w:val="0"/>
        <w:spacing w:after="120" w:line="276" w:lineRule="auto"/>
        <w:ind w:left="720"/>
        <w:contextualSpacing/>
        <w:jc w:val="both"/>
        <w:rPr>
          <w:rFonts w:ascii="Calibri Light" w:eastAsia="Calibri" w:hAnsi="Calibri Light" w:cs="Arial"/>
          <w:bCs/>
          <w:color w:val="000000" w:themeColor="text1"/>
          <w:lang w:val="ro-RO"/>
        </w:rPr>
      </w:pPr>
    </w:p>
    <w:tbl>
      <w:tblPr>
        <w:tblW w:w="0" w:type="auto"/>
        <w:shd w:val="clear" w:color="auto" w:fill="FFFFFF"/>
        <w:tblLook w:val="04A0" w:firstRow="1" w:lastRow="0" w:firstColumn="1" w:lastColumn="0" w:noHBand="0" w:noVBand="1"/>
      </w:tblPr>
      <w:tblGrid>
        <w:gridCol w:w="9923"/>
      </w:tblGrid>
      <w:tr w:rsidR="006A425D" w:rsidRPr="002C1741" w:rsidTr="006A425D">
        <w:trPr>
          <w:trHeight w:val="334"/>
        </w:trPr>
        <w:tc>
          <w:tcPr>
            <w:tcW w:w="9923" w:type="dxa"/>
            <w:shd w:val="clear" w:color="auto" w:fill="FFFFFF"/>
          </w:tcPr>
          <w:p w:rsidR="006A425D" w:rsidRPr="002C1741" w:rsidRDefault="006A425D" w:rsidP="006A425D">
            <w:pPr>
              <w:widowControl w:val="0"/>
              <w:numPr>
                <w:ilvl w:val="0"/>
                <w:numId w:val="170"/>
              </w:numPr>
              <w:suppressAutoHyphens/>
              <w:autoSpaceDE w:val="0"/>
              <w:autoSpaceDN w:val="0"/>
              <w:adjustRightInd w:val="0"/>
              <w:spacing w:after="120" w:line="276" w:lineRule="auto"/>
              <w:ind w:left="601" w:hanging="317"/>
              <w:contextualSpacing/>
              <w:jc w:val="both"/>
              <w:rPr>
                <w:rFonts w:asciiTheme="minorHAnsi" w:eastAsia="Calibri" w:hAnsiTheme="minorHAnsi" w:cs="Arial"/>
                <w:b/>
                <w:color w:val="000048"/>
                <w:lang w:val="ro-RO"/>
              </w:rPr>
            </w:pPr>
            <w:r w:rsidRPr="002C1741">
              <w:rPr>
                <w:rFonts w:asciiTheme="minorHAnsi" w:eastAsia="Calibri" w:hAnsiTheme="minorHAnsi" w:cs="Arial"/>
                <w:b/>
                <w:bCs/>
                <w:color w:val="00004C"/>
                <w:lang w:val="ro-RO"/>
              </w:rPr>
              <w:t>Politica în domeniul asistenței sociale, incluziune socială și reducerea sărăciei</w:t>
            </w:r>
          </w:p>
        </w:tc>
      </w:tr>
    </w:tbl>
    <w:p w:rsidR="006A425D" w:rsidRPr="002C1741" w:rsidRDefault="006A425D" w:rsidP="006A425D">
      <w:pPr>
        <w:shd w:val="clear" w:color="auto" w:fill="FFFFFF"/>
        <w:spacing w:after="150" w:line="165" w:lineRule="atLeast"/>
        <w:ind w:left="720"/>
        <w:contextualSpacing/>
        <w:jc w:val="both"/>
        <w:textAlignment w:val="baseline"/>
        <w:rPr>
          <w:rFonts w:ascii="Calibri" w:hAnsi="Calibri" w:cs="Arial"/>
          <w:b/>
          <w:lang w:val="ro-RO"/>
        </w:rPr>
      </w:pPr>
      <w:r w:rsidRPr="002C1741">
        <w:rPr>
          <w:rFonts w:ascii="Calibri" w:hAnsi="Calibri" w:cs="Arial"/>
          <w:bCs/>
          <w:color w:val="000048"/>
        </w:rPr>
        <w:t xml:space="preserve">Obiectivul strategic al acestei politici este </w:t>
      </w:r>
      <w:r w:rsidRPr="002C1741">
        <w:rPr>
          <w:rFonts w:ascii="Calibri" w:hAnsi="Calibri" w:cs="Arial"/>
          <w:b/>
          <w:bCs/>
          <w:color w:val="000048"/>
        </w:rPr>
        <w:t>s</w:t>
      </w:r>
      <w:r w:rsidRPr="002C1741">
        <w:rPr>
          <w:rFonts w:ascii="Calibri" w:hAnsi="Calibri" w:cs="Arial"/>
          <w:b/>
          <w:color w:val="000048"/>
        </w:rPr>
        <w:t xml:space="preserve">căderea numărului persoanelor în risc </w:t>
      </w:r>
      <w:r w:rsidRPr="002C1741">
        <w:rPr>
          <w:rFonts w:ascii="Calibri" w:hAnsi="Calibri" w:cs="Arial"/>
          <w:b/>
        </w:rPr>
        <w:t>de sărăcie și excluziune socială, în contextul creării unei rețele de servicii sociale integrate, ample și bine coordinate</w:t>
      </w:r>
      <w:r w:rsidRPr="002C1741">
        <w:rPr>
          <w:rFonts w:ascii="Calibri" w:hAnsi="Calibri" w:cs="Arial"/>
          <w:b/>
          <w:lang w:val="ro-RO"/>
        </w:rPr>
        <w:t>.</w:t>
      </w:r>
    </w:p>
    <w:p w:rsidR="006A425D" w:rsidRPr="002C1741" w:rsidRDefault="006A425D" w:rsidP="00DE741A">
      <w:pPr>
        <w:shd w:val="clear" w:color="auto" w:fill="FFFFFF"/>
        <w:spacing w:after="150" w:line="165" w:lineRule="atLeast"/>
        <w:contextualSpacing/>
        <w:jc w:val="both"/>
        <w:textAlignment w:val="baseline"/>
        <w:rPr>
          <w:rFonts w:asciiTheme="minorHAnsi" w:hAnsiTheme="minorHAnsi" w:cstheme="minorHAnsi"/>
          <w:color w:val="000000" w:themeColor="text1"/>
          <w:lang w:val="ro-RO"/>
        </w:rPr>
      </w:pPr>
    </w:p>
    <w:p w:rsidR="006A425D" w:rsidRPr="002C1741" w:rsidRDefault="006A425D" w:rsidP="006A425D">
      <w:pPr>
        <w:shd w:val="clear" w:color="auto" w:fill="D9D9D9"/>
        <w:ind w:left="720"/>
        <w:rPr>
          <w:rFonts w:ascii="Calibri" w:hAnsi="Calibri"/>
          <w:color w:val="000080"/>
          <w:lang w:val="ro-RO"/>
        </w:rPr>
      </w:pPr>
      <w:r w:rsidRPr="002C1741">
        <w:rPr>
          <w:rFonts w:ascii="Calibri" w:hAnsi="Calibri"/>
          <w:b/>
          <w:color w:val="000080"/>
          <w:lang w:val="ro-RO"/>
        </w:rPr>
        <w:t xml:space="preserve">5. Dezvoltarea şi diversificarea instrumentelor de management ale datoriei publice </w:t>
      </w:r>
    </w:p>
    <w:p w:rsidR="006A425D" w:rsidRPr="002C1741" w:rsidRDefault="006A425D" w:rsidP="006A425D">
      <w:pPr>
        <w:suppressAutoHyphens/>
        <w:rPr>
          <w:lang w:val="ro-RO" w:eastAsia="zh-CN"/>
        </w:rPr>
      </w:pPr>
    </w:p>
    <w:p w:rsidR="006A425D" w:rsidRPr="006F59B8" w:rsidRDefault="006A425D" w:rsidP="006A425D">
      <w:pPr>
        <w:suppressAutoHyphens/>
        <w:spacing w:line="276" w:lineRule="auto"/>
        <w:jc w:val="both"/>
        <w:rPr>
          <w:rFonts w:asciiTheme="minorHAnsi" w:hAnsiTheme="minorHAnsi" w:cs="Arial"/>
          <w:color w:val="000000"/>
          <w:lang w:val="ro-RO" w:eastAsia="zh-CN"/>
        </w:rPr>
      </w:pPr>
      <w:r w:rsidRPr="006F59B8">
        <w:rPr>
          <w:rFonts w:asciiTheme="minorHAnsi" w:hAnsiTheme="minorHAnsi" w:cs="Arial"/>
          <w:color w:val="000000"/>
          <w:lang w:val="ro-RO" w:eastAsia="zh-CN"/>
        </w:rPr>
        <w:t>Pe termen mediu, în vederea îndeplinirii obiectivului de dezvoltare a pietei titlurilor de stat, finanţarea deficitului bugetului de stat şi refinanţarea datoriei publice guvernamentale se va realiza în principal din surse interne și, în completare, din surse externe, prin emisiuni de titluri de stat. MFP va continua să mențină o abordare flexibilă și transparentă în realizarea procesului de finanțare, reactionând cu promptitudine la modificarile contextului de piață și comportamentul investitorilor.</w:t>
      </w:r>
    </w:p>
    <w:p w:rsidR="006A425D" w:rsidRPr="006F59B8" w:rsidRDefault="006A425D" w:rsidP="006A425D">
      <w:pPr>
        <w:suppressAutoHyphens/>
        <w:spacing w:line="276" w:lineRule="auto"/>
        <w:jc w:val="both"/>
        <w:rPr>
          <w:rFonts w:asciiTheme="minorHAnsi" w:hAnsiTheme="minorHAnsi" w:cs="Arial"/>
          <w:color w:val="000000"/>
          <w:lang w:val="ro-RO" w:eastAsia="zh-CN"/>
        </w:rPr>
      </w:pPr>
    </w:p>
    <w:p w:rsidR="006A425D" w:rsidRPr="006F59B8" w:rsidRDefault="006A425D" w:rsidP="006A425D">
      <w:pPr>
        <w:suppressAutoHyphens/>
        <w:spacing w:line="276" w:lineRule="auto"/>
        <w:jc w:val="both"/>
        <w:rPr>
          <w:rFonts w:asciiTheme="minorHAnsi" w:hAnsiTheme="minorHAnsi" w:cs="Arial"/>
          <w:color w:val="000000"/>
          <w:lang w:val="ro-RO" w:eastAsia="zh-CN"/>
        </w:rPr>
      </w:pPr>
      <w:r w:rsidRPr="006F59B8">
        <w:rPr>
          <w:rFonts w:asciiTheme="minorHAnsi" w:hAnsiTheme="minorHAnsi" w:cs="Arial"/>
          <w:color w:val="000000"/>
          <w:lang w:val="ro-RO" w:eastAsia="zh-CN"/>
        </w:rPr>
        <w:t xml:space="preserve">În scopul creşterii accesibilităţii persoanelor fizice la cumpararea titlurilor de stat, se are în vedere continuarea emisiunilor de titluri de stat pentru populație prin Programul Tezaur, în limita unui plafon anual, atât prin unitatile operative ale Trezoreriei Statului, cât și prin oficiile poștale ale Companiei Naționale Poșta Română si instituțiilor de credit, precum și flexibilizarea acestuia prin introducerea posibilității de răscumpărare anticipată și a transferului de proprietate între persoanele fizice. </w:t>
      </w:r>
    </w:p>
    <w:p w:rsidR="006A425D" w:rsidRPr="006F59B8" w:rsidRDefault="006A425D" w:rsidP="006A425D">
      <w:pPr>
        <w:suppressAutoHyphens/>
        <w:spacing w:line="276" w:lineRule="auto"/>
        <w:jc w:val="both"/>
        <w:rPr>
          <w:rFonts w:asciiTheme="minorHAnsi" w:hAnsiTheme="minorHAnsi" w:cs="Arial"/>
          <w:color w:val="000000"/>
          <w:lang w:val="ro-RO" w:eastAsia="zh-CN"/>
        </w:rPr>
      </w:pPr>
    </w:p>
    <w:p w:rsidR="006A425D" w:rsidRPr="006F59B8" w:rsidRDefault="006A425D" w:rsidP="006A425D">
      <w:pPr>
        <w:suppressAutoHyphens/>
        <w:spacing w:line="276" w:lineRule="auto"/>
        <w:jc w:val="both"/>
        <w:rPr>
          <w:rFonts w:asciiTheme="minorHAnsi" w:hAnsiTheme="minorHAnsi" w:cs="Arial"/>
          <w:color w:val="000000"/>
          <w:lang w:val="ro-RO" w:eastAsia="zh-CN"/>
        </w:rPr>
      </w:pPr>
      <w:r w:rsidRPr="006F59B8">
        <w:rPr>
          <w:rFonts w:asciiTheme="minorHAnsi" w:hAnsiTheme="minorHAnsi" w:cs="Arial"/>
          <w:iCs/>
          <w:color w:val="000000"/>
          <w:lang w:val="ro-RO"/>
        </w:rPr>
        <w:t xml:space="preserve">Pentru evitarea presiunilor sezoniere în asigurarea surselor de finanţare a deficitului bugetar şi de refinanţare a datoriei publice guvernamentale, Trezoreria Statului va menţine ca și în anii precedenți rezerva financiară (buffer) în valută, la o valoare echivalentă care acoperă necesităţile brute de finanţare, determinate de deficitul bugetar şi refinanţarea datoriei publice pentru circa 4 luni. </w:t>
      </w:r>
    </w:p>
    <w:p w:rsidR="006A425D" w:rsidRPr="006F59B8" w:rsidRDefault="006A425D" w:rsidP="006A425D">
      <w:pPr>
        <w:suppressAutoHyphens/>
        <w:spacing w:line="276" w:lineRule="auto"/>
        <w:jc w:val="both"/>
        <w:rPr>
          <w:rFonts w:ascii="Arial" w:hAnsi="Arial" w:cs="Arial"/>
          <w:color w:val="000000"/>
          <w:sz w:val="20"/>
          <w:szCs w:val="20"/>
          <w:lang w:val="ro-RO" w:eastAsia="zh-CN"/>
        </w:rPr>
      </w:pPr>
    </w:p>
    <w:p w:rsidR="006A425D" w:rsidRPr="002C1741" w:rsidRDefault="006A425D" w:rsidP="006A425D">
      <w:pPr>
        <w:shd w:val="clear" w:color="auto" w:fill="D9D9D9" w:themeFill="background1" w:themeFillShade="D9"/>
        <w:autoSpaceDE w:val="0"/>
        <w:autoSpaceDN w:val="0"/>
        <w:adjustRightInd w:val="0"/>
        <w:spacing w:before="120" w:after="100" w:line="280" w:lineRule="exact"/>
        <w:jc w:val="both"/>
        <w:rPr>
          <w:rFonts w:ascii="Calibri Light" w:hAnsi="Calibri Light" w:cs="Arial"/>
          <w:b/>
          <w:color w:val="000048"/>
          <w:lang w:val="ro-RO"/>
        </w:rPr>
      </w:pPr>
      <w:r w:rsidRPr="002C1741">
        <w:rPr>
          <w:rFonts w:ascii="Calibri" w:hAnsi="Calibri" w:cs="Arial"/>
          <w:b/>
          <w:iCs/>
          <w:color w:val="002060"/>
          <w:lang w:val="ro-RO"/>
        </w:rPr>
        <w:t>6</w:t>
      </w:r>
      <w:r w:rsidRPr="002C1741">
        <w:rPr>
          <w:rFonts w:ascii="Calibri" w:hAnsi="Calibri" w:cs="Arial"/>
          <w:b/>
          <w:iCs/>
          <w:color w:val="000048"/>
          <w:lang w:val="ro-RO"/>
        </w:rPr>
        <w:t xml:space="preserve">. </w:t>
      </w:r>
      <w:r w:rsidRPr="002C1741">
        <w:rPr>
          <w:rFonts w:ascii="Calibri" w:eastAsia="Calibri" w:hAnsi="Calibri"/>
          <w:b/>
          <w:color w:val="000048"/>
          <w:lang w:val="ro-RO"/>
        </w:rPr>
        <w:t>Îmbunătățirea, aplicarea și consolidarea guvernanței bugetare</w:t>
      </w:r>
      <w:r w:rsidRPr="002C1741">
        <w:rPr>
          <w:rFonts w:ascii="Calibri" w:eastAsia="Calibri" w:hAnsi="Calibri"/>
          <w:color w:val="000048"/>
          <w:lang w:val="ro-RO"/>
        </w:rPr>
        <w:t xml:space="preserve">, </w:t>
      </w:r>
      <w:r w:rsidRPr="002C1741">
        <w:rPr>
          <w:rFonts w:ascii="Calibri" w:eastAsia="Calibri" w:hAnsi="Calibri"/>
          <w:b/>
          <w:color w:val="000048"/>
          <w:lang w:val="ro-RO"/>
        </w:rPr>
        <w:t>creșterea transparenței bugetare și  eficientizarea cheltuielilor publice</w:t>
      </w:r>
    </w:p>
    <w:p w:rsidR="006A425D" w:rsidRPr="002C1741" w:rsidRDefault="006A425D" w:rsidP="006A425D">
      <w:pPr>
        <w:keepNext/>
        <w:widowControl w:val="0"/>
        <w:spacing w:before="120" w:after="60" w:line="276" w:lineRule="auto"/>
        <w:jc w:val="both"/>
        <w:rPr>
          <w:rFonts w:asciiTheme="minorHAnsi" w:hAnsiTheme="minorHAnsi"/>
          <w:color w:val="000048"/>
          <w:lang w:val="ro-RO"/>
        </w:rPr>
      </w:pPr>
      <w:r w:rsidRPr="002C1741">
        <w:rPr>
          <w:rFonts w:asciiTheme="minorHAnsi" w:eastAsia="Calibri" w:hAnsiTheme="minorHAnsi" w:cs="Calibri"/>
          <w:i/>
          <w:color w:val="000048"/>
          <w:lang w:val="ro-RO"/>
        </w:rPr>
        <w:t xml:space="preserve">Transparentizarea și </w:t>
      </w:r>
      <w:r w:rsidRPr="002C1741">
        <w:rPr>
          <w:rFonts w:asciiTheme="minorHAnsi" w:hAnsiTheme="minorHAnsi"/>
          <w:i/>
          <w:color w:val="000048"/>
          <w:lang w:val="ro-RO"/>
        </w:rPr>
        <w:t xml:space="preserve"> eficientizarea cheltuielilor publice </w:t>
      </w:r>
      <w:r w:rsidRPr="002C1741">
        <w:rPr>
          <w:rFonts w:asciiTheme="minorHAnsi" w:hAnsiTheme="minorHAnsi"/>
          <w:color w:val="000048"/>
          <w:lang w:val="ro-RO"/>
        </w:rPr>
        <w:t>vor contribui la creşterea spaţiului fiscal pentru investiţii, îmbunătăţirea sustenabilităţii finanţelor publice pe termen mediu şi lung, creşterea capacităţii de absorbţie a fondurilor europene şi creşterea predictibilităţii politicii bugetare pe termen mediu.</w:t>
      </w:r>
    </w:p>
    <w:p w:rsidR="006A425D" w:rsidRPr="002C1741" w:rsidRDefault="006A425D" w:rsidP="006A425D">
      <w:pPr>
        <w:keepNext/>
        <w:widowControl w:val="0"/>
        <w:spacing w:before="120" w:after="60" w:line="276" w:lineRule="auto"/>
        <w:jc w:val="both"/>
        <w:rPr>
          <w:rFonts w:asciiTheme="minorHAnsi" w:eastAsia="Calibri" w:hAnsiTheme="minorHAnsi" w:cs="Calibri"/>
          <w:color w:val="000000" w:themeColor="text1"/>
          <w:lang w:val="ro-RO"/>
        </w:rPr>
      </w:pPr>
      <w:r w:rsidRPr="002C1741">
        <w:rPr>
          <w:rFonts w:ascii="Calibri" w:eastAsia="Calibri" w:hAnsi="Calibri" w:cs="Calibri"/>
          <w:color w:val="000000" w:themeColor="text1"/>
          <w:lang w:val="ro-RO"/>
        </w:rPr>
        <w:t xml:space="preserve">Ministerul Finanţelor Publice acordă o atenție deosebită </w:t>
      </w:r>
      <w:r w:rsidRPr="002C1741">
        <w:rPr>
          <w:rFonts w:ascii="Calibri" w:eastAsia="Calibri" w:hAnsi="Calibri" w:cs="Calibri"/>
          <w:color w:val="000048"/>
          <w:lang w:val="ro-RO"/>
        </w:rPr>
        <w:t xml:space="preserve">procesului de instituționalizare a </w:t>
      </w:r>
      <w:r w:rsidRPr="002C1741">
        <w:rPr>
          <w:rFonts w:asciiTheme="minorHAnsi" w:eastAsia="Calibri" w:hAnsiTheme="minorHAnsi" w:cs="Calibri"/>
          <w:color w:val="000048"/>
          <w:lang w:val="ro-RO"/>
        </w:rPr>
        <w:t xml:space="preserve">analizei cheltuielilor publice, </w:t>
      </w:r>
      <w:r w:rsidRPr="002C1741">
        <w:rPr>
          <w:rFonts w:asciiTheme="minorHAnsi" w:eastAsia="Calibri" w:hAnsiTheme="minorHAnsi" w:cs="Calibri"/>
          <w:color w:val="000000" w:themeColor="text1"/>
          <w:lang w:val="ro-RO"/>
        </w:rPr>
        <w:t xml:space="preserve">prin crearea unei structuri responsabilecu realizarea acestor analize si elaborarea unor recomandări pertinente pentru ministere care sa conducă la o alocare optimă  a resurselor. </w:t>
      </w:r>
    </w:p>
    <w:p w:rsidR="006A425D" w:rsidRPr="002C1741" w:rsidRDefault="006A425D" w:rsidP="006A425D">
      <w:pPr>
        <w:widowControl w:val="0"/>
        <w:tabs>
          <w:tab w:val="num" w:pos="1440"/>
        </w:tabs>
        <w:autoSpaceDE w:val="0"/>
        <w:autoSpaceDN w:val="0"/>
        <w:adjustRightInd w:val="0"/>
        <w:spacing w:line="276" w:lineRule="auto"/>
        <w:jc w:val="both"/>
        <w:rPr>
          <w:rFonts w:asciiTheme="minorHAnsi" w:hAnsiTheme="minorHAnsi"/>
          <w:lang w:val="ro-RO"/>
        </w:rPr>
      </w:pPr>
      <w:r w:rsidRPr="002C1741">
        <w:rPr>
          <w:rFonts w:asciiTheme="minorHAnsi" w:eastAsia="Calibri" w:hAnsiTheme="minorHAnsi" w:cs="Calibri"/>
          <w:spacing w:val="1"/>
          <w:lang w:val="ro-RO"/>
        </w:rPr>
        <w:t xml:space="preserve">S-au efectuat  </w:t>
      </w:r>
      <w:r w:rsidRPr="002C1741">
        <w:rPr>
          <w:rFonts w:asciiTheme="minorHAnsi" w:hAnsiTheme="minorHAnsi"/>
          <w:bCs/>
          <w:color w:val="000048"/>
          <w:lang w:val="ro-RO"/>
        </w:rPr>
        <w:t>analize pilot de cheltuieli în domeniile transporturi, sănătate, educație</w:t>
      </w:r>
      <w:r w:rsidRPr="002C1741">
        <w:rPr>
          <w:rFonts w:asciiTheme="minorHAnsi" w:hAnsiTheme="minorHAnsi"/>
          <w:color w:val="000048"/>
          <w:lang w:val="ro-RO"/>
        </w:rPr>
        <w:t>,</w:t>
      </w:r>
      <w:r w:rsidRPr="002C1741">
        <w:rPr>
          <w:rFonts w:asciiTheme="minorHAnsi" w:hAnsiTheme="minorHAnsi"/>
          <w:lang w:val="ro-RO"/>
        </w:rPr>
        <w:t xml:space="preserve"> în vederea prioritizării și eficientizării alocării acestora și a identificării unor modalități de realizare de economii.</w:t>
      </w:r>
    </w:p>
    <w:p w:rsidR="006A425D" w:rsidRPr="002C1741" w:rsidRDefault="006A425D" w:rsidP="006A425D">
      <w:pPr>
        <w:widowControl w:val="0"/>
        <w:tabs>
          <w:tab w:val="num" w:pos="1440"/>
        </w:tabs>
        <w:autoSpaceDE w:val="0"/>
        <w:autoSpaceDN w:val="0"/>
        <w:adjustRightInd w:val="0"/>
        <w:spacing w:line="276" w:lineRule="auto"/>
        <w:jc w:val="both"/>
        <w:rPr>
          <w:rFonts w:asciiTheme="minorHAnsi" w:hAnsiTheme="minorHAnsi"/>
          <w:color w:val="000000"/>
          <w:lang w:val="ro-RO"/>
        </w:rPr>
      </w:pPr>
      <w:r w:rsidRPr="002C1741">
        <w:rPr>
          <w:rFonts w:asciiTheme="minorHAnsi" w:eastAsia="Calibri" w:hAnsiTheme="minorHAnsi" w:cs="Calibri"/>
          <w:spacing w:val="1"/>
          <w:lang w:val="ro-RO"/>
        </w:rPr>
        <w:t xml:space="preserve"> De asemenea, în 2017 a început implementarea </w:t>
      </w:r>
      <w:r w:rsidRPr="002C1741">
        <w:rPr>
          <w:rFonts w:asciiTheme="minorHAnsi" w:eastAsia="Calibri" w:hAnsiTheme="minorHAnsi" w:cs="Calibri"/>
          <w:color w:val="000048"/>
          <w:spacing w:val="1"/>
          <w:lang w:val="ro-RO"/>
        </w:rPr>
        <w:t>unui proiect de asistenţă tehnică privind consolidarea capacităţii de a efectua analiza cheltuielilor publice</w:t>
      </w:r>
      <w:r w:rsidRPr="002C1741">
        <w:rPr>
          <w:rFonts w:asciiTheme="minorHAnsi" w:eastAsia="Calibri" w:hAnsiTheme="minorHAnsi" w:cs="Calibri"/>
          <w:spacing w:val="1"/>
          <w:lang w:val="ro-RO"/>
        </w:rPr>
        <w:t xml:space="preserve">, prin intermediul CE-Programului de Sprijin pentru Reforme Structurale. Scopul  Final al proiectului este elaborarea unui   </w:t>
      </w:r>
      <w:r w:rsidRPr="002C1741">
        <w:rPr>
          <w:rFonts w:asciiTheme="minorHAnsi" w:eastAsia="Calibri" w:hAnsiTheme="minorHAnsi" w:cs="Calibri"/>
          <w:color w:val="000048"/>
          <w:spacing w:val="1"/>
          <w:lang w:val="ro-RO"/>
        </w:rPr>
        <w:t xml:space="preserve">Manual de analiză a cheltuielilor publice, </w:t>
      </w:r>
      <w:r w:rsidRPr="002C1741">
        <w:rPr>
          <w:rFonts w:asciiTheme="minorHAnsi" w:eastAsia="Calibri" w:hAnsiTheme="minorHAnsi" w:cs="Calibri"/>
          <w:spacing w:val="1"/>
          <w:lang w:val="ro-RO"/>
        </w:rPr>
        <w:t>care detaliază  practicile de urmat în cadrul procesului de analiză a cheltuielilor publice.</w:t>
      </w:r>
    </w:p>
    <w:p w:rsidR="006A425D" w:rsidRPr="002C1741" w:rsidRDefault="006A425D" w:rsidP="006A425D">
      <w:pPr>
        <w:widowControl w:val="0"/>
        <w:tabs>
          <w:tab w:val="num" w:pos="1440"/>
        </w:tabs>
        <w:autoSpaceDE w:val="0"/>
        <w:autoSpaceDN w:val="0"/>
        <w:adjustRightInd w:val="0"/>
        <w:spacing w:line="276" w:lineRule="auto"/>
        <w:jc w:val="both"/>
        <w:rPr>
          <w:color w:val="000000"/>
          <w:sz w:val="20"/>
          <w:szCs w:val="20"/>
          <w:lang w:val="ro-RO"/>
        </w:rPr>
      </w:pPr>
    </w:p>
    <w:p w:rsidR="006A425D" w:rsidRPr="003964D3" w:rsidRDefault="006A425D" w:rsidP="006A425D">
      <w:pPr>
        <w:spacing w:before="120" w:after="120" w:line="259" w:lineRule="auto"/>
        <w:jc w:val="both"/>
        <w:rPr>
          <w:rFonts w:ascii="Calibri" w:hAnsi="Calibri"/>
          <w:lang w:val="ro-RO" w:eastAsia="ro-RO"/>
        </w:rPr>
      </w:pPr>
      <w:r w:rsidRPr="002C1741">
        <w:rPr>
          <w:rFonts w:ascii="Calibri" w:eastAsia="Calibri" w:hAnsi="Calibri" w:cs="Arial"/>
          <w:b/>
          <w:color w:val="000048"/>
          <w:lang w:val="ro-RO" w:eastAsia="ro-RO"/>
        </w:rPr>
        <w:t xml:space="preserve">Masuri pentru limitarea  cheltuielilor </w:t>
      </w:r>
      <w:r w:rsidRPr="002C1741">
        <w:rPr>
          <w:rFonts w:ascii="Calibri" w:eastAsia="Calibri" w:hAnsi="Calibri" w:cs="Arial"/>
          <w:color w:val="000048"/>
          <w:lang w:val="ro-RO" w:eastAsia="ro-RO"/>
        </w:rPr>
        <w:t>dupa caz p</w:t>
      </w:r>
      <w:r w:rsidRPr="002C1741">
        <w:rPr>
          <w:rFonts w:ascii="Calibri" w:eastAsia="Calibri" w:hAnsi="Calibri" w:cs="Arial"/>
          <w:iCs/>
          <w:color w:val="000048"/>
          <w:lang w:val="ro-RO" w:eastAsia="zh-CN"/>
        </w:rPr>
        <w:t xml:space="preserve">entru respectarea țintei de deficit de sub 3% </w:t>
      </w:r>
      <w:r w:rsidRPr="002C1741">
        <w:rPr>
          <w:rFonts w:ascii="Calibri" w:eastAsia="Calibri" w:hAnsi="Calibri" w:cs="Arial"/>
          <w:iCs/>
          <w:lang w:val="ro-RO" w:eastAsia="zh-CN"/>
        </w:rPr>
        <w:t>din PIB prin c</w:t>
      </w:r>
      <w:r w:rsidRPr="003964D3">
        <w:rPr>
          <w:rFonts w:ascii="Calibri" w:hAnsi="Calibri" w:cs="Arial"/>
          <w:iCs/>
          <w:color w:val="000048"/>
          <w:lang w:val="ro-RO" w:eastAsia="ro-RO"/>
        </w:rPr>
        <w:t>ontinuarea aplicării și în anul 2018 a unora dintre măsurile aprobate în anii anteriori, respectiv:</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munca suplimentară efectuată peste durata normală a timpului de lucru sau în zilele libere se va compensa numai cu timp liber, cu anumite excepţii în cazul personalului din domeniile apararii, sigurantei si ordinii publice sau personalului cu statut special;</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 perioada 2019-2021, instituţiile şi autorităţile publice nu acordă personalului din cadrul acestora premii, cu anumite exceptii in cazul sportivilor si colectivelor tehnice, studentilor, elevilor şi profesorilor;</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lang w:val="fr-FR"/>
        </w:rPr>
      </w:pPr>
      <w:r w:rsidRPr="003964D3">
        <w:rPr>
          <w:rFonts w:ascii="Calibri" w:eastAsia="Calibri" w:hAnsi="Calibri" w:cs="Arial"/>
          <w:color w:val="000000" w:themeColor="text1"/>
          <w:lang w:val="fr-FR"/>
        </w:rPr>
        <w:t>În perioada 2019-2021 nu se acordă ajutoarele sau, după caz, indemnizațiile la ieșirea la pensie, retragere, încetarea raporturilor de serviciu ori la trecerea în rezervă;</w:t>
      </w:r>
    </w:p>
    <w:p w:rsidR="006A425D" w:rsidRPr="003964D3" w:rsidRDefault="006A425D" w:rsidP="00565476">
      <w:pPr>
        <w:numPr>
          <w:ilvl w:val="0"/>
          <w:numId w:val="210"/>
        </w:numPr>
        <w:spacing w:after="160" w:line="259" w:lineRule="auto"/>
        <w:contextualSpacing/>
        <w:jc w:val="both"/>
        <w:rPr>
          <w:rFonts w:ascii="Calibri" w:eastAsia="Calibri" w:hAnsi="Calibri" w:cs="Arial"/>
          <w:strike/>
          <w:color w:val="000000" w:themeColor="text1"/>
          <w:lang w:val="fr-FR"/>
        </w:rPr>
      </w:pPr>
      <w:r w:rsidRPr="003964D3">
        <w:rPr>
          <w:rFonts w:ascii="Calibri" w:eastAsia="Calibri" w:hAnsi="Calibri" w:cs="Arial"/>
          <w:color w:val="000000" w:themeColor="text1"/>
          <w:lang w:val="fr-FR"/>
        </w:rPr>
        <w:t>În perioada 2019-2021 instituțiile și autoritatile publice nu acordă personalului bilete de valoare, cu excepția tichetelor de creșă reglementate de Legea 165/2018.</w:t>
      </w:r>
    </w:p>
    <w:p w:rsidR="00F030D0" w:rsidRPr="003964D3" w:rsidRDefault="00F030D0" w:rsidP="004548F2">
      <w:pPr>
        <w:spacing w:after="160" w:line="259" w:lineRule="auto"/>
        <w:ind w:left="720"/>
        <w:contextualSpacing/>
        <w:jc w:val="both"/>
        <w:rPr>
          <w:rFonts w:ascii="Calibri" w:eastAsia="Calibri" w:hAnsi="Calibri" w:cs="Arial"/>
          <w:strike/>
          <w:color w:val="000000" w:themeColor="text1"/>
          <w:lang w:val="fr-FR"/>
        </w:rPr>
      </w:pPr>
    </w:p>
    <w:p w:rsidR="004548F2" w:rsidRDefault="004548F2" w:rsidP="004548F2">
      <w:pPr>
        <w:spacing w:after="160" w:line="259" w:lineRule="auto"/>
        <w:ind w:left="720"/>
        <w:contextualSpacing/>
        <w:jc w:val="both"/>
        <w:rPr>
          <w:rFonts w:ascii="Calibri" w:eastAsia="Calibri" w:hAnsi="Calibri" w:cs="Arial"/>
          <w:strike/>
          <w:color w:val="000000" w:themeColor="text1"/>
          <w:lang w:val="fr-FR"/>
        </w:rPr>
      </w:pPr>
    </w:p>
    <w:p w:rsidR="00E40CE6" w:rsidRDefault="00E40CE6" w:rsidP="00FA5738">
      <w:pPr>
        <w:jc w:val="both"/>
        <w:rPr>
          <w:rFonts w:ascii="Calibri" w:hAnsi="Calibri"/>
          <w:b/>
          <w:color w:val="000066"/>
          <w:lang w:val="ro-RO"/>
        </w:rPr>
      </w:pPr>
    </w:p>
    <w:p w:rsidR="00425593" w:rsidRPr="00C86702" w:rsidRDefault="0070767E" w:rsidP="0070767E">
      <w:pPr>
        <w:shd w:val="clear" w:color="auto" w:fill="9CC2E5" w:themeFill="accent1" w:themeFillTint="99"/>
        <w:jc w:val="both"/>
        <w:rPr>
          <w:rFonts w:ascii="Calibri" w:hAnsi="Calibri"/>
          <w:b/>
          <w:color w:val="000066"/>
          <w:lang w:val="ro-RO"/>
        </w:rPr>
      </w:pPr>
      <w:r w:rsidRPr="00C86702">
        <w:rPr>
          <w:rFonts w:ascii="Calibri" w:hAnsi="Calibri"/>
          <w:b/>
          <w:color w:val="000066"/>
          <w:lang w:val="ro-RO"/>
        </w:rPr>
        <w:t xml:space="preserve">2. </w:t>
      </w:r>
      <w:r w:rsidR="00425593" w:rsidRPr="00C86702">
        <w:rPr>
          <w:rFonts w:ascii="Calibri" w:hAnsi="Calibri"/>
          <w:b/>
          <w:color w:val="000066"/>
          <w:lang w:val="ro-RO"/>
        </w:rPr>
        <w:t xml:space="preserve">Obiectivul bugetar pe termen mediu  </w:t>
      </w:r>
    </w:p>
    <w:p w:rsidR="0070767E" w:rsidRPr="00C86702" w:rsidRDefault="0070767E" w:rsidP="0070767E">
      <w:pPr>
        <w:rPr>
          <w:lang w:val="ro-RO"/>
        </w:rPr>
      </w:pPr>
    </w:p>
    <w:p w:rsidR="008774AE" w:rsidRDefault="00425593" w:rsidP="00E40CE6">
      <w:pPr>
        <w:shd w:val="clear" w:color="auto" w:fill="9CC2E5" w:themeFill="accent1" w:themeFillTint="99"/>
        <w:jc w:val="both"/>
        <w:rPr>
          <w:rFonts w:ascii="Calibri" w:hAnsi="Calibri"/>
          <w:b/>
          <w:color w:val="000099"/>
          <w:lang w:val="ro-RO"/>
        </w:rPr>
      </w:pPr>
      <w:r w:rsidRPr="00E40CE6">
        <w:rPr>
          <w:rFonts w:ascii="Calibri" w:hAnsi="Calibri"/>
          <w:b/>
          <w:color w:val="000066"/>
          <w:lang w:val="ro-RO"/>
        </w:rPr>
        <w:t xml:space="preserve">2.1 PIB </w:t>
      </w:r>
      <w:r w:rsidRPr="000207A9">
        <w:rPr>
          <w:rFonts w:ascii="Calibri" w:hAnsi="Calibri"/>
          <w:b/>
          <w:color w:val="000066"/>
          <w:lang w:val="ro-RO"/>
        </w:rPr>
        <w:t>potențial</w:t>
      </w:r>
      <w:r w:rsidRPr="00E40CE6">
        <w:rPr>
          <w:rFonts w:ascii="Calibri" w:hAnsi="Calibri"/>
          <w:b/>
          <w:color w:val="000066"/>
          <w:lang w:val="ro-RO"/>
        </w:rPr>
        <w:t xml:space="preserve"> și output –gap </w:t>
      </w:r>
    </w:p>
    <w:p w:rsidR="00F971FC" w:rsidRPr="00F971FC" w:rsidRDefault="00F971FC" w:rsidP="00F971FC">
      <w:pPr>
        <w:spacing w:before="120"/>
        <w:jc w:val="both"/>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 xml:space="preserve">În intervalul 2019-2021, produsul intern brut potenţial va creşte cu un ritm mediu anual de 5,2%. Estimarea şi prognoza PIB potenţial se realizează conform metodologiei comune europene, agreată la nivelul tuturor statelor membre UE, dar pe baza prognozei pe termen mediu prezentată în Strategie. Pe termen mediu, principala contribuţie la creşterea potenţială este dată de productivitatea totală a factorilor. Aceasta este urmată de contribuţia stocului de capital, în uşoară creştere, având în vedere evoluţia formării brute de capital fix. </w:t>
      </w:r>
    </w:p>
    <w:p w:rsidR="00F971FC" w:rsidRPr="00F971FC" w:rsidRDefault="00F971FC" w:rsidP="00F971FC">
      <w:pPr>
        <w:spacing w:before="120"/>
        <w:jc w:val="both"/>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 xml:space="preserve">în condiţiile în care indicatorii demografici continuă trendul negativ iar rata efectivă a şomajului se va situa aproximativ la acelaşi nivel cu NAWRU, contribuţia factorului muncă la creşterea potenţială va fi pozitivă, însă se va situa sub 1 punct procentual, diminuâundu-se de la 0,8 puncte procentuale în anul 2018 la 0,3 puncte procentuale în anul 2021. </w:t>
      </w:r>
    </w:p>
    <w:p w:rsidR="00F971FC" w:rsidRDefault="00F971FC" w:rsidP="00F971FC">
      <w:pPr>
        <w:spacing w:before="120"/>
        <w:jc w:val="both"/>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 xml:space="preserve">România are în prezent una dintre cele mai mari rate de creştere a PIB potenţial din rândul statelor membre UE. Conform estimărilor Comisiei Europene din Prognoza de toamnă 2018, anul acesta creşterea potenţială va fi de 4,6%, cea mai mare din rândul statelor membre non-euro. </w:t>
      </w:r>
    </w:p>
    <w:p w:rsidR="00F971FC" w:rsidRPr="00F971FC" w:rsidRDefault="00F971FC" w:rsidP="00F971FC">
      <w:pPr>
        <w:jc w:val="both"/>
        <w:rPr>
          <w:rFonts w:ascii="Calibri" w:eastAsia="Calibri" w:hAnsi="Calibri"/>
          <w:iCs/>
          <w:color w:val="000000" w:themeColor="text1"/>
          <w:kern w:val="2"/>
          <w:sz w:val="8"/>
          <w:szCs w:val="8"/>
          <w:lang w:val="ro-RO" w:eastAsia="zh-CN"/>
        </w:rPr>
      </w:pPr>
    </w:p>
    <w:p w:rsidR="00F971FC" w:rsidRPr="00F971FC" w:rsidRDefault="00F971FC" w:rsidP="00565476">
      <w:pPr>
        <w:numPr>
          <w:ilvl w:val="0"/>
          <w:numId w:val="199"/>
        </w:numPr>
        <w:spacing w:after="200" w:line="276" w:lineRule="auto"/>
        <w:jc w:val="center"/>
        <w:rPr>
          <w:rFonts w:ascii="Calibri" w:eastAsia="Calibri" w:hAnsi="Calibri"/>
          <w:b/>
          <w:iCs/>
          <w:color w:val="000000" w:themeColor="text1"/>
          <w:kern w:val="2"/>
          <w:szCs w:val="22"/>
          <w:lang w:val="ro-RO" w:eastAsia="zh-CN"/>
        </w:rPr>
      </w:pPr>
      <w:bookmarkStart w:id="3" w:name="_Toc418068096"/>
      <w:r w:rsidRPr="00F971FC">
        <w:rPr>
          <w:rFonts w:ascii="Calibri" w:eastAsia="Calibri" w:hAnsi="Calibri"/>
          <w:b/>
          <w:iCs/>
          <w:color w:val="000000" w:themeColor="text1"/>
          <w:kern w:val="2"/>
          <w:szCs w:val="22"/>
          <w:lang w:val="ro-RO" w:eastAsia="zh-CN"/>
        </w:rPr>
        <w:t xml:space="preserve">Creşterea PIB potenţial şi contribuţiile factorilor </w:t>
      </w:r>
      <w:bookmarkEnd w:id="3"/>
      <w:r w:rsidRPr="00F971FC">
        <w:rPr>
          <w:rFonts w:ascii="Calibri" w:eastAsia="Calibri" w:hAnsi="Calibri"/>
          <w:b/>
          <w:iCs/>
          <w:color w:val="000000" w:themeColor="text1"/>
          <w:kern w:val="2"/>
          <w:szCs w:val="22"/>
          <w:lang w:val="ro-RO" w:eastAsia="zh-CN"/>
        </w:rPr>
        <w:t xml:space="preserve"> -</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69"/>
        <w:gridCol w:w="1311"/>
        <w:gridCol w:w="1487"/>
        <w:gridCol w:w="1415"/>
        <w:gridCol w:w="1373"/>
        <w:gridCol w:w="1634"/>
      </w:tblGrid>
      <w:tr w:rsidR="00F971FC" w:rsidRPr="00F971FC" w:rsidTr="0036190B">
        <w:trPr>
          <w:trHeight w:val="21"/>
          <w:jc w:val="center"/>
        </w:trPr>
        <w:tc>
          <w:tcPr>
            <w:tcW w:w="2380" w:type="dxa"/>
            <w:gridSpan w:val="2"/>
            <w:tcBorders>
              <w:right w:val="single" w:sz="4" w:space="0" w:color="auto"/>
            </w:tcBorders>
            <w:shd w:val="clear" w:color="auto" w:fill="4F81BD"/>
            <w:noWrap/>
            <w:vAlign w:val="bottom"/>
          </w:tcPr>
          <w:p w:rsidR="00F971FC" w:rsidRPr="00F971FC" w:rsidRDefault="00F971FC" w:rsidP="00F971FC">
            <w:pPr>
              <w:spacing w:after="120"/>
              <w:rPr>
                <w:rFonts w:ascii="Calibri" w:eastAsia="Calibri" w:hAnsi="Calibri"/>
                <w:iCs/>
                <w:color w:val="000000" w:themeColor="text1"/>
                <w:kern w:val="2"/>
                <w:szCs w:val="22"/>
                <w:lang w:val="ro-RO" w:eastAsia="zh-CN"/>
              </w:rPr>
            </w:pPr>
          </w:p>
        </w:tc>
        <w:tc>
          <w:tcPr>
            <w:tcW w:w="5909" w:type="dxa"/>
            <w:gridSpan w:val="4"/>
            <w:tcBorders>
              <w:left w:val="single" w:sz="4" w:space="0" w:color="auto"/>
            </w:tcBorders>
            <w:shd w:val="clear" w:color="auto" w:fill="4F81BD"/>
            <w:noWrap/>
            <w:vAlign w:val="center"/>
          </w:tcPr>
          <w:p w:rsidR="00F971FC" w:rsidRPr="00F971FC" w:rsidRDefault="00F971FC" w:rsidP="00F971FC">
            <w:pPr>
              <w:spacing w:after="120"/>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Contribuţii - puncte procentuale -</w:t>
            </w:r>
          </w:p>
        </w:tc>
      </w:tr>
      <w:tr w:rsidR="00F971FC" w:rsidRPr="00F971FC" w:rsidTr="0036190B">
        <w:trPr>
          <w:trHeight w:val="21"/>
          <w:jc w:val="center"/>
        </w:trPr>
        <w:tc>
          <w:tcPr>
            <w:tcW w:w="1069" w:type="dxa"/>
            <w:tcBorders>
              <w:right w:val="single" w:sz="4" w:space="0" w:color="auto"/>
            </w:tcBorders>
            <w:shd w:val="clear" w:color="auto" w:fill="4F81BD"/>
            <w:noWrap/>
            <w:vAlign w:val="bottom"/>
          </w:tcPr>
          <w:p w:rsidR="00F971FC" w:rsidRPr="00F971FC" w:rsidRDefault="00F971FC" w:rsidP="00F971FC">
            <w:pPr>
              <w:rPr>
                <w:rFonts w:ascii="Calibri" w:eastAsia="Calibri" w:hAnsi="Calibri"/>
                <w:iCs/>
                <w:color w:val="000000" w:themeColor="text1"/>
                <w:kern w:val="2"/>
                <w:szCs w:val="22"/>
                <w:lang w:val="ro-RO" w:eastAsia="zh-CN"/>
              </w:rPr>
            </w:pPr>
          </w:p>
        </w:tc>
        <w:tc>
          <w:tcPr>
            <w:tcW w:w="1311" w:type="dxa"/>
            <w:tcBorders>
              <w:left w:val="single" w:sz="4" w:space="0" w:color="auto"/>
              <w:right w:val="single" w:sz="4" w:space="0" w:color="auto"/>
            </w:tcBorders>
            <w:shd w:val="clear" w:color="auto" w:fill="4F81BD"/>
            <w:vAlign w:val="center"/>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PIB potenţial</w:t>
            </w:r>
          </w:p>
        </w:tc>
        <w:tc>
          <w:tcPr>
            <w:tcW w:w="1487" w:type="dxa"/>
            <w:tcBorders>
              <w:left w:val="single" w:sz="4" w:space="0" w:color="auto"/>
              <w:righ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Capital</w:t>
            </w:r>
          </w:p>
        </w:tc>
        <w:tc>
          <w:tcPr>
            <w:tcW w:w="1415" w:type="dxa"/>
            <w:tcBorders>
              <w:left w:val="single" w:sz="4" w:space="0" w:color="auto"/>
              <w:right w:val="single" w:sz="4" w:space="0" w:color="auto"/>
            </w:tcBorders>
            <w:shd w:val="clear" w:color="auto" w:fill="4F81BD"/>
            <w:vAlign w:val="center"/>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Muncă</w:t>
            </w:r>
          </w:p>
        </w:tc>
        <w:tc>
          <w:tcPr>
            <w:tcW w:w="1373" w:type="dxa"/>
            <w:tcBorders>
              <w:left w:val="single" w:sz="4" w:space="0" w:color="auto"/>
              <w:righ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PTF</w:t>
            </w:r>
          </w:p>
        </w:tc>
        <w:tc>
          <w:tcPr>
            <w:tcW w:w="1634" w:type="dxa"/>
            <w:tcBorders>
              <w:lef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Output Gap</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2017</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4,6</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0,9</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0,3</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0,6</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2018</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4,9</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0,8</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0,6</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0,2</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2019</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5,1</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1,1</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0,6</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0,6</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2020</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5,2</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1,2</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0,5</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1,0</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2021</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5,0</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1,4</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0,2</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0,9</w:t>
            </w:r>
          </w:p>
        </w:tc>
      </w:tr>
    </w:tbl>
    <w:p w:rsidR="00F971FC" w:rsidRPr="00F971FC" w:rsidRDefault="00F971FC" w:rsidP="00F971FC">
      <w:pP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ab/>
        <w:t>Notă: Diferenţele la însumare, unde este cazul, se datorează rotunjirilor</w:t>
      </w:r>
    </w:p>
    <w:p w:rsidR="00F971FC" w:rsidRPr="00F971FC" w:rsidRDefault="00F971FC" w:rsidP="00F971FC">
      <w:pPr>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ab/>
        <w:t>Sursa: Comisia Naţională de Strategie şi Prognoză</w:t>
      </w:r>
    </w:p>
    <w:p w:rsidR="004A37F1" w:rsidRDefault="004A37F1" w:rsidP="00F971FC">
      <w:pPr>
        <w:jc w:val="both"/>
        <w:rPr>
          <w:rFonts w:ascii="Calibri" w:eastAsia="Calibri" w:hAnsi="Calibri"/>
          <w:iCs/>
          <w:color w:val="000000" w:themeColor="text1"/>
          <w:kern w:val="2"/>
          <w:szCs w:val="22"/>
          <w:lang w:val="ro-RO" w:eastAsia="zh-CN"/>
        </w:rPr>
      </w:pPr>
    </w:p>
    <w:p w:rsidR="00F971FC" w:rsidRPr="00F971FC" w:rsidRDefault="00F971FC" w:rsidP="00F971FC">
      <w:pPr>
        <w:jc w:val="both"/>
        <w:rPr>
          <w:rFonts w:ascii="Calibri" w:eastAsia="Calibri" w:hAnsi="Calibri"/>
          <w:iCs/>
          <w:color w:val="000000" w:themeColor="text1"/>
          <w:kern w:val="2"/>
          <w:szCs w:val="22"/>
          <w:lang w:val="ro-RO" w:eastAsia="zh-CN"/>
        </w:rPr>
      </w:pPr>
      <w:r w:rsidRPr="00F971FC">
        <w:rPr>
          <w:rFonts w:ascii="Calibri" w:eastAsia="Calibri" w:hAnsi="Calibri"/>
          <w:iCs/>
          <w:color w:val="000000" w:themeColor="text1"/>
          <w:kern w:val="2"/>
          <w:szCs w:val="22"/>
          <w:lang w:val="ro-RO" w:eastAsia="zh-CN"/>
        </w:rPr>
        <w:t xml:space="preserve">Output-gap se situează la valori uşor pozitive începând din anul 2017. Mai mult, în condiţiile în care creşterea efectivă din anul 2018 va încetini din cauza unor factori conjuncturali, output-gap se va restrânge la 0,2% din PIB potenţial. Pe termen mediu output-gap se va situa la maximum 1% din PIB potenţial.  </w:t>
      </w:r>
    </w:p>
    <w:p w:rsidR="00F971FC" w:rsidRPr="00F971FC" w:rsidRDefault="00F971FC" w:rsidP="00F971FC">
      <w:pPr>
        <w:jc w:val="center"/>
        <w:rPr>
          <w:rFonts w:ascii="Calibri" w:eastAsia="Calibri" w:hAnsi="Calibri"/>
          <w:iCs/>
          <w:color w:val="000000" w:themeColor="text1"/>
          <w:kern w:val="2"/>
          <w:szCs w:val="22"/>
          <w:lang w:val="ro-RO" w:eastAsia="zh-CN"/>
        </w:rPr>
      </w:pPr>
    </w:p>
    <w:p w:rsidR="008F2E12" w:rsidRDefault="00F971FC" w:rsidP="00846670">
      <w:pPr>
        <w:spacing w:after="120"/>
        <w:jc w:val="center"/>
        <w:rPr>
          <w:rFonts w:ascii="Calibri" w:eastAsia="Calibri" w:hAnsi="Calibri"/>
          <w:b/>
          <w:iCs/>
          <w:color w:val="000000" w:themeColor="text1"/>
          <w:kern w:val="2"/>
          <w:szCs w:val="22"/>
          <w:lang w:val="ro-RO" w:eastAsia="zh-CN"/>
        </w:rPr>
      </w:pPr>
      <w:r w:rsidRPr="00F971FC">
        <w:rPr>
          <w:rFonts w:ascii="Calibri" w:eastAsia="Calibri" w:hAnsi="Calibri"/>
          <w:b/>
          <w:iCs/>
          <w:color w:val="000000" w:themeColor="text1"/>
          <w:kern w:val="2"/>
          <w:szCs w:val="22"/>
          <w:lang w:val="ro-RO" w:eastAsia="zh-CN"/>
        </w:rPr>
        <w:t>Output-gap şi componenta ciclică a deficitului structural</w:t>
      </w:r>
      <w:r w:rsidRPr="00F971FC">
        <w:rPr>
          <w:noProof/>
          <w:lang w:val="ro-RO" w:eastAsia="ro-RO"/>
        </w:rPr>
        <w:drawing>
          <wp:inline distT="0" distB="0" distL="0" distR="0">
            <wp:extent cx="4638675" cy="1981200"/>
            <wp:effectExtent l="0" t="0" r="9525" b="0"/>
            <wp:docPr id="42" name="Chart 1" descr="cid:image001.png@01D4B4B9.DC739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B4B9.DC7399E0"/>
                    <pic:cNvPicPr>
                      <a:picLocks noChangeAspect="1" noChangeArrowheads="1"/>
                    </pic:cNvPicPr>
                  </pic:nvPicPr>
                  <pic:blipFill>
                    <a:blip r:embed="rId14" r:link="rId15"/>
                    <a:srcRect/>
                    <a:stretch>
                      <a:fillRect/>
                    </a:stretch>
                  </pic:blipFill>
                  <pic:spPr bwMode="auto">
                    <a:xfrm>
                      <a:off x="0" y="0"/>
                      <a:ext cx="4638675" cy="1981200"/>
                    </a:xfrm>
                    <a:prstGeom prst="rect">
                      <a:avLst/>
                    </a:prstGeom>
                    <a:noFill/>
                    <a:ln w="9525">
                      <a:noFill/>
                      <a:miter lim="800000"/>
                      <a:headEnd/>
                      <a:tailEnd/>
                    </a:ln>
                  </pic:spPr>
                </pic:pic>
              </a:graphicData>
            </a:graphic>
          </wp:inline>
        </w:drawing>
      </w: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Default="009C2F7C" w:rsidP="00846670">
      <w:pPr>
        <w:spacing w:after="120"/>
        <w:jc w:val="center"/>
        <w:rPr>
          <w:rFonts w:ascii="Calibri" w:eastAsia="Calibri" w:hAnsi="Calibri"/>
          <w:b/>
          <w:iCs/>
          <w:color w:val="000000" w:themeColor="text1"/>
          <w:kern w:val="2"/>
          <w:szCs w:val="22"/>
          <w:lang w:val="ro-RO" w:eastAsia="zh-CN"/>
        </w:rPr>
      </w:pPr>
    </w:p>
    <w:p w:rsidR="009C2F7C" w:rsidRPr="008F2E12" w:rsidRDefault="009C2F7C" w:rsidP="00846670">
      <w:pPr>
        <w:spacing w:after="120"/>
        <w:jc w:val="center"/>
        <w:rPr>
          <w:rFonts w:ascii="Calibri" w:eastAsia="Calibri" w:hAnsi="Calibri"/>
          <w:b/>
          <w:iCs/>
          <w:color w:val="000000" w:themeColor="text1"/>
          <w:kern w:val="2"/>
          <w:szCs w:val="22"/>
          <w:lang w:val="ro-RO" w:eastAsia="zh-CN"/>
        </w:rPr>
      </w:pPr>
    </w:p>
    <w:p w:rsidR="00425593" w:rsidRPr="007A359C" w:rsidRDefault="00425593" w:rsidP="000207A9">
      <w:pPr>
        <w:shd w:val="clear" w:color="auto" w:fill="9CC2E5" w:themeFill="accent1" w:themeFillTint="99"/>
        <w:jc w:val="both"/>
        <w:rPr>
          <w:rFonts w:ascii="Calibri" w:hAnsi="Calibri"/>
          <w:b/>
          <w:color w:val="000066"/>
          <w:lang w:val="ro-RO"/>
        </w:rPr>
      </w:pPr>
      <w:r w:rsidRPr="007A359C">
        <w:rPr>
          <w:rFonts w:ascii="Calibri" w:hAnsi="Calibri"/>
          <w:b/>
          <w:color w:val="000066"/>
          <w:lang w:val="ro-RO"/>
        </w:rPr>
        <w:t xml:space="preserve">2.2. </w:t>
      </w:r>
      <w:r w:rsidRPr="000207A9">
        <w:rPr>
          <w:rFonts w:ascii="Calibri" w:hAnsi="Calibri"/>
          <w:b/>
          <w:color w:val="000066"/>
          <w:lang w:val="ro-RO"/>
        </w:rPr>
        <w:t>Evoluția</w:t>
      </w:r>
      <w:r w:rsidRPr="007A359C">
        <w:rPr>
          <w:rFonts w:ascii="Calibri" w:hAnsi="Calibri"/>
          <w:b/>
          <w:color w:val="000066"/>
          <w:lang w:val="ro-RO"/>
        </w:rPr>
        <w:t xml:space="preserve"> deficit</w:t>
      </w:r>
      <w:r w:rsidR="0039094C" w:rsidRPr="007A359C">
        <w:rPr>
          <w:rFonts w:ascii="Calibri" w:hAnsi="Calibri"/>
          <w:b/>
          <w:color w:val="000066"/>
          <w:lang w:val="ro-RO"/>
        </w:rPr>
        <w:t>ului structural în perioada 2015-2021</w:t>
      </w:r>
    </w:p>
    <w:p w:rsidR="00846670" w:rsidRPr="00846670" w:rsidRDefault="00846670" w:rsidP="00846670">
      <w:pPr>
        <w:spacing w:before="120"/>
        <w:jc w:val="both"/>
        <w:rPr>
          <w:rFonts w:ascii="Calibri" w:hAnsi="Calibri"/>
          <w:color w:val="000000" w:themeColor="text1"/>
          <w:lang w:val="ro-RO"/>
        </w:rPr>
      </w:pPr>
      <w:r w:rsidRPr="00846670">
        <w:rPr>
          <w:rFonts w:ascii="Calibri" w:hAnsi="Calibri"/>
          <w:b/>
          <w:color w:val="000000" w:themeColor="text1"/>
          <w:lang w:val="ro-RO"/>
        </w:rPr>
        <w:t>În anul 2017 deficitul stru</w:t>
      </w:r>
      <w:r w:rsidR="00FA1106">
        <w:rPr>
          <w:rFonts w:ascii="Calibri" w:hAnsi="Calibri"/>
          <w:b/>
          <w:color w:val="000000" w:themeColor="text1"/>
          <w:lang w:val="ro-RO"/>
        </w:rPr>
        <w:t>ctural din România a fost de 3,36</w:t>
      </w:r>
      <w:r w:rsidRPr="00846670">
        <w:rPr>
          <w:rFonts w:ascii="Calibri" w:hAnsi="Calibri"/>
          <w:b/>
          <w:color w:val="000000" w:themeColor="text1"/>
          <w:lang w:val="ro-RO"/>
        </w:rPr>
        <w:t>% din PIB</w:t>
      </w:r>
      <w:r w:rsidRPr="00846670">
        <w:rPr>
          <w:rFonts w:ascii="Calibri" w:hAnsi="Calibri"/>
          <w:color w:val="000000" w:themeColor="text1"/>
          <w:lang w:val="ro-RO"/>
        </w:rPr>
        <w:t xml:space="preserve">, după ce în anul 2015  a fost de 0,2 din PIB. </w:t>
      </w:r>
    </w:p>
    <w:p w:rsidR="00846670" w:rsidRPr="00846670" w:rsidRDefault="00846670" w:rsidP="00846670">
      <w:pPr>
        <w:keepLines/>
        <w:widowControl w:val="0"/>
        <w:tabs>
          <w:tab w:val="left" w:pos="318"/>
        </w:tabs>
        <w:autoSpaceDE w:val="0"/>
        <w:autoSpaceDN w:val="0"/>
        <w:adjustRightInd w:val="0"/>
        <w:jc w:val="center"/>
        <w:rPr>
          <w:rFonts w:ascii="Calibri" w:hAnsi="Calibri" w:cs="Arial"/>
          <w:b/>
          <w:color w:val="000000" w:themeColor="text1"/>
          <w:lang w:val="ro-RO"/>
        </w:rPr>
      </w:pPr>
    </w:p>
    <w:p w:rsidR="00846670" w:rsidRPr="00846670" w:rsidRDefault="00846670" w:rsidP="00846670">
      <w:pPr>
        <w:spacing w:after="160" w:line="259" w:lineRule="auto"/>
        <w:jc w:val="both"/>
        <w:rPr>
          <w:rFonts w:ascii="Calibri" w:eastAsia="Calibri" w:hAnsi="Calibri" w:cs="Arial"/>
          <w:b/>
          <w:lang w:val="ro-RO" w:eastAsia="ro-RO"/>
        </w:rPr>
      </w:pPr>
      <w:r w:rsidRPr="00846670">
        <w:rPr>
          <w:rFonts w:ascii="Calibri" w:eastAsia="Calibri" w:hAnsi="Calibri" w:cs="Arial"/>
          <w:b/>
          <w:lang w:val="ro-RO" w:eastAsia="ro-RO"/>
        </w:rPr>
        <w:t xml:space="preserve">                                                 Deficite bugetare în perioada 2015-2021</w:t>
      </w:r>
    </w:p>
    <w:p w:rsidR="00D92F70" w:rsidRPr="00D92F70" w:rsidRDefault="00D92F70" w:rsidP="00D92F70">
      <w:pPr>
        <w:ind w:firstLine="6521"/>
        <w:jc w:val="both"/>
        <w:rPr>
          <w:rFonts w:ascii="Calibri" w:eastAsia="Calibri" w:hAnsi="Calibri" w:cs="Arial"/>
          <w:lang w:val="ro-RO" w:eastAsia="ro-RO"/>
        </w:rPr>
      </w:pPr>
      <w:r w:rsidRPr="00D92F70">
        <w:rPr>
          <w:rFonts w:ascii="Calibri" w:eastAsia="Calibri" w:hAnsi="Calibri" w:cs="Arial"/>
          <w:lang w:val="ro-RO" w:eastAsia="ro-RO"/>
        </w:rPr>
        <w:t xml:space="preserve">             - % din PIB </w:t>
      </w:r>
    </w:p>
    <w:tbl>
      <w:tblPr>
        <w:tblW w:w="7822" w:type="dxa"/>
        <w:jc w:val="center"/>
        <w:tblLook w:val="01E0" w:firstRow="1" w:lastRow="1" w:firstColumn="1" w:lastColumn="1" w:noHBand="0" w:noVBand="0"/>
      </w:tblPr>
      <w:tblGrid>
        <w:gridCol w:w="2127"/>
        <w:gridCol w:w="854"/>
        <w:gridCol w:w="851"/>
        <w:gridCol w:w="850"/>
        <w:gridCol w:w="788"/>
        <w:gridCol w:w="784"/>
        <w:gridCol w:w="784"/>
        <w:gridCol w:w="784"/>
      </w:tblGrid>
      <w:tr w:rsidR="00D92F70" w:rsidRPr="00D92F70" w:rsidTr="00D92F70">
        <w:trPr>
          <w:trHeight w:val="336"/>
          <w:jc w:val="center"/>
        </w:trPr>
        <w:tc>
          <w:tcPr>
            <w:tcW w:w="2127"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Deficite bugetare</w:t>
            </w:r>
          </w:p>
        </w:tc>
        <w:tc>
          <w:tcPr>
            <w:tcW w:w="85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2015</w:t>
            </w:r>
          </w:p>
        </w:tc>
        <w:tc>
          <w:tcPr>
            <w:tcW w:w="851"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2016</w:t>
            </w:r>
          </w:p>
        </w:tc>
        <w:tc>
          <w:tcPr>
            <w:tcW w:w="850"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2017</w:t>
            </w:r>
          </w:p>
        </w:tc>
        <w:tc>
          <w:tcPr>
            <w:tcW w:w="788"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lang w:val="ro-RO" w:eastAsia="ro-RO"/>
              </w:rPr>
            </w:pPr>
            <w:r w:rsidRPr="00D92F70">
              <w:rPr>
                <w:rFonts w:ascii="Calibri" w:eastAsia="Calibri" w:hAnsi="Calibri" w:cs="Arial"/>
                <w:b/>
                <w:lang w:val="ro-RO" w:eastAsia="ro-RO"/>
              </w:rPr>
              <w:t>2021</w:t>
            </w:r>
          </w:p>
        </w:tc>
      </w:tr>
      <w:tr w:rsidR="00D92F70" w:rsidRPr="00D92F70" w:rsidTr="00D92F70">
        <w:trPr>
          <w:trHeight w:val="336"/>
          <w:jc w:val="center"/>
        </w:trPr>
        <w:tc>
          <w:tcPr>
            <w:tcW w:w="2127"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Deficit ESA</w:t>
            </w:r>
          </w:p>
        </w:tc>
        <w:tc>
          <w:tcPr>
            <w:tcW w:w="85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-0,69</w:t>
            </w:r>
          </w:p>
        </w:tc>
        <w:tc>
          <w:tcPr>
            <w:tcW w:w="851"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-2,9</w:t>
            </w:r>
            <w:r w:rsidR="006C467E">
              <w:rPr>
                <w:rFonts w:ascii="Calibri" w:eastAsia="Calibri" w:hAnsi="Calibri" w:cs="Arial"/>
                <w:color w:val="000000"/>
                <w:lang w:val="ro-RO" w:eastAsia="ro-RO"/>
              </w:rPr>
              <w:t>2</w:t>
            </w:r>
          </w:p>
        </w:tc>
        <w:tc>
          <w:tcPr>
            <w:tcW w:w="850" w:type="dxa"/>
            <w:tcBorders>
              <w:top w:val="single" w:sz="6" w:space="0" w:color="000000"/>
            </w:tcBorders>
          </w:tcPr>
          <w:p w:rsidR="00D92F70" w:rsidRPr="00D92F70" w:rsidRDefault="006C467E" w:rsidP="00D92F70">
            <w:pPr>
              <w:spacing w:after="16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-2,88</w:t>
            </w:r>
          </w:p>
        </w:tc>
        <w:tc>
          <w:tcPr>
            <w:tcW w:w="788"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-2,96</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-2,78</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-2,68</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-2,45</w:t>
            </w:r>
          </w:p>
        </w:tc>
      </w:tr>
      <w:tr w:rsidR="00D92F70" w:rsidRPr="00D92F70" w:rsidTr="00D92F70">
        <w:trPr>
          <w:trHeight w:val="640"/>
          <w:jc w:val="center"/>
        </w:trPr>
        <w:tc>
          <w:tcPr>
            <w:tcW w:w="2127" w:type="dxa"/>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 xml:space="preserve">Deficit </w:t>
            </w:r>
            <w:r w:rsidRPr="00D92F70">
              <w:rPr>
                <w:rFonts w:ascii="Calibri" w:eastAsia="Calibri" w:hAnsi="Calibri" w:cs="Arial"/>
                <w:color w:val="000000"/>
                <w:lang w:val="ro-RO" w:eastAsia="ro-RO"/>
              </w:rPr>
              <w:t>Structural*)</w:t>
            </w:r>
          </w:p>
        </w:tc>
        <w:tc>
          <w:tcPr>
            <w:tcW w:w="854"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-0,2</w:t>
            </w:r>
          </w:p>
        </w:tc>
        <w:tc>
          <w:tcPr>
            <w:tcW w:w="851"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-2,2</w:t>
            </w:r>
          </w:p>
        </w:tc>
        <w:tc>
          <w:tcPr>
            <w:tcW w:w="850"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-3,</w:t>
            </w:r>
            <w:r w:rsidR="006C467E">
              <w:rPr>
                <w:rFonts w:ascii="Calibri" w:eastAsia="Calibri" w:hAnsi="Calibri" w:cs="Arial"/>
                <w:color w:val="000000"/>
                <w:lang w:val="ro-RO" w:eastAsia="ro-RO"/>
              </w:rPr>
              <w:t>36</w:t>
            </w:r>
          </w:p>
        </w:tc>
        <w:tc>
          <w:tcPr>
            <w:tcW w:w="788"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-3,03</w:t>
            </w:r>
          </w:p>
        </w:tc>
        <w:tc>
          <w:tcPr>
            <w:tcW w:w="784"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-2,97</w:t>
            </w:r>
          </w:p>
        </w:tc>
        <w:tc>
          <w:tcPr>
            <w:tcW w:w="784"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-3,03</w:t>
            </w:r>
          </w:p>
        </w:tc>
        <w:tc>
          <w:tcPr>
            <w:tcW w:w="784" w:type="dxa"/>
          </w:tcPr>
          <w:p w:rsidR="00D92F70" w:rsidRPr="00D92F70" w:rsidRDefault="00D92F70" w:rsidP="00D92F70">
            <w:pPr>
              <w:spacing w:after="160" w:line="259" w:lineRule="auto"/>
              <w:jc w:val="both"/>
              <w:rPr>
                <w:rFonts w:ascii="Calibri" w:eastAsia="Calibri" w:hAnsi="Calibri" w:cs="Arial"/>
                <w:color w:val="000000"/>
                <w:lang w:val="ro-RO" w:eastAsia="ro-RO"/>
              </w:rPr>
            </w:pPr>
            <w:r w:rsidRPr="00D92F70">
              <w:rPr>
                <w:rFonts w:ascii="Calibri" w:eastAsia="Calibri" w:hAnsi="Calibri" w:cs="Arial"/>
                <w:color w:val="000000"/>
                <w:lang w:val="ro-RO" w:eastAsia="ro-RO"/>
              </w:rPr>
              <w:t>-2,77</w:t>
            </w:r>
          </w:p>
        </w:tc>
      </w:tr>
      <w:tr w:rsidR="00D92F70" w:rsidRPr="00D92F70" w:rsidTr="00D92F70">
        <w:trPr>
          <w:trHeight w:val="557"/>
          <w:jc w:val="center"/>
        </w:trPr>
        <w:tc>
          <w:tcPr>
            <w:tcW w:w="2127"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Deficit cash</w:t>
            </w:r>
          </w:p>
        </w:tc>
        <w:tc>
          <w:tcPr>
            <w:tcW w:w="85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-1,4</w:t>
            </w:r>
          </w:p>
        </w:tc>
        <w:tc>
          <w:tcPr>
            <w:tcW w:w="851"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-2,</w:t>
            </w:r>
            <w:r w:rsidR="003350EC">
              <w:rPr>
                <w:rFonts w:ascii="Calibri" w:eastAsia="Calibri" w:hAnsi="Calibri" w:cs="Arial"/>
                <w:lang w:val="ro-RO" w:eastAsia="ro-RO"/>
              </w:rPr>
              <w:t>39</w:t>
            </w:r>
          </w:p>
        </w:tc>
        <w:tc>
          <w:tcPr>
            <w:tcW w:w="850"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-2,84</w:t>
            </w:r>
          </w:p>
        </w:tc>
        <w:tc>
          <w:tcPr>
            <w:tcW w:w="788" w:type="dxa"/>
            <w:tcBorders>
              <w:bottom w:val="single" w:sz="4" w:space="0" w:color="auto"/>
            </w:tcBorders>
          </w:tcPr>
          <w:p w:rsidR="00D92F70" w:rsidRPr="003350EC" w:rsidRDefault="00D92F70" w:rsidP="0034169E">
            <w:pPr>
              <w:spacing w:after="160" w:line="259" w:lineRule="auto"/>
              <w:jc w:val="both"/>
              <w:rPr>
                <w:rFonts w:ascii="Calibri" w:eastAsia="Calibri" w:hAnsi="Calibri" w:cs="Arial"/>
                <w:color w:val="000000" w:themeColor="text1"/>
                <w:lang w:val="ro-RO" w:eastAsia="ro-RO"/>
              </w:rPr>
            </w:pPr>
            <w:r w:rsidRPr="003350EC">
              <w:rPr>
                <w:rFonts w:ascii="Calibri" w:eastAsia="Calibri" w:hAnsi="Calibri" w:cs="Arial"/>
                <w:color w:val="000000" w:themeColor="text1"/>
                <w:lang w:val="ro-RO" w:eastAsia="ro-RO"/>
              </w:rPr>
              <w:t>-2,</w:t>
            </w:r>
            <w:r w:rsidR="0034169E" w:rsidRPr="003350EC">
              <w:rPr>
                <w:rFonts w:ascii="Calibri" w:eastAsia="Calibri" w:hAnsi="Calibri" w:cs="Arial"/>
                <w:color w:val="000000" w:themeColor="text1"/>
                <w:lang w:val="ro-RO" w:eastAsia="ro-RO"/>
              </w:rPr>
              <w:t>91</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-2,76</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-2,33</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lang w:val="ro-RO" w:eastAsia="ro-RO"/>
              </w:rPr>
            </w:pPr>
            <w:r w:rsidRPr="00D92F70">
              <w:rPr>
                <w:rFonts w:ascii="Calibri" w:eastAsia="Calibri" w:hAnsi="Calibri" w:cs="Arial"/>
                <w:lang w:val="ro-RO" w:eastAsia="ro-RO"/>
              </w:rPr>
              <w:t>-2,01</w:t>
            </w:r>
          </w:p>
        </w:tc>
      </w:tr>
    </w:tbl>
    <w:p w:rsidR="00D92F70" w:rsidRPr="00846670" w:rsidRDefault="00D92F70" w:rsidP="00D92F70">
      <w:pPr>
        <w:spacing w:after="160" w:line="259" w:lineRule="auto"/>
        <w:rPr>
          <w:rFonts w:ascii="Calibri" w:eastAsia="Calibri" w:hAnsi="Calibri" w:cs="Arial"/>
          <w:color w:val="000000" w:themeColor="text1"/>
          <w:lang w:val="ro-RO" w:eastAsia="ro-RO"/>
        </w:rPr>
      </w:pPr>
      <w:r w:rsidRPr="00D92F70">
        <w:rPr>
          <w:rFonts w:ascii="Calibri" w:eastAsia="Calibri" w:hAnsi="Calibri" w:cs="Arial"/>
          <w:lang w:val="ro-RO" w:eastAsia="ro-RO"/>
        </w:rPr>
        <w:tab/>
      </w:r>
    </w:p>
    <w:p w:rsidR="00846670" w:rsidRPr="00846670" w:rsidRDefault="00846670" w:rsidP="00846670">
      <w:pPr>
        <w:jc w:val="both"/>
        <w:rPr>
          <w:rFonts w:ascii="Calibri" w:eastAsia="Calibri" w:hAnsi="Calibri" w:cs="Arial"/>
          <w:color w:val="000000" w:themeColor="text1"/>
          <w:lang w:val="ro-RO" w:eastAsia="ro-RO"/>
        </w:rPr>
      </w:pPr>
      <w:r w:rsidRPr="00846670">
        <w:rPr>
          <w:rFonts w:ascii="Calibri" w:eastAsia="Calibri" w:hAnsi="Calibri" w:cs="Arial"/>
          <w:color w:val="000000" w:themeColor="text1"/>
          <w:lang w:val="ro-RO" w:eastAsia="ro-RO"/>
        </w:rPr>
        <w:t xml:space="preserve">      *) 2018-2021 estimări CNSP</w:t>
      </w:r>
      <w:r w:rsidRPr="00846670">
        <w:rPr>
          <w:rFonts w:ascii="Calibri" w:eastAsia="Calibri" w:hAnsi="Calibri" w:cs="Arial"/>
          <w:color w:val="000000" w:themeColor="text1"/>
          <w:lang w:val="ro-RO" w:eastAsia="ro-RO"/>
        </w:rPr>
        <w:tab/>
      </w:r>
    </w:p>
    <w:p w:rsidR="00846670" w:rsidRPr="00846670" w:rsidRDefault="00846670" w:rsidP="00846670">
      <w:pPr>
        <w:autoSpaceDE w:val="0"/>
        <w:autoSpaceDN w:val="0"/>
        <w:adjustRightInd w:val="0"/>
        <w:jc w:val="both"/>
        <w:rPr>
          <w:rFonts w:ascii="Calibri" w:eastAsia="Calibri" w:hAnsi="Calibri" w:cs="Arial"/>
          <w:lang w:val="ro-RO" w:eastAsia="ro-RO"/>
        </w:rPr>
      </w:pPr>
      <w:r w:rsidRPr="00846670">
        <w:rPr>
          <w:rFonts w:ascii="Calibri" w:eastAsia="Calibri" w:hAnsi="Calibri" w:cs="Arial"/>
          <w:color w:val="000000" w:themeColor="text1"/>
          <w:lang w:val="ro-RO" w:eastAsia="ro-RO"/>
        </w:rPr>
        <w:t>Sur</w:t>
      </w:r>
      <w:r w:rsidRPr="00846670">
        <w:rPr>
          <w:rFonts w:ascii="Calibri" w:eastAsia="Calibri" w:hAnsi="Calibri" w:cs="Arial"/>
          <w:lang w:val="ro-RO" w:eastAsia="ro-RO"/>
        </w:rPr>
        <w:t>să : prognoza de toamna a CE  2018,  AMECO,  MFP</w:t>
      </w:r>
    </w:p>
    <w:p w:rsidR="00846670" w:rsidRPr="00846670" w:rsidRDefault="00846670" w:rsidP="00846670">
      <w:pPr>
        <w:autoSpaceDE w:val="0"/>
        <w:autoSpaceDN w:val="0"/>
        <w:adjustRightInd w:val="0"/>
        <w:jc w:val="both"/>
        <w:rPr>
          <w:rFonts w:ascii="Calibri" w:eastAsia="Calibri" w:hAnsi="Calibri" w:cs="Arial"/>
          <w:lang w:val="ro-RO" w:eastAsia="ro-RO"/>
        </w:rPr>
      </w:pPr>
    </w:p>
    <w:p w:rsidR="00846670" w:rsidRPr="00846670" w:rsidRDefault="00846670" w:rsidP="00846670">
      <w:pPr>
        <w:autoSpaceDE w:val="0"/>
        <w:autoSpaceDN w:val="0"/>
        <w:adjustRightInd w:val="0"/>
        <w:jc w:val="both"/>
        <w:rPr>
          <w:rFonts w:ascii="Calibri" w:eastAsia="Calibri" w:hAnsi="Calibri" w:cs="Arial"/>
          <w:lang w:val="ro-RO" w:eastAsia="ro-RO"/>
        </w:rPr>
      </w:pPr>
    </w:p>
    <w:bookmarkStart w:id="4" w:name="_MON_1613589876"/>
    <w:bookmarkEnd w:id="4"/>
    <w:p w:rsidR="00740421" w:rsidRPr="00740421" w:rsidRDefault="006C467E" w:rsidP="00740421">
      <w:pPr>
        <w:pStyle w:val="NoSpacing"/>
        <w:spacing w:after="160" w:line="259" w:lineRule="auto"/>
        <w:rPr>
          <w:rFonts w:ascii="Calibri" w:eastAsia="Calibri" w:hAnsi="Calibri" w:cs="Arial"/>
          <w:b/>
        </w:rPr>
      </w:pPr>
      <w:r w:rsidRPr="001312B3">
        <w:rPr>
          <w:rFonts w:ascii="Calibri" w:eastAsia="Calibri" w:hAnsi="Calibri" w:cs="Arial"/>
          <w:noProof/>
        </w:rPr>
        <w:object w:dxaOrig="10418" w:dyaOrig="5314">
          <v:shape id="_x0000_i1028" type="#_x0000_t75" style="width:518.55pt;height:266.55pt" o:ole="">
            <v:imagedata r:id="rId16" o:title=""/>
          </v:shape>
          <o:OLEObject Type="Embed" ProgID="Excel.Sheet.8" ShapeID="_x0000_i1028" DrawAspect="Content" ObjectID="_1613909268" r:id="rId17"/>
        </w:object>
      </w:r>
      <w:r w:rsidR="00740421" w:rsidRPr="00740421">
        <w:rPr>
          <w:rFonts w:ascii="Calibri" w:eastAsia="Calibri" w:hAnsi="Calibri" w:cs="Arial"/>
        </w:rPr>
        <w:t xml:space="preserve">                         sursă : prognoza de toamna a CE  2018,  AMECO,  MFP, CNSP</w:t>
      </w:r>
    </w:p>
    <w:p w:rsidR="00846670" w:rsidRPr="00846670" w:rsidRDefault="00846670" w:rsidP="00846670">
      <w:pPr>
        <w:autoSpaceDE w:val="0"/>
        <w:autoSpaceDN w:val="0"/>
        <w:adjustRightInd w:val="0"/>
        <w:jc w:val="both"/>
        <w:rPr>
          <w:rFonts w:ascii="Calibri" w:hAnsi="Calibri" w:cs="Arial"/>
          <w:color w:val="0070C0"/>
          <w:sz w:val="20"/>
          <w:szCs w:val="20"/>
          <w:lang w:val="ro-RO"/>
        </w:rPr>
      </w:pPr>
    </w:p>
    <w:p w:rsidR="00846670" w:rsidRPr="00846670" w:rsidRDefault="00846670" w:rsidP="00846670">
      <w:pPr>
        <w:keepLines/>
        <w:widowControl w:val="0"/>
        <w:tabs>
          <w:tab w:val="left" w:pos="318"/>
        </w:tabs>
        <w:autoSpaceDE w:val="0"/>
        <w:autoSpaceDN w:val="0"/>
        <w:adjustRightInd w:val="0"/>
        <w:jc w:val="both"/>
        <w:rPr>
          <w:rFonts w:ascii="Calibri" w:hAnsi="Calibri" w:cs="Arial"/>
          <w:lang w:val="ro-RO"/>
        </w:rPr>
      </w:pPr>
      <w:r w:rsidRPr="00846670">
        <w:rPr>
          <w:rFonts w:ascii="Calibri" w:hAnsi="Calibri"/>
          <w:lang w:val="ro-RO"/>
        </w:rPr>
        <w:t>Ajustarea realizată după criza economică și financiară s-a situat  preponderent pe partea de cheltuieli, reformele  structurale fiind promovate în special în domeniul salarizării personalului bugetar, sistemului public de pensii şi programării bugetare. R</w:t>
      </w:r>
      <w:r w:rsidRPr="00846670">
        <w:rPr>
          <w:rFonts w:ascii="Calibri" w:hAnsi="Calibri" w:cs="Arial"/>
          <w:lang w:val="ro-RO"/>
        </w:rPr>
        <w:t>omânia fiind o ţară care a avut dezechilibre mai mari la începutul crizei mondiale au fost necesare eforturi de ajustare mai mari decât în alte ţări din regiune. Ajustarea întreprinsă de țara noastră este una foarte ambițioasă, iar performanța realizată în ceea ce privește corectarea dezechilibrelor fiscale judecată prin prisma deficitului structural este foarte bună considerănd amploarea acestora.</w:t>
      </w:r>
    </w:p>
    <w:p w:rsidR="00846670" w:rsidRPr="00846670" w:rsidRDefault="00846670" w:rsidP="00846670">
      <w:pPr>
        <w:keepLines/>
        <w:widowControl w:val="0"/>
        <w:tabs>
          <w:tab w:val="left" w:pos="318"/>
        </w:tabs>
        <w:autoSpaceDE w:val="0"/>
        <w:autoSpaceDN w:val="0"/>
        <w:adjustRightInd w:val="0"/>
        <w:jc w:val="both"/>
        <w:rPr>
          <w:rFonts w:ascii="Calibri" w:hAnsi="Calibri" w:cs="Arial"/>
          <w:lang w:val="ro-RO"/>
        </w:rPr>
      </w:pPr>
    </w:p>
    <w:p w:rsidR="00846670" w:rsidRPr="008D0FC5" w:rsidRDefault="00846670" w:rsidP="00565476">
      <w:pPr>
        <w:numPr>
          <w:ilvl w:val="0"/>
          <w:numId w:val="200"/>
        </w:numPr>
        <w:tabs>
          <w:tab w:val="left" w:pos="176"/>
          <w:tab w:val="left" w:pos="318"/>
        </w:tabs>
        <w:contextualSpacing/>
        <w:jc w:val="both"/>
        <w:rPr>
          <w:rFonts w:ascii="Calibri" w:hAnsi="Calibri" w:cs="Calibri"/>
          <w:color w:val="000000" w:themeColor="text1"/>
          <w:lang w:val="ro-RO"/>
        </w:rPr>
      </w:pPr>
      <w:r w:rsidRPr="003964D3">
        <w:rPr>
          <w:rFonts w:ascii="Calibri" w:hAnsi="Calibri" w:cs="Calibri"/>
          <w:color w:val="000000" w:themeColor="text1"/>
          <w:lang w:val="ro-RO"/>
        </w:rPr>
        <w:t xml:space="preserve"> Datele statistice semidefinitive relevă performanţele deosebite înregistrate de economia româneasă în anul 2017, când dinamica produsului intern brut a fost de 7,0 % fiind al şaptelea an consecutiv de creștere. Creşterea economică a României a </w:t>
      </w:r>
      <w:r w:rsidRPr="003350EC">
        <w:rPr>
          <w:rFonts w:ascii="Calibri" w:hAnsi="Calibri" w:cs="Calibri"/>
          <w:color w:val="000000" w:themeColor="text1"/>
          <w:lang w:val="ro-RO"/>
        </w:rPr>
        <w:t>fost de 4,</w:t>
      </w:r>
      <w:r w:rsidR="0059380C" w:rsidRPr="003350EC">
        <w:rPr>
          <w:rFonts w:ascii="Calibri" w:hAnsi="Calibri" w:cs="Calibri"/>
          <w:color w:val="000000" w:themeColor="text1"/>
          <w:lang w:val="ro-RO"/>
        </w:rPr>
        <w:t>1</w:t>
      </w:r>
      <w:r w:rsidRPr="003350EC">
        <w:rPr>
          <w:rFonts w:ascii="Calibri" w:hAnsi="Calibri" w:cs="Calibri"/>
          <w:color w:val="000000" w:themeColor="text1"/>
          <w:lang w:val="ro-RO"/>
        </w:rPr>
        <w:t>% în anul 2018, fiind</w:t>
      </w:r>
      <w:r w:rsidRPr="003964D3">
        <w:rPr>
          <w:rFonts w:ascii="Calibri" w:hAnsi="Calibri" w:cs="Calibri"/>
          <w:color w:val="000000" w:themeColor="text1"/>
          <w:lang w:val="ro-RO"/>
        </w:rPr>
        <w:t xml:space="preserve"> susţinută, pe partea ofertei, în principal de sectorul industriei şi cel al serviciilor, iar pe partea cererii de o contribuţie </w:t>
      </w:r>
      <w:r w:rsidRPr="008D0FC5">
        <w:rPr>
          <w:rFonts w:ascii="Calibri" w:hAnsi="Calibri" w:cs="Calibri"/>
          <w:color w:val="000000" w:themeColor="text1"/>
          <w:lang w:val="ro-RO"/>
        </w:rPr>
        <w:t>mai echilibrată a consumului şi investiţiilor brute.</w:t>
      </w:r>
    </w:p>
    <w:p w:rsidR="00846670" w:rsidRPr="00846670" w:rsidRDefault="00846670" w:rsidP="00565476">
      <w:pPr>
        <w:numPr>
          <w:ilvl w:val="0"/>
          <w:numId w:val="200"/>
        </w:numPr>
        <w:shd w:val="clear" w:color="auto" w:fill="FFFFFF"/>
        <w:spacing w:after="120"/>
        <w:jc w:val="both"/>
        <w:rPr>
          <w:rFonts w:ascii="Calibri" w:hAnsi="Calibri"/>
          <w:color w:val="000000" w:themeColor="text1"/>
          <w:lang w:val="ro-RO"/>
        </w:rPr>
      </w:pPr>
      <w:r w:rsidRPr="00846670">
        <w:rPr>
          <w:rFonts w:ascii="Calibri" w:hAnsi="Calibri"/>
          <w:color w:val="000000" w:themeColor="text1"/>
          <w:lang w:val="ro-RO"/>
        </w:rPr>
        <w:t>În anul 2015 deficitul structural a fost de 0,2 % din PIB, nivelul  înregistrat fiind în concordanță cu prevederile Tratatului fiscal.</w:t>
      </w:r>
    </w:p>
    <w:p w:rsidR="00846670" w:rsidRPr="00846670" w:rsidRDefault="00846670" w:rsidP="00565476">
      <w:pPr>
        <w:numPr>
          <w:ilvl w:val="0"/>
          <w:numId w:val="200"/>
        </w:numPr>
        <w:shd w:val="clear" w:color="auto" w:fill="FFFFFF" w:themeFill="background1"/>
        <w:autoSpaceDE w:val="0"/>
        <w:autoSpaceDN w:val="0"/>
        <w:adjustRightInd w:val="0"/>
        <w:jc w:val="both"/>
        <w:rPr>
          <w:rFonts w:ascii="Calibri" w:hAnsi="Calibri" w:cs="Arial"/>
          <w:color w:val="000000" w:themeColor="text1"/>
          <w:lang w:val="ro-RO"/>
        </w:rPr>
      </w:pPr>
      <w:r w:rsidRPr="00846670">
        <w:rPr>
          <w:rFonts w:ascii="Calibri" w:hAnsi="Calibri" w:cs="Arial"/>
          <w:color w:val="000000" w:themeColor="text1"/>
          <w:lang w:val="ro-RO"/>
        </w:rPr>
        <w:t>Având în vedere măsurile adoptate,  de relaxare fiscală, precum şi cele în domeniul cheltuielilor proiecţia bugetului general consolidat se abate de la  Obiectivului Bugetar pe Termen Mediu (MTO) incepând cu  anul 2016 şi perioada următoare, respectiv 2017-2021, deficitul bugetar structural fiind peste 1% din PIB.</w:t>
      </w:r>
    </w:p>
    <w:p w:rsidR="00846670" w:rsidRPr="00846670" w:rsidRDefault="00846670" w:rsidP="00565476">
      <w:pPr>
        <w:numPr>
          <w:ilvl w:val="0"/>
          <w:numId w:val="200"/>
        </w:numPr>
        <w:shd w:val="clear" w:color="auto" w:fill="FFFFFF" w:themeFill="background1"/>
        <w:autoSpaceDE w:val="0"/>
        <w:autoSpaceDN w:val="0"/>
        <w:adjustRightInd w:val="0"/>
        <w:jc w:val="both"/>
        <w:rPr>
          <w:rFonts w:ascii="Calibri" w:hAnsi="Calibri" w:cs="Arial"/>
          <w:color w:val="000000" w:themeColor="text1"/>
          <w:lang w:val="ro-RO"/>
        </w:rPr>
      </w:pPr>
      <w:r w:rsidRPr="00846670">
        <w:rPr>
          <w:rFonts w:ascii="Calibri" w:hAnsi="Calibri" w:cs="Arial"/>
          <w:color w:val="000000" w:themeColor="text1"/>
          <w:lang w:val="ro-RO"/>
        </w:rPr>
        <w:t xml:space="preserve">Deficitul bugetar în anul 2019, definit in </w:t>
      </w:r>
      <w:r w:rsidR="00740421">
        <w:rPr>
          <w:rFonts w:ascii="Calibri" w:hAnsi="Calibri" w:cs="Arial"/>
          <w:color w:val="000000" w:themeColor="text1"/>
          <w:lang w:val="ro-RO"/>
        </w:rPr>
        <w:t>termeni structurali, este de 2,9</w:t>
      </w:r>
      <w:r w:rsidR="008B420C">
        <w:rPr>
          <w:rFonts w:ascii="Calibri" w:hAnsi="Calibri" w:cs="Arial"/>
          <w:color w:val="000000" w:themeColor="text1"/>
          <w:lang w:val="ro-RO"/>
        </w:rPr>
        <w:t>7</w:t>
      </w:r>
      <w:r w:rsidRPr="00846670">
        <w:rPr>
          <w:rFonts w:ascii="Calibri" w:hAnsi="Calibri" w:cs="Arial"/>
          <w:color w:val="000000" w:themeColor="text1"/>
          <w:lang w:val="ro-RO"/>
        </w:rPr>
        <w:t>% din PIB,  față de Obiectivul bugetar pe termen mediu.</w:t>
      </w:r>
    </w:p>
    <w:p w:rsidR="00846670" w:rsidRPr="00846670" w:rsidRDefault="00846670" w:rsidP="00565476">
      <w:pPr>
        <w:numPr>
          <w:ilvl w:val="0"/>
          <w:numId w:val="200"/>
        </w:numPr>
        <w:spacing w:after="120" w:line="276" w:lineRule="auto"/>
        <w:jc w:val="both"/>
        <w:rPr>
          <w:rFonts w:ascii="Calibri" w:hAnsi="Calibri"/>
          <w:color w:val="000000" w:themeColor="text1"/>
          <w:lang w:val="ro-RO"/>
        </w:rPr>
      </w:pPr>
      <w:r w:rsidRPr="00846670">
        <w:rPr>
          <w:rFonts w:ascii="Calibri" w:hAnsi="Calibri" w:cs="Arial"/>
          <w:color w:val="000000" w:themeColor="text1"/>
          <w:lang w:val="ro-RO"/>
        </w:rPr>
        <w:t>Deși în anul 2016 se înregistrează o deviere care se menține și în anii următo</w:t>
      </w:r>
      <w:r w:rsidR="00172CB7">
        <w:rPr>
          <w:rFonts w:ascii="Calibri" w:hAnsi="Calibri" w:cs="Arial"/>
          <w:color w:val="000000" w:themeColor="text1"/>
          <w:lang w:val="ro-RO"/>
        </w:rPr>
        <w:t>ri, totuși începând cu anul 2021</w:t>
      </w:r>
      <w:r w:rsidRPr="00846670">
        <w:rPr>
          <w:rFonts w:ascii="Calibri" w:hAnsi="Calibri" w:cs="Arial"/>
          <w:color w:val="000000" w:themeColor="text1"/>
          <w:lang w:val="ro-RO"/>
        </w:rPr>
        <w:t xml:space="preserve"> acesta intră pe o traiectorie de ajustare, ceea ce înseamnă aplicarea unor măsuri de recuperare din devierea estimata.</w:t>
      </w:r>
    </w:p>
    <w:p w:rsidR="00846670" w:rsidRDefault="00846670" w:rsidP="00846670">
      <w:pPr>
        <w:keepLines/>
        <w:widowControl w:val="0"/>
        <w:ind w:right="259"/>
        <w:jc w:val="both"/>
        <w:rPr>
          <w:rFonts w:ascii="Calibri" w:hAnsi="Calibri" w:cs="Arial"/>
          <w:b/>
          <w:color w:val="002060"/>
          <w:lang w:val="ro-RO"/>
        </w:rPr>
      </w:pPr>
      <w:r w:rsidRPr="00846670">
        <w:rPr>
          <w:rFonts w:ascii="Calibri" w:hAnsi="Calibri" w:cs="Arial"/>
          <w:b/>
          <w:color w:val="002060"/>
          <w:lang w:val="ro-RO"/>
        </w:rPr>
        <w:t>Devierea de la OTM s-ar produce în condițiile menținerii, pe întreg orizontul de planificare, a unui nivel sustenabil al datoriei publice de sub 40% din PIB.</w:t>
      </w:r>
    </w:p>
    <w:p w:rsidR="009C2F7C" w:rsidRPr="00846670" w:rsidRDefault="009C2F7C" w:rsidP="00846670">
      <w:pPr>
        <w:keepLines/>
        <w:widowControl w:val="0"/>
        <w:ind w:right="259"/>
        <w:jc w:val="both"/>
        <w:rPr>
          <w:rFonts w:ascii="Calibri" w:hAnsi="Calibri"/>
          <w:lang w:val="ro-RO"/>
        </w:rPr>
      </w:pPr>
    </w:p>
    <w:p w:rsidR="006D4A53" w:rsidRDefault="006D4A53" w:rsidP="00B02F6C">
      <w:pPr>
        <w:jc w:val="both"/>
        <w:rPr>
          <w:rFonts w:ascii="Arial Narrow" w:hAnsi="Arial Narrow" w:cs="Arial"/>
          <w:b/>
          <w:bCs/>
          <w:color w:val="000080"/>
          <w:shd w:val="clear" w:color="auto" w:fill="99CCFF"/>
          <w:lang w:val="ro-RO"/>
        </w:rPr>
      </w:pPr>
    </w:p>
    <w:p w:rsidR="00E27C7A" w:rsidRPr="00C86702" w:rsidRDefault="00884E46" w:rsidP="00743BC3">
      <w:pPr>
        <w:keepNext/>
        <w:shd w:val="clear" w:color="auto" w:fill="9CC2E5" w:themeFill="accent1" w:themeFillTint="99"/>
        <w:rPr>
          <w:rFonts w:ascii="Calibri" w:hAnsi="Calibri" w:cs="Arial"/>
          <w:b/>
          <w:color w:val="000080"/>
          <w:lang w:val="ro-RO"/>
        </w:rPr>
      </w:pPr>
      <w:r w:rsidRPr="00C86702">
        <w:rPr>
          <w:rFonts w:ascii="Calibri" w:hAnsi="Calibri" w:cs="Arial"/>
          <w:b/>
          <w:color w:val="000080"/>
          <w:lang w:val="ro-RO"/>
        </w:rPr>
        <w:t xml:space="preserve">3. </w:t>
      </w:r>
      <w:r w:rsidR="00E27C7A" w:rsidRPr="00C86702">
        <w:rPr>
          <w:rFonts w:ascii="Calibri" w:hAnsi="Calibri" w:cs="Arial"/>
          <w:b/>
          <w:color w:val="000080"/>
          <w:lang w:val="ro-RO"/>
        </w:rPr>
        <w:t>Cadrul macroeconomic</w:t>
      </w:r>
    </w:p>
    <w:p w:rsidR="00884E46" w:rsidRPr="00C86702" w:rsidRDefault="00884E46" w:rsidP="00FB2A65">
      <w:pPr>
        <w:keepNext/>
        <w:shd w:val="clear" w:color="auto" w:fill="FFFFFF"/>
        <w:rPr>
          <w:rFonts w:ascii="Calibri" w:hAnsi="Calibri" w:cs="Arial"/>
          <w:b/>
          <w:color w:val="000080"/>
          <w:lang w:val="ro-RO"/>
        </w:rPr>
      </w:pPr>
    </w:p>
    <w:tbl>
      <w:tblPr>
        <w:tblW w:w="5000" w:type="pct"/>
        <w:shd w:val="clear" w:color="auto" w:fill="99CCFF"/>
        <w:tblLook w:val="01E0" w:firstRow="1" w:lastRow="1" w:firstColumn="1" w:lastColumn="1" w:noHBand="0" w:noVBand="0"/>
      </w:tblPr>
      <w:tblGrid>
        <w:gridCol w:w="10081"/>
      </w:tblGrid>
      <w:tr w:rsidR="00E27C7A" w:rsidRPr="00C86702" w:rsidTr="00743BC3">
        <w:tc>
          <w:tcPr>
            <w:tcW w:w="5000" w:type="pct"/>
            <w:shd w:val="clear" w:color="auto" w:fill="99CCFF"/>
          </w:tcPr>
          <w:p w:rsidR="00E27C7A" w:rsidRPr="00C86702" w:rsidRDefault="00884E46" w:rsidP="009C2F7C">
            <w:pPr>
              <w:keepNext/>
              <w:jc w:val="both"/>
              <w:rPr>
                <w:rFonts w:ascii="Calibri" w:hAnsi="Calibri" w:cs="Arial"/>
                <w:b/>
                <w:color w:val="000080"/>
                <w:lang w:val="ro-RO"/>
              </w:rPr>
            </w:pPr>
            <w:r w:rsidRPr="00C86702">
              <w:rPr>
                <w:rFonts w:ascii="Calibri" w:hAnsi="Calibri" w:cs="Arial"/>
                <w:b/>
                <w:color w:val="000080"/>
                <w:lang w:val="ro-RO"/>
              </w:rPr>
              <w:t>3</w:t>
            </w:r>
            <w:r w:rsidR="00E27C7A" w:rsidRPr="00C86702">
              <w:rPr>
                <w:rFonts w:ascii="Calibri" w:hAnsi="Calibri" w:cs="Arial"/>
                <w:b/>
                <w:color w:val="000080"/>
                <w:shd w:val="clear" w:color="auto" w:fill="9CC2E5" w:themeFill="accent1" w:themeFillTint="99"/>
                <w:lang w:val="ro-RO"/>
              </w:rPr>
              <w:t>.1 Evoluţii macroeconomice recente ale economiei româneşti</w:t>
            </w:r>
          </w:p>
        </w:tc>
      </w:tr>
    </w:tbl>
    <w:p w:rsidR="007A6990" w:rsidRPr="007A6990" w:rsidRDefault="007A6990" w:rsidP="007A6990">
      <w:pPr>
        <w:keepNext/>
        <w:autoSpaceDE w:val="0"/>
        <w:autoSpaceDN w:val="0"/>
        <w:adjustRightInd w:val="0"/>
        <w:spacing w:before="120"/>
        <w:jc w:val="both"/>
        <w:rPr>
          <w:rFonts w:ascii="Calibri" w:hAnsi="Calibri" w:cs="Calibri"/>
          <w:b/>
          <w:lang w:val="ro-RO"/>
        </w:rPr>
      </w:pPr>
      <w:r w:rsidRPr="007A6990">
        <w:rPr>
          <w:rFonts w:ascii="Calibri" w:hAnsi="Calibri" w:cs="Calibri"/>
          <w:b/>
          <w:lang w:val="ro-RO"/>
        </w:rPr>
        <w:t>Anul 2017</w:t>
      </w:r>
    </w:p>
    <w:p w:rsidR="007A6990" w:rsidRPr="007A6990" w:rsidRDefault="007A6990" w:rsidP="007A6990">
      <w:pPr>
        <w:keepNext/>
        <w:autoSpaceDE w:val="0"/>
        <w:autoSpaceDN w:val="0"/>
        <w:adjustRightInd w:val="0"/>
        <w:spacing w:before="120"/>
        <w:jc w:val="both"/>
        <w:rPr>
          <w:rFonts w:ascii="Calibri" w:hAnsi="Calibri" w:cs="Calibri"/>
          <w:lang w:val="ro-RO"/>
        </w:rPr>
      </w:pPr>
      <w:r w:rsidRPr="007A6990">
        <w:rPr>
          <w:rFonts w:ascii="Calibri" w:hAnsi="Calibri" w:cs="Calibri"/>
          <w:lang w:val="ro-RO"/>
        </w:rPr>
        <w:t>În anul 2017, România a înregistrat o creştere economică de 7,0%, fiind al şaptelea an consecutiv de creștere. Creşterea din 2017 s-a datorat atât contribuţiei pozitive a cererii interne pentru consum, ca urmare a măsurilor de relaxare fiscală şi a majorărilor salariale care au îmbunătăţit puterea de cumpărare a populaţiei, cât şi contribuţiei investiţiilor brute din economie (formarea brută de capital fix) care s-au majorat cu 3,5% faţă de 2016.</w:t>
      </w:r>
    </w:p>
    <w:p w:rsidR="007A6990" w:rsidRPr="007A6990" w:rsidRDefault="007A6990" w:rsidP="007A6990">
      <w:pPr>
        <w:keepNext/>
        <w:spacing w:before="120"/>
        <w:jc w:val="both"/>
        <w:rPr>
          <w:rFonts w:ascii="Calibri" w:hAnsi="Calibri" w:cs="Calibri"/>
          <w:lang w:val="ro-RO"/>
        </w:rPr>
      </w:pPr>
      <w:r w:rsidRPr="007A6990">
        <w:rPr>
          <w:rFonts w:ascii="Calibri" w:hAnsi="Calibri" w:cs="Calibri"/>
          <w:lang w:val="ro-RO"/>
        </w:rPr>
        <w:t>Exportul de bunuri şi servicii s-a majorat cu 10,0%, în timp ce importurile de bunuri şi servicii au înregistrat o creştere de 11,3%, cererea externă netă având o contribuţie negativă (0,7 procente), în principal pentru că sporul de cerere internă nu a putut fi acoperit în totalitate din producţia internă.</w:t>
      </w:r>
    </w:p>
    <w:p w:rsidR="007A6990" w:rsidRPr="007A6990" w:rsidRDefault="007A6990" w:rsidP="007A6990">
      <w:pPr>
        <w:keepNext/>
        <w:spacing w:before="120"/>
        <w:jc w:val="both"/>
        <w:rPr>
          <w:rFonts w:ascii="Calibri" w:hAnsi="Calibri" w:cs="Calibri"/>
          <w:lang w:val="ro-RO"/>
        </w:rPr>
      </w:pPr>
      <w:r w:rsidRPr="007A6990">
        <w:rPr>
          <w:rFonts w:ascii="Calibri" w:hAnsi="Calibri" w:cs="Calibri"/>
          <w:lang w:val="ro-RO"/>
        </w:rPr>
        <w:t>Din punct de vedere al ofertei interne, sunt de remarcat creşterile semnificative ale valorii adăugate brute din agricultură (14,6%), industrie (8,3%) şi servicii (6,9%). In ceea ce priveşte sectorul construcţiilor, valoarea adăugată brută a înregistrat o uşoară contracţie de 0,9%. Impozitele nete pe produs au înregistrat o majorare de 6,3%.</w:t>
      </w:r>
    </w:p>
    <w:p w:rsidR="007A6990" w:rsidRPr="007A6990" w:rsidRDefault="007A6990" w:rsidP="007A6990">
      <w:pPr>
        <w:keepNext/>
        <w:spacing w:before="120"/>
        <w:jc w:val="both"/>
        <w:rPr>
          <w:rFonts w:ascii="Calibri" w:hAnsi="Calibri" w:cs="Calibri"/>
          <w:b/>
          <w:color w:val="00B050"/>
          <w:lang w:val="ro-RO"/>
        </w:rPr>
      </w:pPr>
    </w:p>
    <w:p w:rsidR="007A6990" w:rsidRPr="007A6990" w:rsidRDefault="007A6990" w:rsidP="007A6990">
      <w:pPr>
        <w:keepNext/>
        <w:ind w:left="360" w:hanging="360"/>
        <w:jc w:val="both"/>
        <w:rPr>
          <w:rFonts w:ascii="Calibri" w:hAnsi="Calibri" w:cs="Calibri"/>
          <w:b/>
          <w:lang w:val="ro-RO"/>
        </w:rPr>
      </w:pPr>
      <w:r w:rsidRPr="007A6990">
        <w:rPr>
          <w:rFonts w:ascii="Calibri" w:hAnsi="Calibri" w:cs="Calibri"/>
          <w:b/>
          <w:lang w:val="ro-RO"/>
        </w:rPr>
        <w:t>Anul 2018</w:t>
      </w:r>
    </w:p>
    <w:p w:rsidR="000A02EA" w:rsidRDefault="000A02EA" w:rsidP="007A6990">
      <w:pPr>
        <w:keepNext/>
        <w:jc w:val="both"/>
        <w:rPr>
          <w:rFonts w:ascii="Calibri" w:hAnsi="Calibri" w:cs="Calibri"/>
          <w:lang w:val="ro-RO"/>
        </w:rPr>
      </w:pPr>
    </w:p>
    <w:p w:rsidR="007A6990" w:rsidRPr="008368B9" w:rsidRDefault="007A6990" w:rsidP="007A6990">
      <w:pPr>
        <w:keepNext/>
        <w:jc w:val="both"/>
        <w:rPr>
          <w:rFonts w:ascii="Calibri" w:hAnsi="Calibri" w:cs="Calibri"/>
          <w:lang w:val="ro-RO"/>
        </w:rPr>
      </w:pPr>
      <w:r w:rsidRPr="008368B9">
        <w:rPr>
          <w:rFonts w:ascii="Calibri" w:hAnsi="Calibri" w:cs="Calibri"/>
          <w:lang w:val="ro-RO"/>
        </w:rPr>
        <w:t xml:space="preserve">Conform datelor publicate de INS, creşterea economică în </w:t>
      </w:r>
      <w:r w:rsidR="006C4B31" w:rsidRPr="008368B9">
        <w:rPr>
          <w:rFonts w:ascii="Calibri" w:hAnsi="Calibri" w:cs="Calibri"/>
          <w:lang w:val="ro-RO"/>
        </w:rPr>
        <w:t>anul</w:t>
      </w:r>
      <w:r w:rsidRPr="008368B9">
        <w:rPr>
          <w:rFonts w:ascii="Calibri" w:hAnsi="Calibri" w:cs="Calibri"/>
          <w:lang w:val="ro-RO"/>
        </w:rPr>
        <w:t xml:space="preserve"> 2018 a fost de 4,</w:t>
      </w:r>
      <w:r w:rsidR="006C4B31" w:rsidRPr="008368B9">
        <w:rPr>
          <w:rFonts w:ascii="Calibri" w:hAnsi="Calibri" w:cs="Calibri"/>
          <w:lang w:val="ro-RO"/>
        </w:rPr>
        <w:t>1</w:t>
      </w:r>
      <w:r w:rsidRPr="008368B9">
        <w:rPr>
          <w:rFonts w:ascii="Calibri" w:hAnsi="Calibri" w:cs="Calibri"/>
          <w:lang w:val="ro-RO"/>
        </w:rPr>
        <w:t xml:space="preserve">% comparativ cu  2017 (serie brută, date provizoriu </w:t>
      </w:r>
      <w:r w:rsidR="0095132D" w:rsidRPr="008368B9">
        <w:rPr>
          <w:rFonts w:ascii="Calibri" w:hAnsi="Calibri" w:cs="Calibri"/>
          <w:lang w:val="ro-RO"/>
        </w:rPr>
        <w:t>1</w:t>
      </w:r>
      <w:r w:rsidRPr="008368B9">
        <w:rPr>
          <w:rFonts w:ascii="Calibri" w:hAnsi="Calibri" w:cs="Calibri"/>
          <w:lang w:val="ro-RO"/>
        </w:rPr>
        <w:t>). Din punct de vedere al creşterii economice, România se situează printre primele state membre UE. Pe ansamblul Uniunii Europene avansul economic a fost de 2,</w:t>
      </w:r>
      <w:r w:rsidR="00C2673C" w:rsidRPr="008368B9">
        <w:rPr>
          <w:rFonts w:ascii="Calibri" w:hAnsi="Calibri" w:cs="Calibri"/>
          <w:lang w:val="ro-RO"/>
        </w:rPr>
        <w:t>0</w:t>
      </w:r>
      <w:r w:rsidRPr="008368B9">
        <w:rPr>
          <w:rFonts w:ascii="Calibri" w:hAnsi="Calibri" w:cs="Calibri"/>
          <w:lang w:val="ro-RO"/>
        </w:rPr>
        <w:t>%. Pe partea ofertei, s-au înregistrat evoluţii pozitive în agricultură (</w:t>
      </w:r>
      <w:r w:rsidR="0095132D" w:rsidRPr="008368B9">
        <w:rPr>
          <w:rFonts w:ascii="Calibri" w:hAnsi="Calibri" w:cs="Calibri"/>
          <w:lang w:val="ro-RO"/>
        </w:rPr>
        <w:t>9</w:t>
      </w:r>
      <w:r w:rsidRPr="008368B9">
        <w:rPr>
          <w:rFonts w:ascii="Calibri" w:hAnsi="Calibri" w:cs="Calibri"/>
          <w:lang w:val="ro-RO"/>
        </w:rPr>
        <w:t>,</w:t>
      </w:r>
      <w:r w:rsidR="0095132D" w:rsidRPr="008368B9">
        <w:rPr>
          <w:rFonts w:ascii="Calibri" w:hAnsi="Calibri" w:cs="Calibri"/>
          <w:lang w:val="ro-RO"/>
        </w:rPr>
        <w:t>9%),  industrie (4,1%) şi servicii (3,6</w:t>
      </w:r>
      <w:r w:rsidRPr="008368B9">
        <w:rPr>
          <w:rFonts w:ascii="Calibri" w:hAnsi="Calibri" w:cs="Calibri"/>
          <w:lang w:val="ro-RO"/>
        </w:rPr>
        <w:t>%), ceea ce arată caracterul sustenabil al creşterii economice, în timp ce valoarea adăugată brută din construcţii s-a diminuat  (-</w:t>
      </w:r>
      <w:r w:rsidR="0095132D" w:rsidRPr="008368B9">
        <w:rPr>
          <w:rFonts w:ascii="Calibri" w:hAnsi="Calibri" w:cs="Calibri"/>
          <w:lang w:val="ro-RO"/>
        </w:rPr>
        <w:t>5</w:t>
      </w:r>
      <w:r w:rsidRPr="008368B9">
        <w:rPr>
          <w:rFonts w:ascii="Calibri" w:hAnsi="Calibri" w:cs="Calibri"/>
          <w:lang w:val="ro-RO"/>
        </w:rPr>
        <w:t>,6%). Cererea internă, cu o contribuţie la creşterea produsului intern brut de 5,</w:t>
      </w:r>
      <w:r w:rsidR="0095132D" w:rsidRPr="008368B9">
        <w:rPr>
          <w:rFonts w:ascii="Calibri" w:hAnsi="Calibri" w:cs="Calibri"/>
          <w:lang w:val="ro-RO"/>
        </w:rPr>
        <w:t>9</w:t>
      </w:r>
      <w:r w:rsidRPr="008368B9">
        <w:rPr>
          <w:rFonts w:ascii="Calibri" w:hAnsi="Calibri" w:cs="Calibri"/>
          <w:lang w:val="ro-RO"/>
        </w:rPr>
        <w:t xml:space="preserve"> procente,  s-a bazat, în principal, pe cheltuiala pentru consumul final al gospodăriilor, care pe fondul unei inflaţii cu trend ascendent şi a unei politici monetare mai restrictive şi-a temperat creşterea manifestată în u</w:t>
      </w:r>
      <w:r w:rsidR="0095132D" w:rsidRPr="008368B9">
        <w:rPr>
          <w:rFonts w:ascii="Calibri" w:hAnsi="Calibri" w:cs="Calibri"/>
          <w:lang w:val="ro-RO"/>
        </w:rPr>
        <w:t>ltimii 2 ani, majorându-se cu 5,2</w:t>
      </w:r>
      <w:r w:rsidRPr="008368B9">
        <w:rPr>
          <w:rFonts w:ascii="Calibri" w:hAnsi="Calibri" w:cs="Calibri"/>
          <w:lang w:val="ro-RO"/>
        </w:rPr>
        <w:t xml:space="preserve">% în 2018 comparativ 2017. Totodată, consumul final colectiv efectiv al administraţiei publice a crescut cu </w:t>
      </w:r>
      <w:r w:rsidR="0095132D" w:rsidRPr="008368B9">
        <w:rPr>
          <w:rFonts w:ascii="Calibri" w:hAnsi="Calibri" w:cs="Calibri"/>
          <w:lang w:val="ro-RO"/>
        </w:rPr>
        <w:t>6</w:t>
      </w:r>
      <w:r w:rsidRPr="008368B9">
        <w:rPr>
          <w:rFonts w:ascii="Calibri" w:hAnsi="Calibri" w:cs="Calibri"/>
          <w:lang w:val="ro-RO"/>
        </w:rPr>
        <w:t>,</w:t>
      </w:r>
      <w:r w:rsidR="0095132D" w:rsidRPr="008368B9">
        <w:rPr>
          <w:rFonts w:ascii="Calibri" w:hAnsi="Calibri" w:cs="Calibri"/>
          <w:lang w:val="ro-RO"/>
        </w:rPr>
        <w:t>4</w:t>
      </w:r>
      <w:r w:rsidRPr="008368B9">
        <w:rPr>
          <w:rFonts w:ascii="Calibri" w:hAnsi="Calibri" w:cs="Calibri"/>
          <w:lang w:val="ro-RO"/>
        </w:rPr>
        <w:t>%.</w:t>
      </w:r>
    </w:p>
    <w:p w:rsidR="007A6990" w:rsidRPr="008368B9" w:rsidRDefault="007A6990" w:rsidP="007A6990">
      <w:pPr>
        <w:keepNext/>
        <w:jc w:val="both"/>
        <w:rPr>
          <w:rFonts w:ascii="Calibri" w:hAnsi="Calibri" w:cs="Calibri"/>
          <w:lang w:val="ro-RO"/>
        </w:rPr>
      </w:pPr>
      <w:r w:rsidRPr="008368B9">
        <w:rPr>
          <w:rFonts w:ascii="Calibri" w:hAnsi="Calibri" w:cs="Calibri"/>
          <w:lang w:val="ro-RO"/>
        </w:rPr>
        <w:t xml:space="preserve">Acumularea brută (formarea brută de capital) s-a majorat cu </w:t>
      </w:r>
      <w:r w:rsidR="0095132D" w:rsidRPr="008368B9">
        <w:rPr>
          <w:rFonts w:ascii="Calibri" w:hAnsi="Calibri" w:cs="Calibri"/>
          <w:lang w:val="ro-RO"/>
        </w:rPr>
        <w:t>8</w:t>
      </w:r>
      <w:r w:rsidRPr="008368B9">
        <w:rPr>
          <w:rFonts w:ascii="Calibri" w:hAnsi="Calibri" w:cs="Calibri"/>
          <w:lang w:val="ro-RO"/>
        </w:rPr>
        <w:t>,7% comparativ cu  2017, având o contribuţie de 2,</w:t>
      </w:r>
      <w:r w:rsidR="0095132D" w:rsidRPr="008368B9">
        <w:rPr>
          <w:rFonts w:ascii="Calibri" w:hAnsi="Calibri" w:cs="Calibri"/>
          <w:lang w:val="ro-RO"/>
        </w:rPr>
        <w:t>0</w:t>
      </w:r>
      <w:r w:rsidRPr="008368B9">
        <w:rPr>
          <w:rFonts w:ascii="Calibri" w:hAnsi="Calibri" w:cs="Calibri"/>
          <w:lang w:val="ro-RO"/>
        </w:rPr>
        <w:t xml:space="preserve"> procente la creşterea reală a PIB. Pe componente, investiţiile brute (formarea brută de capital fix)  s-au redus cu </w:t>
      </w:r>
      <w:r w:rsidR="0095132D" w:rsidRPr="008368B9">
        <w:rPr>
          <w:rFonts w:ascii="Calibri" w:hAnsi="Calibri" w:cs="Calibri"/>
          <w:lang w:val="ro-RO"/>
        </w:rPr>
        <w:t>3</w:t>
      </w:r>
      <w:r w:rsidRPr="008368B9">
        <w:rPr>
          <w:rFonts w:ascii="Calibri" w:hAnsi="Calibri" w:cs="Calibri"/>
          <w:lang w:val="ro-RO"/>
        </w:rPr>
        <w:t>,</w:t>
      </w:r>
      <w:r w:rsidR="0095132D" w:rsidRPr="008368B9">
        <w:rPr>
          <w:rFonts w:ascii="Calibri" w:hAnsi="Calibri" w:cs="Calibri"/>
          <w:lang w:val="ro-RO"/>
        </w:rPr>
        <w:t>2</w:t>
      </w:r>
      <w:r w:rsidRPr="008368B9">
        <w:rPr>
          <w:rFonts w:ascii="Calibri" w:hAnsi="Calibri" w:cs="Calibri"/>
          <w:lang w:val="ro-RO"/>
        </w:rPr>
        <w:t>%. Exportul net a înregistrat o contribuţie negativă de 1,</w:t>
      </w:r>
      <w:r w:rsidR="0095132D" w:rsidRPr="008368B9">
        <w:rPr>
          <w:rFonts w:ascii="Calibri" w:hAnsi="Calibri" w:cs="Calibri"/>
          <w:lang w:val="ro-RO"/>
        </w:rPr>
        <w:t>8</w:t>
      </w:r>
      <w:r w:rsidRPr="008368B9">
        <w:rPr>
          <w:rFonts w:ascii="Calibri" w:hAnsi="Calibri" w:cs="Calibri"/>
          <w:lang w:val="ro-RO"/>
        </w:rPr>
        <w:t xml:space="preserve"> procente ca urmare a faptului că importul de bunuri şi servicii a crescut cu </w:t>
      </w:r>
      <w:r w:rsidR="0095132D" w:rsidRPr="008368B9">
        <w:rPr>
          <w:rFonts w:ascii="Calibri" w:hAnsi="Calibri" w:cs="Calibri"/>
          <w:lang w:val="ro-RO"/>
        </w:rPr>
        <w:t>8</w:t>
      </w:r>
      <w:r w:rsidRPr="008368B9">
        <w:rPr>
          <w:rFonts w:ascii="Calibri" w:hAnsi="Calibri" w:cs="Calibri"/>
          <w:lang w:val="ro-RO"/>
        </w:rPr>
        <w:t>,</w:t>
      </w:r>
      <w:r w:rsidR="0095132D" w:rsidRPr="008368B9">
        <w:rPr>
          <w:rFonts w:ascii="Calibri" w:hAnsi="Calibri" w:cs="Calibri"/>
          <w:lang w:val="ro-RO"/>
        </w:rPr>
        <w:t>7</w:t>
      </w:r>
      <w:r w:rsidRPr="008368B9">
        <w:rPr>
          <w:rFonts w:ascii="Calibri" w:hAnsi="Calibri" w:cs="Calibri"/>
          <w:lang w:val="ro-RO"/>
        </w:rPr>
        <w:t xml:space="preserve">%, în timp ce exportul de bunuri şi servicii a crescut cu </w:t>
      </w:r>
      <w:r w:rsidR="00293ED1" w:rsidRPr="008368B9">
        <w:rPr>
          <w:rFonts w:ascii="Calibri" w:hAnsi="Calibri" w:cs="Calibri"/>
          <w:lang w:val="ro-RO"/>
        </w:rPr>
        <w:t>4</w:t>
      </w:r>
      <w:r w:rsidRPr="008368B9">
        <w:rPr>
          <w:rFonts w:ascii="Calibri" w:hAnsi="Calibri" w:cs="Calibri"/>
          <w:lang w:val="ro-RO"/>
        </w:rPr>
        <w:t>,</w:t>
      </w:r>
      <w:r w:rsidR="00293ED1" w:rsidRPr="008368B9">
        <w:rPr>
          <w:rFonts w:ascii="Calibri" w:hAnsi="Calibri" w:cs="Calibri"/>
          <w:lang w:val="ro-RO"/>
        </w:rPr>
        <w:t>7</w:t>
      </w:r>
      <w:r w:rsidRPr="008368B9">
        <w:rPr>
          <w:rFonts w:ascii="Calibri" w:hAnsi="Calibri" w:cs="Calibri"/>
          <w:lang w:val="ro-RO"/>
        </w:rPr>
        <w:t>%.</w:t>
      </w:r>
    </w:p>
    <w:p w:rsidR="007A6990" w:rsidRPr="008368B9" w:rsidRDefault="00D5721D" w:rsidP="007A6990">
      <w:pPr>
        <w:keepNext/>
        <w:spacing w:before="120"/>
        <w:jc w:val="both"/>
        <w:rPr>
          <w:rFonts w:ascii="Calibri" w:hAnsi="Calibri" w:cs="Calibri"/>
          <w:lang w:val="ro-RO"/>
        </w:rPr>
      </w:pPr>
      <w:r w:rsidRPr="008368B9">
        <w:rPr>
          <w:rFonts w:ascii="Calibri" w:hAnsi="Calibri" w:cs="Calibri"/>
          <w:lang w:val="ro-RO"/>
        </w:rPr>
        <w:t>Î</w:t>
      </w:r>
      <w:r w:rsidR="007A6990" w:rsidRPr="008368B9">
        <w:rPr>
          <w:rFonts w:ascii="Calibri" w:hAnsi="Calibri" w:cs="Calibri"/>
          <w:lang w:val="ro-RO"/>
        </w:rPr>
        <w:t>ncetinirea cre</w:t>
      </w:r>
      <w:r w:rsidRPr="008368B9">
        <w:rPr>
          <w:rFonts w:ascii="Calibri" w:hAnsi="Calibri" w:cs="Calibri"/>
          <w:lang w:val="ro-RO"/>
        </w:rPr>
        <w:t>ş</w:t>
      </w:r>
      <w:r w:rsidR="007A6990" w:rsidRPr="008368B9">
        <w:rPr>
          <w:rFonts w:ascii="Calibri" w:hAnsi="Calibri" w:cs="Calibri"/>
          <w:lang w:val="ro-RO"/>
        </w:rPr>
        <w:t>t</w:t>
      </w:r>
      <w:r w:rsidRPr="008368B9">
        <w:rPr>
          <w:rFonts w:ascii="Calibri" w:hAnsi="Calibri" w:cs="Calibri"/>
          <w:lang w:val="ro-RO"/>
        </w:rPr>
        <w:t>e</w:t>
      </w:r>
      <w:r w:rsidR="007A6990" w:rsidRPr="008368B9">
        <w:rPr>
          <w:rFonts w:ascii="Calibri" w:hAnsi="Calibri" w:cs="Calibri"/>
          <w:lang w:val="ro-RO"/>
        </w:rPr>
        <w:t xml:space="preserve">rii economice din anul 2018 are un caracter conjunctural </w:t>
      </w:r>
      <w:r w:rsidRPr="008368B9">
        <w:rPr>
          <w:rFonts w:ascii="Calibri" w:hAnsi="Calibri" w:cs="Calibri"/>
          <w:lang w:val="ro-RO"/>
        </w:rPr>
        <w:t>ş</w:t>
      </w:r>
      <w:r w:rsidR="007A6990" w:rsidRPr="008368B9">
        <w:rPr>
          <w:rFonts w:ascii="Calibri" w:hAnsi="Calibri" w:cs="Calibri"/>
          <w:lang w:val="ro-RO"/>
        </w:rPr>
        <w:t>i a fost cauzat</w:t>
      </w:r>
      <w:r w:rsidRPr="008368B9">
        <w:rPr>
          <w:rFonts w:ascii="Calibri" w:hAnsi="Calibri" w:cs="Calibri"/>
          <w:lang w:val="ro-RO"/>
        </w:rPr>
        <w:t>ă,</w:t>
      </w:r>
      <w:r w:rsidR="007A6990" w:rsidRPr="008368B9">
        <w:rPr>
          <w:rFonts w:ascii="Calibri" w:hAnsi="Calibri" w:cs="Calibri"/>
          <w:lang w:val="ro-RO"/>
        </w:rPr>
        <w:t xml:space="preserve"> </w:t>
      </w:r>
      <w:r w:rsidRPr="008368B9">
        <w:rPr>
          <w:rFonts w:ascii="Calibri" w:hAnsi="Calibri" w:cs="Calibri"/>
          <w:lang w:val="ro-RO"/>
        </w:rPr>
        <w:t>î</w:t>
      </w:r>
      <w:r w:rsidR="007A6990" w:rsidRPr="008368B9">
        <w:rPr>
          <w:rFonts w:ascii="Calibri" w:hAnsi="Calibri" w:cs="Calibri"/>
          <w:lang w:val="ro-RO"/>
        </w:rPr>
        <w:t>n principal</w:t>
      </w:r>
      <w:r w:rsidRPr="008368B9">
        <w:rPr>
          <w:rFonts w:ascii="Calibri" w:hAnsi="Calibri" w:cs="Calibri"/>
          <w:lang w:val="ro-RO"/>
        </w:rPr>
        <w:t>,</w:t>
      </w:r>
      <w:r w:rsidR="007A6990" w:rsidRPr="008368B9">
        <w:rPr>
          <w:rFonts w:ascii="Calibri" w:hAnsi="Calibri" w:cs="Calibri"/>
          <w:lang w:val="ro-RO"/>
        </w:rPr>
        <w:t xml:space="preserve"> de cre</w:t>
      </w:r>
      <w:r w:rsidRPr="008368B9">
        <w:rPr>
          <w:rFonts w:ascii="Calibri" w:hAnsi="Calibri" w:cs="Calibri"/>
          <w:lang w:val="ro-RO"/>
        </w:rPr>
        <w:t>ş</w:t>
      </w:r>
      <w:r w:rsidR="007A6990" w:rsidRPr="008368B9">
        <w:rPr>
          <w:rFonts w:ascii="Calibri" w:hAnsi="Calibri" w:cs="Calibri"/>
          <w:lang w:val="ro-RO"/>
        </w:rPr>
        <w:t>terea accentuat</w:t>
      </w:r>
      <w:r w:rsidRPr="008368B9">
        <w:rPr>
          <w:rFonts w:ascii="Calibri" w:hAnsi="Calibri" w:cs="Calibri"/>
          <w:lang w:val="ro-RO"/>
        </w:rPr>
        <w:t>ă a preţ</w:t>
      </w:r>
      <w:r w:rsidR="007A6990" w:rsidRPr="008368B9">
        <w:rPr>
          <w:rFonts w:ascii="Calibri" w:hAnsi="Calibri" w:cs="Calibri"/>
          <w:lang w:val="ro-RO"/>
        </w:rPr>
        <w:t xml:space="preserve">ului petrolului </w:t>
      </w:r>
      <w:r w:rsidRPr="008368B9">
        <w:rPr>
          <w:rFonts w:ascii="Calibri" w:hAnsi="Calibri" w:cs="Calibri"/>
          <w:lang w:val="ro-RO"/>
        </w:rPr>
        <w:t>ş</w:t>
      </w:r>
      <w:r w:rsidR="007A6990" w:rsidRPr="008368B9">
        <w:rPr>
          <w:rFonts w:ascii="Calibri" w:hAnsi="Calibri" w:cs="Calibri"/>
          <w:lang w:val="ro-RO"/>
        </w:rPr>
        <w:t xml:space="preserve">i a celorlalte produse energetice, de </w:t>
      </w:r>
      <w:r w:rsidRPr="008368B9">
        <w:rPr>
          <w:rFonts w:ascii="Calibri" w:hAnsi="Calibri" w:cs="Calibri"/>
          <w:lang w:val="ro-RO"/>
        </w:rPr>
        <w:t>î</w:t>
      </w:r>
      <w:r w:rsidR="007A6990" w:rsidRPr="008368B9">
        <w:rPr>
          <w:rFonts w:ascii="Calibri" w:hAnsi="Calibri" w:cs="Calibri"/>
          <w:lang w:val="ro-RO"/>
        </w:rPr>
        <w:t>ncetinirea cre</w:t>
      </w:r>
      <w:r w:rsidRPr="008368B9">
        <w:rPr>
          <w:rFonts w:ascii="Calibri" w:hAnsi="Calibri" w:cs="Calibri"/>
          <w:lang w:val="ro-RO"/>
        </w:rPr>
        <w:t>ş</w:t>
      </w:r>
      <w:r w:rsidR="007A6990" w:rsidRPr="008368B9">
        <w:rPr>
          <w:rFonts w:ascii="Calibri" w:hAnsi="Calibri" w:cs="Calibri"/>
          <w:lang w:val="ro-RO"/>
        </w:rPr>
        <w:t xml:space="preserve">terii economice </w:t>
      </w:r>
      <w:r w:rsidRPr="008368B9">
        <w:rPr>
          <w:rFonts w:ascii="Calibri" w:hAnsi="Calibri" w:cs="Calibri"/>
          <w:lang w:val="ro-RO"/>
        </w:rPr>
        <w:t>î</w:t>
      </w:r>
      <w:r w:rsidR="007A6990" w:rsidRPr="008368B9">
        <w:rPr>
          <w:rFonts w:ascii="Calibri" w:hAnsi="Calibri" w:cs="Calibri"/>
          <w:lang w:val="ro-RO"/>
        </w:rPr>
        <w:t xml:space="preserve">n UE, iar </w:t>
      </w:r>
      <w:r w:rsidRPr="008368B9">
        <w:rPr>
          <w:rFonts w:ascii="Calibri" w:hAnsi="Calibri" w:cs="Calibri"/>
          <w:lang w:val="ro-RO"/>
        </w:rPr>
        <w:t>î</w:t>
      </w:r>
      <w:r w:rsidR="007A6990" w:rsidRPr="008368B9">
        <w:rPr>
          <w:rFonts w:ascii="Calibri" w:hAnsi="Calibri" w:cs="Calibri"/>
          <w:lang w:val="ro-RO"/>
        </w:rPr>
        <w:t>n plan intern, de accentuarea infla</w:t>
      </w:r>
      <w:r w:rsidRPr="008368B9">
        <w:rPr>
          <w:rFonts w:ascii="Calibri" w:hAnsi="Calibri" w:cs="Calibri"/>
          <w:lang w:val="ro-RO"/>
        </w:rPr>
        <w:t>ţ</w:t>
      </w:r>
      <w:r w:rsidR="007A6990" w:rsidRPr="008368B9">
        <w:rPr>
          <w:rFonts w:ascii="Calibri" w:hAnsi="Calibri" w:cs="Calibri"/>
          <w:lang w:val="ro-RO"/>
        </w:rPr>
        <w:t xml:space="preserve">iei </w:t>
      </w:r>
      <w:r w:rsidRPr="008368B9">
        <w:rPr>
          <w:rFonts w:ascii="Calibri" w:hAnsi="Calibri" w:cs="Calibri"/>
          <w:lang w:val="ro-RO"/>
        </w:rPr>
        <w:t>ş</w:t>
      </w:r>
      <w:r w:rsidR="007A6990" w:rsidRPr="008368B9">
        <w:rPr>
          <w:rFonts w:ascii="Calibri" w:hAnsi="Calibri" w:cs="Calibri"/>
          <w:lang w:val="ro-RO"/>
        </w:rPr>
        <w:t xml:space="preserve">i </w:t>
      </w:r>
      <w:r w:rsidRPr="008368B9">
        <w:rPr>
          <w:rFonts w:ascii="Calibri" w:hAnsi="Calibri" w:cs="Calibri"/>
          <w:lang w:val="ro-RO"/>
        </w:rPr>
        <w:t>î</w:t>
      </w:r>
      <w:r w:rsidR="007A6990" w:rsidRPr="008368B9">
        <w:rPr>
          <w:rFonts w:ascii="Calibri" w:hAnsi="Calibri" w:cs="Calibri"/>
          <w:lang w:val="ro-RO"/>
        </w:rPr>
        <w:t>n</w:t>
      </w:r>
      <w:r w:rsidRPr="008368B9">
        <w:rPr>
          <w:rFonts w:ascii="Calibri" w:hAnsi="Calibri" w:cs="Calibri"/>
          <w:lang w:val="ro-RO"/>
        </w:rPr>
        <w:t>ă</w:t>
      </w:r>
      <w:r w:rsidR="007A6990" w:rsidRPr="008368B9">
        <w:rPr>
          <w:rFonts w:ascii="Calibri" w:hAnsi="Calibri" w:cs="Calibri"/>
          <w:lang w:val="ro-RO"/>
        </w:rPr>
        <w:t>sprirea politicii monetare.</w:t>
      </w:r>
    </w:p>
    <w:p w:rsidR="002D502E" w:rsidRPr="008368B9" w:rsidRDefault="002D502E" w:rsidP="007A6990">
      <w:pPr>
        <w:keepNext/>
        <w:spacing w:before="120"/>
        <w:jc w:val="both"/>
        <w:rPr>
          <w:rFonts w:ascii="Calibri" w:hAnsi="Calibri" w:cs="Calibri"/>
          <w:lang w:val="ro-RO"/>
        </w:rPr>
      </w:pPr>
    </w:p>
    <w:p w:rsidR="007A6990" w:rsidRPr="007A6990" w:rsidRDefault="007A6990" w:rsidP="007A6990">
      <w:pPr>
        <w:keepNext/>
        <w:ind w:left="360" w:right="240"/>
        <w:jc w:val="right"/>
        <w:rPr>
          <w:rFonts w:ascii="Calibri" w:hAnsi="Calibri"/>
          <w:lang w:val="ro-RO"/>
        </w:rPr>
      </w:pPr>
      <w:r w:rsidRPr="007A6990">
        <w:rPr>
          <w:rFonts w:ascii="Calibri" w:hAnsi="Calibri"/>
          <w:lang w:val="ro-RO"/>
        </w:rPr>
        <w:t>- modificări procentuale faţă de anul precedent -</w:t>
      </w:r>
    </w:p>
    <w:tbl>
      <w:tblPr>
        <w:tblW w:w="9118"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797"/>
        <w:gridCol w:w="1765"/>
        <w:gridCol w:w="1556"/>
      </w:tblGrid>
      <w:tr w:rsidR="007A6990" w:rsidRPr="007A6990" w:rsidTr="007A6990">
        <w:trPr>
          <w:trHeight w:val="475"/>
          <w:tblHeader/>
          <w:jc w:val="center"/>
        </w:trPr>
        <w:tc>
          <w:tcPr>
            <w:tcW w:w="5797" w:type="dxa"/>
            <w:tcBorders>
              <w:top w:val="single" w:sz="2" w:space="0" w:color="333399"/>
              <w:bottom w:val="single" w:sz="2" w:space="0" w:color="333399"/>
            </w:tcBorders>
            <w:shd w:val="clear" w:color="auto" w:fill="99CCFF"/>
            <w:noWrap/>
            <w:vAlign w:val="center"/>
          </w:tcPr>
          <w:p w:rsidR="007A6990" w:rsidRPr="007A6990" w:rsidRDefault="007A6990" w:rsidP="007A6990">
            <w:pPr>
              <w:keepNext/>
              <w:spacing w:before="120"/>
              <w:ind w:left="-325" w:firstLine="325"/>
              <w:jc w:val="both"/>
              <w:rPr>
                <w:rFonts w:ascii="Calibri" w:hAnsi="Calibri" w:cs="Arial"/>
                <w:lang w:val="ro-RO"/>
              </w:rPr>
            </w:pPr>
            <w:r w:rsidRPr="007A6990">
              <w:rPr>
                <w:rFonts w:ascii="Calibri" w:hAnsi="Calibri" w:cs="Arial"/>
                <w:b/>
                <w:lang w:val="ro-RO"/>
              </w:rPr>
              <w:t>Produsul intern brut</w:t>
            </w:r>
          </w:p>
        </w:tc>
        <w:tc>
          <w:tcPr>
            <w:tcW w:w="1765" w:type="dxa"/>
            <w:tcBorders>
              <w:top w:val="single" w:sz="2" w:space="0" w:color="333399"/>
              <w:bottom w:val="single" w:sz="2" w:space="0" w:color="333399"/>
            </w:tcBorders>
            <w:shd w:val="clear" w:color="auto" w:fill="99CCFF"/>
            <w:vAlign w:val="center"/>
          </w:tcPr>
          <w:p w:rsidR="007A6990" w:rsidRPr="008368B9" w:rsidRDefault="007A6990" w:rsidP="007A6990">
            <w:pPr>
              <w:keepNext/>
              <w:spacing w:before="120"/>
              <w:jc w:val="center"/>
              <w:rPr>
                <w:rFonts w:ascii="Calibri" w:hAnsi="Calibri" w:cs="Arial"/>
                <w:b/>
                <w:lang w:val="ro-RO"/>
              </w:rPr>
            </w:pPr>
            <w:r w:rsidRPr="008368B9">
              <w:rPr>
                <w:rFonts w:ascii="Calibri" w:hAnsi="Calibri" w:cs="Arial"/>
                <w:b/>
                <w:lang w:val="ro-RO"/>
              </w:rPr>
              <w:t>2017</w:t>
            </w:r>
          </w:p>
          <w:p w:rsidR="0059380C" w:rsidRPr="008368B9" w:rsidRDefault="0059380C" w:rsidP="007A6990">
            <w:pPr>
              <w:keepNext/>
              <w:spacing w:before="120"/>
              <w:jc w:val="center"/>
              <w:rPr>
                <w:rFonts w:ascii="Calibri" w:hAnsi="Calibri" w:cs="Arial"/>
                <w:b/>
                <w:lang w:val="ro-RO"/>
              </w:rPr>
            </w:pPr>
            <w:r w:rsidRPr="008368B9">
              <w:rPr>
                <w:rFonts w:ascii="Calibri" w:hAnsi="Calibri" w:cs="Arial"/>
                <w:b/>
                <w:lang w:val="ro-RO"/>
              </w:rPr>
              <w:t>semidef</w:t>
            </w:r>
            <w:r w:rsidR="00455406" w:rsidRPr="008368B9">
              <w:rPr>
                <w:rFonts w:ascii="Calibri" w:hAnsi="Calibri" w:cs="Arial"/>
                <w:b/>
                <w:lang w:val="ro-RO"/>
              </w:rPr>
              <w:t>initiv</w:t>
            </w:r>
          </w:p>
        </w:tc>
        <w:tc>
          <w:tcPr>
            <w:tcW w:w="1556" w:type="dxa"/>
            <w:tcBorders>
              <w:top w:val="single" w:sz="2" w:space="0" w:color="333399"/>
              <w:bottom w:val="single" w:sz="2" w:space="0" w:color="333399"/>
            </w:tcBorders>
            <w:shd w:val="clear" w:color="auto" w:fill="99CCFF"/>
            <w:vAlign w:val="center"/>
          </w:tcPr>
          <w:p w:rsidR="007A6990" w:rsidRPr="008368B9" w:rsidRDefault="007A6990" w:rsidP="007A6990">
            <w:pPr>
              <w:keepNext/>
              <w:spacing w:before="120"/>
              <w:jc w:val="center"/>
              <w:rPr>
                <w:rFonts w:ascii="Calibri" w:hAnsi="Calibri" w:cs="Arial"/>
                <w:b/>
                <w:lang w:val="ro-RO"/>
              </w:rPr>
            </w:pPr>
            <w:r w:rsidRPr="008368B9">
              <w:rPr>
                <w:rFonts w:ascii="Calibri" w:hAnsi="Calibri" w:cs="Arial"/>
                <w:b/>
                <w:lang w:val="ro-RO"/>
              </w:rPr>
              <w:t>2018</w:t>
            </w:r>
          </w:p>
          <w:p w:rsidR="007A6990" w:rsidRPr="008368B9" w:rsidRDefault="0059380C" w:rsidP="00455406">
            <w:pPr>
              <w:keepNext/>
              <w:spacing w:before="120"/>
              <w:jc w:val="center"/>
              <w:rPr>
                <w:rFonts w:ascii="Calibri" w:hAnsi="Calibri" w:cs="Arial"/>
                <w:b/>
                <w:lang w:val="ro-RO"/>
              </w:rPr>
            </w:pPr>
            <w:r w:rsidRPr="008368B9">
              <w:rPr>
                <w:rFonts w:ascii="Calibri" w:hAnsi="Calibri" w:cs="Arial"/>
                <w:b/>
                <w:lang w:val="ro-RO"/>
              </w:rPr>
              <w:t>provizori</w:t>
            </w:r>
            <w:r w:rsidR="00455406" w:rsidRPr="008368B9">
              <w:rPr>
                <w:rFonts w:ascii="Calibri" w:hAnsi="Calibri" w:cs="Arial"/>
                <w:b/>
                <w:lang w:val="ro-RO"/>
              </w:rPr>
              <w:t>u</w:t>
            </w:r>
          </w:p>
        </w:tc>
      </w:tr>
      <w:tr w:rsidR="007A6990" w:rsidRPr="007A6990" w:rsidTr="007A6990">
        <w:trPr>
          <w:trHeight w:hRule="exact" w:val="263"/>
          <w:jc w:val="center"/>
        </w:trPr>
        <w:tc>
          <w:tcPr>
            <w:tcW w:w="5797" w:type="dxa"/>
            <w:tcBorders>
              <w:top w:val="single" w:sz="2" w:space="0" w:color="333399"/>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Cererea internă, din care:</w:t>
            </w:r>
          </w:p>
        </w:tc>
        <w:tc>
          <w:tcPr>
            <w:tcW w:w="1765" w:type="dxa"/>
            <w:tcBorders>
              <w:top w:val="single" w:sz="2" w:space="0" w:color="333399"/>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7,6</w:t>
            </w:r>
          </w:p>
        </w:tc>
        <w:tc>
          <w:tcPr>
            <w:tcW w:w="1556" w:type="dxa"/>
            <w:tcBorders>
              <w:top w:val="single" w:sz="2" w:space="0" w:color="333399"/>
              <w:bottom w:val="nil"/>
            </w:tcBorders>
            <w:vAlign w:val="center"/>
          </w:tcPr>
          <w:p w:rsidR="007A6990" w:rsidRPr="008368B9" w:rsidRDefault="00094580" w:rsidP="007A6990">
            <w:pPr>
              <w:jc w:val="center"/>
              <w:rPr>
                <w:rFonts w:ascii="Calibri" w:hAnsi="Calibri" w:cs="Arial"/>
                <w:lang w:val="ro-RO"/>
              </w:rPr>
            </w:pPr>
            <w:r w:rsidRPr="008368B9">
              <w:rPr>
                <w:rFonts w:ascii="Calibri" w:hAnsi="Calibri" w:cs="Arial"/>
                <w:lang w:val="ro-RO"/>
              </w:rPr>
              <w:t>5,8</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Consumul final</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8,6</w:t>
            </w:r>
          </w:p>
        </w:tc>
        <w:tc>
          <w:tcPr>
            <w:tcW w:w="1556" w:type="dxa"/>
            <w:tcBorders>
              <w:top w:val="nil"/>
              <w:bottom w:val="nil"/>
            </w:tcBorders>
            <w:vAlign w:val="center"/>
          </w:tcPr>
          <w:p w:rsidR="007A6990" w:rsidRPr="008368B9" w:rsidRDefault="00455406" w:rsidP="007A6990">
            <w:pPr>
              <w:jc w:val="center"/>
              <w:rPr>
                <w:rFonts w:ascii="Calibri" w:hAnsi="Calibri" w:cs="Arial"/>
                <w:lang w:val="ro-RO"/>
              </w:rPr>
            </w:pPr>
            <w:r w:rsidRPr="008368B9">
              <w:rPr>
                <w:rFonts w:ascii="Calibri" w:hAnsi="Calibri" w:cs="Arial"/>
                <w:lang w:val="ro-RO"/>
              </w:rPr>
              <w:t>4,9</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 Cheltuielile cu consumul privat</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10,1</w:t>
            </w:r>
          </w:p>
        </w:tc>
        <w:tc>
          <w:tcPr>
            <w:tcW w:w="1556" w:type="dxa"/>
            <w:tcBorders>
              <w:top w:val="nil"/>
              <w:bottom w:val="nil"/>
            </w:tcBorders>
            <w:vAlign w:val="center"/>
          </w:tcPr>
          <w:p w:rsidR="007A6990" w:rsidRPr="008368B9" w:rsidRDefault="0016794C" w:rsidP="00094580">
            <w:pPr>
              <w:jc w:val="center"/>
              <w:rPr>
                <w:rFonts w:ascii="Calibri" w:hAnsi="Calibri" w:cs="Arial"/>
                <w:lang w:val="ro-RO"/>
              </w:rPr>
            </w:pPr>
            <w:r>
              <w:rPr>
                <w:rFonts w:ascii="Calibri" w:hAnsi="Calibri" w:cs="Arial"/>
                <w:lang w:val="ro-RO"/>
              </w:rPr>
              <w:t>5,2</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 Cheltuielile cu consumul final al populaţiei </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10,1</w:t>
            </w:r>
          </w:p>
        </w:tc>
        <w:tc>
          <w:tcPr>
            <w:tcW w:w="1556" w:type="dxa"/>
            <w:tcBorders>
              <w:top w:val="nil"/>
              <w:bottom w:val="nil"/>
            </w:tcBorders>
            <w:vAlign w:val="center"/>
          </w:tcPr>
          <w:p w:rsidR="007A6990" w:rsidRPr="008368B9" w:rsidRDefault="00455406" w:rsidP="007A6990">
            <w:pPr>
              <w:jc w:val="center"/>
              <w:rPr>
                <w:rFonts w:ascii="Calibri" w:hAnsi="Calibri" w:cs="Arial"/>
                <w:lang w:val="ro-RO"/>
              </w:rPr>
            </w:pPr>
            <w:r w:rsidRPr="008368B9">
              <w:rPr>
                <w:rFonts w:ascii="Calibri" w:hAnsi="Calibri" w:cs="Arial"/>
                <w:lang w:val="ro-RO"/>
              </w:rPr>
              <w:t>5,2</w:t>
            </w:r>
          </w:p>
        </w:tc>
      </w:tr>
      <w:tr w:rsidR="007A6990" w:rsidRPr="007A6990" w:rsidTr="007A6990">
        <w:trPr>
          <w:trHeight w:val="315"/>
          <w:jc w:val="center"/>
        </w:trPr>
        <w:tc>
          <w:tcPr>
            <w:tcW w:w="5797" w:type="dxa"/>
            <w:tcBorders>
              <w:top w:val="nil"/>
              <w:bottom w:val="nil"/>
            </w:tcBorders>
            <w:shd w:val="clear" w:color="auto" w:fill="auto"/>
            <w:noWrap/>
            <w:vAlign w:val="center"/>
          </w:tcPr>
          <w:p w:rsidR="007A6990" w:rsidRPr="007A6990" w:rsidRDefault="007A6990" w:rsidP="007A6990">
            <w:pPr>
              <w:keepNext/>
              <w:ind w:left="595" w:hanging="595"/>
              <w:jc w:val="both"/>
              <w:rPr>
                <w:rFonts w:ascii="Calibri" w:hAnsi="Calibri" w:cs="Arial"/>
                <w:lang w:val="ro-RO"/>
              </w:rPr>
            </w:pPr>
            <w:r w:rsidRPr="007A6990">
              <w:rPr>
                <w:rFonts w:ascii="Calibri" w:hAnsi="Calibri" w:cs="Arial"/>
                <w:lang w:val="ro-RO"/>
              </w:rPr>
              <w:t xml:space="preserve">      - Cheltuielile cu consumul guvernamental</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1,0</w:t>
            </w:r>
          </w:p>
        </w:tc>
        <w:tc>
          <w:tcPr>
            <w:tcW w:w="1556" w:type="dxa"/>
            <w:tcBorders>
              <w:top w:val="nil"/>
              <w:bottom w:val="nil"/>
            </w:tcBorders>
            <w:vAlign w:val="center"/>
          </w:tcPr>
          <w:p w:rsidR="007A6990" w:rsidRPr="008368B9" w:rsidRDefault="007A6990" w:rsidP="00094580">
            <w:pPr>
              <w:jc w:val="center"/>
              <w:rPr>
                <w:rFonts w:ascii="Calibri" w:hAnsi="Calibri" w:cs="Arial"/>
                <w:lang w:val="ro-RO"/>
              </w:rPr>
            </w:pPr>
            <w:r w:rsidRPr="008368B9">
              <w:rPr>
                <w:rFonts w:ascii="Calibri" w:hAnsi="Calibri" w:cs="Arial"/>
                <w:lang w:val="ro-RO"/>
              </w:rPr>
              <w:t>3,</w:t>
            </w:r>
            <w:r w:rsidR="00094580" w:rsidRPr="008368B9">
              <w:rPr>
                <w:rFonts w:ascii="Calibri" w:hAnsi="Calibri" w:cs="Arial"/>
                <w:lang w:val="ro-RO"/>
              </w:rPr>
              <w:t>8</w:t>
            </w:r>
          </w:p>
        </w:tc>
      </w:tr>
      <w:tr w:rsidR="007A6990" w:rsidRPr="007A6990" w:rsidTr="007A6990">
        <w:trPr>
          <w:trHeight w:val="315"/>
          <w:jc w:val="center"/>
        </w:trPr>
        <w:tc>
          <w:tcPr>
            <w:tcW w:w="5797" w:type="dxa"/>
            <w:tcBorders>
              <w:top w:val="nil"/>
              <w:bottom w:val="nil"/>
            </w:tcBorders>
            <w:shd w:val="clear" w:color="auto" w:fill="auto"/>
            <w:noWrap/>
            <w:vAlign w:val="center"/>
          </w:tcPr>
          <w:p w:rsidR="007A6990" w:rsidRPr="007A6990" w:rsidRDefault="007A6990" w:rsidP="007A6990">
            <w:pPr>
              <w:keepNext/>
              <w:ind w:left="595" w:hanging="595"/>
              <w:jc w:val="both"/>
              <w:rPr>
                <w:rFonts w:ascii="Calibri" w:hAnsi="Calibri" w:cs="Arial"/>
                <w:lang w:val="ro-RO"/>
              </w:rPr>
            </w:pPr>
            <w:r w:rsidRPr="007A6990">
              <w:rPr>
                <w:rFonts w:ascii="Calibri" w:hAnsi="Calibri" w:cs="Arial"/>
                <w:lang w:val="ro-RO"/>
              </w:rPr>
              <w:t xml:space="preserve">             - Consumul colectiv efectiv al administraţiei publice</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5,2</w:t>
            </w:r>
          </w:p>
        </w:tc>
        <w:tc>
          <w:tcPr>
            <w:tcW w:w="1556" w:type="dxa"/>
            <w:tcBorders>
              <w:top w:val="nil"/>
              <w:bottom w:val="nil"/>
            </w:tcBorders>
            <w:vAlign w:val="center"/>
          </w:tcPr>
          <w:p w:rsidR="007A6990" w:rsidRPr="008368B9" w:rsidRDefault="00455406" w:rsidP="00455406">
            <w:pPr>
              <w:jc w:val="center"/>
              <w:rPr>
                <w:rFonts w:ascii="Calibri" w:hAnsi="Calibri" w:cs="Arial"/>
                <w:lang w:val="ro-RO"/>
              </w:rPr>
            </w:pPr>
            <w:r w:rsidRPr="008368B9">
              <w:rPr>
                <w:rFonts w:ascii="Calibri" w:hAnsi="Calibri" w:cs="Arial"/>
                <w:lang w:val="ro-RO"/>
              </w:rPr>
              <w:t>6</w:t>
            </w:r>
            <w:r w:rsidR="007A6990" w:rsidRPr="008368B9">
              <w:rPr>
                <w:rFonts w:ascii="Calibri" w:hAnsi="Calibri" w:cs="Arial"/>
                <w:lang w:val="ro-RO"/>
              </w:rPr>
              <w:t>,</w:t>
            </w:r>
            <w:r w:rsidRPr="008368B9">
              <w:rPr>
                <w:rFonts w:ascii="Calibri" w:hAnsi="Calibri" w:cs="Arial"/>
                <w:lang w:val="ro-RO"/>
              </w:rPr>
              <w:t>4</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Formarea brută de capital fix</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3,5</w:t>
            </w:r>
          </w:p>
        </w:tc>
        <w:tc>
          <w:tcPr>
            <w:tcW w:w="1556" w:type="dxa"/>
            <w:tcBorders>
              <w:top w:val="nil"/>
              <w:bottom w:val="nil"/>
            </w:tcBorders>
            <w:vAlign w:val="center"/>
          </w:tcPr>
          <w:p w:rsidR="007A6990" w:rsidRPr="008368B9" w:rsidRDefault="00455406" w:rsidP="00455406">
            <w:pPr>
              <w:jc w:val="center"/>
              <w:rPr>
                <w:rFonts w:ascii="Calibri" w:hAnsi="Calibri" w:cs="Arial"/>
                <w:lang w:val="ro-RO"/>
              </w:rPr>
            </w:pPr>
            <w:r w:rsidRPr="008368B9">
              <w:rPr>
                <w:rFonts w:ascii="Calibri" w:hAnsi="Calibri" w:cs="Arial"/>
                <w:lang w:val="ro-RO"/>
              </w:rPr>
              <w:t>-3</w:t>
            </w:r>
            <w:r w:rsidR="007A6990" w:rsidRPr="008368B9">
              <w:rPr>
                <w:rFonts w:ascii="Calibri" w:hAnsi="Calibri" w:cs="Arial"/>
                <w:lang w:val="ro-RO"/>
              </w:rPr>
              <w:t>,</w:t>
            </w:r>
            <w:r w:rsidRPr="008368B9">
              <w:rPr>
                <w:rFonts w:ascii="Calibri" w:hAnsi="Calibri" w:cs="Arial"/>
                <w:lang w:val="ro-RO"/>
              </w:rPr>
              <w:t>2</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Exportul de bunuri şi servicii</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10,0</w:t>
            </w:r>
          </w:p>
        </w:tc>
        <w:tc>
          <w:tcPr>
            <w:tcW w:w="1556" w:type="dxa"/>
            <w:tcBorders>
              <w:top w:val="nil"/>
              <w:bottom w:val="nil"/>
            </w:tcBorders>
            <w:vAlign w:val="center"/>
          </w:tcPr>
          <w:p w:rsidR="007A6990" w:rsidRPr="008368B9" w:rsidRDefault="00455406" w:rsidP="00455406">
            <w:pPr>
              <w:jc w:val="center"/>
              <w:rPr>
                <w:rFonts w:ascii="Calibri" w:hAnsi="Calibri" w:cs="Arial"/>
                <w:lang w:val="ro-RO"/>
              </w:rPr>
            </w:pPr>
            <w:r w:rsidRPr="008368B9">
              <w:rPr>
                <w:rFonts w:ascii="Calibri" w:hAnsi="Calibri" w:cs="Arial"/>
                <w:lang w:val="ro-RO"/>
              </w:rPr>
              <w:t>4</w:t>
            </w:r>
            <w:r w:rsidR="007A6990" w:rsidRPr="008368B9">
              <w:rPr>
                <w:rFonts w:ascii="Calibri" w:hAnsi="Calibri" w:cs="Arial"/>
                <w:lang w:val="ro-RO"/>
              </w:rPr>
              <w:t>,</w:t>
            </w:r>
            <w:r w:rsidRPr="008368B9">
              <w:rPr>
                <w:rFonts w:ascii="Calibri" w:hAnsi="Calibri" w:cs="Arial"/>
                <w:lang w:val="ro-RO"/>
              </w:rPr>
              <w:t>7</w:t>
            </w:r>
          </w:p>
        </w:tc>
      </w:tr>
      <w:tr w:rsidR="007A6990" w:rsidRPr="007A6990" w:rsidTr="007A6990">
        <w:trPr>
          <w:trHeight w:hRule="exact" w:val="266"/>
          <w:jc w:val="center"/>
        </w:trPr>
        <w:tc>
          <w:tcPr>
            <w:tcW w:w="5797" w:type="dxa"/>
            <w:tcBorders>
              <w:top w:val="nil"/>
              <w:bottom w:val="single" w:sz="4" w:space="0" w:color="333399"/>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Importul de bunuri şi servicii</w:t>
            </w:r>
          </w:p>
        </w:tc>
        <w:tc>
          <w:tcPr>
            <w:tcW w:w="1765" w:type="dxa"/>
            <w:tcBorders>
              <w:top w:val="nil"/>
              <w:bottom w:val="single" w:sz="4" w:space="0" w:color="333399"/>
            </w:tcBorders>
            <w:shd w:val="clear" w:color="auto" w:fill="auto"/>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11,3</w:t>
            </w:r>
          </w:p>
        </w:tc>
        <w:tc>
          <w:tcPr>
            <w:tcW w:w="1556" w:type="dxa"/>
            <w:tcBorders>
              <w:top w:val="nil"/>
              <w:bottom w:val="single" w:sz="4" w:space="0" w:color="333399"/>
            </w:tcBorders>
            <w:vAlign w:val="center"/>
          </w:tcPr>
          <w:p w:rsidR="007A6990" w:rsidRPr="008368B9" w:rsidRDefault="00455406" w:rsidP="00455406">
            <w:pPr>
              <w:jc w:val="center"/>
              <w:rPr>
                <w:rFonts w:ascii="Calibri" w:hAnsi="Calibri" w:cs="Arial"/>
                <w:lang w:val="ro-RO"/>
              </w:rPr>
            </w:pPr>
            <w:r w:rsidRPr="008368B9">
              <w:rPr>
                <w:rFonts w:ascii="Calibri" w:hAnsi="Calibri" w:cs="Arial"/>
                <w:lang w:val="ro-RO"/>
              </w:rPr>
              <w:t>8</w:t>
            </w:r>
            <w:r w:rsidR="007A6990" w:rsidRPr="008368B9">
              <w:rPr>
                <w:rFonts w:ascii="Calibri" w:hAnsi="Calibri" w:cs="Arial"/>
                <w:lang w:val="ro-RO"/>
              </w:rPr>
              <w:t>,</w:t>
            </w:r>
            <w:r w:rsidRPr="008368B9">
              <w:rPr>
                <w:rFonts w:ascii="Calibri" w:hAnsi="Calibri" w:cs="Arial"/>
                <w:lang w:val="ro-RO"/>
              </w:rPr>
              <w:t>6</w:t>
            </w:r>
          </w:p>
        </w:tc>
      </w:tr>
      <w:tr w:rsidR="007A6990" w:rsidRPr="007A6990" w:rsidTr="007A6990">
        <w:trPr>
          <w:trHeight w:val="315"/>
          <w:jc w:val="center"/>
        </w:trPr>
        <w:tc>
          <w:tcPr>
            <w:tcW w:w="5797" w:type="dxa"/>
            <w:tcBorders>
              <w:top w:val="single" w:sz="4" w:space="0" w:color="333399"/>
              <w:bottom w:val="single" w:sz="4" w:space="0" w:color="333399"/>
            </w:tcBorders>
            <w:shd w:val="clear" w:color="auto" w:fill="99CCFF"/>
            <w:noWrap/>
            <w:vAlign w:val="center"/>
          </w:tcPr>
          <w:p w:rsidR="007A6990" w:rsidRPr="007A6990" w:rsidRDefault="007A6990" w:rsidP="007A6990">
            <w:pPr>
              <w:keepNext/>
              <w:jc w:val="both"/>
              <w:rPr>
                <w:rFonts w:ascii="Calibri" w:hAnsi="Calibri" w:cs="Arial"/>
                <w:b/>
                <w:lang w:val="ro-RO"/>
              </w:rPr>
            </w:pPr>
            <w:r w:rsidRPr="007A6990">
              <w:rPr>
                <w:rFonts w:ascii="Calibri" w:hAnsi="Calibri" w:cs="Arial"/>
                <w:b/>
                <w:lang w:val="ro-RO"/>
              </w:rPr>
              <w:t>PIB</w:t>
            </w:r>
          </w:p>
        </w:tc>
        <w:tc>
          <w:tcPr>
            <w:tcW w:w="1765" w:type="dxa"/>
            <w:tcBorders>
              <w:top w:val="single" w:sz="4" w:space="0" w:color="333399"/>
              <w:bottom w:val="single" w:sz="4" w:space="0" w:color="333399"/>
            </w:tcBorders>
            <w:shd w:val="clear" w:color="auto" w:fill="99CCFF"/>
            <w:vAlign w:val="center"/>
          </w:tcPr>
          <w:p w:rsidR="007A6990" w:rsidRPr="007A6990" w:rsidRDefault="007A6990" w:rsidP="007A6990">
            <w:pPr>
              <w:keepNext/>
              <w:jc w:val="center"/>
              <w:rPr>
                <w:rFonts w:ascii="Calibri" w:hAnsi="Calibri" w:cs="Arial"/>
                <w:b/>
                <w:lang w:val="ro-RO"/>
              </w:rPr>
            </w:pPr>
            <w:r w:rsidRPr="007A6990">
              <w:rPr>
                <w:rFonts w:ascii="Calibri" w:hAnsi="Calibri" w:cs="Arial"/>
                <w:b/>
                <w:lang w:val="ro-RO"/>
              </w:rPr>
              <w:t>7,0</w:t>
            </w:r>
          </w:p>
        </w:tc>
        <w:tc>
          <w:tcPr>
            <w:tcW w:w="1556" w:type="dxa"/>
            <w:tcBorders>
              <w:top w:val="single" w:sz="4" w:space="0" w:color="333399"/>
              <w:bottom w:val="single" w:sz="4" w:space="0" w:color="333399"/>
            </w:tcBorders>
            <w:shd w:val="clear" w:color="auto" w:fill="99CCFF"/>
            <w:vAlign w:val="center"/>
          </w:tcPr>
          <w:p w:rsidR="007A6990" w:rsidRPr="008368B9" w:rsidRDefault="007A6990" w:rsidP="007A6990">
            <w:pPr>
              <w:jc w:val="center"/>
              <w:rPr>
                <w:rFonts w:ascii="Calibri" w:hAnsi="Calibri" w:cs="Arial"/>
                <w:b/>
                <w:lang w:val="ro-RO"/>
              </w:rPr>
            </w:pPr>
            <w:r w:rsidRPr="008368B9">
              <w:rPr>
                <w:rFonts w:ascii="Calibri" w:hAnsi="Calibri" w:cs="Arial"/>
                <w:b/>
                <w:lang w:val="ro-RO"/>
              </w:rPr>
              <w:t>4,</w:t>
            </w:r>
            <w:r w:rsidR="00455406" w:rsidRPr="008368B9">
              <w:rPr>
                <w:rFonts w:ascii="Calibri" w:hAnsi="Calibri" w:cs="Arial"/>
                <w:b/>
                <w:lang w:val="ro-RO"/>
              </w:rPr>
              <w:t>1</w:t>
            </w:r>
          </w:p>
        </w:tc>
      </w:tr>
      <w:tr w:rsidR="007A6990" w:rsidRPr="007A6990" w:rsidTr="007A6990">
        <w:trPr>
          <w:trHeight w:hRule="exact" w:val="266"/>
          <w:jc w:val="center"/>
        </w:trPr>
        <w:tc>
          <w:tcPr>
            <w:tcW w:w="5797" w:type="dxa"/>
            <w:tcBorders>
              <w:top w:val="single" w:sz="4" w:space="0" w:color="333399"/>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Industrie</w:t>
            </w:r>
          </w:p>
        </w:tc>
        <w:tc>
          <w:tcPr>
            <w:tcW w:w="1765" w:type="dxa"/>
            <w:tcBorders>
              <w:top w:val="single" w:sz="4" w:space="0" w:color="333399"/>
              <w:bottom w:val="nil"/>
            </w:tcBorders>
            <w:shd w:val="clear" w:color="auto" w:fill="auto"/>
            <w:vAlign w:val="center"/>
          </w:tcPr>
          <w:p w:rsidR="007A6990" w:rsidRPr="007A6990" w:rsidRDefault="007A6990" w:rsidP="007A6990">
            <w:pPr>
              <w:keepNext/>
              <w:jc w:val="center"/>
              <w:rPr>
                <w:rFonts w:ascii="Calibri" w:hAnsi="Calibri"/>
                <w:lang w:val="ro-RO"/>
              </w:rPr>
            </w:pPr>
            <w:r w:rsidRPr="007A6990">
              <w:rPr>
                <w:rFonts w:ascii="Calibri" w:hAnsi="Calibri"/>
                <w:lang w:val="ro-RO"/>
              </w:rPr>
              <w:t>8,3</w:t>
            </w:r>
          </w:p>
        </w:tc>
        <w:tc>
          <w:tcPr>
            <w:tcW w:w="1556" w:type="dxa"/>
            <w:tcBorders>
              <w:top w:val="single" w:sz="4" w:space="0" w:color="333399"/>
              <w:bottom w:val="nil"/>
            </w:tcBorders>
            <w:vAlign w:val="center"/>
          </w:tcPr>
          <w:p w:rsidR="007A6990" w:rsidRPr="008368B9" w:rsidRDefault="007A6990" w:rsidP="007A6990">
            <w:pPr>
              <w:jc w:val="center"/>
              <w:rPr>
                <w:rFonts w:ascii="Calibri" w:hAnsi="Calibri"/>
                <w:lang w:val="ro-RO"/>
              </w:rPr>
            </w:pPr>
            <w:r w:rsidRPr="008368B9">
              <w:rPr>
                <w:rFonts w:ascii="Calibri" w:hAnsi="Calibri"/>
                <w:lang w:val="ro-RO"/>
              </w:rPr>
              <w:t>4,</w:t>
            </w:r>
            <w:r w:rsidR="00455406" w:rsidRPr="008368B9">
              <w:rPr>
                <w:rFonts w:ascii="Calibri" w:hAnsi="Calibri"/>
                <w:lang w:val="ro-RO"/>
              </w:rPr>
              <w:t>1</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Agricultură</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lang w:val="ro-RO"/>
              </w:rPr>
            </w:pPr>
            <w:r w:rsidRPr="007A6990">
              <w:rPr>
                <w:rFonts w:ascii="Calibri" w:hAnsi="Calibri"/>
                <w:lang w:val="ro-RO"/>
              </w:rPr>
              <w:t>14,6</w:t>
            </w:r>
          </w:p>
        </w:tc>
        <w:tc>
          <w:tcPr>
            <w:tcW w:w="1556" w:type="dxa"/>
            <w:tcBorders>
              <w:top w:val="nil"/>
              <w:bottom w:val="nil"/>
            </w:tcBorders>
            <w:vAlign w:val="center"/>
          </w:tcPr>
          <w:p w:rsidR="007A6990" w:rsidRPr="008368B9" w:rsidRDefault="007A6990" w:rsidP="007A6990">
            <w:pPr>
              <w:jc w:val="center"/>
              <w:rPr>
                <w:rFonts w:ascii="Calibri" w:hAnsi="Calibri"/>
                <w:lang w:val="ro-RO"/>
              </w:rPr>
            </w:pPr>
            <w:r w:rsidRPr="008368B9">
              <w:rPr>
                <w:rFonts w:ascii="Calibri" w:hAnsi="Calibri"/>
                <w:lang w:val="ro-RO"/>
              </w:rPr>
              <w:t>9,</w:t>
            </w:r>
            <w:r w:rsidR="00455406" w:rsidRPr="008368B9">
              <w:rPr>
                <w:rFonts w:ascii="Calibri" w:hAnsi="Calibri"/>
                <w:lang w:val="ro-RO"/>
              </w:rPr>
              <w:t>9</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Construcţii</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lang w:val="ro-RO"/>
              </w:rPr>
            </w:pPr>
            <w:r w:rsidRPr="007A6990">
              <w:rPr>
                <w:rFonts w:ascii="Calibri" w:hAnsi="Calibri"/>
                <w:lang w:val="ro-RO"/>
              </w:rPr>
              <w:t>-0,9</w:t>
            </w:r>
          </w:p>
        </w:tc>
        <w:tc>
          <w:tcPr>
            <w:tcW w:w="1556" w:type="dxa"/>
            <w:tcBorders>
              <w:top w:val="nil"/>
              <w:bottom w:val="nil"/>
            </w:tcBorders>
            <w:vAlign w:val="center"/>
          </w:tcPr>
          <w:p w:rsidR="007A6990" w:rsidRPr="008368B9" w:rsidRDefault="007A6990" w:rsidP="00455406">
            <w:pPr>
              <w:jc w:val="center"/>
              <w:rPr>
                <w:rFonts w:ascii="Calibri" w:hAnsi="Calibri"/>
                <w:lang w:val="ro-RO"/>
              </w:rPr>
            </w:pPr>
            <w:r w:rsidRPr="008368B9">
              <w:rPr>
                <w:rFonts w:ascii="Calibri" w:hAnsi="Calibri"/>
                <w:lang w:val="ro-RO"/>
              </w:rPr>
              <w:t>-</w:t>
            </w:r>
            <w:r w:rsidR="00455406" w:rsidRPr="008368B9">
              <w:rPr>
                <w:rFonts w:ascii="Calibri" w:hAnsi="Calibri"/>
                <w:lang w:val="ro-RO"/>
              </w:rPr>
              <w:t>5</w:t>
            </w:r>
            <w:r w:rsidRPr="008368B9">
              <w:rPr>
                <w:rFonts w:ascii="Calibri" w:hAnsi="Calibri"/>
                <w:lang w:val="ro-RO"/>
              </w:rPr>
              <w:t>,</w:t>
            </w:r>
            <w:r w:rsidR="00455406" w:rsidRPr="008368B9">
              <w:rPr>
                <w:rFonts w:ascii="Calibri" w:hAnsi="Calibri"/>
                <w:lang w:val="ro-RO"/>
              </w:rPr>
              <w:t>6</w:t>
            </w:r>
          </w:p>
        </w:tc>
      </w:tr>
      <w:tr w:rsidR="007A6990" w:rsidRPr="007A6990" w:rsidTr="007A6990">
        <w:trPr>
          <w:trHeight w:hRule="exact" w:val="266"/>
          <w:jc w:val="center"/>
        </w:trPr>
        <w:tc>
          <w:tcPr>
            <w:tcW w:w="5797" w:type="dxa"/>
            <w:tcBorders>
              <w:top w:val="nil"/>
              <w:bottom w:val="single" w:sz="2" w:space="0" w:color="333399"/>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Servicii</w:t>
            </w:r>
          </w:p>
        </w:tc>
        <w:tc>
          <w:tcPr>
            <w:tcW w:w="1765" w:type="dxa"/>
            <w:tcBorders>
              <w:top w:val="nil"/>
              <w:bottom w:val="single" w:sz="2" w:space="0" w:color="333399"/>
            </w:tcBorders>
            <w:shd w:val="clear" w:color="auto" w:fill="auto"/>
            <w:vAlign w:val="center"/>
          </w:tcPr>
          <w:p w:rsidR="007A6990" w:rsidRPr="007A6990" w:rsidRDefault="007A6990" w:rsidP="007A6990">
            <w:pPr>
              <w:keepNext/>
              <w:jc w:val="center"/>
              <w:rPr>
                <w:rFonts w:ascii="Calibri" w:hAnsi="Calibri"/>
                <w:lang w:val="ro-RO"/>
              </w:rPr>
            </w:pPr>
            <w:r w:rsidRPr="007A6990">
              <w:rPr>
                <w:rFonts w:ascii="Calibri" w:hAnsi="Calibri"/>
                <w:lang w:val="ro-RO"/>
              </w:rPr>
              <w:t>6,9</w:t>
            </w:r>
          </w:p>
        </w:tc>
        <w:tc>
          <w:tcPr>
            <w:tcW w:w="1556" w:type="dxa"/>
            <w:tcBorders>
              <w:top w:val="nil"/>
              <w:bottom w:val="single" w:sz="2" w:space="0" w:color="333399"/>
            </w:tcBorders>
            <w:vAlign w:val="center"/>
          </w:tcPr>
          <w:p w:rsidR="007A6990" w:rsidRPr="008368B9" w:rsidRDefault="00455406" w:rsidP="007A6990">
            <w:pPr>
              <w:jc w:val="center"/>
              <w:rPr>
                <w:rFonts w:ascii="Calibri" w:hAnsi="Calibri"/>
                <w:lang w:val="ro-RO"/>
              </w:rPr>
            </w:pPr>
            <w:r w:rsidRPr="008368B9">
              <w:rPr>
                <w:rFonts w:ascii="Calibri" w:hAnsi="Calibri"/>
                <w:lang w:val="ro-RO"/>
              </w:rPr>
              <w:t>3</w:t>
            </w:r>
            <w:r w:rsidR="007A6990" w:rsidRPr="008368B9">
              <w:rPr>
                <w:rFonts w:ascii="Calibri" w:hAnsi="Calibri"/>
                <w:lang w:val="ro-RO"/>
              </w:rPr>
              <w:t>,</w:t>
            </w:r>
            <w:r w:rsidRPr="008368B9">
              <w:rPr>
                <w:rFonts w:ascii="Calibri" w:hAnsi="Calibri"/>
                <w:lang w:val="ro-RO"/>
              </w:rPr>
              <w:t>6</w:t>
            </w:r>
          </w:p>
        </w:tc>
      </w:tr>
    </w:tbl>
    <w:p w:rsidR="007A6990" w:rsidRPr="007A6990" w:rsidRDefault="007A6990" w:rsidP="007A6990">
      <w:pPr>
        <w:keepNext/>
        <w:spacing w:before="120"/>
        <w:ind w:firstLine="42"/>
        <w:jc w:val="both"/>
        <w:rPr>
          <w:rFonts w:ascii="Calibri" w:hAnsi="Calibri"/>
          <w:bCs/>
          <w:i/>
          <w:iCs/>
          <w:sz w:val="20"/>
          <w:szCs w:val="20"/>
          <w:lang w:val="ro-RO"/>
        </w:rPr>
      </w:pPr>
      <w:r w:rsidRPr="007A6990">
        <w:rPr>
          <w:rFonts w:ascii="Calibri" w:hAnsi="Calibri"/>
          <w:bCs/>
          <w:i/>
          <w:iCs/>
          <w:sz w:val="20"/>
          <w:szCs w:val="20"/>
          <w:lang w:val="ro-RO"/>
        </w:rPr>
        <w:t xml:space="preserve">Sursa: Institutul National de Statistică </w:t>
      </w:r>
    </w:p>
    <w:p w:rsidR="007A6990" w:rsidRPr="007A6990" w:rsidRDefault="007A6990" w:rsidP="007A6990">
      <w:pPr>
        <w:keepNext/>
        <w:spacing w:before="120" w:after="120"/>
        <w:jc w:val="both"/>
        <w:rPr>
          <w:rFonts w:ascii="Calibri" w:hAnsi="Calibri" w:cs="Calibri"/>
          <w:szCs w:val="22"/>
          <w:lang w:val="ro-RO"/>
        </w:rPr>
      </w:pPr>
      <w:r w:rsidRPr="007A6990">
        <w:rPr>
          <w:rFonts w:ascii="Calibri" w:hAnsi="Calibri" w:cs="Calibri"/>
          <w:szCs w:val="22"/>
          <w:lang w:val="ro-RO"/>
        </w:rPr>
        <w:t xml:space="preserve">Ocuparea se îmbunătăţeşte, România îndeplinindu-şi angajamentul asumat în cadrul Strategiei "Europa 2020". Şomajul a ajuns la minime istorice. </w:t>
      </w:r>
    </w:p>
    <w:p w:rsidR="007A6990" w:rsidRPr="007A6990" w:rsidRDefault="007A6990" w:rsidP="007A6990">
      <w:pPr>
        <w:keepNext/>
        <w:spacing w:before="120" w:after="120"/>
        <w:jc w:val="both"/>
        <w:rPr>
          <w:rFonts w:ascii="Calibri" w:hAnsi="Calibri" w:cs="Calibri"/>
          <w:szCs w:val="22"/>
          <w:lang w:val="ro-RO"/>
        </w:rPr>
      </w:pPr>
      <w:r w:rsidRPr="007A6990">
        <w:rPr>
          <w:rFonts w:ascii="Calibri" w:hAnsi="Calibri" w:cs="Calibri"/>
          <w:szCs w:val="22"/>
          <w:lang w:val="ro-RO"/>
        </w:rPr>
        <w:t>In trimestrul III 2018 rata de ocupare a populaţiei în vârstă de 20-64 ani a fost de 71,3% (conform definitiei AMIGO), depăşind cu 1,3 puncte procentuale ţinta naţională de 70% stabilită în contextul Strategiei 2020.</w:t>
      </w:r>
    </w:p>
    <w:p w:rsidR="007A6990" w:rsidRPr="008368B9" w:rsidRDefault="007A6990" w:rsidP="007A6990">
      <w:pPr>
        <w:keepNext/>
        <w:spacing w:before="120" w:after="120"/>
        <w:jc w:val="both"/>
        <w:rPr>
          <w:rFonts w:ascii="Calibri" w:hAnsi="Calibri" w:cs="Calibri"/>
          <w:szCs w:val="22"/>
          <w:lang w:val="ro-RO"/>
        </w:rPr>
      </w:pPr>
      <w:r w:rsidRPr="008368B9">
        <w:rPr>
          <w:rFonts w:ascii="Calibri" w:hAnsi="Calibri" w:cs="Calibri"/>
          <w:szCs w:val="22"/>
          <w:lang w:val="ro-RO"/>
        </w:rPr>
        <w:t>Numărul mediu de salariaţi (media efectivelor lunare, conform INS, conform metodologiei naţionale) a fost de 4.929,</w:t>
      </w:r>
      <w:r w:rsidR="00094580" w:rsidRPr="008368B9">
        <w:rPr>
          <w:rFonts w:ascii="Calibri" w:hAnsi="Calibri" w:cs="Calibri"/>
          <w:szCs w:val="22"/>
          <w:lang w:val="ro-RO"/>
        </w:rPr>
        <w:t>5</w:t>
      </w:r>
      <w:r w:rsidRPr="008368B9">
        <w:rPr>
          <w:rFonts w:ascii="Calibri" w:hAnsi="Calibri" w:cs="Calibri"/>
          <w:szCs w:val="22"/>
          <w:lang w:val="ro-RO"/>
        </w:rPr>
        <w:t xml:space="preserve"> mii persoane în anul 2018, în creştere cu 1,8% faţă de anul 2017 (respectiv 8</w:t>
      </w:r>
      <w:r w:rsidR="00094580" w:rsidRPr="008368B9">
        <w:rPr>
          <w:rFonts w:ascii="Calibri" w:hAnsi="Calibri" w:cs="Calibri"/>
          <w:szCs w:val="22"/>
          <w:lang w:val="ro-RO"/>
        </w:rPr>
        <w:t>6</w:t>
      </w:r>
      <w:r w:rsidRPr="008368B9">
        <w:rPr>
          <w:rFonts w:ascii="Calibri" w:hAnsi="Calibri" w:cs="Calibri"/>
          <w:szCs w:val="22"/>
          <w:lang w:val="ro-RO"/>
        </w:rPr>
        <w:t>,</w:t>
      </w:r>
      <w:r w:rsidR="00F602F0" w:rsidRPr="008368B9">
        <w:rPr>
          <w:rFonts w:ascii="Calibri" w:hAnsi="Calibri" w:cs="Calibri"/>
          <w:szCs w:val="22"/>
          <w:lang w:val="ro-RO"/>
        </w:rPr>
        <w:t>8</w:t>
      </w:r>
      <w:r w:rsidRPr="008368B9">
        <w:rPr>
          <w:rFonts w:ascii="Calibri" w:hAnsi="Calibri" w:cs="Calibri"/>
          <w:szCs w:val="22"/>
          <w:lang w:val="ro-RO"/>
        </w:rPr>
        <w:t xml:space="preserve"> mii persoane). Ponderea cea mai mare în total economie o reprezintă numărul salariaţilor din </w:t>
      </w:r>
      <w:r w:rsidR="00094580" w:rsidRPr="008368B9">
        <w:rPr>
          <w:rFonts w:ascii="Calibri" w:hAnsi="Calibri" w:cs="Calibri"/>
          <w:szCs w:val="22"/>
          <w:lang w:val="ro-RO"/>
        </w:rPr>
        <w:t>industrie care a ajuns la 28,1%.</w:t>
      </w:r>
    </w:p>
    <w:p w:rsidR="007A6990" w:rsidRPr="008368B9" w:rsidRDefault="007A6990" w:rsidP="007A6990">
      <w:pPr>
        <w:keepNext/>
        <w:spacing w:after="120"/>
        <w:jc w:val="both"/>
        <w:rPr>
          <w:rFonts w:ascii="Calibri" w:hAnsi="Calibri" w:cs="Calibri"/>
          <w:szCs w:val="22"/>
          <w:lang w:val="ro-RO"/>
        </w:rPr>
      </w:pPr>
      <w:r w:rsidRPr="008368B9">
        <w:rPr>
          <w:rFonts w:ascii="Calibri" w:hAnsi="Calibri" w:cs="Calibri"/>
          <w:b/>
          <w:szCs w:val="22"/>
          <w:lang w:val="ro-RO"/>
        </w:rPr>
        <w:t>Câştigul salarial mediu brut</w:t>
      </w:r>
      <w:r w:rsidRPr="008368B9">
        <w:rPr>
          <w:rFonts w:ascii="Calibri" w:hAnsi="Calibri" w:cs="Calibri"/>
          <w:szCs w:val="22"/>
          <w:lang w:val="ro-RO"/>
        </w:rPr>
        <w:t xml:space="preserve"> pe total economie, a fost în anul 2018 de 4.4</w:t>
      </w:r>
      <w:r w:rsidR="00094580" w:rsidRPr="008368B9">
        <w:rPr>
          <w:rFonts w:ascii="Calibri" w:hAnsi="Calibri" w:cs="Calibri"/>
          <w:szCs w:val="22"/>
          <w:lang w:val="ro-RO"/>
        </w:rPr>
        <w:t>8</w:t>
      </w:r>
      <w:r w:rsidRPr="008368B9">
        <w:rPr>
          <w:rFonts w:ascii="Calibri" w:hAnsi="Calibri" w:cs="Calibri"/>
          <w:szCs w:val="22"/>
          <w:lang w:val="ro-RO"/>
        </w:rPr>
        <w:t>8 lei. Câştigul salari</w:t>
      </w:r>
      <w:r w:rsidR="00094580" w:rsidRPr="008368B9">
        <w:rPr>
          <w:rFonts w:ascii="Calibri" w:hAnsi="Calibri" w:cs="Calibri"/>
          <w:szCs w:val="22"/>
          <w:lang w:val="ro-RO"/>
        </w:rPr>
        <w:t>al mediu net s-a majorat cu 13,1</w:t>
      </w:r>
      <w:r w:rsidRPr="008368B9">
        <w:rPr>
          <w:rFonts w:ascii="Calibri" w:hAnsi="Calibri" w:cs="Calibri"/>
          <w:szCs w:val="22"/>
          <w:lang w:val="ro-RO"/>
        </w:rPr>
        <w:t>%, fiind de 2.6</w:t>
      </w:r>
      <w:r w:rsidR="00094580" w:rsidRPr="008368B9">
        <w:rPr>
          <w:rFonts w:ascii="Calibri" w:hAnsi="Calibri" w:cs="Calibri"/>
          <w:szCs w:val="22"/>
          <w:lang w:val="ro-RO"/>
        </w:rPr>
        <w:t>96</w:t>
      </w:r>
      <w:r w:rsidRPr="008368B9">
        <w:rPr>
          <w:rFonts w:ascii="Calibri" w:hAnsi="Calibri" w:cs="Calibri"/>
          <w:szCs w:val="22"/>
          <w:lang w:val="ro-RO"/>
        </w:rPr>
        <w:t xml:space="preserve"> lei</w:t>
      </w:r>
    </w:p>
    <w:p w:rsidR="007A6990" w:rsidRPr="008368B9" w:rsidRDefault="007A6990" w:rsidP="007A6990">
      <w:pPr>
        <w:keepNext/>
        <w:spacing w:after="120"/>
        <w:jc w:val="both"/>
        <w:rPr>
          <w:rFonts w:ascii="Calibri" w:hAnsi="Calibri" w:cs="Calibri"/>
          <w:szCs w:val="22"/>
          <w:lang w:val="ro-RO"/>
        </w:rPr>
      </w:pPr>
      <w:r w:rsidRPr="008368B9">
        <w:rPr>
          <w:rFonts w:ascii="Calibri" w:hAnsi="Calibri" w:cs="Calibri"/>
          <w:szCs w:val="22"/>
          <w:lang w:val="ro-RO"/>
        </w:rPr>
        <w:t xml:space="preserve">În termeni reali, pe total economie, creşterea câştigului salarial a fost de 8,1%. </w:t>
      </w:r>
    </w:p>
    <w:p w:rsidR="007A6990" w:rsidRPr="008368B9" w:rsidRDefault="007C1842" w:rsidP="007A6990">
      <w:pPr>
        <w:keepNext/>
        <w:spacing w:before="120"/>
        <w:jc w:val="both"/>
        <w:outlineLvl w:val="0"/>
        <w:rPr>
          <w:rFonts w:ascii="Calibri" w:eastAsia="Calibri" w:hAnsi="Calibri" w:cs="Calibri"/>
          <w:szCs w:val="22"/>
          <w:lang w:val="ro-RO"/>
        </w:rPr>
      </w:pPr>
      <w:r w:rsidRPr="008368B9">
        <w:rPr>
          <w:rFonts w:ascii="Calibri" w:eastAsia="Calibri" w:hAnsi="Calibri" w:cs="Calibri"/>
          <w:szCs w:val="22"/>
          <w:lang w:val="ro-RO"/>
        </w:rPr>
        <w:t>Rata şomajului înregistrat la sfârşitul lunii decembrie 2018 a fost de 3,31%, mai mică cu 0,72% faţă de sfârşitul lunii decembrie 2017 (4,03).</w:t>
      </w:r>
    </w:p>
    <w:p w:rsidR="007A6990" w:rsidRPr="008368B9" w:rsidRDefault="007A6990" w:rsidP="007A6990">
      <w:pPr>
        <w:keepNext/>
        <w:spacing w:before="120"/>
        <w:jc w:val="both"/>
        <w:rPr>
          <w:rFonts w:ascii="Calibri" w:hAnsi="Calibri" w:cs="Arial"/>
          <w:lang w:val="ro-RO"/>
        </w:rPr>
      </w:pPr>
      <w:r w:rsidRPr="008368B9">
        <w:rPr>
          <w:rFonts w:ascii="Calibri" w:hAnsi="Calibri"/>
          <w:lang w:val="ro-RO"/>
        </w:rPr>
        <w:t xml:space="preserve">În anul 2017, </w:t>
      </w:r>
      <w:r w:rsidRPr="008368B9">
        <w:rPr>
          <w:rFonts w:ascii="Calibri" w:hAnsi="Calibri"/>
          <w:b/>
          <w:lang w:val="ro-RO"/>
        </w:rPr>
        <w:t>exporturile de bunuri</w:t>
      </w:r>
      <w:r w:rsidRPr="008368B9">
        <w:rPr>
          <w:rFonts w:ascii="Calibri" w:hAnsi="Calibri"/>
          <w:lang w:val="ro-RO"/>
        </w:rPr>
        <w:t xml:space="preserve"> au avut o valoare de 62,6 mld. euro, în creştere cu 9,2% comparativ cu anul 2016, în timp ce creşterea înregistrată de importurile de bunuri a fost de 12,2%, valoarea acestora fiind de 75,6 mld. euro. În aceste condiţii, deficitul comercial FOB-CIF a fost de 13,0 mld. euro în creştere cu 30,0% comparativ cu cel înregistrat în anul 2016. </w:t>
      </w:r>
    </w:p>
    <w:p w:rsidR="007A6990" w:rsidRPr="008368B9" w:rsidRDefault="007A6990" w:rsidP="007A6990">
      <w:pPr>
        <w:keepNext/>
        <w:spacing w:before="120"/>
        <w:jc w:val="both"/>
        <w:rPr>
          <w:rFonts w:ascii="Calibri" w:hAnsi="Calibri" w:cs="Calibri"/>
          <w:szCs w:val="22"/>
          <w:lang w:val="ro-RO"/>
        </w:rPr>
      </w:pPr>
      <w:r w:rsidRPr="008368B9">
        <w:rPr>
          <w:rFonts w:ascii="Calibri" w:hAnsi="Calibri" w:cs="Calibri"/>
          <w:szCs w:val="22"/>
          <w:lang w:val="ro-RO"/>
        </w:rPr>
        <w:t>În anul 2018, exporturile de bunuri au atins valoarea de 6</w:t>
      </w:r>
      <w:r w:rsidR="000F20A9" w:rsidRPr="008368B9">
        <w:rPr>
          <w:rFonts w:ascii="Calibri" w:hAnsi="Calibri" w:cs="Calibri"/>
          <w:szCs w:val="22"/>
          <w:lang w:val="ro-RO"/>
        </w:rPr>
        <w:t>7</w:t>
      </w:r>
      <w:r w:rsidRPr="008368B9">
        <w:rPr>
          <w:rFonts w:ascii="Calibri" w:hAnsi="Calibri" w:cs="Calibri"/>
          <w:szCs w:val="22"/>
          <w:lang w:val="ro-RO"/>
        </w:rPr>
        <w:t>,</w:t>
      </w:r>
      <w:r w:rsidR="000F20A9" w:rsidRPr="008368B9">
        <w:rPr>
          <w:rFonts w:ascii="Calibri" w:hAnsi="Calibri" w:cs="Calibri"/>
          <w:szCs w:val="22"/>
          <w:lang w:val="ro-RO"/>
        </w:rPr>
        <w:t>7 mld. euro, în creştere cu 8,1</w:t>
      </w:r>
      <w:r w:rsidRPr="008368B9">
        <w:rPr>
          <w:rFonts w:ascii="Calibri" w:hAnsi="Calibri" w:cs="Calibri"/>
          <w:szCs w:val="22"/>
          <w:lang w:val="ro-RO"/>
        </w:rPr>
        <w:t xml:space="preserve">% faţă de anul anterior, iar importurile CIF au înregistrat o valoare de </w:t>
      </w:r>
      <w:r w:rsidR="000F20A9" w:rsidRPr="008368B9">
        <w:rPr>
          <w:rFonts w:ascii="Calibri" w:hAnsi="Calibri" w:cs="Calibri"/>
          <w:szCs w:val="22"/>
          <w:lang w:val="ro-RO"/>
        </w:rPr>
        <w:t>82</w:t>
      </w:r>
      <w:r w:rsidRPr="008368B9">
        <w:rPr>
          <w:rFonts w:ascii="Calibri" w:hAnsi="Calibri" w:cs="Calibri"/>
          <w:szCs w:val="22"/>
          <w:lang w:val="ro-RO"/>
        </w:rPr>
        <w:t>,</w:t>
      </w:r>
      <w:r w:rsidR="000F20A9" w:rsidRPr="008368B9">
        <w:rPr>
          <w:rFonts w:ascii="Calibri" w:hAnsi="Calibri" w:cs="Calibri"/>
          <w:szCs w:val="22"/>
          <w:lang w:val="ro-RO"/>
        </w:rPr>
        <w:t>9</w:t>
      </w:r>
      <w:r w:rsidRPr="008368B9">
        <w:rPr>
          <w:rFonts w:ascii="Calibri" w:hAnsi="Calibri" w:cs="Calibri"/>
          <w:szCs w:val="22"/>
          <w:lang w:val="ro-RO"/>
        </w:rPr>
        <w:t xml:space="preserve"> mld. euro, în creştere cu </w:t>
      </w:r>
      <w:r w:rsidR="000F20A9" w:rsidRPr="008368B9">
        <w:rPr>
          <w:rFonts w:ascii="Calibri" w:hAnsi="Calibri" w:cs="Calibri"/>
          <w:szCs w:val="22"/>
          <w:lang w:val="ro-RO"/>
        </w:rPr>
        <w:t>9</w:t>
      </w:r>
      <w:r w:rsidRPr="008368B9">
        <w:rPr>
          <w:rFonts w:ascii="Calibri" w:hAnsi="Calibri" w:cs="Calibri"/>
          <w:szCs w:val="22"/>
          <w:lang w:val="ro-RO"/>
        </w:rPr>
        <w:t>,</w:t>
      </w:r>
      <w:r w:rsidR="000F20A9" w:rsidRPr="008368B9">
        <w:rPr>
          <w:rFonts w:ascii="Calibri" w:hAnsi="Calibri" w:cs="Calibri"/>
          <w:szCs w:val="22"/>
          <w:lang w:val="ro-RO"/>
        </w:rPr>
        <w:t>6</w:t>
      </w:r>
      <w:r w:rsidRPr="008368B9">
        <w:rPr>
          <w:rFonts w:ascii="Calibri" w:hAnsi="Calibri" w:cs="Calibri"/>
          <w:szCs w:val="22"/>
          <w:lang w:val="ro-RO"/>
        </w:rPr>
        <w:t xml:space="preserve">%. </w:t>
      </w:r>
    </w:p>
    <w:p w:rsidR="007A6990" w:rsidRPr="008368B9" w:rsidRDefault="007A6990" w:rsidP="007A6990">
      <w:pPr>
        <w:keepNext/>
        <w:spacing w:before="120"/>
        <w:jc w:val="both"/>
        <w:rPr>
          <w:rFonts w:ascii="Calibri" w:hAnsi="Calibri" w:cs="Calibri"/>
          <w:szCs w:val="22"/>
          <w:lang w:val="ro-RO"/>
        </w:rPr>
      </w:pPr>
      <w:r w:rsidRPr="008368B9">
        <w:rPr>
          <w:rFonts w:ascii="Calibri" w:hAnsi="Calibri" w:cs="Calibri"/>
          <w:szCs w:val="22"/>
          <w:lang w:val="ro-RO"/>
        </w:rPr>
        <w:t xml:space="preserve">Contul curent al balanţei de plăţi a înregistrat în anul 2018 un deficit în valoare de </w:t>
      </w:r>
      <w:r w:rsidR="00D222BA" w:rsidRPr="008368B9">
        <w:rPr>
          <w:rFonts w:ascii="Calibri" w:hAnsi="Calibri" w:cs="Calibri"/>
          <w:szCs w:val="22"/>
          <w:lang w:val="ro-RO"/>
        </w:rPr>
        <w:t>9</w:t>
      </w:r>
      <w:r w:rsidRPr="008368B9">
        <w:rPr>
          <w:rFonts w:ascii="Calibri" w:hAnsi="Calibri" w:cs="Calibri"/>
          <w:szCs w:val="22"/>
          <w:lang w:val="ro-RO"/>
        </w:rPr>
        <w:t>,</w:t>
      </w:r>
      <w:r w:rsidR="00D222BA" w:rsidRPr="008368B9">
        <w:rPr>
          <w:rFonts w:ascii="Calibri" w:hAnsi="Calibri" w:cs="Calibri"/>
          <w:szCs w:val="22"/>
          <w:lang w:val="ro-RO"/>
        </w:rPr>
        <w:t>4</w:t>
      </w:r>
      <w:r w:rsidRPr="008368B9">
        <w:rPr>
          <w:rFonts w:ascii="Calibri" w:hAnsi="Calibri" w:cs="Calibri"/>
          <w:szCs w:val="22"/>
          <w:lang w:val="ro-RO"/>
        </w:rPr>
        <w:t xml:space="preserve"> </w:t>
      </w:r>
      <w:r w:rsidR="00FB2C2B" w:rsidRPr="008368B9">
        <w:rPr>
          <w:rFonts w:ascii="Calibri" w:hAnsi="Calibri" w:cs="Calibri"/>
          <w:szCs w:val="22"/>
          <w:lang w:val="ro-RO"/>
        </w:rPr>
        <w:t>miliarde</w:t>
      </w:r>
      <w:r w:rsidRPr="008368B9">
        <w:rPr>
          <w:rFonts w:ascii="Calibri" w:hAnsi="Calibri" w:cs="Calibri"/>
          <w:szCs w:val="22"/>
          <w:lang w:val="ro-RO"/>
        </w:rPr>
        <w:t xml:space="preserve"> euro</w:t>
      </w:r>
      <w:r w:rsidR="00D222BA" w:rsidRPr="008368B9">
        <w:rPr>
          <w:rFonts w:ascii="Calibri" w:hAnsi="Calibri" w:cs="Calibri"/>
          <w:szCs w:val="22"/>
          <w:lang w:val="ro-RO"/>
        </w:rPr>
        <w:t>, reprezentând 4,7% din PIB</w:t>
      </w:r>
      <w:r w:rsidRPr="008368B9">
        <w:rPr>
          <w:rFonts w:ascii="Calibri" w:hAnsi="Calibri" w:cs="Calibri"/>
          <w:szCs w:val="22"/>
          <w:lang w:val="ro-RO"/>
        </w:rPr>
        <w:t>. El a fost finanţat în proporţie de 5</w:t>
      </w:r>
      <w:r w:rsidR="00D222BA" w:rsidRPr="008368B9">
        <w:rPr>
          <w:rFonts w:ascii="Calibri" w:hAnsi="Calibri" w:cs="Calibri"/>
          <w:szCs w:val="22"/>
          <w:lang w:val="ro-RO"/>
        </w:rPr>
        <w:t>2</w:t>
      </w:r>
      <w:r w:rsidRPr="008368B9">
        <w:rPr>
          <w:rFonts w:ascii="Calibri" w:hAnsi="Calibri" w:cs="Calibri"/>
          <w:szCs w:val="22"/>
          <w:lang w:val="ro-RO"/>
        </w:rPr>
        <w:t>,</w:t>
      </w:r>
      <w:r w:rsidR="00D222BA" w:rsidRPr="008368B9">
        <w:rPr>
          <w:rFonts w:ascii="Calibri" w:hAnsi="Calibri" w:cs="Calibri"/>
          <w:szCs w:val="22"/>
          <w:lang w:val="ro-RO"/>
        </w:rPr>
        <w:t>4</w:t>
      </w:r>
      <w:r w:rsidRPr="008368B9">
        <w:rPr>
          <w:rFonts w:ascii="Calibri" w:hAnsi="Calibri" w:cs="Calibri"/>
          <w:szCs w:val="22"/>
          <w:lang w:val="ro-RO"/>
        </w:rPr>
        <w:t>% din investiţii străine directe care au totalizat 4,</w:t>
      </w:r>
      <w:r w:rsidR="00D222BA" w:rsidRPr="008368B9">
        <w:rPr>
          <w:rFonts w:ascii="Calibri" w:hAnsi="Calibri" w:cs="Calibri"/>
          <w:szCs w:val="22"/>
          <w:lang w:val="ro-RO"/>
        </w:rPr>
        <w:t>9</w:t>
      </w:r>
      <w:r w:rsidRPr="008368B9">
        <w:rPr>
          <w:rFonts w:ascii="Calibri" w:hAnsi="Calibri" w:cs="Calibri"/>
          <w:szCs w:val="22"/>
          <w:lang w:val="ro-RO"/>
        </w:rPr>
        <w:t xml:space="preserve"> </w:t>
      </w:r>
      <w:r w:rsidR="00FB2C2B" w:rsidRPr="008368B9">
        <w:rPr>
          <w:rFonts w:ascii="Calibri" w:hAnsi="Calibri" w:cs="Calibri"/>
          <w:szCs w:val="22"/>
          <w:lang w:val="ro-RO"/>
        </w:rPr>
        <w:t>miliarde</w:t>
      </w:r>
      <w:r w:rsidRPr="008368B9">
        <w:rPr>
          <w:rFonts w:ascii="Calibri" w:hAnsi="Calibri" w:cs="Calibri"/>
          <w:szCs w:val="22"/>
          <w:lang w:val="ro-RO"/>
        </w:rPr>
        <w:t xml:space="preserve"> euro.</w:t>
      </w:r>
    </w:p>
    <w:p w:rsidR="00D07CEE" w:rsidRDefault="00D07CEE" w:rsidP="007A6990">
      <w:pPr>
        <w:keepNext/>
        <w:ind w:right="200"/>
        <w:jc w:val="right"/>
        <w:rPr>
          <w:rFonts w:ascii="Calibri" w:hAnsi="Calibri"/>
          <w:lang w:val="ro-RO"/>
        </w:rPr>
      </w:pPr>
    </w:p>
    <w:p w:rsidR="007A6990" w:rsidRPr="007A6990" w:rsidRDefault="007A6990" w:rsidP="007A6990">
      <w:pPr>
        <w:keepNext/>
        <w:ind w:right="200"/>
        <w:jc w:val="right"/>
        <w:rPr>
          <w:rFonts w:ascii="Calibri" w:hAnsi="Calibri"/>
          <w:lang w:val="ro-RO"/>
        </w:rPr>
      </w:pPr>
      <w:r w:rsidRPr="007A6990">
        <w:rPr>
          <w:rFonts w:ascii="Calibri" w:hAnsi="Calibri"/>
          <w:lang w:val="ro-RO"/>
        </w:rPr>
        <w:t>- mil. euro -</w:t>
      </w:r>
    </w:p>
    <w:tbl>
      <w:tblPr>
        <w:tblW w:w="9320"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6055"/>
        <w:gridCol w:w="1582"/>
        <w:gridCol w:w="1683"/>
      </w:tblGrid>
      <w:tr w:rsidR="007A6990" w:rsidRPr="007A6990" w:rsidTr="007A6990">
        <w:trPr>
          <w:trHeight w:val="475"/>
          <w:tblHeader/>
          <w:jc w:val="center"/>
        </w:trPr>
        <w:tc>
          <w:tcPr>
            <w:tcW w:w="6055" w:type="dxa"/>
            <w:tcBorders>
              <w:top w:val="single" w:sz="2" w:space="0" w:color="333399"/>
              <w:bottom w:val="single" w:sz="2" w:space="0" w:color="333399"/>
            </w:tcBorders>
            <w:shd w:val="clear" w:color="auto" w:fill="99CCFF"/>
            <w:noWrap/>
            <w:vAlign w:val="center"/>
          </w:tcPr>
          <w:p w:rsidR="007A6990" w:rsidRPr="007A6990" w:rsidRDefault="007A6990" w:rsidP="007A6990">
            <w:pPr>
              <w:keepNext/>
              <w:jc w:val="both"/>
              <w:rPr>
                <w:rFonts w:ascii="Calibri" w:hAnsi="Calibri" w:cs="Arial"/>
                <w:b/>
                <w:lang w:val="ro-RO"/>
              </w:rPr>
            </w:pPr>
            <w:r w:rsidRPr="007A6990">
              <w:rPr>
                <w:rFonts w:ascii="Calibri" w:hAnsi="Calibri" w:cs="Arial"/>
                <w:b/>
                <w:lang w:val="ro-RO"/>
              </w:rPr>
              <w:t>Comerţul exterior şi contul curent</w:t>
            </w:r>
          </w:p>
        </w:tc>
        <w:tc>
          <w:tcPr>
            <w:tcW w:w="1582" w:type="dxa"/>
            <w:tcBorders>
              <w:top w:val="single" w:sz="2" w:space="0" w:color="333399"/>
              <w:bottom w:val="single" w:sz="2" w:space="0" w:color="333399"/>
            </w:tcBorders>
            <w:shd w:val="clear" w:color="auto" w:fill="99CCFF"/>
            <w:vAlign w:val="center"/>
          </w:tcPr>
          <w:p w:rsidR="007A6990" w:rsidRPr="007A6990" w:rsidRDefault="007A6990" w:rsidP="007A6990">
            <w:pPr>
              <w:keepNext/>
              <w:jc w:val="center"/>
              <w:rPr>
                <w:rFonts w:ascii="Calibri" w:hAnsi="Calibri" w:cs="Arial"/>
                <w:b/>
                <w:lang w:val="ro-RO"/>
              </w:rPr>
            </w:pPr>
            <w:r w:rsidRPr="007A6990">
              <w:rPr>
                <w:rFonts w:ascii="Calibri" w:hAnsi="Calibri" w:cs="Arial"/>
                <w:b/>
                <w:lang w:val="ro-RO"/>
              </w:rPr>
              <w:t>2017</w:t>
            </w:r>
          </w:p>
        </w:tc>
        <w:tc>
          <w:tcPr>
            <w:tcW w:w="1683" w:type="dxa"/>
            <w:tcBorders>
              <w:top w:val="single" w:sz="2" w:space="0" w:color="333399"/>
              <w:bottom w:val="single" w:sz="2" w:space="0" w:color="333399"/>
            </w:tcBorders>
            <w:shd w:val="clear" w:color="auto" w:fill="99CCFF"/>
            <w:noWrap/>
            <w:vAlign w:val="center"/>
          </w:tcPr>
          <w:p w:rsidR="007A6990" w:rsidRPr="008368B9" w:rsidRDefault="007A6990" w:rsidP="007A6990">
            <w:pPr>
              <w:keepNext/>
              <w:jc w:val="center"/>
              <w:rPr>
                <w:rFonts w:ascii="Calibri" w:hAnsi="Calibri" w:cs="Arial"/>
                <w:b/>
                <w:lang w:val="ro-RO"/>
              </w:rPr>
            </w:pPr>
            <w:r w:rsidRPr="008368B9">
              <w:rPr>
                <w:rFonts w:ascii="Calibri" w:hAnsi="Calibri" w:cs="Arial"/>
                <w:b/>
                <w:lang w:val="ro-RO"/>
              </w:rPr>
              <w:t>2018</w:t>
            </w:r>
          </w:p>
        </w:tc>
      </w:tr>
      <w:tr w:rsidR="007A6990" w:rsidRPr="007A6990" w:rsidTr="007A6990">
        <w:trPr>
          <w:trHeight w:val="315"/>
          <w:jc w:val="center"/>
        </w:trPr>
        <w:tc>
          <w:tcPr>
            <w:tcW w:w="6055" w:type="dxa"/>
            <w:tcBorders>
              <w:top w:val="single" w:sz="2" w:space="0" w:color="333399"/>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Export FOB</w:t>
            </w:r>
          </w:p>
        </w:tc>
        <w:tc>
          <w:tcPr>
            <w:tcW w:w="1582" w:type="dxa"/>
            <w:tcBorders>
              <w:top w:val="single" w:sz="2" w:space="0" w:color="333399"/>
              <w:bottom w:val="nil"/>
            </w:tcBorders>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62.644,1</w:t>
            </w:r>
          </w:p>
        </w:tc>
        <w:tc>
          <w:tcPr>
            <w:tcW w:w="1683" w:type="dxa"/>
            <w:tcBorders>
              <w:top w:val="single" w:sz="2" w:space="0" w:color="333399"/>
              <w:bottom w:val="nil"/>
            </w:tcBorders>
            <w:shd w:val="clear" w:color="auto" w:fill="auto"/>
            <w:noWrap/>
            <w:vAlign w:val="center"/>
          </w:tcPr>
          <w:p w:rsidR="007A6990" w:rsidRPr="008368B9" w:rsidRDefault="007A6990" w:rsidP="00F40A21">
            <w:pPr>
              <w:keepNext/>
              <w:jc w:val="center"/>
              <w:rPr>
                <w:rFonts w:ascii="Calibri" w:hAnsi="Calibri" w:cs="Arial"/>
                <w:lang w:val="ro-RO"/>
              </w:rPr>
            </w:pPr>
            <w:r w:rsidRPr="008368B9">
              <w:rPr>
                <w:rFonts w:ascii="Calibri" w:hAnsi="Calibri" w:cs="Arial"/>
                <w:lang w:val="ro-RO"/>
              </w:rPr>
              <w:t>6</w:t>
            </w:r>
            <w:r w:rsidR="00F40A21" w:rsidRPr="008368B9">
              <w:rPr>
                <w:rFonts w:ascii="Calibri" w:hAnsi="Calibri" w:cs="Arial"/>
                <w:lang w:val="ro-RO"/>
              </w:rPr>
              <w:t>7</w:t>
            </w:r>
            <w:r w:rsidRPr="008368B9">
              <w:rPr>
                <w:rFonts w:ascii="Calibri" w:hAnsi="Calibri" w:cs="Arial"/>
                <w:lang w:val="ro-RO"/>
              </w:rPr>
              <w:t>.</w:t>
            </w:r>
            <w:r w:rsidR="00F40A21" w:rsidRPr="008368B9">
              <w:rPr>
                <w:rFonts w:ascii="Calibri" w:hAnsi="Calibri" w:cs="Arial"/>
                <w:lang w:val="ro-RO"/>
              </w:rPr>
              <w:t>732,4</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 modificare procentuală anuală, %</w:t>
            </w:r>
          </w:p>
        </w:tc>
        <w:tc>
          <w:tcPr>
            <w:tcW w:w="1582" w:type="dxa"/>
            <w:tcBorders>
              <w:top w:val="nil"/>
              <w:bottom w:val="nil"/>
            </w:tcBorders>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9,2</w:t>
            </w:r>
          </w:p>
        </w:tc>
        <w:tc>
          <w:tcPr>
            <w:tcW w:w="1683" w:type="dxa"/>
            <w:tcBorders>
              <w:top w:val="nil"/>
              <w:bottom w:val="nil"/>
            </w:tcBorders>
            <w:shd w:val="clear" w:color="auto" w:fill="auto"/>
            <w:noWrap/>
            <w:vAlign w:val="center"/>
          </w:tcPr>
          <w:p w:rsidR="007A6990" w:rsidRPr="008368B9" w:rsidRDefault="007A6990" w:rsidP="007A6990">
            <w:pPr>
              <w:keepNext/>
              <w:jc w:val="center"/>
              <w:rPr>
                <w:rFonts w:ascii="Calibri" w:hAnsi="Calibri" w:cs="Arial"/>
                <w:lang w:val="ro-RO"/>
              </w:rPr>
            </w:pPr>
            <w:r w:rsidRPr="008368B9">
              <w:rPr>
                <w:rFonts w:ascii="Calibri" w:hAnsi="Calibri" w:cs="Arial"/>
                <w:lang w:val="ro-RO"/>
              </w:rPr>
              <w:t>8,</w:t>
            </w:r>
            <w:r w:rsidR="00F40A21" w:rsidRPr="008368B9">
              <w:rPr>
                <w:rFonts w:ascii="Calibri" w:hAnsi="Calibri" w:cs="Arial"/>
                <w:lang w:val="ro-RO"/>
              </w:rPr>
              <w:t>1</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Import CIF</w:t>
            </w:r>
          </w:p>
        </w:tc>
        <w:tc>
          <w:tcPr>
            <w:tcW w:w="1582" w:type="dxa"/>
            <w:tcBorders>
              <w:top w:val="nil"/>
              <w:bottom w:val="nil"/>
            </w:tcBorders>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75.603,9</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lang w:val="ro-RO"/>
              </w:rPr>
            </w:pPr>
            <w:r w:rsidRPr="008368B9">
              <w:rPr>
                <w:rFonts w:ascii="Calibri" w:hAnsi="Calibri" w:cs="Arial"/>
                <w:lang w:val="ro-RO"/>
              </w:rPr>
              <w:t>8</w:t>
            </w:r>
            <w:r w:rsidR="00F40A21" w:rsidRPr="008368B9">
              <w:rPr>
                <w:rFonts w:ascii="Calibri" w:hAnsi="Calibri" w:cs="Arial"/>
                <w:lang w:val="ro-RO"/>
              </w:rPr>
              <w:t>2</w:t>
            </w:r>
            <w:r w:rsidRPr="008368B9">
              <w:rPr>
                <w:rFonts w:ascii="Calibri" w:hAnsi="Calibri" w:cs="Arial"/>
                <w:lang w:val="ro-RO"/>
              </w:rPr>
              <w:t>.</w:t>
            </w:r>
            <w:r w:rsidR="00F40A21" w:rsidRPr="008368B9">
              <w:rPr>
                <w:rFonts w:ascii="Calibri" w:hAnsi="Calibri" w:cs="Arial"/>
                <w:lang w:val="ro-RO"/>
              </w:rPr>
              <w:t>865,3</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 modificare procentuală anuală, %</w:t>
            </w:r>
          </w:p>
        </w:tc>
        <w:tc>
          <w:tcPr>
            <w:tcW w:w="1582" w:type="dxa"/>
            <w:tcBorders>
              <w:top w:val="nil"/>
              <w:bottom w:val="nil"/>
            </w:tcBorders>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12,2</w:t>
            </w:r>
          </w:p>
        </w:tc>
        <w:tc>
          <w:tcPr>
            <w:tcW w:w="1683" w:type="dxa"/>
            <w:tcBorders>
              <w:top w:val="nil"/>
              <w:bottom w:val="nil"/>
            </w:tcBorders>
            <w:shd w:val="clear" w:color="auto" w:fill="auto"/>
            <w:noWrap/>
            <w:vAlign w:val="center"/>
          </w:tcPr>
          <w:p w:rsidR="007A6990" w:rsidRPr="008368B9" w:rsidRDefault="00F40A21" w:rsidP="00F40A21">
            <w:pPr>
              <w:keepNext/>
              <w:jc w:val="center"/>
              <w:rPr>
                <w:rFonts w:ascii="Calibri" w:hAnsi="Calibri" w:cs="Arial"/>
                <w:lang w:val="ro-RO"/>
              </w:rPr>
            </w:pPr>
            <w:r w:rsidRPr="008368B9">
              <w:rPr>
                <w:rFonts w:ascii="Calibri" w:hAnsi="Calibri" w:cs="Arial"/>
                <w:lang w:val="ro-RO"/>
              </w:rPr>
              <w:t>9</w:t>
            </w:r>
            <w:r w:rsidR="007A6990" w:rsidRPr="008368B9">
              <w:rPr>
                <w:rFonts w:ascii="Calibri" w:hAnsi="Calibri" w:cs="Arial"/>
                <w:lang w:val="ro-RO"/>
              </w:rPr>
              <w:t>,</w:t>
            </w:r>
            <w:r w:rsidRPr="008368B9">
              <w:rPr>
                <w:rFonts w:ascii="Calibri" w:hAnsi="Calibri" w:cs="Arial"/>
                <w:lang w:val="ro-RO"/>
              </w:rPr>
              <w:t>6</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Sold Balanţă Comercială FOB - CIF </w:t>
            </w:r>
          </w:p>
        </w:tc>
        <w:tc>
          <w:tcPr>
            <w:tcW w:w="1582" w:type="dxa"/>
            <w:tcBorders>
              <w:top w:val="nil"/>
              <w:bottom w:val="nil"/>
            </w:tcBorders>
            <w:vAlign w:val="center"/>
          </w:tcPr>
          <w:p w:rsidR="007A6990" w:rsidRPr="007A6990" w:rsidRDefault="007A6990" w:rsidP="007A6990">
            <w:pPr>
              <w:keepNext/>
              <w:jc w:val="center"/>
              <w:rPr>
                <w:rFonts w:ascii="Calibri" w:hAnsi="Calibri" w:cs="Arial"/>
                <w:lang w:val="ro-RO"/>
              </w:rPr>
            </w:pPr>
            <w:r w:rsidRPr="007A6990">
              <w:rPr>
                <w:rFonts w:ascii="Calibri" w:hAnsi="Calibri" w:cs="Arial"/>
                <w:lang w:val="ro-RO"/>
              </w:rPr>
              <w:t>-12.959,8</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lang w:val="ro-RO"/>
              </w:rPr>
            </w:pPr>
            <w:r w:rsidRPr="008368B9">
              <w:rPr>
                <w:rFonts w:ascii="Calibri" w:hAnsi="Calibri" w:cs="Arial"/>
                <w:lang w:val="ro-RO"/>
              </w:rPr>
              <w:t>-15.</w:t>
            </w:r>
            <w:r w:rsidR="00F40A21" w:rsidRPr="008368B9">
              <w:rPr>
                <w:rFonts w:ascii="Calibri" w:hAnsi="Calibri" w:cs="Arial"/>
                <w:lang w:val="ro-RO"/>
              </w:rPr>
              <w:t>132,9</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Soldul contului curent</w:t>
            </w:r>
          </w:p>
        </w:tc>
        <w:tc>
          <w:tcPr>
            <w:tcW w:w="1582" w:type="dxa"/>
            <w:tcBorders>
              <w:top w:val="nil"/>
              <w:bottom w:val="nil"/>
            </w:tcBorders>
            <w:vAlign w:val="center"/>
          </w:tcPr>
          <w:p w:rsidR="007A6990" w:rsidRPr="007A6990" w:rsidRDefault="007A6990" w:rsidP="007A6990">
            <w:pPr>
              <w:keepNext/>
              <w:jc w:val="center"/>
              <w:rPr>
                <w:rFonts w:ascii="Calibri" w:hAnsi="Calibri" w:cs="Arial"/>
                <w:bCs/>
                <w:lang w:val="ro-RO"/>
              </w:rPr>
            </w:pPr>
            <w:r w:rsidRPr="007A6990">
              <w:rPr>
                <w:rFonts w:ascii="Calibri" w:hAnsi="Calibri" w:cs="Arial"/>
                <w:bCs/>
                <w:lang w:val="ro-RO"/>
              </w:rPr>
              <w:t>-5.970</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bCs/>
                <w:lang w:val="ro-RO"/>
              </w:rPr>
            </w:pPr>
            <w:r w:rsidRPr="008368B9">
              <w:rPr>
                <w:rFonts w:ascii="Calibri" w:hAnsi="Calibri" w:cs="Arial"/>
                <w:bCs/>
                <w:lang w:val="ro-RO"/>
              </w:rPr>
              <w:t>-9.</w:t>
            </w:r>
            <w:r w:rsidR="00F40A21" w:rsidRPr="008368B9">
              <w:rPr>
                <w:rFonts w:ascii="Calibri" w:hAnsi="Calibri" w:cs="Arial"/>
                <w:bCs/>
                <w:lang w:val="ro-RO"/>
              </w:rPr>
              <w:t>416</w:t>
            </w:r>
          </w:p>
        </w:tc>
      </w:tr>
      <w:tr w:rsidR="007A6990" w:rsidRPr="007A6990" w:rsidTr="007A6990">
        <w:trPr>
          <w:trHeight w:val="315"/>
          <w:jc w:val="center"/>
        </w:trPr>
        <w:tc>
          <w:tcPr>
            <w:tcW w:w="6055" w:type="dxa"/>
            <w:tcBorders>
              <w:top w:val="nil"/>
              <w:bottom w:val="single" w:sz="2" w:space="0" w:color="auto"/>
            </w:tcBorders>
            <w:shd w:val="clear" w:color="auto" w:fill="auto"/>
            <w:noWrap/>
            <w:vAlign w:val="center"/>
          </w:tcPr>
          <w:p w:rsidR="007A6990" w:rsidRPr="007A6990" w:rsidRDefault="007A6990" w:rsidP="007A6990">
            <w:pPr>
              <w:keepNext/>
              <w:jc w:val="both"/>
              <w:rPr>
                <w:rFonts w:ascii="Calibri" w:hAnsi="Calibri" w:cs="Arial"/>
                <w:lang w:val="ro-RO"/>
              </w:rPr>
            </w:pPr>
            <w:r w:rsidRPr="007A6990">
              <w:rPr>
                <w:rFonts w:ascii="Calibri" w:hAnsi="Calibri" w:cs="Arial"/>
                <w:lang w:val="ro-RO"/>
              </w:rPr>
              <w:t xml:space="preserve">     - % din PIB</w:t>
            </w:r>
          </w:p>
        </w:tc>
        <w:tc>
          <w:tcPr>
            <w:tcW w:w="1582" w:type="dxa"/>
            <w:tcBorders>
              <w:top w:val="nil"/>
              <w:bottom w:val="single" w:sz="2" w:space="0" w:color="auto"/>
            </w:tcBorders>
            <w:vAlign w:val="bottom"/>
          </w:tcPr>
          <w:p w:rsidR="007A6990" w:rsidRPr="007A6990" w:rsidRDefault="007A6990" w:rsidP="007A6990">
            <w:pPr>
              <w:keepNext/>
              <w:jc w:val="center"/>
              <w:rPr>
                <w:rFonts w:ascii="Calibri" w:hAnsi="Calibri" w:cs="Arial"/>
                <w:bCs/>
                <w:lang w:val="ro-RO"/>
              </w:rPr>
            </w:pPr>
            <w:r w:rsidRPr="007A6990">
              <w:rPr>
                <w:rFonts w:ascii="Calibri" w:hAnsi="Calibri" w:cs="Arial"/>
                <w:bCs/>
                <w:lang w:val="ro-RO"/>
              </w:rPr>
              <w:t>-3,2</w:t>
            </w:r>
          </w:p>
        </w:tc>
        <w:tc>
          <w:tcPr>
            <w:tcW w:w="1683" w:type="dxa"/>
            <w:tcBorders>
              <w:top w:val="nil"/>
              <w:bottom w:val="single" w:sz="2" w:space="0" w:color="auto"/>
            </w:tcBorders>
            <w:shd w:val="clear" w:color="auto" w:fill="auto"/>
            <w:noWrap/>
            <w:vAlign w:val="bottom"/>
          </w:tcPr>
          <w:p w:rsidR="007A6990" w:rsidRPr="008368B9" w:rsidRDefault="007A6990" w:rsidP="007A6990">
            <w:pPr>
              <w:keepNext/>
              <w:jc w:val="center"/>
              <w:rPr>
                <w:rFonts w:ascii="Calibri" w:hAnsi="Calibri" w:cs="Arial"/>
                <w:bCs/>
                <w:lang w:val="ro-RO"/>
              </w:rPr>
            </w:pPr>
            <w:r w:rsidRPr="008368B9">
              <w:rPr>
                <w:rFonts w:ascii="Calibri" w:hAnsi="Calibri" w:cs="Arial"/>
                <w:bCs/>
                <w:lang w:val="ro-RO"/>
              </w:rPr>
              <w:t>-4,</w:t>
            </w:r>
            <w:r w:rsidR="00F40A21" w:rsidRPr="008368B9">
              <w:rPr>
                <w:rFonts w:ascii="Calibri" w:hAnsi="Calibri" w:cs="Arial"/>
                <w:bCs/>
                <w:lang w:val="ro-RO"/>
              </w:rPr>
              <w:t>7</w:t>
            </w:r>
          </w:p>
        </w:tc>
      </w:tr>
    </w:tbl>
    <w:p w:rsidR="007A6990" w:rsidRPr="007A6990" w:rsidRDefault="007A6990" w:rsidP="007A6990">
      <w:pPr>
        <w:keepNext/>
        <w:spacing w:before="120"/>
        <w:jc w:val="both"/>
        <w:rPr>
          <w:rFonts w:ascii="Calibri" w:hAnsi="Calibri"/>
          <w:bCs/>
          <w:i/>
          <w:iCs/>
          <w:sz w:val="20"/>
          <w:szCs w:val="20"/>
          <w:lang w:val="ro-RO"/>
        </w:rPr>
      </w:pPr>
      <w:r w:rsidRPr="007A6990">
        <w:rPr>
          <w:rFonts w:ascii="Calibri" w:hAnsi="Calibri"/>
          <w:bCs/>
          <w:i/>
          <w:iCs/>
          <w:sz w:val="20"/>
          <w:szCs w:val="20"/>
          <w:lang w:val="ro-RO"/>
        </w:rPr>
        <w:t xml:space="preserve">    Sursa: Institutul Naţional de Statistică şi Banca Naţională a României</w:t>
      </w:r>
    </w:p>
    <w:p w:rsidR="007A6990" w:rsidRPr="007A6990" w:rsidRDefault="007A6990" w:rsidP="007A6990">
      <w:pPr>
        <w:spacing w:before="120" w:after="120"/>
        <w:jc w:val="both"/>
        <w:rPr>
          <w:rFonts w:ascii="Calibri" w:eastAsia="Calibri" w:hAnsi="Calibri" w:cs="Calibri"/>
          <w:lang w:val="ro-RO"/>
        </w:rPr>
      </w:pPr>
      <w:r w:rsidRPr="007A6990">
        <w:rPr>
          <w:rFonts w:ascii="Calibri" w:eastAsia="Calibri" w:hAnsi="Calibri" w:cs="Calibri"/>
          <w:lang w:val="ro-RO"/>
        </w:rPr>
        <w:t>În anul 2018 preţurile de consum s-au majorat în medie cu 4,63%, comparativ cu anul anterior, pe seama creşterii preţurilor la mărfurile nealimentare (6,20%), în timp ce preţurile mărfurilor alimentare au crescut cu 3,75%, iar tarifele la servicii cu 2,53%. Inflaţia anuală în luna decembrie a atins nivelul minim din acest an de 3,27%, cu 0,16 puncte procentuale mai puţin decât în noiembrie.</w:t>
      </w:r>
    </w:p>
    <w:p w:rsidR="00D03B49" w:rsidRPr="00C86702" w:rsidRDefault="007A6990" w:rsidP="006119F7">
      <w:pPr>
        <w:pStyle w:val="List"/>
        <w:ind w:left="0" w:firstLine="0"/>
        <w:jc w:val="both"/>
        <w:rPr>
          <w:rFonts w:ascii="Arial Narrow" w:hAnsi="Arial Narrow" w:cs="Arial"/>
          <w:b/>
          <w:bCs/>
          <w:color w:val="000080"/>
          <w:shd w:val="clear" w:color="auto" w:fill="99CCFF"/>
          <w:lang w:val="ro-RO"/>
        </w:rPr>
      </w:pPr>
      <w:r w:rsidRPr="007A6990">
        <w:rPr>
          <w:rFonts w:ascii="Calibri" w:hAnsi="Calibri" w:cs="Calibri"/>
          <w:lang w:val="ro-RO"/>
        </w:rPr>
        <w:t>Creşterea înregistrată în anul 2018 s-a datorat atât depăşirii efectului statistic asociat măsurilor de relaxare fiscală de la începutul anului 2017 (reducerea cotei de TVA şi eliminarea supraaccizei şi a unor taxe nefiscale), cât şi datorită majorării cotaţiilor internaţionale la ţiţei (+33,1% faţă de anul 2017), dar şi la grupa de energie (+10,4% în anul 2018 faţă de anul anterior). O contribuţie importantă a avut-o şi deprecierea nominală a monedei naţionale care a fost de 1,84%</w:t>
      </w:r>
      <w:r>
        <w:rPr>
          <w:rFonts w:ascii="Calibri" w:hAnsi="Calibri" w:cs="Calibri"/>
          <w:lang w:val="ro-RO"/>
        </w:rPr>
        <w:t>.</w:t>
      </w:r>
    </w:p>
    <w:p w:rsidR="00D07CEE" w:rsidRPr="00C86702" w:rsidRDefault="00D07CEE" w:rsidP="00AC496E">
      <w:pPr>
        <w:pStyle w:val="List"/>
        <w:ind w:left="0" w:firstLine="0"/>
        <w:jc w:val="both"/>
        <w:rPr>
          <w:rFonts w:ascii="Arial Narrow" w:hAnsi="Arial Narrow" w:cs="Arial"/>
          <w:b/>
          <w:bCs/>
          <w:color w:val="000080"/>
          <w:shd w:val="clear" w:color="auto" w:fill="99CCFF"/>
          <w:lang w:val="ro-RO"/>
        </w:rPr>
      </w:pPr>
    </w:p>
    <w:tbl>
      <w:tblPr>
        <w:tblW w:w="5000" w:type="pct"/>
        <w:jc w:val="center"/>
        <w:shd w:val="clear" w:color="auto" w:fill="D9E2F3"/>
        <w:tblLook w:val="01E0" w:firstRow="1" w:lastRow="1" w:firstColumn="1" w:lastColumn="1" w:noHBand="0" w:noVBand="0"/>
      </w:tblPr>
      <w:tblGrid>
        <w:gridCol w:w="10081"/>
      </w:tblGrid>
      <w:tr w:rsidR="00884E46" w:rsidRPr="00C86702" w:rsidTr="00743BC3">
        <w:trPr>
          <w:trHeight w:val="284"/>
          <w:jc w:val="center"/>
        </w:trPr>
        <w:tc>
          <w:tcPr>
            <w:tcW w:w="5000" w:type="pct"/>
            <w:shd w:val="clear" w:color="auto" w:fill="9CC2E5"/>
          </w:tcPr>
          <w:p w:rsidR="00884E46" w:rsidRPr="00C86702" w:rsidRDefault="00884E46" w:rsidP="00D03B49">
            <w:pPr>
              <w:keepNext/>
              <w:jc w:val="both"/>
              <w:rPr>
                <w:rFonts w:ascii="Calibri" w:hAnsi="Calibri" w:cs="Arial"/>
                <w:b/>
                <w:color w:val="000080"/>
                <w:lang w:val="ro-RO"/>
              </w:rPr>
            </w:pPr>
            <w:r w:rsidRPr="00C86702">
              <w:rPr>
                <w:rFonts w:ascii="Calibri" w:hAnsi="Calibri" w:cs="Arial"/>
                <w:b/>
                <w:color w:val="000080"/>
                <w:lang w:val="ro-RO"/>
              </w:rPr>
              <w:t>3.2</w:t>
            </w:r>
            <w:r w:rsidR="00743BC3" w:rsidRPr="00C86702">
              <w:rPr>
                <w:rFonts w:ascii="Calibri" w:hAnsi="Calibri" w:cs="Arial"/>
                <w:b/>
                <w:color w:val="000080"/>
                <w:lang w:val="ro-RO"/>
              </w:rPr>
              <w:t>. Execuţia buget</w:t>
            </w:r>
            <w:r w:rsidR="00FA5738">
              <w:rPr>
                <w:rFonts w:ascii="Calibri" w:hAnsi="Calibri" w:cs="Arial"/>
                <w:b/>
                <w:color w:val="000080"/>
                <w:lang w:val="ro-RO"/>
              </w:rPr>
              <w:t>ară în anul</w:t>
            </w:r>
            <w:r w:rsidR="009C3A5E">
              <w:rPr>
                <w:rFonts w:ascii="Calibri" w:hAnsi="Calibri" w:cs="Arial"/>
                <w:b/>
                <w:color w:val="000080"/>
                <w:lang w:val="ro-RO"/>
              </w:rPr>
              <w:t xml:space="preserve"> 2017</w:t>
            </w:r>
            <w:r w:rsidR="000E676C" w:rsidRPr="00AC42B9">
              <w:rPr>
                <w:rFonts w:ascii="Calibri" w:hAnsi="Calibri" w:cs="Arial"/>
                <w:b/>
                <w:color w:val="000080"/>
                <w:lang w:val="ro-RO"/>
              </w:rPr>
              <w:t xml:space="preserve">şi </w:t>
            </w:r>
            <w:r w:rsidR="00AC42B9" w:rsidRPr="00AC42B9">
              <w:rPr>
                <w:rFonts w:ascii="Calibri" w:hAnsi="Calibri" w:cs="Arial"/>
                <w:b/>
                <w:color w:val="000080"/>
                <w:lang w:val="ro-RO"/>
              </w:rPr>
              <w:t>execuţia preliminată a</w:t>
            </w:r>
            <w:r w:rsidR="00FA5738">
              <w:rPr>
                <w:rFonts w:ascii="Calibri" w:hAnsi="Calibri" w:cs="Arial"/>
                <w:b/>
                <w:color w:val="000080"/>
                <w:lang w:val="ro-RO"/>
              </w:rPr>
              <w:t xml:space="preserve"> anului </w:t>
            </w:r>
            <w:r w:rsidRPr="00C86702">
              <w:rPr>
                <w:rFonts w:ascii="Calibri" w:hAnsi="Calibri" w:cs="Arial"/>
                <w:b/>
                <w:color w:val="000080"/>
                <w:lang w:val="ro-RO"/>
              </w:rPr>
              <w:t>201</w:t>
            </w:r>
            <w:r w:rsidR="009C3A5E">
              <w:rPr>
                <w:rFonts w:ascii="Calibri" w:hAnsi="Calibri" w:cs="Arial"/>
                <w:b/>
                <w:color w:val="000080"/>
                <w:lang w:val="ro-RO"/>
              </w:rPr>
              <w:t>8</w:t>
            </w:r>
          </w:p>
        </w:tc>
      </w:tr>
    </w:tbl>
    <w:p w:rsidR="00B24F19" w:rsidRPr="00B24F19" w:rsidRDefault="00B24F19" w:rsidP="00B24F19">
      <w:pPr>
        <w:jc w:val="both"/>
        <w:rPr>
          <w:rFonts w:asciiTheme="minorHAnsi" w:eastAsia="Calibri" w:hAnsiTheme="minorHAnsi" w:cs="Arial"/>
          <w:color w:val="FF0000"/>
          <w:shd w:val="clear" w:color="auto" w:fill="FFFFFF"/>
          <w:lang w:val="ro-RO"/>
        </w:rPr>
      </w:pPr>
    </w:p>
    <w:p w:rsidR="00B24F19" w:rsidRPr="00C923BA" w:rsidRDefault="00B24F19" w:rsidP="00B24F19">
      <w:pPr>
        <w:shd w:val="clear" w:color="auto" w:fill="DEEAF6" w:themeFill="accent1" w:themeFillTint="33"/>
        <w:spacing w:after="120"/>
        <w:jc w:val="both"/>
        <w:rPr>
          <w:rFonts w:ascii="Calibri" w:hAnsi="Calibri" w:cs="Arial"/>
          <w:b/>
          <w:color w:val="000080"/>
          <w:lang w:val="ro-RO"/>
        </w:rPr>
      </w:pPr>
      <w:r w:rsidRPr="00C923BA">
        <w:rPr>
          <w:rFonts w:ascii="Calibri" w:hAnsi="Calibri" w:cs="Arial"/>
          <w:b/>
          <w:color w:val="000080"/>
          <w:lang w:val="ro-RO"/>
        </w:rPr>
        <w:t>Execuția bugetară pe anul 2017</w:t>
      </w:r>
    </w:p>
    <w:p w:rsidR="00912B6C" w:rsidRPr="00912B6C" w:rsidRDefault="00912B6C" w:rsidP="00912B6C">
      <w:pPr>
        <w:spacing w:line="276" w:lineRule="auto"/>
        <w:jc w:val="both"/>
        <w:rPr>
          <w:rFonts w:ascii="Calibri" w:eastAsia="Calibri" w:hAnsi="Calibri" w:cs="Arial"/>
          <w:lang w:val="ro-RO"/>
        </w:rPr>
      </w:pPr>
      <w:r w:rsidRPr="00912B6C">
        <w:rPr>
          <w:rFonts w:ascii="Calibri" w:eastAsia="Calibri" w:hAnsi="Calibri" w:cs="Arial"/>
          <w:lang w:val="ro-RO"/>
        </w:rPr>
        <w:t xml:space="preserve">Conform datelor definitive, execuția bugetului general consolidat, în perioada 1 ianuarie – 31 decembrie 2017, s-a încheiat cu un deficit cash de 24,29 miliarde lei, respectiv 2,84% din PIB, sub ținta stabilită, respectiv un deficit anual prevăzut de 24,97 miliarde lei.  </w:t>
      </w:r>
    </w:p>
    <w:p w:rsidR="00912B6C" w:rsidRPr="00912B6C" w:rsidRDefault="00912B6C" w:rsidP="00912B6C">
      <w:pPr>
        <w:spacing w:line="276" w:lineRule="auto"/>
        <w:ind w:firstLine="624"/>
        <w:jc w:val="both"/>
        <w:rPr>
          <w:rFonts w:ascii="Calibri" w:eastAsia="Calibri" w:hAnsi="Calibri" w:cs="Arial"/>
          <w:lang w:val="ro-RO"/>
        </w:rPr>
      </w:pPr>
      <w:r w:rsidRPr="00912B6C">
        <w:rPr>
          <w:rFonts w:ascii="Calibri" w:eastAsia="Calibri" w:hAnsi="Calibri" w:cs="Arial"/>
          <w:lang w:val="ro-RO"/>
        </w:rPr>
        <w:t xml:space="preserve">Comparativ cu anul anterior deficitul bugetului general consolidat în anul 2017, în bază cash, a crescut, ca procent în PIB, cu 0,45 puncte procentuale de la 2,39% în 2016 la 2,84%.   </w:t>
      </w:r>
    </w:p>
    <w:p w:rsidR="00912B6C" w:rsidRPr="00912B6C" w:rsidRDefault="00912B6C" w:rsidP="00912B6C">
      <w:pPr>
        <w:spacing w:line="276" w:lineRule="auto"/>
        <w:jc w:val="both"/>
        <w:rPr>
          <w:rFonts w:ascii="Calibri" w:eastAsia="Calibri" w:hAnsi="Calibri" w:cs="Arial"/>
          <w:color w:val="FF0000"/>
          <w:lang w:val="ro-RO"/>
        </w:rPr>
      </w:pPr>
    </w:p>
    <w:tbl>
      <w:tblPr>
        <w:tblW w:w="9599" w:type="dxa"/>
        <w:tblInd w:w="108" w:type="dxa"/>
        <w:tblLook w:val="04A0" w:firstRow="1" w:lastRow="0" w:firstColumn="1" w:lastColumn="0" w:noHBand="0" w:noVBand="1"/>
      </w:tblPr>
      <w:tblGrid>
        <w:gridCol w:w="1409"/>
        <w:gridCol w:w="1744"/>
        <w:gridCol w:w="1925"/>
        <w:gridCol w:w="2261"/>
        <w:gridCol w:w="2260"/>
      </w:tblGrid>
      <w:tr w:rsidR="00912B6C" w:rsidRPr="008368B9" w:rsidTr="00F54451">
        <w:trPr>
          <w:trHeight w:val="376"/>
        </w:trPr>
        <w:tc>
          <w:tcPr>
            <w:tcW w:w="1409" w:type="dxa"/>
            <w:tcBorders>
              <w:top w:val="nil"/>
              <w:left w:val="nil"/>
              <w:bottom w:val="nil"/>
              <w:right w:val="nil"/>
            </w:tcBorders>
            <w:shd w:val="clear" w:color="auto" w:fill="auto"/>
            <w:noWrap/>
            <w:vAlign w:val="bottom"/>
            <w:hideMark/>
          </w:tcPr>
          <w:p w:rsidR="00912B6C" w:rsidRPr="00912B6C" w:rsidRDefault="00912B6C" w:rsidP="00912B6C">
            <w:pPr>
              <w:rPr>
                <w:sz w:val="20"/>
                <w:szCs w:val="20"/>
                <w:lang w:val="ro-RO" w:eastAsia="ro-RO"/>
              </w:rPr>
            </w:pPr>
          </w:p>
        </w:tc>
        <w:tc>
          <w:tcPr>
            <w:tcW w:w="1744"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1925"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2261"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2260"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r>
      <w:tr w:rsidR="00912B6C" w:rsidRPr="00912B6C" w:rsidTr="00F54451">
        <w:trPr>
          <w:trHeight w:val="376"/>
        </w:trPr>
        <w:tc>
          <w:tcPr>
            <w:tcW w:w="1409" w:type="dxa"/>
            <w:tcBorders>
              <w:top w:val="nil"/>
              <w:left w:val="nil"/>
              <w:bottom w:val="nil"/>
              <w:right w:val="nil"/>
            </w:tcBorders>
            <w:shd w:val="clear" w:color="000000" w:fill="FFFFFF"/>
            <w:noWrap/>
            <w:vAlign w:val="bottom"/>
            <w:hideMark/>
          </w:tcPr>
          <w:p w:rsidR="00912B6C" w:rsidRPr="003964D3" w:rsidRDefault="00912B6C" w:rsidP="00912B6C">
            <w:pPr>
              <w:rPr>
                <w:rFonts w:ascii="Arial" w:hAnsi="Arial" w:cs="Arial"/>
                <w:sz w:val="28"/>
                <w:szCs w:val="28"/>
                <w:lang w:val="ro-RO"/>
              </w:rPr>
            </w:pPr>
            <w:r w:rsidRPr="003964D3">
              <w:rPr>
                <w:rFonts w:ascii="Arial" w:hAnsi="Arial" w:cs="Arial"/>
                <w:sz w:val="28"/>
                <w:szCs w:val="28"/>
                <w:lang w:val="ro-RO"/>
              </w:rPr>
              <w:t> </w:t>
            </w:r>
          </w:p>
        </w:tc>
        <w:tc>
          <w:tcPr>
            <w:tcW w:w="1744" w:type="dxa"/>
            <w:tcBorders>
              <w:top w:val="nil"/>
              <w:left w:val="nil"/>
              <w:bottom w:val="nil"/>
              <w:right w:val="nil"/>
            </w:tcBorders>
            <w:shd w:val="clear" w:color="000000" w:fill="FFFFFF"/>
            <w:noWrap/>
            <w:vAlign w:val="bottom"/>
            <w:hideMark/>
          </w:tcPr>
          <w:p w:rsidR="00912B6C" w:rsidRPr="003964D3" w:rsidRDefault="00912B6C" w:rsidP="00912B6C">
            <w:pPr>
              <w:rPr>
                <w:rFonts w:ascii="Arial" w:hAnsi="Arial" w:cs="Arial"/>
                <w:sz w:val="28"/>
                <w:szCs w:val="28"/>
                <w:lang w:val="ro-RO"/>
              </w:rPr>
            </w:pPr>
            <w:r w:rsidRPr="003964D3">
              <w:rPr>
                <w:rFonts w:ascii="Arial" w:hAnsi="Arial" w:cs="Arial"/>
                <w:sz w:val="28"/>
                <w:szCs w:val="28"/>
                <w:lang w:val="ro-RO"/>
              </w:rPr>
              <w:t> </w:t>
            </w:r>
          </w:p>
        </w:tc>
        <w:tc>
          <w:tcPr>
            <w:tcW w:w="4186" w:type="dxa"/>
            <w:gridSpan w:val="2"/>
            <w:tcBorders>
              <w:top w:val="nil"/>
              <w:left w:val="nil"/>
              <w:bottom w:val="nil"/>
              <w:right w:val="nil"/>
            </w:tcBorders>
            <w:shd w:val="clear" w:color="000000" w:fill="FFFFFF"/>
            <w:noWrap/>
            <w:vAlign w:val="bottom"/>
            <w:hideMark/>
          </w:tcPr>
          <w:p w:rsidR="00912B6C" w:rsidRPr="00912B6C" w:rsidRDefault="00912B6C" w:rsidP="00912B6C">
            <w:pPr>
              <w:rPr>
                <w:rFonts w:asciiTheme="minorHAnsi" w:hAnsiTheme="minorHAnsi" w:cs="Arial"/>
              </w:rPr>
            </w:pPr>
            <w:r w:rsidRPr="00912B6C">
              <w:rPr>
                <w:rFonts w:asciiTheme="minorHAnsi" w:hAnsiTheme="minorHAnsi" w:cs="Arial"/>
              </w:rPr>
              <w:t>Deficit cash</w:t>
            </w:r>
          </w:p>
        </w:tc>
        <w:tc>
          <w:tcPr>
            <w:tcW w:w="2260" w:type="dxa"/>
            <w:tcBorders>
              <w:top w:val="nil"/>
              <w:left w:val="nil"/>
              <w:bottom w:val="nil"/>
              <w:right w:val="nil"/>
            </w:tcBorders>
            <w:shd w:val="clear" w:color="000000" w:fill="FFFFFF"/>
            <w:noWrap/>
            <w:vAlign w:val="bottom"/>
            <w:hideMark/>
          </w:tcPr>
          <w:p w:rsidR="00912B6C" w:rsidRPr="00912B6C" w:rsidRDefault="00912B6C" w:rsidP="00912B6C">
            <w:pPr>
              <w:rPr>
                <w:rFonts w:ascii="Arial" w:hAnsi="Arial" w:cs="Arial"/>
                <w:sz w:val="28"/>
                <w:szCs w:val="28"/>
              </w:rPr>
            </w:pPr>
            <w:r w:rsidRPr="00912B6C">
              <w:rPr>
                <w:rFonts w:ascii="Arial" w:hAnsi="Arial" w:cs="Arial"/>
                <w:sz w:val="28"/>
                <w:szCs w:val="28"/>
              </w:rPr>
              <w:t> </w:t>
            </w:r>
          </w:p>
        </w:tc>
      </w:tr>
      <w:tr w:rsidR="00912B6C" w:rsidRPr="00912B6C" w:rsidTr="00F54451">
        <w:trPr>
          <w:trHeight w:val="376"/>
        </w:trPr>
        <w:tc>
          <w:tcPr>
            <w:tcW w:w="3153" w:type="dxa"/>
            <w:gridSpan w:val="2"/>
            <w:vMerge w:val="restart"/>
            <w:tcBorders>
              <w:top w:val="nil"/>
              <w:left w:val="nil"/>
              <w:bottom w:val="double" w:sz="6" w:space="0" w:color="000000"/>
              <w:right w:val="nil"/>
            </w:tcBorders>
            <w:shd w:val="clear" w:color="000000" w:fill="DDEBF7"/>
            <w:noWrap/>
            <w:vAlign w:val="bottom"/>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 </w:t>
            </w:r>
          </w:p>
        </w:tc>
        <w:tc>
          <w:tcPr>
            <w:tcW w:w="1925" w:type="dxa"/>
            <w:vMerge w:val="restart"/>
            <w:tcBorders>
              <w:top w:val="nil"/>
              <w:left w:val="nil"/>
              <w:bottom w:val="double" w:sz="6" w:space="0" w:color="000000"/>
              <w:right w:val="nil"/>
            </w:tcBorders>
            <w:shd w:val="clear" w:color="000000" w:fill="DDEBF7"/>
            <w:noWrap/>
            <w:vAlign w:val="center"/>
            <w:hideMark/>
          </w:tcPr>
          <w:p w:rsidR="00912B6C" w:rsidRPr="00912B6C" w:rsidRDefault="00912B6C" w:rsidP="00912B6C">
            <w:pPr>
              <w:jc w:val="center"/>
              <w:rPr>
                <w:rFonts w:ascii="Arial" w:hAnsi="Arial" w:cs="Arial"/>
                <w:b/>
                <w:bCs/>
                <w:sz w:val="20"/>
                <w:szCs w:val="20"/>
              </w:rPr>
            </w:pPr>
            <w:r w:rsidRPr="00912B6C">
              <w:rPr>
                <w:rFonts w:ascii="Arial" w:hAnsi="Arial" w:cs="Arial"/>
                <w:b/>
                <w:bCs/>
                <w:sz w:val="20"/>
                <w:szCs w:val="20"/>
              </w:rPr>
              <w:t>2016</w:t>
            </w:r>
          </w:p>
        </w:tc>
        <w:tc>
          <w:tcPr>
            <w:tcW w:w="2261" w:type="dxa"/>
            <w:vMerge w:val="restart"/>
            <w:tcBorders>
              <w:top w:val="nil"/>
              <w:left w:val="nil"/>
              <w:bottom w:val="double" w:sz="6" w:space="0" w:color="000000"/>
              <w:right w:val="nil"/>
            </w:tcBorders>
            <w:shd w:val="clear" w:color="000000" w:fill="DDEBF7"/>
            <w:noWrap/>
            <w:vAlign w:val="center"/>
            <w:hideMark/>
          </w:tcPr>
          <w:p w:rsidR="00912B6C" w:rsidRPr="00912B6C" w:rsidRDefault="00912B6C" w:rsidP="00912B6C">
            <w:pPr>
              <w:jc w:val="center"/>
              <w:rPr>
                <w:rFonts w:ascii="Arial" w:hAnsi="Arial" w:cs="Arial"/>
                <w:b/>
                <w:bCs/>
                <w:sz w:val="20"/>
                <w:szCs w:val="20"/>
              </w:rPr>
            </w:pPr>
            <w:r w:rsidRPr="00912B6C">
              <w:rPr>
                <w:rFonts w:ascii="Arial" w:hAnsi="Arial" w:cs="Arial"/>
                <w:b/>
                <w:bCs/>
                <w:sz w:val="20"/>
                <w:szCs w:val="20"/>
              </w:rPr>
              <w:t>2017</w:t>
            </w:r>
          </w:p>
        </w:tc>
        <w:tc>
          <w:tcPr>
            <w:tcW w:w="2260" w:type="dxa"/>
            <w:vMerge w:val="restart"/>
            <w:tcBorders>
              <w:top w:val="nil"/>
              <w:left w:val="nil"/>
              <w:bottom w:val="double" w:sz="6" w:space="0" w:color="000000"/>
              <w:right w:val="nil"/>
            </w:tcBorders>
            <w:shd w:val="clear" w:color="000000" w:fill="DDEBF7"/>
            <w:vAlign w:val="center"/>
            <w:hideMark/>
          </w:tcPr>
          <w:p w:rsidR="00912B6C" w:rsidRPr="00912B6C" w:rsidRDefault="00912B6C" w:rsidP="00912B6C">
            <w:pPr>
              <w:jc w:val="center"/>
              <w:rPr>
                <w:rFonts w:ascii="Arial" w:hAnsi="Arial" w:cs="Arial"/>
                <w:b/>
                <w:bCs/>
                <w:sz w:val="20"/>
                <w:szCs w:val="20"/>
              </w:rPr>
            </w:pPr>
            <w:r w:rsidRPr="00912B6C">
              <w:rPr>
                <w:rFonts w:ascii="Arial" w:hAnsi="Arial" w:cs="Arial"/>
                <w:b/>
                <w:bCs/>
                <w:sz w:val="20"/>
                <w:szCs w:val="20"/>
              </w:rPr>
              <w:t>Diferenţe 2017 faţă de 2016</w:t>
            </w:r>
          </w:p>
        </w:tc>
      </w:tr>
      <w:tr w:rsidR="00912B6C" w:rsidRPr="00912B6C" w:rsidTr="00F54451">
        <w:trPr>
          <w:trHeight w:val="240"/>
        </w:trPr>
        <w:tc>
          <w:tcPr>
            <w:tcW w:w="3153" w:type="dxa"/>
            <w:gridSpan w:val="2"/>
            <w:vMerge/>
            <w:tcBorders>
              <w:top w:val="nil"/>
              <w:left w:val="nil"/>
              <w:bottom w:val="double" w:sz="6" w:space="0" w:color="000000"/>
              <w:right w:val="nil"/>
            </w:tcBorders>
            <w:vAlign w:val="center"/>
            <w:hideMark/>
          </w:tcPr>
          <w:p w:rsidR="00912B6C" w:rsidRPr="00912B6C" w:rsidRDefault="00912B6C" w:rsidP="00912B6C">
            <w:pPr>
              <w:rPr>
                <w:rFonts w:ascii="Arial" w:hAnsi="Arial" w:cs="Arial"/>
                <w:sz w:val="20"/>
                <w:szCs w:val="20"/>
              </w:rPr>
            </w:pPr>
          </w:p>
        </w:tc>
        <w:tc>
          <w:tcPr>
            <w:tcW w:w="1925"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c>
          <w:tcPr>
            <w:tcW w:w="2261"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c>
          <w:tcPr>
            <w:tcW w:w="2260"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r>
      <w:tr w:rsidR="00912B6C" w:rsidRPr="00912B6C" w:rsidTr="00F54451">
        <w:trPr>
          <w:trHeight w:val="392"/>
        </w:trPr>
        <w:tc>
          <w:tcPr>
            <w:tcW w:w="1409" w:type="dxa"/>
            <w:vMerge w:val="restart"/>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b/>
                <w:bCs/>
                <w:sz w:val="20"/>
                <w:szCs w:val="20"/>
              </w:rPr>
            </w:pPr>
            <w:r w:rsidRPr="00912B6C">
              <w:rPr>
                <w:rFonts w:ascii="Arial" w:hAnsi="Arial" w:cs="Arial"/>
                <w:b/>
                <w:bCs/>
                <w:sz w:val="20"/>
                <w:szCs w:val="20"/>
              </w:rPr>
              <w:t xml:space="preserve">Deficit </w:t>
            </w:r>
          </w:p>
        </w:tc>
        <w:tc>
          <w:tcPr>
            <w:tcW w:w="1744" w:type="dxa"/>
            <w:tcBorders>
              <w:top w:val="nil"/>
              <w:left w:val="nil"/>
              <w:bottom w:val="single" w:sz="4" w:space="0" w:color="auto"/>
              <w:right w:val="nil"/>
            </w:tcBorders>
            <w:shd w:val="clear" w:color="000000" w:fill="FFFFFF"/>
            <w:vAlign w:val="center"/>
            <w:hideMark/>
          </w:tcPr>
          <w:p w:rsidR="00912B6C" w:rsidRPr="00912B6C" w:rsidRDefault="00912B6C" w:rsidP="00912B6C">
            <w:pPr>
              <w:rPr>
                <w:rFonts w:ascii="Arial" w:hAnsi="Arial" w:cs="Arial"/>
                <w:b/>
                <w:bCs/>
                <w:sz w:val="20"/>
                <w:szCs w:val="20"/>
              </w:rPr>
            </w:pPr>
            <w:r w:rsidRPr="00912B6C">
              <w:rPr>
                <w:rFonts w:ascii="Arial" w:hAnsi="Arial" w:cs="Arial"/>
                <w:b/>
                <w:bCs/>
                <w:sz w:val="20"/>
                <w:szCs w:val="20"/>
              </w:rPr>
              <w:t xml:space="preserve">mil. lei </w:t>
            </w:r>
          </w:p>
        </w:tc>
        <w:tc>
          <w:tcPr>
            <w:tcW w:w="1925"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-18.304,3</w:t>
            </w:r>
          </w:p>
        </w:tc>
        <w:tc>
          <w:tcPr>
            <w:tcW w:w="2261"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-24.294,7</w:t>
            </w:r>
          </w:p>
        </w:tc>
        <w:tc>
          <w:tcPr>
            <w:tcW w:w="2260"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-5.990,4</w:t>
            </w:r>
          </w:p>
        </w:tc>
      </w:tr>
      <w:tr w:rsidR="00912B6C" w:rsidRPr="00912B6C" w:rsidTr="00F54451">
        <w:trPr>
          <w:trHeight w:val="533"/>
        </w:trPr>
        <w:tc>
          <w:tcPr>
            <w:tcW w:w="1409" w:type="dxa"/>
            <w:vMerge/>
            <w:tcBorders>
              <w:top w:val="nil"/>
              <w:left w:val="nil"/>
              <w:bottom w:val="nil"/>
              <w:right w:val="nil"/>
            </w:tcBorders>
            <w:vAlign w:val="center"/>
            <w:hideMark/>
          </w:tcPr>
          <w:p w:rsidR="00912B6C" w:rsidRPr="00912B6C" w:rsidRDefault="00912B6C" w:rsidP="00912B6C">
            <w:pPr>
              <w:rPr>
                <w:rFonts w:ascii="Arial" w:hAnsi="Arial" w:cs="Arial"/>
                <w:b/>
                <w:bCs/>
                <w:sz w:val="20"/>
                <w:szCs w:val="20"/>
              </w:rPr>
            </w:pPr>
          </w:p>
        </w:tc>
        <w:tc>
          <w:tcPr>
            <w:tcW w:w="1744" w:type="dxa"/>
            <w:tcBorders>
              <w:top w:val="nil"/>
              <w:left w:val="nil"/>
              <w:bottom w:val="nil"/>
              <w:right w:val="nil"/>
            </w:tcBorders>
            <w:shd w:val="clear" w:color="000000" w:fill="FFFFFF"/>
            <w:vAlign w:val="center"/>
            <w:hideMark/>
          </w:tcPr>
          <w:p w:rsidR="00912B6C" w:rsidRPr="00912B6C" w:rsidRDefault="00912B6C" w:rsidP="00912B6C">
            <w:pPr>
              <w:rPr>
                <w:rFonts w:ascii="Arial" w:hAnsi="Arial" w:cs="Arial"/>
                <w:b/>
                <w:bCs/>
                <w:sz w:val="20"/>
                <w:szCs w:val="20"/>
              </w:rPr>
            </w:pPr>
            <w:r w:rsidRPr="00912B6C">
              <w:rPr>
                <w:rFonts w:ascii="Arial" w:hAnsi="Arial" w:cs="Arial"/>
                <w:b/>
                <w:bCs/>
                <w:sz w:val="20"/>
                <w:szCs w:val="20"/>
              </w:rPr>
              <w:t>% din P.I.B.</w:t>
            </w:r>
          </w:p>
        </w:tc>
        <w:tc>
          <w:tcPr>
            <w:tcW w:w="1925"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-2,39</w:t>
            </w:r>
          </w:p>
        </w:tc>
        <w:tc>
          <w:tcPr>
            <w:tcW w:w="2261"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-2,84</w:t>
            </w:r>
          </w:p>
        </w:tc>
        <w:tc>
          <w:tcPr>
            <w:tcW w:w="2260"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sidRPr="00912B6C">
              <w:rPr>
                <w:rFonts w:ascii="Arial" w:hAnsi="Arial" w:cs="Arial"/>
                <w:sz w:val="20"/>
                <w:szCs w:val="20"/>
              </w:rPr>
              <w:t>-0,45</w:t>
            </w:r>
          </w:p>
        </w:tc>
      </w:tr>
    </w:tbl>
    <w:p w:rsidR="00912B6C" w:rsidRPr="00912B6C" w:rsidRDefault="00912B6C" w:rsidP="00912B6C">
      <w:pPr>
        <w:spacing w:line="276" w:lineRule="auto"/>
        <w:jc w:val="center"/>
        <w:rPr>
          <w:rFonts w:ascii="Calibri" w:eastAsia="Calibri" w:hAnsi="Calibri" w:cs="Arial"/>
          <w:color w:val="FF0000"/>
        </w:rPr>
      </w:pPr>
    </w:p>
    <w:p w:rsidR="00912B6C" w:rsidRPr="00912B6C" w:rsidRDefault="00912B6C" w:rsidP="00912B6C">
      <w:pPr>
        <w:spacing w:line="276" w:lineRule="auto"/>
        <w:ind w:left="870"/>
        <w:jc w:val="both"/>
        <w:rPr>
          <w:rFonts w:ascii="Calibri" w:eastAsia="Calibri" w:hAnsi="Calibri" w:cs="Arial"/>
          <w:b/>
          <w:bCs/>
        </w:rPr>
      </w:pPr>
    </w:p>
    <w:p w:rsidR="00912B6C" w:rsidRPr="00912B6C" w:rsidRDefault="00912B6C" w:rsidP="00912B6C">
      <w:pPr>
        <w:numPr>
          <w:ilvl w:val="1"/>
          <w:numId w:val="38"/>
        </w:numPr>
        <w:tabs>
          <w:tab w:val="num" w:pos="0"/>
        </w:tabs>
        <w:spacing w:after="160" w:line="276" w:lineRule="auto"/>
        <w:jc w:val="both"/>
        <w:rPr>
          <w:rFonts w:ascii="Calibri" w:eastAsia="Calibri" w:hAnsi="Calibri" w:cs="Arial"/>
          <w:b/>
          <w:bCs/>
        </w:rPr>
      </w:pPr>
      <w:r w:rsidRPr="00912B6C">
        <w:rPr>
          <w:rFonts w:ascii="Calibri" w:eastAsia="Calibri" w:hAnsi="Calibri" w:cs="Arial"/>
          <w:b/>
          <w:bCs/>
        </w:rPr>
        <w:t xml:space="preserve">Veniturile bugetului general consolidat </w:t>
      </w:r>
    </w:p>
    <w:p w:rsidR="00912B6C" w:rsidRPr="00912B6C" w:rsidRDefault="00912B6C" w:rsidP="00912B6C">
      <w:pPr>
        <w:spacing w:line="276" w:lineRule="auto"/>
        <w:ind w:firstLine="708"/>
        <w:jc w:val="both"/>
        <w:rPr>
          <w:rFonts w:ascii="Calibri" w:eastAsia="Calibri" w:hAnsi="Calibri" w:cs="Arial"/>
          <w:lang w:val="fr-FR"/>
        </w:rPr>
      </w:pPr>
      <w:r w:rsidRPr="00912B6C">
        <w:rPr>
          <w:rFonts w:ascii="Calibri" w:eastAsia="Calibri" w:hAnsi="Calibri" w:cs="Arial"/>
          <w:lang w:val="fr-FR"/>
        </w:rPr>
        <w:t>Veniturile bugetului general consolidat, în anul 2017, au totalizat 251,9 miliarde lei, reprezentând 29,4% din PIB şi un grad de realizare față de estimările anuale de 98,0%.</w:t>
      </w:r>
    </w:p>
    <w:p w:rsidR="00912B6C" w:rsidRPr="00912B6C" w:rsidRDefault="00912B6C" w:rsidP="00912B6C">
      <w:pPr>
        <w:spacing w:line="276" w:lineRule="auto"/>
        <w:ind w:firstLine="708"/>
        <w:jc w:val="both"/>
        <w:rPr>
          <w:rFonts w:ascii="Calibri" w:eastAsia="Calibri" w:hAnsi="Calibri" w:cs="Arial"/>
          <w:lang w:val="fr-FR"/>
        </w:rPr>
      </w:pPr>
    </w:p>
    <w:p w:rsidR="00912B6C" w:rsidRPr="00912B6C" w:rsidRDefault="00912B6C" w:rsidP="00912B6C">
      <w:pPr>
        <w:spacing w:line="276" w:lineRule="auto"/>
        <w:jc w:val="both"/>
        <w:rPr>
          <w:rFonts w:ascii="Calibri" w:eastAsia="Calibri" w:hAnsi="Calibri" w:cs="Arial"/>
        </w:rPr>
      </w:pPr>
      <w:r w:rsidRPr="00912B6C">
        <w:rPr>
          <w:rFonts w:ascii="Calibri" w:eastAsia="Calibri" w:hAnsi="Calibri" w:cs="Arial"/>
          <w:noProof/>
          <w:lang w:val="ro-RO" w:eastAsia="ro-RO"/>
        </w:rPr>
        <w:drawing>
          <wp:inline distT="0" distB="0" distL="0" distR="0">
            <wp:extent cx="6156960" cy="2354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2354580"/>
                    </a:xfrm>
                    <a:prstGeom prst="rect">
                      <a:avLst/>
                    </a:prstGeom>
                    <a:noFill/>
                    <a:ln>
                      <a:noFill/>
                    </a:ln>
                  </pic:spPr>
                </pic:pic>
              </a:graphicData>
            </a:graphic>
          </wp:inline>
        </w:drawing>
      </w:r>
    </w:p>
    <w:p w:rsidR="00912B6C" w:rsidRPr="00912B6C" w:rsidRDefault="00912B6C" w:rsidP="00A663FE">
      <w:pPr>
        <w:spacing w:line="276" w:lineRule="auto"/>
        <w:ind w:firstLine="720"/>
        <w:jc w:val="both"/>
        <w:rPr>
          <w:rFonts w:ascii="Calibri" w:eastAsia="Calibri" w:hAnsi="Calibri" w:cs="Arial"/>
        </w:rPr>
      </w:pPr>
      <w:r w:rsidRPr="00912B6C">
        <w:rPr>
          <w:rFonts w:ascii="Calibri" w:eastAsia="Calibri" w:hAnsi="Calibri" w:cs="Arial"/>
        </w:rPr>
        <w:t xml:space="preserve">Comparativ cu programul anual de încasări veniturile bugetare au înregistrat următoarele evoluții: </w:t>
      </w:r>
    </w:p>
    <w:p w:rsidR="00912B6C" w:rsidRPr="00912B6C" w:rsidRDefault="00912B6C" w:rsidP="00912B6C">
      <w:pPr>
        <w:numPr>
          <w:ilvl w:val="0"/>
          <w:numId w:val="81"/>
        </w:numPr>
        <w:spacing w:before="120" w:after="160" w:line="276" w:lineRule="auto"/>
        <w:ind w:left="1434" w:hanging="357"/>
        <w:jc w:val="both"/>
        <w:rPr>
          <w:rFonts w:ascii="Calibri" w:hAnsi="Calibri" w:cs="Arial"/>
        </w:rPr>
      </w:pPr>
      <w:r w:rsidRPr="00912B6C">
        <w:rPr>
          <w:rFonts w:ascii="Calibri" w:hAnsi="Calibri" w:cs="Arial"/>
        </w:rPr>
        <w:t>Încasările din veniturile fiscale au fost superioare programului anual, gradul de realizare fiind de 100,2%, fiind influențate de evoluția pozitivă a încasărilor din impozitul pe profit (101,4%); alte impozite pe venit, profit și câștiguri din capital(102,5%), precum și din taxa pe valoarea adăugată (101,3%). Evoluții mai puțin favorabile s-au înregistrat în cazul încasărilor din impozitul pe venit și salarii (99,8%); impozitele și taxele pe proprietate (98,7%); accize (99,8%); alte impozite și taxe pe bunuri și servicii (90,9%); impozitul pe comerțul exterior și tranzacțiile internaționale (98,7%), precum și în cazul altor impozite și taxe fiscale (83%).</w:t>
      </w:r>
    </w:p>
    <w:p w:rsidR="00912B6C" w:rsidRPr="00912B6C" w:rsidRDefault="00912B6C" w:rsidP="00912B6C">
      <w:pPr>
        <w:numPr>
          <w:ilvl w:val="0"/>
          <w:numId w:val="81"/>
        </w:numPr>
        <w:spacing w:before="120" w:after="160" w:line="276" w:lineRule="auto"/>
        <w:ind w:left="1434" w:hanging="357"/>
        <w:jc w:val="both"/>
        <w:rPr>
          <w:rFonts w:ascii="Calibri" w:hAnsi="Calibri" w:cs="Arial"/>
          <w:lang w:val="fr-FR"/>
        </w:rPr>
      </w:pPr>
      <w:r w:rsidRPr="00912B6C">
        <w:rPr>
          <w:rFonts w:ascii="Calibri" w:hAnsi="Calibri" w:cs="Arial"/>
          <w:lang w:val="fr-FR"/>
        </w:rPr>
        <w:t>Încasările din contribuții de asigurări au fost inferioare programului de încasări, gradul de realizare fiind de 99,5%. Nerealizarea programului a fost determinată de încasările inferioare programului anual  în cazul veniturilor din contribuții de asigurări încasate la bugetul asigurărilor pentru șomaj (98,5%), precum și a celor de la bugetul fondului național unic de asigurări sociale de sănătate (98,6%), în timp ce în cazul bugetul asigurărilor sociale de stat veniturile din contribuții s-au situat aproape de nivelul programului anual de încasări, gradul de realizare fiind de 99,97%;</w:t>
      </w:r>
    </w:p>
    <w:p w:rsidR="00912B6C" w:rsidRPr="00912B6C" w:rsidRDefault="00912B6C" w:rsidP="00912B6C">
      <w:pPr>
        <w:numPr>
          <w:ilvl w:val="0"/>
          <w:numId w:val="81"/>
        </w:numPr>
        <w:spacing w:before="120" w:after="160" w:line="276" w:lineRule="auto"/>
        <w:ind w:left="1434" w:hanging="357"/>
        <w:jc w:val="both"/>
        <w:rPr>
          <w:rFonts w:ascii="Calibri" w:hAnsi="Calibri" w:cs="Arial"/>
        </w:rPr>
      </w:pPr>
      <w:r w:rsidRPr="00912B6C">
        <w:rPr>
          <w:rFonts w:ascii="Calibri" w:hAnsi="Calibri" w:cs="Arial"/>
        </w:rPr>
        <w:t>Încasările din veniturile nefiscale s-au situat sub programul anual, gradul de realizare fiind de 97,6%;</w:t>
      </w:r>
    </w:p>
    <w:p w:rsidR="00912B6C" w:rsidRPr="00A663FE" w:rsidRDefault="00912B6C" w:rsidP="00A663FE">
      <w:pPr>
        <w:numPr>
          <w:ilvl w:val="0"/>
          <w:numId w:val="81"/>
        </w:numPr>
        <w:spacing w:before="120" w:after="160" w:line="276" w:lineRule="auto"/>
        <w:ind w:left="1434" w:hanging="357"/>
        <w:jc w:val="both"/>
        <w:rPr>
          <w:rFonts w:ascii="Calibri" w:hAnsi="Calibri" w:cs="Arial"/>
          <w:b/>
          <w:bCs/>
        </w:rPr>
      </w:pPr>
      <w:r w:rsidRPr="00912B6C">
        <w:rPr>
          <w:rFonts w:ascii="Calibri" w:hAnsi="Calibri" w:cs="Arial"/>
        </w:rPr>
        <w:t xml:space="preserve">Încasările din sumele primite de la UE și alți donatori în contul plăților efectuate s-au situat sub programul anual, gradul de realizare înregistrat fiind de 79,5%.  </w:t>
      </w:r>
    </w:p>
    <w:p w:rsidR="00912B6C" w:rsidRPr="00912B6C" w:rsidRDefault="00912B6C" w:rsidP="00912B6C">
      <w:pPr>
        <w:spacing w:line="276" w:lineRule="auto"/>
        <w:jc w:val="both"/>
        <w:rPr>
          <w:rFonts w:ascii="Calibri" w:hAnsi="Calibri" w:cs="Arial"/>
          <w:lang w:val="fr-FR"/>
        </w:rPr>
      </w:pPr>
      <w:r w:rsidRPr="00912B6C">
        <w:rPr>
          <w:rFonts w:ascii="Calibri" w:hAnsi="Calibri" w:cs="Arial"/>
          <w:color w:val="FF0000"/>
        </w:rPr>
        <w:tab/>
      </w:r>
      <w:r w:rsidRPr="00912B6C">
        <w:rPr>
          <w:rFonts w:ascii="Calibri" w:hAnsi="Calibri" w:cs="Arial"/>
          <w:lang w:val="fr-FR"/>
        </w:rPr>
        <w:t xml:space="preserve">Încasările bugetare au fost influențate atât de evoluțiile economice, cât şi de deciziile de politică fiscală adoptate, cum ar fi: creșterea salariului minim, reducerea cotei standard de TVA, majorarea salariilor pentru unele categorii de salariați din sectorul bugetar, creșterea punctului de pensie, </w:t>
      </w:r>
      <w:r w:rsidRPr="00912B6C">
        <w:rPr>
          <w:rFonts w:ascii="Calibri" w:hAnsi="Calibri" w:cs="Arial"/>
          <w:noProof/>
          <w:lang w:val="fr-FR" w:eastAsia="ro-RO"/>
        </w:rPr>
        <w:t xml:space="preserve">creșterea plafonului neimpozabil lunar la veniturile din pensii  de la 1000 lei la 2000 lei și scutirea pensionarilor de la plata contribuțiilor de asigurări sociale de sănătate, </w:t>
      </w:r>
      <w:r w:rsidRPr="00912B6C">
        <w:rPr>
          <w:rFonts w:ascii="Calibri" w:hAnsi="Calibri" w:cs="Arial"/>
          <w:lang w:val="fr-FR"/>
        </w:rPr>
        <w:t xml:space="preserve"> precum și de modificarea cuantumului accizelor. </w:t>
      </w:r>
    </w:p>
    <w:p w:rsidR="00912B6C" w:rsidRPr="00912B6C" w:rsidRDefault="00912B6C" w:rsidP="00912B6C">
      <w:pPr>
        <w:spacing w:line="276" w:lineRule="auto"/>
        <w:jc w:val="center"/>
        <w:rPr>
          <w:rFonts w:ascii="Calibri" w:eastAsia="Calibri" w:hAnsi="Calibri" w:cs="Arial"/>
          <w:b/>
          <w:bCs/>
        </w:rPr>
      </w:pPr>
      <w:r w:rsidRPr="00912B6C">
        <w:rPr>
          <w:rFonts w:ascii="Calibri" w:eastAsia="Calibri" w:hAnsi="Calibri" w:cs="Arial"/>
          <w:b/>
          <w:bCs/>
        </w:rPr>
        <w:t>Structura veniturilor bugetare</w:t>
      </w:r>
    </w:p>
    <w:p w:rsidR="00912B6C" w:rsidRPr="00912B6C" w:rsidRDefault="00A663FE" w:rsidP="00912B6C">
      <w:pPr>
        <w:spacing w:line="276" w:lineRule="auto"/>
        <w:jc w:val="center"/>
        <w:rPr>
          <w:rFonts w:ascii="Calibri" w:eastAsia="Calibri" w:hAnsi="Calibri" w:cs="Arial"/>
          <w:b/>
          <w:bCs/>
        </w:rPr>
      </w:pPr>
      <w:r w:rsidRPr="00912B6C">
        <w:rPr>
          <w:rFonts w:ascii="Calibri" w:eastAsia="Calibri" w:hAnsi="Calibri" w:cs="Arial"/>
          <w:noProof/>
          <w:color w:val="FF0000"/>
          <w:lang w:val="ro-RO" w:eastAsia="ro-RO"/>
        </w:rPr>
        <w:drawing>
          <wp:inline distT="0" distB="0" distL="0" distR="0">
            <wp:extent cx="2941320" cy="2339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320" cy="2339340"/>
                    </a:xfrm>
                    <a:prstGeom prst="rect">
                      <a:avLst/>
                    </a:prstGeom>
                    <a:noFill/>
                    <a:ln>
                      <a:noFill/>
                    </a:ln>
                  </pic:spPr>
                </pic:pic>
              </a:graphicData>
            </a:graphic>
          </wp:inline>
        </w:drawing>
      </w:r>
      <w:r w:rsidRPr="00912B6C">
        <w:rPr>
          <w:rFonts w:ascii="Calibri" w:eastAsia="Calibri" w:hAnsi="Calibri" w:cs="Arial"/>
          <w:noProof/>
          <w:color w:val="FF0000"/>
          <w:lang w:val="ro-RO" w:eastAsia="ro-RO"/>
        </w:rPr>
        <w:drawing>
          <wp:inline distT="0" distB="0" distL="0" distR="0">
            <wp:extent cx="2796540" cy="2362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2362200"/>
                    </a:xfrm>
                    <a:prstGeom prst="rect">
                      <a:avLst/>
                    </a:prstGeom>
                    <a:noFill/>
                    <a:ln>
                      <a:noFill/>
                    </a:ln>
                  </pic:spPr>
                </pic:pic>
              </a:graphicData>
            </a:graphic>
          </wp:inline>
        </w:drawing>
      </w:r>
    </w:p>
    <w:p w:rsidR="00912B6C" w:rsidRPr="00912B6C" w:rsidRDefault="00912B6C" w:rsidP="00912B6C">
      <w:pPr>
        <w:spacing w:line="276" w:lineRule="auto"/>
        <w:jc w:val="both"/>
        <w:rPr>
          <w:rFonts w:ascii="Calibri" w:eastAsia="Calibri" w:hAnsi="Calibri" w:cs="Arial"/>
          <w:color w:val="FF0000"/>
        </w:rPr>
      </w:pPr>
    </w:p>
    <w:p w:rsidR="00912B6C" w:rsidRPr="00912B6C" w:rsidRDefault="00912B6C" w:rsidP="00912B6C">
      <w:pPr>
        <w:spacing w:line="276" w:lineRule="auto"/>
        <w:ind w:firstLine="624"/>
        <w:jc w:val="both"/>
        <w:rPr>
          <w:rFonts w:ascii="Calibri" w:eastAsia="Calibri" w:hAnsi="Calibri" w:cs="Arial"/>
        </w:rPr>
      </w:pPr>
    </w:p>
    <w:p w:rsidR="00912B6C" w:rsidRPr="00912B6C" w:rsidRDefault="00912B6C" w:rsidP="00912B6C">
      <w:pPr>
        <w:spacing w:line="276" w:lineRule="auto"/>
        <w:ind w:firstLine="624"/>
        <w:jc w:val="both"/>
        <w:rPr>
          <w:rFonts w:ascii="Calibri" w:eastAsia="Calibri" w:hAnsi="Calibri" w:cs="Arial"/>
        </w:rPr>
      </w:pPr>
      <w:r w:rsidRPr="00912B6C">
        <w:rPr>
          <w:rFonts w:ascii="Calibri" w:eastAsia="Calibri" w:hAnsi="Calibri" w:cs="Arial"/>
        </w:rPr>
        <w:t xml:space="preserve">Din punct de vedere al ponderii principalelor categorii de impozite în total venituri încasate, s-au înregistrat creșteri, comparativ cu anul anterior, în principal în cazul veniturilor din contribuții de asigurări cu 1,1 pp,  a veniturilor nefiscale cu 0,6 pp și sumelor primite de la UE în contul plăților efectuate aferente cadrului financiar 2014-2020 cu 3,7 puncte procentuale. </w:t>
      </w:r>
    </w:p>
    <w:p w:rsidR="00912B6C" w:rsidRPr="00912B6C" w:rsidRDefault="00912B6C" w:rsidP="00912B6C">
      <w:pPr>
        <w:spacing w:line="276" w:lineRule="auto"/>
        <w:ind w:firstLine="708"/>
        <w:jc w:val="both"/>
        <w:rPr>
          <w:rFonts w:ascii="Calibri" w:eastAsia="Calibri" w:hAnsi="Calibri" w:cs="Arial"/>
        </w:rPr>
      </w:pPr>
      <w:r w:rsidRPr="00912B6C">
        <w:rPr>
          <w:rFonts w:ascii="Calibri" w:eastAsia="Calibri" w:hAnsi="Calibri" w:cs="Arial"/>
        </w:rPr>
        <w:t xml:space="preserve">În paralel, s-au înregistrat diminuări, în principal, în cazul veniturilor din impozitul pe profit cu 1,1 pp, impozite și taxe pe proprietate 0,5 pp, taxa pe valoarea adăugată cu 1,8 pp, a veniturilor din accize cu 1,4 pp, alte impozite și taxe pe bunuri și servicii cu 0,2 pp. </w:t>
      </w:r>
    </w:p>
    <w:p w:rsidR="00912B6C" w:rsidRPr="003964D3" w:rsidRDefault="00912B6C" w:rsidP="00912B6C">
      <w:pPr>
        <w:spacing w:line="276" w:lineRule="auto"/>
        <w:ind w:firstLine="708"/>
        <w:jc w:val="both"/>
        <w:rPr>
          <w:rFonts w:ascii="Calibri" w:eastAsia="Calibri" w:hAnsi="Calibri" w:cs="Arial"/>
          <w:color w:val="FF0000"/>
        </w:rPr>
      </w:pPr>
      <w:r w:rsidRPr="003964D3">
        <w:rPr>
          <w:rFonts w:ascii="Calibri" w:eastAsia="Calibri" w:hAnsi="Calibri" w:cs="Arial"/>
        </w:rPr>
        <w:t xml:space="preserve">Comparativ cu anul anterior, </w:t>
      </w:r>
      <w:r w:rsidRPr="003964D3">
        <w:rPr>
          <w:rFonts w:ascii="Calibri" w:eastAsia="Calibri" w:hAnsi="Calibri" w:cs="Arial"/>
          <w:b/>
        </w:rPr>
        <w:t>veniturile bugetului general consolidat</w:t>
      </w:r>
      <w:r w:rsidRPr="003964D3">
        <w:rPr>
          <w:rFonts w:ascii="Calibri" w:eastAsia="Calibri" w:hAnsi="Calibri" w:cs="Arial"/>
        </w:rPr>
        <w:t xml:space="preserve">, în anul 2017, au crescut cu 12,5%, iar ca procent în PIB s-au majorat cu 0,1 pp. </w:t>
      </w:r>
    </w:p>
    <w:p w:rsidR="00912B6C" w:rsidRPr="00912B6C" w:rsidRDefault="00912B6C" w:rsidP="00912B6C">
      <w:pPr>
        <w:spacing w:before="120" w:after="120" w:line="276" w:lineRule="auto"/>
        <w:ind w:firstLine="709"/>
        <w:jc w:val="both"/>
        <w:rPr>
          <w:rFonts w:ascii="Calibri" w:eastAsia="Calibri" w:hAnsi="Calibri" w:cs="Arial"/>
          <w:lang w:val="fr-FR"/>
        </w:rPr>
      </w:pPr>
      <w:r w:rsidRPr="00912B6C">
        <w:rPr>
          <w:rFonts w:ascii="Calibri" w:eastAsia="Calibri" w:hAnsi="Calibri" w:cs="Arial"/>
          <w:b/>
          <w:lang w:val="fr-FR"/>
        </w:rPr>
        <w:t>Veniturile fiscale</w:t>
      </w:r>
      <w:r w:rsidRPr="00912B6C">
        <w:rPr>
          <w:rFonts w:ascii="Calibri" w:eastAsia="Calibri" w:hAnsi="Calibri" w:cs="Arial"/>
          <w:lang w:val="fr-FR"/>
        </w:rPr>
        <w:t xml:space="preserve"> au crescut, în termeni nominali, cu 2,8% față de anul precedent, iar ca procent în PIB s-au redus cu 1,5 puncte procentuale. </w:t>
      </w:r>
    </w:p>
    <w:p w:rsidR="00912B6C" w:rsidRPr="00912B6C" w:rsidRDefault="00912B6C" w:rsidP="00912B6C">
      <w:pPr>
        <w:spacing w:after="120" w:line="276" w:lineRule="auto"/>
        <w:ind w:firstLine="709"/>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impozitul pe profit</w:t>
      </w:r>
      <w:r w:rsidRPr="00912B6C">
        <w:rPr>
          <w:rFonts w:ascii="Calibri" w:eastAsia="Calibri" w:hAnsi="Calibri" w:cs="Arial"/>
          <w:lang w:val="fr-FR"/>
        </w:rPr>
        <w:t xml:space="preserve"> s-au redus comparativ cu anul 2016 cu 4,6%, pe fondul reducerii încasărilor de la agenții economici în timp ce încasările de la băncile comerciale ce au fost superioare comparativ cu anul anterior. </w:t>
      </w:r>
    </w:p>
    <w:p w:rsidR="00912B6C" w:rsidRPr="00912B6C" w:rsidRDefault="00912B6C" w:rsidP="00912B6C">
      <w:pPr>
        <w:spacing w:line="276" w:lineRule="auto"/>
        <w:ind w:firstLine="624"/>
        <w:jc w:val="both"/>
        <w:rPr>
          <w:rFonts w:ascii="Calibri" w:eastAsia="Calibri" w:hAnsi="Calibri" w:cs="Arial"/>
          <w:noProof/>
          <w:lang w:val="fr-FR" w:eastAsia="ro-RO"/>
        </w:rPr>
      </w:pPr>
      <w:r w:rsidRPr="00912B6C">
        <w:rPr>
          <w:rFonts w:ascii="Calibri" w:eastAsia="Calibri" w:hAnsi="Calibri" w:cs="Arial"/>
          <w:noProof/>
          <w:lang w:val="fr-FR" w:eastAsia="ro-RO"/>
        </w:rPr>
        <w:t>Evoluția impozitului pe profit la bugetul de stat, în structură, este următoarea:</w:t>
      </w:r>
    </w:p>
    <w:p w:rsidR="00912B6C" w:rsidRPr="00912B6C" w:rsidRDefault="00912B6C" w:rsidP="00912B6C">
      <w:pPr>
        <w:numPr>
          <w:ilvl w:val="0"/>
          <w:numId w:val="82"/>
        </w:numPr>
        <w:spacing w:after="160" w:line="276" w:lineRule="auto"/>
        <w:ind w:left="1134"/>
        <w:jc w:val="both"/>
        <w:rPr>
          <w:rFonts w:ascii="Calibri" w:hAnsi="Calibri" w:cs="Arial"/>
          <w:noProof/>
          <w:lang w:val="fr-FR" w:eastAsia="ro-RO"/>
        </w:rPr>
      </w:pPr>
      <w:r w:rsidRPr="00912B6C">
        <w:rPr>
          <w:rFonts w:ascii="Calibri" w:hAnsi="Calibri" w:cs="Arial"/>
          <w:noProof/>
          <w:lang w:val="fr-FR" w:eastAsia="ro-RO"/>
        </w:rPr>
        <w:t>impozitul pe profit virat de agenții economici</w:t>
      </w:r>
      <w:r w:rsidRPr="00912B6C">
        <w:rPr>
          <w:rFonts w:ascii="Calibri" w:hAnsi="Calibri" w:cs="Arial"/>
          <w:noProof/>
          <w:vertAlign w:val="superscript"/>
          <w:lang w:eastAsia="ro-RO"/>
        </w:rPr>
        <w:footnoteReference w:id="4"/>
      </w:r>
      <w:r w:rsidRPr="00912B6C">
        <w:rPr>
          <w:rFonts w:ascii="Calibri" w:hAnsi="Calibri" w:cs="Arial"/>
          <w:noProof/>
          <w:lang w:val="fr-FR" w:eastAsia="ro-RO"/>
        </w:rPr>
        <w:t xml:space="preserve"> prezintă o dinamică negativă în anul 2017 comparativ cu anul precedent, încasările înregistrând un nivel de 14,0 mld. lei, mai puțin cu 1,1 mld. lei comparativ cu anul precedent, reprezentând un grad de realizare de de 101,2% în program</w:t>
      </w:r>
      <w:r w:rsidRPr="00912B6C">
        <w:rPr>
          <w:rFonts w:ascii="Calibri" w:hAnsi="Calibri" w:cs="Arial"/>
          <w:lang w:val="fr-FR"/>
        </w:rPr>
        <w:t>;</w:t>
      </w:r>
    </w:p>
    <w:p w:rsidR="00912B6C" w:rsidRPr="00912B6C" w:rsidRDefault="00912B6C" w:rsidP="00912B6C">
      <w:pPr>
        <w:spacing w:line="276" w:lineRule="auto"/>
        <w:ind w:firstLine="426"/>
        <w:jc w:val="both"/>
        <w:rPr>
          <w:rFonts w:ascii="Calibri" w:eastAsia="Calibri" w:hAnsi="Calibri" w:cs="Arial"/>
          <w:noProof/>
          <w:lang w:val="fr-FR" w:eastAsia="ro-RO"/>
        </w:rPr>
      </w:pPr>
      <w:r w:rsidRPr="00912B6C">
        <w:rPr>
          <w:rFonts w:ascii="Calibri" w:eastAsia="Calibri" w:hAnsi="Calibri" w:cs="Arial"/>
          <w:noProof/>
          <w:lang w:val="fr-FR" w:eastAsia="ro-RO"/>
        </w:rPr>
        <w:t>Dintre potențialii factori ce au exercitat influențe asupra evoluției încasărilor pentru acest impozit, pot fi consemnați:</w:t>
      </w:r>
    </w:p>
    <w:p w:rsidR="00912B6C" w:rsidRPr="00912B6C" w:rsidRDefault="00912B6C" w:rsidP="00912B6C">
      <w:pPr>
        <w:spacing w:line="276" w:lineRule="auto"/>
        <w:jc w:val="both"/>
        <w:rPr>
          <w:rFonts w:ascii="Calibri" w:eastAsia="Calibri" w:hAnsi="Calibri" w:cs="Arial"/>
          <w:noProof/>
          <w:lang w:val="fr-FR" w:eastAsia="ro-RO"/>
        </w:rPr>
      </w:pPr>
    </w:p>
    <w:p w:rsidR="00912B6C" w:rsidRPr="00912B6C" w:rsidRDefault="00912B6C" w:rsidP="00912B6C">
      <w:pPr>
        <w:numPr>
          <w:ilvl w:val="0"/>
          <w:numId w:val="83"/>
        </w:numPr>
        <w:tabs>
          <w:tab w:val="left" w:pos="851"/>
        </w:tabs>
        <w:spacing w:after="160" w:line="276" w:lineRule="auto"/>
        <w:ind w:hanging="344"/>
        <w:contextualSpacing/>
        <w:jc w:val="both"/>
        <w:rPr>
          <w:rFonts w:ascii="Calibri" w:hAnsi="Calibri" w:cs="Arial"/>
          <w:noProof/>
          <w:lang w:val="fr-FR" w:eastAsia="ro-RO"/>
        </w:rPr>
      </w:pPr>
      <w:r w:rsidRPr="00912B6C">
        <w:rPr>
          <w:rFonts w:ascii="Calibri" w:hAnsi="Calibri" w:cs="Arial"/>
          <w:noProof/>
          <w:lang w:val="fr-FR" w:eastAsia="ro-RO"/>
        </w:rPr>
        <w:t>modificări ale sistemului de plată a impozitului datorat de societăți, conform dispozițiilor Legii  nr. 170/2016</w:t>
      </w:r>
      <w:r w:rsidRPr="00912B6C">
        <w:rPr>
          <w:rFonts w:ascii="Calibri" w:hAnsi="Calibri" w:cs="Arial"/>
          <w:noProof/>
          <w:lang w:eastAsia="ro-RO"/>
        </w:rPr>
        <w:footnoteReference w:id="5"/>
      </w:r>
      <w:r w:rsidRPr="00912B6C">
        <w:rPr>
          <w:rFonts w:ascii="Calibri" w:hAnsi="Calibri" w:cs="Arial"/>
          <w:noProof/>
          <w:lang w:val="fr-FR" w:eastAsia="ro-RO"/>
        </w:rPr>
        <w:t xml:space="preserve"> privind impozitul specific unor activităţi</w:t>
      </w:r>
    </w:p>
    <w:p w:rsidR="00912B6C" w:rsidRPr="00912B6C" w:rsidRDefault="00912B6C" w:rsidP="00912B6C">
      <w:pPr>
        <w:spacing w:line="276" w:lineRule="auto"/>
        <w:jc w:val="both"/>
        <w:rPr>
          <w:rFonts w:ascii="Calibri" w:hAnsi="Calibri" w:cs="Arial"/>
          <w:noProof/>
          <w:lang w:val="fr-FR" w:eastAsia="ro-RO"/>
        </w:rPr>
      </w:pPr>
      <w:r w:rsidRPr="00912B6C">
        <w:rPr>
          <w:rFonts w:ascii="Calibri" w:hAnsi="Calibri" w:cs="Arial"/>
          <w:noProof/>
          <w:lang w:val="fr-FR" w:eastAsia="ro-RO"/>
        </w:rPr>
        <w:t xml:space="preserve"> Actul normativ menționat cuprinde derogarea de la prevederile titlului II</w:t>
      </w:r>
      <w:r w:rsidRPr="00912B6C">
        <w:rPr>
          <w:rFonts w:ascii="Calibri" w:hAnsi="Calibri" w:cs="Arial"/>
          <w:noProof/>
          <w:vertAlign w:val="superscript"/>
          <w:lang w:eastAsia="ro-RO"/>
        </w:rPr>
        <w:footnoteReference w:id="6"/>
      </w:r>
      <w:r w:rsidRPr="00912B6C">
        <w:rPr>
          <w:rFonts w:ascii="Calibri" w:hAnsi="Calibri" w:cs="Arial"/>
          <w:noProof/>
          <w:lang w:val="fr-FR" w:eastAsia="ro-RO"/>
        </w:rPr>
        <w:t xml:space="preserve"> din Legea nr. 227/2015 privind Codul fiscal, cu modificările şi completările ulterioare, reglementând impozitul specific pentru persoanele juridice române care desfăşoară activităţi corespunzătoare codurilor CAEN: 5510 - "Hoteluri şi alte facilităţi de cazare similare", 5520 - "Facilităţi de cazare pentru vacanţe şi perioade de scurtă durată", 5530 - "Parcuri pentru rulote, campinguri şi tabere", 5590 - "Alte servicii de cazare", 5610 - "Restaurante", 5621 - "Activităţi de alimentaţie (catering) pentru evenimente", 5629 - "Alte servicii de alimentaţie n.c.a.", 5630 - "Baruri şi alte activităţi de servire a băuturilor". La finele anului 2017 s-au încasat 0,1 mld. lei, în condițiile în care prevederea privind plata acestui impozit a intrat în vigoare la 1 ianuarie 2017, declararea şi plata impozitului specific se efectuează pentru un semestru.</w:t>
      </w:r>
    </w:p>
    <w:p w:rsidR="00912B6C" w:rsidRPr="00912B6C" w:rsidRDefault="00912B6C" w:rsidP="00912B6C">
      <w:pPr>
        <w:spacing w:line="276" w:lineRule="auto"/>
        <w:jc w:val="both"/>
        <w:rPr>
          <w:rFonts w:ascii="Calibri" w:hAnsi="Calibri" w:cs="Arial"/>
          <w:noProof/>
          <w:lang w:val="fr-FR" w:eastAsia="ro-RO"/>
        </w:rPr>
      </w:pPr>
    </w:p>
    <w:p w:rsidR="00912B6C" w:rsidRPr="00912B6C" w:rsidRDefault="00912B6C" w:rsidP="00912B6C">
      <w:pPr>
        <w:numPr>
          <w:ilvl w:val="0"/>
          <w:numId w:val="83"/>
        </w:numPr>
        <w:spacing w:after="160" w:line="276" w:lineRule="auto"/>
        <w:ind w:firstLine="426"/>
        <w:contextualSpacing/>
        <w:jc w:val="both"/>
        <w:rPr>
          <w:rFonts w:ascii="Calibri" w:hAnsi="Calibri" w:cs="Arial"/>
          <w:noProof/>
          <w:lang w:val="fr-FR" w:eastAsia="ro-RO"/>
        </w:rPr>
      </w:pPr>
      <w:r w:rsidRPr="00912B6C">
        <w:rPr>
          <w:rFonts w:ascii="Calibri" w:hAnsi="Calibri" w:cs="Arial"/>
          <w:noProof/>
          <w:lang w:val="fr-FR" w:eastAsia="ro-RO"/>
        </w:rPr>
        <w:t>extinderea sferei de aplicare a prevederilor din "TITLUL III Impozitul pe veniturile microîntreprinderilor"</w:t>
      </w:r>
      <w:r w:rsidRPr="00912B6C">
        <w:rPr>
          <w:rFonts w:ascii="Calibri" w:hAnsi="Calibri" w:cs="Arial"/>
          <w:noProof/>
          <w:vertAlign w:val="superscript"/>
          <w:lang w:eastAsia="ro-RO"/>
        </w:rPr>
        <w:footnoteReference w:id="7"/>
      </w:r>
      <w:r w:rsidRPr="00912B6C">
        <w:rPr>
          <w:rFonts w:ascii="Calibri" w:hAnsi="Calibri" w:cs="Arial"/>
          <w:noProof/>
          <w:lang w:val="fr-FR" w:eastAsia="ro-RO"/>
        </w:rPr>
        <w:t xml:space="preserve"> pentru persoanele juridice române care au realizat venituri între echivalentul în lei a 100.000 euro si echivalentul în lei a 500.000 euro, totodată abrogându-se aplicarea cotei de 2% pentru microîntreprinderile care au un salariat și intrând în vigoare aplicarea cotei de 1% pentru microîntreprinderile care au unul sau mai mulţi salariaţi</w:t>
      </w:r>
      <w:r w:rsidRPr="00912B6C">
        <w:rPr>
          <w:rFonts w:ascii="Calibri" w:hAnsi="Calibri" w:cs="Arial"/>
          <w:noProof/>
          <w:vertAlign w:val="superscript"/>
          <w:lang w:eastAsia="ro-RO"/>
        </w:rPr>
        <w:footnoteReference w:id="8"/>
      </w:r>
    </w:p>
    <w:p w:rsidR="00912B6C" w:rsidRPr="00912B6C" w:rsidRDefault="00912B6C" w:rsidP="00912B6C">
      <w:pPr>
        <w:spacing w:line="276" w:lineRule="auto"/>
        <w:ind w:left="1196"/>
        <w:contextualSpacing/>
        <w:jc w:val="both"/>
        <w:rPr>
          <w:rFonts w:ascii="Calibri" w:hAnsi="Calibri" w:cs="Arial"/>
          <w:noProof/>
          <w:lang w:val="fr-FR" w:eastAsia="ro-RO"/>
        </w:rPr>
      </w:pPr>
    </w:p>
    <w:p w:rsidR="00912B6C" w:rsidRPr="00912B6C" w:rsidRDefault="00912B6C" w:rsidP="00912B6C">
      <w:pPr>
        <w:spacing w:line="276" w:lineRule="auto"/>
        <w:jc w:val="both"/>
        <w:rPr>
          <w:rFonts w:ascii="Calibri" w:hAnsi="Calibri" w:cs="Arial"/>
          <w:noProof/>
          <w:lang w:val="fr-FR" w:eastAsia="ro-RO"/>
        </w:rPr>
      </w:pPr>
      <w:r w:rsidRPr="00912B6C">
        <w:rPr>
          <w:rFonts w:ascii="Calibri" w:hAnsi="Calibri" w:cs="Arial"/>
          <w:noProof/>
          <w:lang w:val="fr-FR" w:eastAsia="ro-RO"/>
        </w:rPr>
        <w:t xml:space="preserve">Astfel, încasările din impozitul pe venitul microîntreprinderilor în anul 2017 au fost de 1,3 mld. lei,  prezentând o creștere cu 0,5 mld. lei (+59,1%)  comparativ cu anul 2016. </w:t>
      </w:r>
    </w:p>
    <w:p w:rsidR="00912B6C" w:rsidRPr="00912B6C" w:rsidRDefault="00912B6C" w:rsidP="00912B6C">
      <w:pPr>
        <w:spacing w:line="276" w:lineRule="auto"/>
        <w:jc w:val="both"/>
        <w:rPr>
          <w:rFonts w:ascii="Calibri" w:eastAsia="Calibri" w:hAnsi="Calibri" w:cs="Arial"/>
          <w:noProof/>
          <w:lang w:val="fr-FR" w:eastAsia="ro-RO"/>
        </w:rPr>
      </w:pPr>
      <w:r w:rsidRPr="00912B6C">
        <w:rPr>
          <w:rFonts w:ascii="Calibri" w:eastAsia="Calibri" w:hAnsi="Calibri" w:cs="Arial"/>
          <w:noProof/>
          <w:lang w:val="fr-FR" w:eastAsia="ro-RO"/>
        </w:rPr>
        <w:t>Cu toate că nivelul încasărilor din impozitul pe profit de la agenții economici s-a redus comparativ cu anul precedent, în anul 2017 comparativ cu anul 2016, în termeni nominali, cifra de afaceri din serviciile de piaţă prestate în principal întreprinderilor, serie brută, a crescut pe ansamblu cu 12,8%, datorită creşterilor înregistrate la transporturi (+15,7%), alte servicii furnizate în principal întreprinderilor (+15,4%), activităţile de  producţie cinematografică, video, programe de televiziune; difuzare şi transmitere de programe (+14,0%), activităţile de servicii informatice şi în tehnologia informaţiei (+4,3%) şi la comunicaţii (+4,2%).</w:t>
      </w:r>
      <w:r w:rsidRPr="00912B6C">
        <w:rPr>
          <w:rFonts w:ascii="Calibri" w:eastAsia="Calibri" w:hAnsi="Calibri" w:cs="Arial"/>
          <w:noProof/>
          <w:vertAlign w:val="superscript"/>
          <w:lang w:eastAsia="ro-RO"/>
        </w:rPr>
        <w:footnoteReference w:id="9"/>
      </w:r>
    </w:p>
    <w:p w:rsidR="00912B6C" w:rsidRPr="00912B6C" w:rsidRDefault="00912B6C" w:rsidP="00912B6C">
      <w:pPr>
        <w:spacing w:line="276" w:lineRule="auto"/>
        <w:ind w:firstLine="624"/>
        <w:jc w:val="both"/>
        <w:rPr>
          <w:rFonts w:ascii="Calibri" w:eastAsia="Calibri" w:hAnsi="Calibri" w:cs="Arial"/>
          <w:noProof/>
          <w:lang w:val="fr-FR" w:eastAsia="ro-RO"/>
        </w:rPr>
      </w:pPr>
      <w:r w:rsidRPr="00912B6C">
        <w:rPr>
          <w:rFonts w:ascii="Calibri" w:eastAsia="Calibri" w:hAnsi="Calibri" w:cs="Arial"/>
          <w:noProof/>
          <w:lang w:val="fr-FR" w:eastAsia="ro-RO"/>
        </w:rPr>
        <w:t>De asemenea, cifra de afaceri din comerţul cu ridicata (cu excepţia comerţului cu autovehicule şi motociclete), serie brută, în anul 2017 comparativ cu anul 2016, în termeni nominali, a înregistrat o creştere cu 7,5% datorită creşterii comerţului cu ridicata nespecializat (+16,5%), comerţului cu ridicata specializat al altor produse (+14,6%), comerţului cu ridicata al bunurilor de consum, altele decât cele alimentare (+6,8%), comerţului cu ridicata al produselor alimentare, al băuturilor şi al tutunului (+5,9%), comerţului cu  ridicata al produselor agricole brute şi al animalelor vii (+5,2%) şi comerţulul cu ridicata al altor maşini, echipamente şi furnituri (+5,0%).</w:t>
      </w:r>
      <w:r w:rsidRPr="00912B6C">
        <w:rPr>
          <w:rFonts w:ascii="Calibri" w:eastAsia="Calibri" w:hAnsi="Calibri" w:cs="Arial"/>
          <w:noProof/>
          <w:vertAlign w:val="superscript"/>
          <w:lang w:eastAsia="ro-RO"/>
        </w:rPr>
        <w:footnoteReference w:id="10"/>
      </w:r>
      <w:r w:rsidRPr="00912B6C">
        <w:rPr>
          <w:rFonts w:ascii="Calibri" w:eastAsia="Calibri" w:hAnsi="Calibri" w:cs="Arial"/>
          <w:noProof/>
          <w:lang w:val="fr-FR" w:eastAsia="ro-RO"/>
        </w:rPr>
        <w:t> </w:t>
      </w:r>
    </w:p>
    <w:p w:rsidR="00912B6C" w:rsidRPr="00912B6C" w:rsidRDefault="00912B6C" w:rsidP="00912B6C">
      <w:pPr>
        <w:spacing w:line="276" w:lineRule="auto"/>
        <w:ind w:left="1134"/>
        <w:jc w:val="both"/>
        <w:rPr>
          <w:rFonts w:ascii="Calibri" w:hAnsi="Calibri" w:cs="Arial"/>
          <w:noProof/>
          <w:lang w:val="fr-FR" w:eastAsia="ro-RO"/>
        </w:rPr>
      </w:pPr>
    </w:p>
    <w:p w:rsidR="00912B6C" w:rsidRPr="00912B6C" w:rsidRDefault="00912B6C" w:rsidP="00912B6C">
      <w:pPr>
        <w:numPr>
          <w:ilvl w:val="0"/>
          <w:numId w:val="82"/>
        </w:numPr>
        <w:spacing w:after="160" w:line="276" w:lineRule="auto"/>
        <w:ind w:left="1134"/>
        <w:jc w:val="both"/>
        <w:rPr>
          <w:rFonts w:ascii="Calibri" w:hAnsi="Calibri" w:cs="Arial"/>
          <w:noProof/>
          <w:lang w:val="fr-FR" w:eastAsia="ro-RO"/>
        </w:rPr>
      </w:pPr>
      <w:r w:rsidRPr="00912B6C">
        <w:rPr>
          <w:rFonts w:ascii="Calibri" w:hAnsi="Calibri" w:cs="Arial"/>
          <w:noProof/>
          <w:lang w:val="fr-FR" w:eastAsia="ro-RO"/>
        </w:rPr>
        <w:t>impozitul pe profit virat de băncile comerciale</w:t>
      </w:r>
      <w:r w:rsidRPr="00912B6C">
        <w:rPr>
          <w:rFonts w:ascii="Calibri" w:hAnsi="Calibri" w:cs="Arial"/>
          <w:noProof/>
          <w:vertAlign w:val="superscript"/>
          <w:lang w:eastAsia="ro-RO"/>
        </w:rPr>
        <w:footnoteReference w:id="11"/>
      </w:r>
      <w:r w:rsidRPr="00912B6C">
        <w:rPr>
          <w:rFonts w:ascii="Calibri" w:hAnsi="Calibri" w:cs="Arial"/>
          <w:noProof/>
          <w:lang w:val="fr-FR" w:eastAsia="ro-RO"/>
        </w:rPr>
        <w:t xml:space="preserve"> prezintă un trend crescător în anul 2017 comparativ cu anul 2016,  cu un nivel al încasărilor de 0,7 mld. lei, având un grad de realizare 107,1%  în programul.</w:t>
      </w:r>
    </w:p>
    <w:p w:rsidR="00912B6C" w:rsidRPr="00912B6C" w:rsidRDefault="00912B6C" w:rsidP="00912B6C">
      <w:pPr>
        <w:jc w:val="both"/>
        <w:rPr>
          <w:rFonts w:ascii="Calibri" w:hAnsi="Calibri" w:cs="Arial"/>
          <w:noProof/>
          <w:lang w:val="fr-FR" w:eastAsia="ro-RO"/>
        </w:rPr>
      </w:pPr>
    </w:p>
    <w:p w:rsidR="00912B6C" w:rsidRPr="00912B6C" w:rsidRDefault="00912B6C" w:rsidP="00912B6C">
      <w:pPr>
        <w:spacing w:after="120" w:line="276" w:lineRule="auto"/>
        <w:ind w:right="-57" w:firstLine="624"/>
        <w:jc w:val="both"/>
        <w:rPr>
          <w:rFonts w:ascii="Calibri" w:eastAsia="Calibri" w:hAnsi="Calibri" w:cs="Arial"/>
          <w:noProof/>
          <w:lang w:val="fr-FR" w:eastAsia="ro-RO"/>
        </w:rPr>
      </w:pPr>
      <w:r w:rsidRPr="00912B6C">
        <w:rPr>
          <w:rFonts w:ascii="Calibri" w:eastAsia="Calibri" w:hAnsi="Calibri" w:cs="Arial"/>
          <w:lang w:val="fr-FR"/>
        </w:rPr>
        <w:t xml:space="preserve">Încasările din </w:t>
      </w:r>
      <w:r w:rsidRPr="00912B6C">
        <w:rPr>
          <w:rFonts w:ascii="Calibri" w:eastAsia="Calibri" w:hAnsi="Calibri" w:cs="Arial"/>
          <w:b/>
          <w:bCs/>
          <w:lang w:val="fr-FR"/>
        </w:rPr>
        <w:t>impozitul pe venit și salarii</w:t>
      </w:r>
      <w:r w:rsidRPr="00912B6C">
        <w:rPr>
          <w:rFonts w:ascii="Calibri" w:eastAsia="Calibri" w:hAnsi="Calibri" w:cs="Arial"/>
          <w:lang w:val="fr-FR"/>
        </w:rPr>
        <w:t xml:space="preserve"> au înregistrat o creștere cu 8,6%, </w:t>
      </w:r>
      <w:r w:rsidRPr="00912B6C">
        <w:rPr>
          <w:rFonts w:ascii="Calibri" w:eastAsia="Calibri" w:hAnsi="Calibri" w:cs="Arial"/>
          <w:noProof/>
          <w:lang w:val="fr-FR" w:eastAsia="ro-RO"/>
        </w:rPr>
        <w:t>dinamica pozitivă  fiind influențată de creșterea fondului brut de salarii la nivel național  cu 18%</w:t>
      </w:r>
      <w:r w:rsidRPr="00912B6C">
        <w:rPr>
          <w:rFonts w:ascii="Calibri" w:eastAsia="Calibri" w:hAnsi="Calibri" w:cs="Arial"/>
          <w:noProof/>
          <w:vertAlign w:val="superscript"/>
          <w:lang w:eastAsia="ro-RO"/>
        </w:rPr>
        <w:footnoteReference w:id="12"/>
      </w:r>
      <w:r w:rsidRPr="00912B6C">
        <w:rPr>
          <w:rFonts w:ascii="Calibri" w:eastAsia="Calibri" w:hAnsi="Calibri" w:cs="Arial"/>
          <w:noProof/>
          <w:lang w:val="fr-FR" w:eastAsia="ro-RO"/>
        </w:rPr>
        <w:t>precum și de majorarea de la 1 februarie 2017 a salariului de bază minim brut pe țară de la 1250 lei la 1450 lei.</w:t>
      </w:r>
    </w:p>
    <w:p w:rsidR="00912B6C" w:rsidRPr="00912B6C" w:rsidRDefault="00912B6C" w:rsidP="00912B6C">
      <w:pPr>
        <w:spacing w:after="120" w:line="276" w:lineRule="auto"/>
        <w:ind w:right="-57" w:firstLine="624"/>
        <w:jc w:val="both"/>
        <w:rPr>
          <w:rFonts w:ascii="Calibri" w:eastAsia="Calibri" w:hAnsi="Calibri" w:cs="Arial"/>
          <w:noProof/>
          <w:lang w:val="fr-FR" w:eastAsia="ro-RO"/>
        </w:rPr>
      </w:pPr>
      <w:r w:rsidRPr="00912B6C">
        <w:rPr>
          <w:rFonts w:ascii="Calibri" w:eastAsia="Calibri" w:hAnsi="Calibri" w:cs="Arial"/>
          <w:noProof/>
          <w:lang w:val="fr-FR" w:eastAsia="ro-RO"/>
        </w:rPr>
        <w:t>O evoluție negativă a înregistrat impozitul pe veniturile din pensii (-35%) influențată de măsurile legislative privind  creșterea plafonului neimpozabil lunar la veniturile din pensii  de la 1000 lei la 2000 lei și scutirea pensionarilor de la plata contribuțiilor de asigurări sociale de sănătate (începând cu luna februarie 2017).</w:t>
      </w:r>
    </w:p>
    <w:p w:rsidR="00912B6C" w:rsidRPr="00912B6C" w:rsidRDefault="00912B6C" w:rsidP="00912B6C">
      <w:pPr>
        <w:spacing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 xml:space="preserve">impozitele şi taxele pe proprietate </w:t>
      </w:r>
      <w:r w:rsidRPr="00912B6C">
        <w:rPr>
          <w:rFonts w:ascii="Calibri" w:eastAsia="Calibri" w:hAnsi="Calibri" w:cs="Arial"/>
          <w:bCs/>
          <w:lang w:val="fr-FR"/>
        </w:rPr>
        <w:t>s-</w:t>
      </w:r>
      <w:r w:rsidRPr="00912B6C">
        <w:rPr>
          <w:rFonts w:ascii="Calibri" w:eastAsia="Calibri" w:hAnsi="Calibri" w:cs="Arial"/>
          <w:lang w:val="fr-FR"/>
        </w:rPr>
        <w:t>au diminuat cu 9,1% comparativ cu anul 2016, iar ca raport în PIB s-au diminuat cu 0,2 pp, gradul de realizare al programului fiind de 98,7%.</w:t>
      </w:r>
    </w:p>
    <w:p w:rsidR="00912B6C" w:rsidRPr="00912B6C" w:rsidRDefault="00912B6C" w:rsidP="00912B6C">
      <w:pPr>
        <w:spacing w:after="120" w:line="276" w:lineRule="auto"/>
        <w:ind w:firstLine="709"/>
        <w:jc w:val="both"/>
        <w:rPr>
          <w:rFonts w:ascii="Calibri" w:eastAsia="Calibri" w:hAnsi="Calibri" w:cs="Arial"/>
          <w:lang w:val="fr-FR"/>
        </w:rPr>
      </w:pPr>
      <w:r w:rsidRPr="00912B6C">
        <w:rPr>
          <w:rFonts w:ascii="Calibri" w:eastAsia="Calibri" w:hAnsi="Calibri" w:cs="Arial"/>
          <w:lang w:val="fr-FR"/>
        </w:rPr>
        <w:t>Diminuarea încasărilor comparativ cu anul precedent s-a datorat reducerii încasărilor din impozite și taxe pe proprietate la bugetul de stat (-91,0%) pe fondul eliminării impozitului pe construcții speciale începând cu anul 2017.</w:t>
      </w:r>
    </w:p>
    <w:p w:rsidR="00912B6C" w:rsidRPr="00912B6C" w:rsidRDefault="00912B6C" w:rsidP="00912B6C">
      <w:pPr>
        <w:spacing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TVA</w:t>
      </w:r>
      <w:r w:rsidRPr="00912B6C">
        <w:rPr>
          <w:rFonts w:ascii="Calibri" w:eastAsia="Calibri" w:hAnsi="Calibri" w:cs="Arial"/>
          <w:lang w:val="fr-FR"/>
        </w:rPr>
        <w:t xml:space="preserve"> au înregistrat o creștere cu 3,6% comparativ cu anul anterior gradul de realizare al programului de încasări fiind de 101,3%. </w:t>
      </w:r>
    </w:p>
    <w:p w:rsidR="00912B6C" w:rsidRPr="00912B6C" w:rsidRDefault="00912B6C" w:rsidP="00912B6C">
      <w:pPr>
        <w:autoSpaceDE w:val="0"/>
        <w:autoSpaceDN w:val="0"/>
        <w:adjustRightInd w:val="0"/>
        <w:spacing w:line="276" w:lineRule="auto"/>
        <w:ind w:firstLine="624"/>
        <w:jc w:val="both"/>
        <w:rPr>
          <w:rFonts w:ascii="Calibri" w:eastAsia="Calibri" w:hAnsi="Calibri" w:cs="Arial"/>
          <w:lang w:val="fr-FR"/>
        </w:rPr>
      </w:pPr>
      <w:r w:rsidRPr="00912B6C">
        <w:rPr>
          <w:rFonts w:ascii="Calibri" w:eastAsia="Calibri" w:hAnsi="Calibri" w:cs="Arial"/>
          <w:noProof/>
          <w:lang w:val="fr-FR" w:eastAsia="ro-RO"/>
        </w:rPr>
        <w:t xml:space="preserve">Comparativ cu veniturile încasate în aceeași perioadă a anului precedent, veniturile din taxa pe valoare adăugată au înregistrat o creștere de 1,9 mld.lei,  </w:t>
      </w:r>
      <w:r w:rsidRPr="00912B6C">
        <w:rPr>
          <w:rFonts w:ascii="Calibri" w:eastAsia="Calibri" w:hAnsi="Calibri" w:cs="Arial"/>
          <w:lang w:val="fr-FR"/>
        </w:rPr>
        <w:t>în condițiile în care  a fost aplicată  măsura de reducere a cotei standard de TVA de la 20% la 19% începând cu 1 ianuarie 2017,măsură care s-a reflectat în încasări începând cu luna februarie 2017.</w:t>
      </w:r>
    </w:p>
    <w:p w:rsidR="00912B6C" w:rsidRPr="00912B6C" w:rsidRDefault="00912B6C" w:rsidP="00912B6C">
      <w:pPr>
        <w:autoSpaceDE w:val="0"/>
        <w:autoSpaceDN w:val="0"/>
        <w:adjustRightInd w:val="0"/>
        <w:spacing w:line="276" w:lineRule="auto"/>
        <w:ind w:firstLine="624"/>
        <w:jc w:val="both"/>
        <w:rPr>
          <w:rFonts w:ascii="Calibri" w:eastAsia="Calibri" w:hAnsi="Calibri" w:cs="Arial"/>
          <w:noProof/>
          <w:lang w:val="fr-FR" w:eastAsia="ro-RO"/>
        </w:rPr>
      </w:pPr>
    </w:p>
    <w:p w:rsidR="00912B6C" w:rsidRPr="00912B6C" w:rsidRDefault="00912B6C" w:rsidP="00912B6C">
      <w:pPr>
        <w:autoSpaceDE w:val="0"/>
        <w:autoSpaceDN w:val="0"/>
        <w:adjustRightInd w:val="0"/>
        <w:spacing w:line="276" w:lineRule="auto"/>
        <w:ind w:firstLine="720"/>
        <w:jc w:val="both"/>
        <w:rPr>
          <w:rFonts w:ascii="Calibri" w:eastAsia="Calibri" w:hAnsi="Calibri" w:cs="Arial"/>
          <w:noProof/>
          <w:lang w:val="fr-FR" w:eastAsia="ro-RO"/>
        </w:rPr>
      </w:pPr>
      <w:r w:rsidRPr="00912B6C">
        <w:rPr>
          <w:rFonts w:ascii="Calibri" w:eastAsia="Calibri" w:hAnsi="Calibri" w:cs="Arial"/>
          <w:noProof/>
          <w:lang w:val="fr-FR" w:eastAsia="ro-RO"/>
        </w:rPr>
        <w:t>În structură, veniturile încasate din TVA  în  anul 2017 se prezintă astfel:</w:t>
      </w:r>
    </w:p>
    <w:p w:rsidR="00912B6C" w:rsidRPr="00912B6C" w:rsidRDefault="00912B6C" w:rsidP="00912B6C">
      <w:pPr>
        <w:numPr>
          <w:ilvl w:val="0"/>
          <w:numId w:val="84"/>
        </w:numPr>
        <w:spacing w:after="160" w:line="276" w:lineRule="auto"/>
        <w:ind w:left="1440" w:hanging="164"/>
        <w:jc w:val="both"/>
        <w:rPr>
          <w:rFonts w:ascii="Calibri" w:hAnsi="Calibri" w:cs="Arial"/>
          <w:noProof/>
          <w:lang w:val="fr-FR" w:eastAsia="ro-RO"/>
        </w:rPr>
      </w:pPr>
      <w:r w:rsidRPr="00912B6C">
        <w:rPr>
          <w:rFonts w:ascii="Calibri" w:hAnsi="Calibri" w:cs="Arial"/>
          <w:noProof/>
          <w:lang w:val="fr-FR" w:eastAsia="ro-RO"/>
        </w:rPr>
        <w:t>încasările din operaţiuni interne au crescut cu 1,7%, în condițiile în care volumul cifrei de afaceri pentru comerţul cu amănuntul (cu excepţia comerţului cu autovehicule şi motociclete),  serie  brută,  în  perioada  1.I</w:t>
      </w:r>
      <w:r w:rsidRPr="00912B6C">
        <w:rPr>
          <w:rFonts w:ascii="Calibri" w:hAnsi="Calibri" w:cs="Cambria Math"/>
          <w:noProof/>
          <w:lang w:val="fr-FR" w:eastAsia="ro-RO"/>
        </w:rPr>
        <w:t>‐</w:t>
      </w:r>
      <w:r w:rsidRPr="00912B6C">
        <w:rPr>
          <w:rFonts w:ascii="Calibri" w:hAnsi="Calibri" w:cs="Arial"/>
          <w:noProof/>
          <w:lang w:val="fr-FR" w:eastAsia="ro-RO"/>
        </w:rPr>
        <w:t xml:space="preserve"> 30.XI.2017,  comparativ  cu  perioada  1.I</w:t>
      </w:r>
      <w:r w:rsidRPr="00912B6C">
        <w:rPr>
          <w:rFonts w:ascii="Calibri" w:hAnsi="Calibri" w:cs="Cambria Math"/>
          <w:noProof/>
          <w:lang w:val="fr-FR" w:eastAsia="ro-RO"/>
        </w:rPr>
        <w:t>‐</w:t>
      </w:r>
      <w:r w:rsidRPr="00912B6C">
        <w:rPr>
          <w:rFonts w:ascii="Calibri" w:hAnsi="Calibri" w:cs="Arial"/>
          <w:noProof/>
          <w:lang w:val="fr-FR" w:eastAsia="ro-RO"/>
        </w:rPr>
        <w:t>30.XI.2016</w:t>
      </w:r>
      <w:r w:rsidRPr="00912B6C">
        <w:rPr>
          <w:rFonts w:ascii="Calibri" w:hAnsi="Calibri" w:cs="Arial"/>
          <w:noProof/>
          <w:vertAlign w:val="superscript"/>
          <w:lang w:eastAsia="ro-RO"/>
        </w:rPr>
        <w:footnoteReference w:id="13"/>
      </w:r>
      <w:r w:rsidRPr="00912B6C">
        <w:rPr>
          <w:rFonts w:ascii="Calibri" w:hAnsi="Calibri" w:cs="Arial"/>
          <w:noProof/>
          <w:lang w:val="fr-FR" w:eastAsia="ro-RO"/>
        </w:rPr>
        <w:t xml:space="preserve"> a  înregistrat  o  creştere  cu  10,3%,</w:t>
      </w:r>
    </w:p>
    <w:p w:rsidR="00912B6C" w:rsidRPr="00912B6C" w:rsidRDefault="00912B6C" w:rsidP="00912B6C">
      <w:pPr>
        <w:spacing w:line="276" w:lineRule="auto"/>
        <w:ind w:firstLine="1276"/>
        <w:rPr>
          <w:rFonts w:ascii="Calibri" w:eastAsia="Calibri" w:hAnsi="Calibri" w:cs="Arial"/>
          <w:noProof/>
          <w:lang w:val="fr-FR" w:eastAsia="ro-RO"/>
        </w:rPr>
      </w:pPr>
      <w:r w:rsidRPr="00912B6C">
        <w:rPr>
          <w:rFonts w:ascii="Calibri" w:eastAsia="Calibri" w:hAnsi="Calibri" w:cs="Arial"/>
          <w:noProof/>
          <w:lang w:val="fr-FR" w:eastAsia="ro-RO"/>
        </w:rPr>
        <w:t>-  încasările din importurile de bunuri au crescut  cu 7%,</w:t>
      </w:r>
    </w:p>
    <w:p w:rsidR="00912B6C" w:rsidRPr="00912B6C" w:rsidRDefault="00912B6C" w:rsidP="00912B6C">
      <w:pPr>
        <w:spacing w:line="276" w:lineRule="auto"/>
        <w:ind w:left="1276"/>
        <w:rPr>
          <w:rFonts w:ascii="Calibri" w:eastAsia="Calibri" w:hAnsi="Calibri" w:cs="Arial"/>
          <w:noProof/>
          <w:lang w:val="fr-FR" w:eastAsia="ro-RO"/>
        </w:rPr>
      </w:pPr>
      <w:r w:rsidRPr="00912B6C">
        <w:rPr>
          <w:rFonts w:ascii="Calibri" w:eastAsia="Calibri" w:hAnsi="Calibri" w:cs="Arial"/>
          <w:noProof/>
          <w:lang w:val="fr-FR" w:eastAsia="ro-RO"/>
        </w:rPr>
        <w:t>-  valoarea restituirilor de taxă pe valoare adăugată a scăzut cu 3%.</w:t>
      </w:r>
    </w:p>
    <w:p w:rsidR="00912B6C" w:rsidRPr="00912B6C" w:rsidRDefault="00912B6C" w:rsidP="00912B6C">
      <w:pPr>
        <w:spacing w:after="120" w:line="276" w:lineRule="auto"/>
        <w:ind w:firstLine="720"/>
        <w:jc w:val="both"/>
        <w:rPr>
          <w:rFonts w:ascii="Calibri" w:eastAsia="Calibri" w:hAnsi="Calibri" w:cs="Arial"/>
          <w:noProof/>
          <w:lang w:val="fr-FR" w:eastAsia="ro-RO"/>
        </w:rPr>
      </w:pPr>
      <w:r w:rsidRPr="00912B6C">
        <w:rPr>
          <w:rFonts w:ascii="Calibri" w:eastAsia="Calibri" w:hAnsi="Calibri" w:cs="Arial"/>
          <w:noProof/>
          <w:lang w:val="fr-FR" w:eastAsia="ro-RO"/>
        </w:rPr>
        <w:t>Referitor l</w:t>
      </w:r>
      <w:r w:rsidRPr="00912B6C">
        <w:rPr>
          <w:rFonts w:ascii="Calibri" w:eastAsia="Calibri" w:hAnsi="Calibri" w:cs="Arial"/>
          <w:lang w:val="fr-FR"/>
        </w:rPr>
        <w:t>a valoarea schimburilor extracomunitare de bunuri</w:t>
      </w:r>
      <w:r w:rsidRPr="00912B6C">
        <w:rPr>
          <w:rFonts w:ascii="Calibri" w:eastAsia="Calibri" w:hAnsi="Calibri" w:cs="Arial"/>
          <w:vertAlign w:val="superscript"/>
        </w:rPr>
        <w:footnoteReference w:id="14"/>
      </w:r>
      <w:r w:rsidRPr="00912B6C">
        <w:rPr>
          <w:rFonts w:ascii="Calibri" w:eastAsia="Calibri" w:hAnsi="Calibri" w:cs="Arial"/>
          <w:lang w:val="fr-FR"/>
        </w:rPr>
        <w:t xml:space="preserve"> (Extra-UE28) aceasta a crescut cu 21,2%  la importuri  și cu 8,7% la exporturi (la valori exprimate în lei) în perioada 1.I-30.XI. 2017 comparativ cu perioada similară a anului precedent. </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accize</w:t>
      </w:r>
      <w:r w:rsidRPr="00912B6C">
        <w:rPr>
          <w:rFonts w:ascii="Calibri" w:eastAsia="Calibri" w:hAnsi="Calibri" w:cs="Arial"/>
          <w:lang w:val="fr-FR"/>
        </w:rPr>
        <w:t xml:space="preserve"> au fost în sumă de 26,6 miliarde lei în scădere cu 1,3% comparativ cu anul anterior și un grad de realizare al programului anual de 99,8%.</w:t>
      </w:r>
    </w:p>
    <w:p w:rsidR="00912B6C" w:rsidRPr="00912B6C" w:rsidRDefault="00912B6C" w:rsidP="00912B6C">
      <w:pPr>
        <w:autoSpaceDE w:val="0"/>
        <w:autoSpaceDN w:val="0"/>
        <w:adjustRightInd w:val="0"/>
        <w:spacing w:line="276" w:lineRule="auto"/>
        <w:ind w:firstLine="709"/>
        <w:jc w:val="both"/>
        <w:rPr>
          <w:rFonts w:ascii="Calibri" w:eastAsia="Calibri" w:hAnsi="Calibri" w:cs="Arial"/>
          <w:lang w:val="fr-FR" w:eastAsia="ar-SA"/>
        </w:rPr>
      </w:pPr>
      <w:r w:rsidRPr="00912B6C">
        <w:rPr>
          <w:rFonts w:ascii="Calibri" w:eastAsia="Calibri" w:hAnsi="Calibri" w:cs="Arial"/>
          <w:lang w:val="fr-FR" w:eastAsia="ar-SA"/>
        </w:rPr>
        <w:t>Încasările din accize la produse energetice pentru anul 2017 au înregistrat 14,3 mld. lei reprezentând 53,8 % din total încasări an, fiind diminuate cu 6,0 % față de aceeași perioadă a anului precedent. Încasările din accize la produse energetice au fost influențate din punct de vedere legislativ de intrarea în vigoare începând cu 1 ianuarie 2017 a prevederilor Legii nr 227/2015 referitoare la micșorarea nivelului accizelor la produsele energetice.</w:t>
      </w:r>
    </w:p>
    <w:p w:rsidR="00912B6C" w:rsidRPr="00912B6C" w:rsidRDefault="00912B6C" w:rsidP="00912B6C">
      <w:pPr>
        <w:autoSpaceDE w:val="0"/>
        <w:autoSpaceDN w:val="0"/>
        <w:adjustRightInd w:val="0"/>
        <w:spacing w:line="276" w:lineRule="auto"/>
        <w:jc w:val="both"/>
        <w:rPr>
          <w:rFonts w:ascii="Calibri" w:eastAsia="Calibri" w:hAnsi="Calibri" w:cs="Arial"/>
          <w:lang w:val="fr-FR" w:eastAsia="ar-SA"/>
        </w:rPr>
      </w:pPr>
      <w:r w:rsidRPr="00912B6C">
        <w:rPr>
          <w:rFonts w:ascii="Calibri" w:eastAsia="Calibri" w:hAnsi="Calibri" w:cs="Arial"/>
          <w:lang w:val="fr-FR" w:eastAsia="ar-SA"/>
        </w:rPr>
        <w:t xml:space="preserve">            Încasările din accize la tutun la bugetul de stat pentru anul 2017 au înregistrat 9,8 mld. lei reprezentând 39,1 % din total încasări an, fiind mai mari cu 5,3 % față de aceeași perioadă a anului precedent.</w:t>
      </w:r>
    </w:p>
    <w:p w:rsidR="00912B6C" w:rsidRPr="00912B6C" w:rsidRDefault="00912B6C" w:rsidP="00912B6C">
      <w:pPr>
        <w:autoSpaceDE w:val="0"/>
        <w:autoSpaceDN w:val="0"/>
        <w:adjustRightInd w:val="0"/>
        <w:spacing w:after="120" w:line="276" w:lineRule="auto"/>
        <w:ind w:firstLine="709"/>
        <w:jc w:val="both"/>
        <w:rPr>
          <w:rFonts w:ascii="Calibri" w:eastAsia="Calibri" w:hAnsi="Calibri" w:cs="Arial"/>
          <w:lang w:val="fr-FR"/>
        </w:rPr>
      </w:pPr>
      <w:r w:rsidRPr="00912B6C">
        <w:rPr>
          <w:rFonts w:ascii="Calibri" w:eastAsia="Calibri" w:hAnsi="Calibri" w:cs="Arial"/>
          <w:lang w:val="fr-FR"/>
        </w:rPr>
        <w:t xml:space="preserve">Încasările din accizele la tutun din anul 2016 au prezentat un trend atipic față de cele din anii anteriori, fiind influențate de </w:t>
      </w:r>
      <w:r w:rsidRPr="00912B6C">
        <w:rPr>
          <w:rFonts w:ascii="Calibri" w:eastAsia="Calibri" w:hAnsi="Calibri" w:cs="Arial"/>
          <w:noProof/>
          <w:lang w:val="fr-FR" w:eastAsia="ro-RO"/>
        </w:rPr>
        <w:t>incertitudinile legate de data aprobării transpuneriiDirectivei tutunului în legislația națională, care aducea modificării majore condițiilor de fabricație și vânzare a produselor din tutun. În noiembrie 2016 a fost aprobată Legea 201/2016 care a eliminat incertitudinile existente. Nivelul</w:t>
      </w:r>
      <w:r w:rsidRPr="00912B6C">
        <w:rPr>
          <w:rFonts w:ascii="Calibri" w:eastAsia="Calibri" w:hAnsi="Calibri" w:cs="Arial"/>
          <w:color w:val="000000"/>
          <w:lang w:val="fr-FR" w:eastAsia="ro-RO"/>
        </w:rPr>
        <w:t xml:space="preserve"> accizei a crescut de la 430,71 lei/1000 de țigarete în 2016 la 435,58 lei/1000 țigarete în 2017 conform unui calendar aprobat pentru perioada 2017-2022, al accizelor pentru unele produse din tutun prelucrat, precum: țigarete, tutun de fumat fin tăiat, destinat rulării în țigarete și alte tutunuri de fumat. În acest sens, începând cu 24 iulie 2017, nivelul accizelor pentru țigarete a fost majorat de la 435,58 lei/1000 țigarete la 439,94 lei/1000 țigarete.</w:t>
      </w:r>
    </w:p>
    <w:p w:rsidR="00912B6C" w:rsidRPr="00912B6C" w:rsidRDefault="00912B6C" w:rsidP="00912B6C">
      <w:pPr>
        <w:spacing w:after="120" w:line="276" w:lineRule="auto"/>
        <w:ind w:firstLine="709"/>
        <w:jc w:val="both"/>
        <w:rPr>
          <w:rFonts w:ascii="Calibri" w:eastAsia="Calibri" w:hAnsi="Calibri" w:cs="Arial"/>
          <w:bCs/>
          <w:lang w:val="fr-FR"/>
        </w:rPr>
      </w:pPr>
      <w:r w:rsidRPr="00912B6C">
        <w:rPr>
          <w:rFonts w:ascii="Calibri" w:eastAsia="Calibri" w:hAnsi="Calibri" w:cs="Arial"/>
          <w:bCs/>
          <w:lang w:val="fr-FR"/>
        </w:rPr>
        <w:t xml:space="preserve">Încasările din </w:t>
      </w:r>
      <w:r w:rsidRPr="00912B6C">
        <w:rPr>
          <w:rFonts w:ascii="Calibri" w:eastAsia="Calibri" w:hAnsi="Calibri" w:cs="Arial"/>
          <w:b/>
          <w:bCs/>
          <w:lang w:val="fr-FR"/>
        </w:rPr>
        <w:t>alte impozite și taxe pe bunuri și servicii</w:t>
      </w:r>
      <w:r w:rsidRPr="00912B6C">
        <w:rPr>
          <w:rFonts w:ascii="Calibri" w:eastAsia="Calibri" w:hAnsi="Calibri" w:cs="Arial"/>
          <w:bCs/>
          <w:lang w:val="fr-FR"/>
        </w:rPr>
        <w:t xml:space="preserve"> au crescut cu 37,9% comparativ cu anul 2016, programul de încasări realizându-se în proporție de 90,9% datorită nerealizării veniturilor prevăzute la bugetul fondului național unic de sănătate, respectiv contribuția trimestrială pentru finanțarea unor cheltuieli în domeniu sănătății, (față de un nivel estimat de 2,4 miliarde lei, au fost încasate doar 2,1 miliarde lei, cea mai mare nerealizare provenind din contribuția datorata pentru contractele cost-volum/cost-volum-rezultat). </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taxele pe utilizarea bunurilor, autorizarea utilizării bunurilor sau pe desfășurarea de activități</w:t>
      </w:r>
      <w:r w:rsidRPr="00912B6C">
        <w:rPr>
          <w:rFonts w:ascii="Calibri" w:eastAsia="Calibri" w:hAnsi="Calibri" w:cs="Arial"/>
          <w:lang w:val="fr-FR"/>
        </w:rPr>
        <w:t xml:space="preserve"> au totalizat 2,9 miliarde lei, cu 9,5% mai mici  comparativ cu anul anterior. </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Diminuarea încasărilor din taxa pe utilizarea bunurilor, autorizarea utilizării bunurilor sau pe desfășurarea de activități s-a datorat diminuării cu 86,3%, comparativ cu anul anterior, a încasărilor la bugetul instituțiilor/activităților finanțate integral si/sau parțial din venituri proprii în principal ca urmare a eliminării</w:t>
      </w:r>
      <w:r w:rsidRPr="00912B6C">
        <w:rPr>
          <w:rFonts w:ascii="Calibri" w:eastAsia="Calibri" w:hAnsi="Calibri" w:cs="Arial"/>
          <w:vertAlign w:val="superscript"/>
        </w:rPr>
        <w:footnoteReference w:id="15"/>
      </w:r>
      <w:r w:rsidRPr="00912B6C">
        <w:rPr>
          <w:rFonts w:ascii="Calibri" w:eastAsia="Calibri" w:hAnsi="Calibri" w:cs="Arial"/>
          <w:lang w:val="fr-FR"/>
        </w:rPr>
        <w:t xml:space="preserve"> timbrului de mediu pentru autovehicule.</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lang w:val="fr-FR"/>
        </w:rPr>
        <w:t>impozitul pe comerțul exterior şi tranzacțiile internaționale</w:t>
      </w:r>
      <w:r w:rsidRPr="00912B6C">
        <w:rPr>
          <w:rFonts w:ascii="Calibri" w:eastAsia="Calibri" w:hAnsi="Calibri" w:cs="Arial"/>
          <w:lang w:val="fr-FR"/>
        </w:rPr>
        <w:t xml:space="preserve"> au crescut cu 5,7%, comparativ aceeași perioadă a anului precedent, pe fondul creșterii valorii schimburilor extracomunitare de bunuri</w:t>
      </w:r>
      <w:r w:rsidRPr="00912B6C">
        <w:rPr>
          <w:rFonts w:ascii="Calibri" w:eastAsia="Calibri" w:hAnsi="Calibri" w:cs="Arial"/>
          <w:vertAlign w:val="superscript"/>
        </w:rPr>
        <w:footnoteReference w:id="16"/>
      </w:r>
      <w:r w:rsidRPr="00912B6C">
        <w:rPr>
          <w:rFonts w:ascii="Calibri" w:eastAsia="Calibri" w:hAnsi="Calibri" w:cs="Arial"/>
          <w:lang w:val="fr-FR"/>
        </w:rPr>
        <w:t xml:space="preserve"> (Extra-UE28) cu 21,2% la importuri.  </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 xml:space="preserve">Încasările din </w:t>
      </w:r>
      <w:r w:rsidRPr="00912B6C">
        <w:rPr>
          <w:rFonts w:ascii="Calibri" w:eastAsia="Calibri" w:hAnsi="Calibri" w:cs="Arial"/>
          <w:b/>
          <w:bCs/>
          <w:lang w:val="fr-FR"/>
        </w:rPr>
        <w:t>contribuțiile de asigurări</w:t>
      </w:r>
      <w:r w:rsidRPr="00912B6C">
        <w:rPr>
          <w:rFonts w:ascii="Calibri" w:eastAsia="Calibri" w:hAnsi="Calibri" w:cs="Arial"/>
          <w:lang w:val="fr-FR"/>
        </w:rPr>
        <w:t xml:space="preserve"> au crescut cu 17,0%, pe fondul evoluției pozitive a numărului de salariați, a câștigului salarial mediu brut, a salariului minim, precum și a majorărilor salariale acordate pentru unele categorii de salariați din domeniul bugetar. </w:t>
      </w:r>
    </w:p>
    <w:p w:rsidR="00912B6C" w:rsidRPr="00912B6C" w:rsidRDefault="00912B6C" w:rsidP="00912B6C">
      <w:pPr>
        <w:spacing w:line="276" w:lineRule="auto"/>
        <w:ind w:firstLine="708"/>
        <w:jc w:val="both"/>
        <w:rPr>
          <w:rFonts w:ascii="Calibri" w:eastAsia="Calibri" w:hAnsi="Calibri" w:cs="Arial"/>
          <w:lang w:val="fr-FR"/>
        </w:rPr>
      </w:pPr>
      <w:r w:rsidRPr="00912B6C">
        <w:rPr>
          <w:rFonts w:ascii="Calibri" w:eastAsia="Calibri" w:hAnsi="Calibri" w:cs="Arial"/>
          <w:lang w:val="fr-FR"/>
        </w:rPr>
        <w:t>Comparativ cu anul 2016 s-au înregistrat creșteri la bugetul asigurărilor sociale de stat cu 19,1%, la bugetul asigurărilor pentru șomaj cu 16,5% și la bugetul fondului național unic de asigurări sociale de sănătate cu 11,6%.</w:t>
      </w:r>
    </w:p>
    <w:p w:rsidR="00912B6C" w:rsidRPr="00912B6C" w:rsidRDefault="00912B6C" w:rsidP="00912B6C">
      <w:pPr>
        <w:autoSpaceDE w:val="0"/>
        <w:autoSpaceDN w:val="0"/>
        <w:adjustRightInd w:val="0"/>
        <w:spacing w:line="276" w:lineRule="auto"/>
        <w:ind w:firstLine="851"/>
        <w:contextualSpacing/>
        <w:jc w:val="both"/>
        <w:rPr>
          <w:rFonts w:ascii="Calibri" w:eastAsia="Calibri" w:hAnsi="Calibri" w:cs="Arial"/>
          <w:noProof/>
          <w:lang w:val="fr-FR" w:eastAsia="ro-RO"/>
        </w:rPr>
      </w:pPr>
      <w:r w:rsidRPr="00912B6C">
        <w:rPr>
          <w:rFonts w:ascii="Calibri" w:eastAsia="Calibri" w:hAnsi="Calibri" w:cs="Arial"/>
          <w:noProof/>
          <w:lang w:val="fr-FR" w:eastAsia="ro-RO"/>
        </w:rPr>
        <w:t>Creșterea contribuțiilor sociale în cazul bugetului asigurărilor sociale de stat cu 19,1% se situează peste evoluția fondului brut de salarii la nivel național de 18,1%</w:t>
      </w:r>
      <w:r w:rsidRPr="00912B6C">
        <w:rPr>
          <w:rFonts w:ascii="Calibri" w:eastAsia="Calibri" w:hAnsi="Calibri" w:cs="Arial"/>
          <w:noProof/>
          <w:vertAlign w:val="superscript"/>
          <w:lang w:eastAsia="ro-RO"/>
        </w:rPr>
        <w:footnoteReference w:id="17"/>
      </w:r>
      <w:r w:rsidRPr="00912B6C">
        <w:rPr>
          <w:rFonts w:ascii="Calibri" w:eastAsia="Calibri" w:hAnsi="Calibri" w:cs="Arial"/>
          <w:noProof/>
          <w:lang w:val="fr-FR" w:eastAsia="ro-RO"/>
        </w:rPr>
        <w:t xml:space="preserve"> , fiind influențată de măsuri legislative precum eliminarea plafonului maxim de 5 câștiguri salariale medii brute și de introducerea obligației de plată a contribuțiilor datorate de angajatori la nivelul salariului minim brut pe țară garantat în plată pentru salariații cu timp parțial de muncă și cu normă întreagă cu salariul sub nivelul de 1450 lei.</w:t>
      </w:r>
    </w:p>
    <w:p w:rsidR="00912B6C" w:rsidRPr="00912B6C" w:rsidRDefault="00912B6C" w:rsidP="00912B6C">
      <w:pPr>
        <w:spacing w:line="276" w:lineRule="auto"/>
        <w:ind w:firstLine="630"/>
        <w:jc w:val="both"/>
        <w:rPr>
          <w:rFonts w:ascii="Calibri" w:eastAsia="Calibri" w:hAnsi="Calibri" w:cs="Arial"/>
          <w:lang w:val="fr-FR"/>
        </w:rPr>
      </w:pPr>
      <w:r w:rsidRPr="00912B6C">
        <w:rPr>
          <w:rFonts w:ascii="Calibri" w:eastAsia="Calibri" w:hAnsi="Calibri" w:cs="Arial"/>
          <w:noProof/>
          <w:lang w:val="fr-FR" w:eastAsia="ro-RO"/>
        </w:rPr>
        <w:t xml:space="preserve">     Sumele transferate din bugetul asigurărilor sociale de stat către Pilonul II de pensii au totalizat 7,1 mld. lei, ceea ce a reprezentat 99,3% din programul anual estimat pentru Pilonul II de pensii. </w:t>
      </w:r>
    </w:p>
    <w:p w:rsidR="00912B6C" w:rsidRPr="00912B6C" w:rsidRDefault="00912B6C" w:rsidP="00912B6C">
      <w:pPr>
        <w:autoSpaceDE w:val="0"/>
        <w:autoSpaceDN w:val="0"/>
        <w:adjustRightInd w:val="0"/>
        <w:spacing w:line="276" w:lineRule="auto"/>
        <w:ind w:firstLine="851"/>
        <w:contextualSpacing/>
        <w:jc w:val="both"/>
        <w:rPr>
          <w:rFonts w:ascii="Calibri" w:hAnsi="Calibri" w:cs="Arial"/>
          <w:noProof/>
          <w:lang w:val="fr-FR" w:eastAsia="ro-RO"/>
        </w:rPr>
      </w:pPr>
      <w:r w:rsidRPr="00912B6C">
        <w:rPr>
          <w:rFonts w:ascii="Calibri" w:hAnsi="Calibri" w:cs="Arial"/>
          <w:b/>
          <w:noProof/>
          <w:lang w:val="fr-FR" w:eastAsia="ro-RO"/>
        </w:rPr>
        <w:t>Contribuțiile sociale colectate la bugetul asigurărilor pentru șomaj</w:t>
      </w:r>
      <w:r w:rsidRPr="00912B6C">
        <w:rPr>
          <w:rFonts w:ascii="Calibri" w:hAnsi="Calibri" w:cs="Arial"/>
          <w:noProof/>
          <w:lang w:val="fr-FR" w:eastAsia="ro-RO"/>
        </w:rPr>
        <w:t xml:space="preserve"> au fost în sumă de 2,2 mld. lei, cu 16,5% peste încasările înregistrate în aceeași perioadă a anului precedent, gradul de realizare al programului de încasări fiind de 98,5%. </w:t>
      </w:r>
    </w:p>
    <w:p w:rsidR="00912B6C" w:rsidRPr="00912B6C" w:rsidRDefault="00912B6C" w:rsidP="00912B6C">
      <w:pPr>
        <w:autoSpaceDE w:val="0"/>
        <w:autoSpaceDN w:val="0"/>
        <w:adjustRightInd w:val="0"/>
        <w:spacing w:line="276" w:lineRule="auto"/>
        <w:ind w:firstLine="851"/>
        <w:contextualSpacing/>
        <w:jc w:val="both"/>
        <w:rPr>
          <w:rFonts w:ascii="Calibri" w:hAnsi="Calibri" w:cs="Arial"/>
          <w:noProof/>
          <w:lang w:val="fr-FR" w:eastAsia="ro-RO"/>
        </w:rPr>
      </w:pPr>
      <w:r w:rsidRPr="00912B6C">
        <w:rPr>
          <w:rFonts w:ascii="Calibri" w:hAnsi="Calibri" w:cs="Arial"/>
          <w:b/>
          <w:noProof/>
          <w:lang w:val="fr-FR" w:eastAsia="ro-RO"/>
        </w:rPr>
        <w:t>Contribuțiile sociale colectate la fondul național unic de asigurări sociale de sănătate</w:t>
      </w:r>
      <w:r w:rsidRPr="00912B6C">
        <w:rPr>
          <w:rFonts w:ascii="Calibri" w:hAnsi="Calibri" w:cs="Arial"/>
          <w:noProof/>
          <w:lang w:val="fr-FR" w:eastAsia="ro-RO"/>
        </w:rPr>
        <w:t xml:space="preserve"> au fost în sumă de 23,8 mld. lei, cu 11,6% peste încasările înregistrate în aceeași perioadă a anului precedent, gradul de realizare al programului de încasări fiind de 98,6%. </w:t>
      </w:r>
    </w:p>
    <w:p w:rsidR="00912B6C" w:rsidRPr="00912B6C" w:rsidRDefault="00912B6C" w:rsidP="00912B6C">
      <w:pPr>
        <w:spacing w:after="120" w:line="276" w:lineRule="auto"/>
        <w:ind w:right="-57" w:firstLine="1134"/>
        <w:jc w:val="both"/>
        <w:rPr>
          <w:rFonts w:ascii="Calibri" w:hAnsi="Calibri" w:cs="Arial"/>
          <w:noProof/>
          <w:lang w:val="fr-FR" w:eastAsia="ro-RO"/>
        </w:rPr>
      </w:pPr>
      <w:r w:rsidRPr="00912B6C">
        <w:rPr>
          <w:rFonts w:ascii="Calibri" w:hAnsi="Calibri" w:cs="Arial"/>
          <w:noProof/>
          <w:lang w:val="fr-FR" w:eastAsia="ro-RO"/>
        </w:rPr>
        <w:t>O evoluție negativă față de anul precedent au înregistrat încasările din contribuția de asigurări sociale de sănătate datorată de pensionari, influențată fiind de măsura legislativă privind scutirea pensionarilor de la plata contribuțiilor de asigurări sociale de sănătate (începând cu luna februarie 2017).</w:t>
      </w:r>
    </w:p>
    <w:p w:rsidR="00912B6C" w:rsidRPr="00912B6C" w:rsidRDefault="00912B6C" w:rsidP="00912B6C">
      <w:pPr>
        <w:spacing w:before="120" w:line="276" w:lineRule="auto"/>
        <w:ind w:firstLine="709"/>
        <w:jc w:val="both"/>
        <w:rPr>
          <w:rFonts w:ascii="Calibri" w:eastAsia="Calibri" w:hAnsi="Calibri" w:cs="Arial"/>
          <w:lang w:val="fr-FR"/>
        </w:rPr>
      </w:pPr>
      <w:r w:rsidRPr="00912B6C">
        <w:rPr>
          <w:rFonts w:ascii="Calibri" w:eastAsia="Calibri" w:hAnsi="Calibri" w:cs="Arial"/>
          <w:b/>
          <w:bCs/>
          <w:lang w:val="fr-FR"/>
        </w:rPr>
        <w:t>Veniturile nefiscale</w:t>
      </w:r>
      <w:r w:rsidRPr="00912B6C">
        <w:rPr>
          <w:rFonts w:ascii="Calibri" w:eastAsia="Calibri" w:hAnsi="Calibri" w:cs="Arial"/>
          <w:lang w:val="fr-FR"/>
        </w:rPr>
        <w:t xml:space="preserve"> încasate în anul 2017 au totalizat 21,9 miliarde lei (2,</w:t>
      </w:r>
      <w:r w:rsidRPr="00912B6C">
        <w:rPr>
          <w:rFonts w:ascii="Calibri" w:eastAsia="Calibri" w:hAnsi="Calibri" w:cs="Arial"/>
          <w:u w:val="single"/>
          <w:lang w:val="fr-FR"/>
        </w:rPr>
        <w:t>6</w:t>
      </w:r>
      <w:r w:rsidRPr="00912B6C">
        <w:rPr>
          <w:rFonts w:ascii="Calibri" w:eastAsia="Calibri" w:hAnsi="Calibri" w:cs="Arial"/>
          <w:lang w:val="fr-FR"/>
        </w:rPr>
        <w:t xml:space="preserve">% din PIB) cu 21,2% mai mari comparativ cu încasările anului 2016. </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lang w:val="fr-FR"/>
        </w:rPr>
        <w:t>Evoluția pozitivă a încasărilor în cazul veniturilor nefiscale, comparativ cu anul anterior s-a datorat în principal creșterii înregistrate în cazul veniturilor din proprietate(+</w:t>
      </w:r>
      <w:r w:rsidRPr="00912B6C">
        <w:rPr>
          <w:rFonts w:ascii="Calibri" w:eastAsia="Calibri" w:hAnsi="Calibri" w:cs="Arial"/>
          <w:color w:val="000000"/>
          <w:lang w:val="fr-FR" w:eastAsia="ro-RO"/>
        </w:rPr>
        <w:t>87%)</w:t>
      </w:r>
      <w:r w:rsidRPr="00912B6C">
        <w:rPr>
          <w:rFonts w:ascii="Calibri" w:eastAsia="Calibri" w:hAnsi="Calibri" w:cs="Arial"/>
          <w:lang w:val="fr-FR"/>
        </w:rPr>
        <w:t xml:space="preserve">, la bugetul de stat, </w:t>
      </w:r>
      <w:r w:rsidRPr="00912B6C">
        <w:rPr>
          <w:rFonts w:ascii="Calibri" w:eastAsia="Calibri" w:hAnsi="Calibri" w:cs="Arial"/>
          <w:color w:val="000000"/>
          <w:lang w:val="fr-FR" w:eastAsia="ro-RO"/>
        </w:rPr>
        <w:t xml:space="preserve">ca urmare a creșterii veniturilor din dividende și a vărsămintelor din profitul net al regiilor autonome (+3,2 mld. lei), a vărsămintelor din veniturile nete ale B.N.R. (+ 0,1 mld. lei), precum și a veniturilor și a  sumelor din  vânzarea certificatelor de emisii de gaze cu efect de seră (+0,2 mld. lei). O măsură cu impact pozitiv asupra veniturilor din proprietate a fost reprezentată de  introducerea, în anul 2017, în sfera de distribuire a veniturilor din dividende a sumelor repartizate în anii anteriori la alte rezerve, precum și a distribuirii rezultatului reportat existent în sold la finele fiecărui an. </w:t>
      </w:r>
    </w:p>
    <w:p w:rsidR="00912B6C" w:rsidRPr="00912B6C" w:rsidRDefault="00912B6C" w:rsidP="00912B6C">
      <w:pPr>
        <w:spacing w:line="276" w:lineRule="auto"/>
        <w:ind w:firstLine="709"/>
        <w:jc w:val="both"/>
        <w:rPr>
          <w:rFonts w:ascii="Calibri" w:eastAsia="Calibri" w:hAnsi="Calibri" w:cs="Arial"/>
          <w:lang w:val="fr-FR"/>
        </w:rPr>
      </w:pPr>
      <w:r w:rsidRPr="00912B6C">
        <w:rPr>
          <w:rFonts w:ascii="Calibri" w:eastAsia="Calibri" w:hAnsi="Calibri" w:cs="Arial"/>
          <w:b/>
          <w:lang w:val="fr-FR"/>
        </w:rPr>
        <w:t>Sumele primite de la Uniunea Europeană</w:t>
      </w:r>
      <w:r w:rsidRPr="00912B6C">
        <w:rPr>
          <w:rFonts w:ascii="Calibri" w:eastAsia="Calibri" w:hAnsi="Calibri" w:cs="Arial"/>
          <w:lang w:val="fr-FR"/>
        </w:rPr>
        <w:t xml:space="preserve"> în contul plăților efectuate (inclusiv donațiile), în anul 2017, au fost în valoare de 17,3 miliarde lei, cu 247,6% peste nivelul înregistrat în anul 2016. </w:t>
      </w:r>
    </w:p>
    <w:p w:rsidR="00912B6C" w:rsidRPr="00912B6C" w:rsidRDefault="00912B6C" w:rsidP="00912B6C">
      <w:pPr>
        <w:spacing w:line="276" w:lineRule="auto"/>
        <w:ind w:firstLine="709"/>
        <w:jc w:val="both"/>
        <w:rPr>
          <w:rFonts w:ascii="Calibri" w:eastAsia="Calibri" w:hAnsi="Calibri" w:cs="Arial"/>
          <w:lang w:val="fr-FR"/>
        </w:rPr>
      </w:pPr>
      <w:r w:rsidRPr="00912B6C">
        <w:rPr>
          <w:rFonts w:ascii="Calibri" w:eastAsia="Calibri" w:hAnsi="Calibri" w:cs="Arial"/>
          <w:lang w:val="fr-FR"/>
        </w:rPr>
        <w:t>De asemenea, ca raport în PIB, acestea au înregistrat o creștere cu 1,1 puncte procentuale de la 0,9% în anul 2016 la 2,0% în anul 2017.</w:t>
      </w:r>
    </w:p>
    <w:p w:rsidR="00912B6C" w:rsidRPr="00912B6C" w:rsidRDefault="00912B6C" w:rsidP="00912B6C">
      <w:pPr>
        <w:spacing w:line="276" w:lineRule="auto"/>
        <w:jc w:val="both"/>
        <w:rPr>
          <w:rFonts w:ascii="Calibri" w:eastAsia="Calibri" w:hAnsi="Calibri" w:cs="Arial"/>
          <w:b/>
          <w:bCs/>
          <w:sz w:val="4"/>
          <w:lang w:val="fr-FR"/>
        </w:rPr>
      </w:pPr>
    </w:p>
    <w:p w:rsidR="00912B6C" w:rsidRPr="00912B6C" w:rsidRDefault="00912B6C" w:rsidP="00912B6C">
      <w:pPr>
        <w:spacing w:line="276" w:lineRule="auto"/>
        <w:jc w:val="both"/>
        <w:rPr>
          <w:rFonts w:ascii="Calibri" w:eastAsia="Calibri" w:hAnsi="Calibri" w:cs="Arial"/>
          <w:b/>
          <w:bCs/>
          <w:lang w:val="fr-FR"/>
        </w:rPr>
      </w:pPr>
      <w:r w:rsidRPr="00912B6C">
        <w:rPr>
          <w:rFonts w:ascii="Calibri" w:eastAsia="Calibri" w:hAnsi="Calibri" w:cs="Arial"/>
          <w:b/>
          <w:bCs/>
          <w:lang w:val="fr-FR"/>
        </w:rPr>
        <w:t>Cheltuielile bugetului general consolidat</w:t>
      </w:r>
    </w:p>
    <w:p w:rsidR="00912B6C" w:rsidRPr="00912B6C" w:rsidRDefault="00912B6C" w:rsidP="00912B6C">
      <w:pPr>
        <w:spacing w:before="120" w:line="276" w:lineRule="auto"/>
        <w:ind w:firstLine="624"/>
        <w:jc w:val="both"/>
        <w:rPr>
          <w:rFonts w:ascii="Calibri" w:eastAsia="Calibri" w:hAnsi="Calibri" w:cs="Arial"/>
          <w:bCs/>
          <w:lang w:val="fr-FR"/>
        </w:rPr>
      </w:pPr>
      <w:r w:rsidRPr="00912B6C">
        <w:rPr>
          <w:rFonts w:ascii="Calibri" w:eastAsia="Calibri" w:hAnsi="Calibri" w:cs="Arial"/>
          <w:b/>
          <w:bCs/>
          <w:lang w:val="fr-FR"/>
        </w:rPr>
        <w:t>Cheltuielile bugetului general consolidat</w:t>
      </w:r>
      <w:r w:rsidRPr="00912B6C">
        <w:rPr>
          <w:rFonts w:ascii="Calibri" w:eastAsia="Calibri" w:hAnsi="Calibri" w:cs="Arial"/>
          <w:bCs/>
          <w:lang w:val="fr-FR"/>
        </w:rPr>
        <w:t xml:space="preserve"> au totalizat, în anul 2017, 276,2 miliarde lei, ceea ce reprezintă 32,2% din PIB şi un grad de realizare față de nivelul prevăzut de 98,0%.</w:t>
      </w:r>
    </w:p>
    <w:p w:rsidR="00912B6C" w:rsidRPr="00912B6C" w:rsidRDefault="00912B6C" w:rsidP="00912B6C">
      <w:pPr>
        <w:spacing w:before="120" w:line="276" w:lineRule="auto"/>
        <w:jc w:val="both"/>
        <w:rPr>
          <w:rFonts w:ascii="Calibri" w:eastAsia="Calibri" w:hAnsi="Calibri" w:cs="Arial"/>
        </w:rPr>
      </w:pPr>
      <w:r w:rsidRPr="00912B6C">
        <w:rPr>
          <w:rFonts w:ascii="Calibri" w:eastAsia="Calibri" w:hAnsi="Calibri" w:cs="Arial"/>
          <w:noProof/>
          <w:lang w:val="ro-RO" w:eastAsia="ro-RO"/>
        </w:rPr>
        <w:drawing>
          <wp:inline distT="0" distB="0" distL="0" distR="0">
            <wp:extent cx="5981700" cy="2606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2606040"/>
                    </a:xfrm>
                    <a:prstGeom prst="rect">
                      <a:avLst/>
                    </a:prstGeom>
                    <a:noFill/>
                    <a:ln>
                      <a:noFill/>
                    </a:ln>
                  </pic:spPr>
                </pic:pic>
              </a:graphicData>
            </a:graphic>
          </wp:inline>
        </w:drawing>
      </w:r>
    </w:p>
    <w:p w:rsidR="00912B6C" w:rsidRPr="00912B6C" w:rsidRDefault="00912B6C" w:rsidP="00912B6C">
      <w:pPr>
        <w:tabs>
          <w:tab w:val="left" w:pos="3261"/>
        </w:tabs>
        <w:spacing w:line="276" w:lineRule="auto"/>
        <w:ind w:firstLine="624"/>
        <w:jc w:val="center"/>
        <w:rPr>
          <w:rFonts w:ascii="Calibri" w:eastAsia="Calibri" w:hAnsi="Calibri" w:cs="Arial"/>
          <w:b/>
          <w:bCs/>
          <w:sz w:val="8"/>
        </w:rPr>
      </w:pPr>
    </w:p>
    <w:p w:rsidR="00912B6C" w:rsidRPr="00912B6C" w:rsidRDefault="00912B6C" w:rsidP="00912B6C">
      <w:pPr>
        <w:tabs>
          <w:tab w:val="left" w:pos="3261"/>
        </w:tabs>
        <w:spacing w:line="276" w:lineRule="auto"/>
        <w:ind w:firstLine="624"/>
        <w:jc w:val="center"/>
        <w:rPr>
          <w:rFonts w:ascii="Calibri" w:eastAsia="Calibri" w:hAnsi="Calibri" w:cs="Arial"/>
          <w:b/>
          <w:bCs/>
        </w:rPr>
      </w:pPr>
    </w:p>
    <w:p w:rsidR="00912B6C" w:rsidRPr="00912B6C" w:rsidRDefault="00912B6C" w:rsidP="00912B6C">
      <w:pPr>
        <w:spacing w:before="120" w:line="276" w:lineRule="auto"/>
        <w:ind w:right="6" w:firstLine="720"/>
        <w:jc w:val="both"/>
        <w:rPr>
          <w:rFonts w:ascii="Calibri" w:eastAsia="Calibri" w:hAnsi="Calibri" w:cs="Arial"/>
          <w:bCs/>
        </w:rPr>
      </w:pPr>
      <w:r w:rsidRPr="00912B6C">
        <w:rPr>
          <w:rFonts w:ascii="Calibri" w:eastAsia="Calibri" w:hAnsi="Calibri" w:cs="Arial"/>
        </w:rPr>
        <w:t xml:space="preserve">Din punct de vedere al gradului de realizare al programului anual, principalele categorii de cheltuieli bugetare au înregistrat următoarele evoluții: </w:t>
      </w:r>
      <w:r w:rsidRPr="00912B6C">
        <w:rPr>
          <w:rFonts w:ascii="Calibri" w:eastAsia="Calibri" w:hAnsi="Calibri" w:cs="Arial"/>
          <w:bCs/>
        </w:rPr>
        <w:t>cheltuielile de personal 100%, cheltuielile cu bunuri şi servicii 103,1%, cheltuielile cu dobânzile 97,7%, cheltuielile cu subvențiile 89,8%, cheltuielile cu asistența socială 99,1%, cheltuielile de capital 104%.</w:t>
      </w:r>
    </w:p>
    <w:p w:rsidR="00912B6C" w:rsidRDefault="00912B6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C2F7C" w:rsidRPr="00912B6C" w:rsidRDefault="009C2F7C" w:rsidP="00912B6C">
      <w:pPr>
        <w:tabs>
          <w:tab w:val="left" w:pos="3261"/>
        </w:tabs>
        <w:spacing w:line="276" w:lineRule="auto"/>
        <w:ind w:firstLine="624"/>
        <w:jc w:val="center"/>
        <w:rPr>
          <w:rFonts w:ascii="Calibri" w:eastAsia="Calibri" w:hAnsi="Calibri" w:cs="Arial"/>
          <w:b/>
          <w:bCs/>
        </w:rPr>
      </w:pPr>
    </w:p>
    <w:p w:rsidR="00912B6C" w:rsidRPr="00912B6C" w:rsidRDefault="00912B6C" w:rsidP="00912B6C">
      <w:pPr>
        <w:tabs>
          <w:tab w:val="left" w:pos="3261"/>
        </w:tabs>
        <w:spacing w:line="276" w:lineRule="auto"/>
        <w:ind w:firstLine="624"/>
        <w:jc w:val="center"/>
        <w:rPr>
          <w:rFonts w:ascii="Calibri" w:eastAsia="Calibri" w:hAnsi="Calibri" w:cs="Arial"/>
          <w:b/>
          <w:bCs/>
        </w:rPr>
      </w:pPr>
      <w:r w:rsidRPr="00912B6C">
        <w:rPr>
          <w:rFonts w:ascii="Calibri" w:eastAsia="Calibri" w:hAnsi="Calibri" w:cs="Arial"/>
          <w:b/>
          <w:bCs/>
        </w:rPr>
        <w:t>Structura cheltuielilor bugetare</w:t>
      </w:r>
    </w:p>
    <w:p w:rsidR="00912B6C" w:rsidRPr="00912B6C" w:rsidRDefault="00912B6C" w:rsidP="00912B6C">
      <w:pPr>
        <w:tabs>
          <w:tab w:val="left" w:pos="3261"/>
        </w:tabs>
        <w:spacing w:line="276" w:lineRule="auto"/>
        <w:ind w:firstLine="624"/>
        <w:jc w:val="center"/>
        <w:rPr>
          <w:rFonts w:ascii="Calibri" w:eastAsia="Calibri" w:hAnsi="Calibri" w:cs="Arial"/>
          <w:b/>
          <w:bCs/>
          <w:color w:val="FF0000"/>
          <w:sz w:val="10"/>
        </w:rPr>
      </w:pPr>
    </w:p>
    <w:p w:rsidR="00912B6C" w:rsidRPr="00912B6C" w:rsidRDefault="00912B6C" w:rsidP="00912B6C">
      <w:pPr>
        <w:spacing w:line="276" w:lineRule="auto"/>
        <w:jc w:val="both"/>
        <w:rPr>
          <w:rFonts w:ascii="Calibri" w:eastAsia="Calibri" w:hAnsi="Calibri" w:cs="Arial"/>
          <w:color w:val="FF0000"/>
        </w:rPr>
      </w:pPr>
      <w:r w:rsidRPr="00912B6C">
        <w:rPr>
          <w:rFonts w:ascii="Calibri" w:eastAsia="Calibri" w:hAnsi="Calibri" w:cs="Arial"/>
          <w:noProof/>
          <w:color w:val="FF0000"/>
          <w:lang w:val="ro-RO" w:eastAsia="ro-RO"/>
        </w:rPr>
        <w:drawing>
          <wp:inline distT="0" distB="0" distL="0" distR="0">
            <wp:extent cx="2872740" cy="25679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2740" cy="2567940"/>
                    </a:xfrm>
                    <a:prstGeom prst="rect">
                      <a:avLst/>
                    </a:prstGeom>
                    <a:noFill/>
                    <a:ln>
                      <a:noFill/>
                    </a:ln>
                  </pic:spPr>
                </pic:pic>
              </a:graphicData>
            </a:graphic>
          </wp:inline>
        </w:drawing>
      </w:r>
      <w:r w:rsidRPr="00912B6C">
        <w:rPr>
          <w:rFonts w:ascii="Calibri" w:eastAsia="Calibri" w:hAnsi="Calibri" w:cs="Arial"/>
          <w:noProof/>
          <w:color w:val="FF0000"/>
          <w:lang w:val="ro-RO" w:eastAsia="ro-RO"/>
        </w:rPr>
        <w:drawing>
          <wp:inline distT="0" distB="0" distL="0" distR="0">
            <wp:extent cx="2667000" cy="2567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567940"/>
                    </a:xfrm>
                    <a:prstGeom prst="rect">
                      <a:avLst/>
                    </a:prstGeom>
                    <a:noFill/>
                    <a:ln>
                      <a:noFill/>
                    </a:ln>
                  </pic:spPr>
                </pic:pic>
              </a:graphicData>
            </a:graphic>
          </wp:inline>
        </w:drawing>
      </w:r>
    </w:p>
    <w:p w:rsidR="00912B6C" w:rsidRPr="00912B6C" w:rsidRDefault="00912B6C" w:rsidP="00912B6C">
      <w:pPr>
        <w:spacing w:line="276" w:lineRule="auto"/>
        <w:ind w:firstLine="624"/>
        <w:jc w:val="both"/>
        <w:rPr>
          <w:rFonts w:ascii="Calibri" w:eastAsia="Calibri" w:hAnsi="Calibri" w:cs="Arial"/>
        </w:rPr>
      </w:pPr>
      <w:r w:rsidRPr="00912B6C">
        <w:rPr>
          <w:rFonts w:ascii="Calibri" w:eastAsia="Calibri" w:hAnsi="Calibri" w:cs="Arial"/>
        </w:rPr>
        <w:t>Comparativ cu anul 2016 structura economică a cheltuielilor prezintă o creștere a ponderii în total cheltuieli a cheltuielilor de personal cu 1,6 pp și a cheltuielilor aferente proiectelor finanțate din fonduri externe nerambursabile cu 2,8 pp, diminuări ale ponderii înregistrându-se în cazul cheltuielilor cu bunuri și servicii cu 2,2 pp, la subvenții  cu 0,5 și dobânzi cu 0,4 pp, precum și a cheltuielilor de capital cu 0,8 puncte procentuale.</w:t>
      </w:r>
    </w:p>
    <w:p w:rsidR="00912B6C" w:rsidRPr="00912B6C" w:rsidRDefault="00912B6C" w:rsidP="00912B6C">
      <w:pPr>
        <w:spacing w:line="276" w:lineRule="auto"/>
        <w:ind w:firstLine="624"/>
        <w:jc w:val="both"/>
        <w:rPr>
          <w:rFonts w:ascii="Calibri" w:eastAsia="Calibri" w:hAnsi="Calibri" w:cs="Arial"/>
        </w:rPr>
      </w:pPr>
    </w:p>
    <w:p w:rsidR="00912B6C" w:rsidRPr="00912B6C" w:rsidRDefault="00912B6C" w:rsidP="00912B6C">
      <w:pPr>
        <w:spacing w:line="276" w:lineRule="auto"/>
        <w:ind w:firstLine="624"/>
        <w:jc w:val="both"/>
        <w:rPr>
          <w:rFonts w:ascii="Calibri" w:eastAsia="Calibri" w:hAnsi="Calibri" w:cs="Arial"/>
          <w:lang w:val="fr-FR"/>
        </w:rPr>
      </w:pPr>
      <w:r w:rsidRPr="00912B6C">
        <w:rPr>
          <w:rFonts w:ascii="Calibri" w:eastAsia="Calibri" w:hAnsi="Calibri" w:cs="Arial"/>
          <w:lang w:val="fr-FR"/>
        </w:rPr>
        <w:t xml:space="preserve">Comparativ cu anul precedent, </w:t>
      </w:r>
      <w:r w:rsidRPr="00912B6C">
        <w:rPr>
          <w:rFonts w:ascii="Calibri" w:eastAsia="Calibri" w:hAnsi="Calibri" w:cs="Arial"/>
          <w:b/>
          <w:bCs/>
          <w:lang w:val="fr-FR"/>
        </w:rPr>
        <w:t>cheltuielile bugetului general consolidat</w:t>
      </w:r>
      <w:r w:rsidRPr="00912B6C">
        <w:rPr>
          <w:rFonts w:ascii="Calibri" w:eastAsia="Calibri" w:hAnsi="Calibri" w:cs="Arial"/>
          <w:lang w:val="fr-FR"/>
        </w:rPr>
        <w:t xml:space="preserve"> s-au majorat cu 14%, iar ca procent în PIB cu 0,4 puncte procentuale de la 31,7% cât au fost în anul 2016 la 32,2% în anul 2017. </w:t>
      </w:r>
    </w:p>
    <w:p w:rsidR="00912B6C" w:rsidRPr="00912B6C" w:rsidRDefault="00912B6C" w:rsidP="00912B6C">
      <w:pPr>
        <w:spacing w:line="276" w:lineRule="auto"/>
        <w:ind w:firstLine="624"/>
        <w:jc w:val="both"/>
        <w:rPr>
          <w:rFonts w:ascii="Calibri" w:eastAsia="Calibri" w:hAnsi="Calibri" w:cs="Arial"/>
          <w:lang w:val="fr-FR"/>
        </w:rPr>
      </w:pPr>
    </w:p>
    <w:p w:rsidR="00912B6C" w:rsidRPr="00912B6C" w:rsidRDefault="00912B6C" w:rsidP="00912B6C">
      <w:pPr>
        <w:spacing w:line="276" w:lineRule="auto"/>
        <w:ind w:firstLine="624"/>
        <w:jc w:val="both"/>
        <w:rPr>
          <w:rFonts w:ascii="Calibri" w:eastAsia="Calibri" w:hAnsi="Calibri" w:cs="Arial"/>
          <w:lang w:val="fr-FR"/>
        </w:rPr>
      </w:pPr>
      <w:r w:rsidRPr="00912B6C">
        <w:rPr>
          <w:rFonts w:ascii="Calibri" w:eastAsia="Calibri" w:hAnsi="Calibri" w:cs="Arial"/>
          <w:lang w:val="fr-FR"/>
        </w:rPr>
        <w:t xml:space="preserve">În anul 2017 s-au înregistrat diminuări ale cheltuielilor bugetare față de anul precedent în cazul proiectelor finanțate din fonduri externe nerambursabile aferente cadrului financiar 2007-2013 (-78,3%), a cheltuielilor aferente programelor cu finanțare rambursabilă (-30%), dar și a cheltuielilor cu subvenții acordate (-6,1%). </w:t>
      </w:r>
    </w:p>
    <w:p w:rsidR="00912B6C" w:rsidRPr="00912B6C" w:rsidRDefault="00912B6C" w:rsidP="00912B6C">
      <w:pPr>
        <w:spacing w:before="120" w:after="120" w:line="276" w:lineRule="auto"/>
        <w:ind w:firstLine="624"/>
        <w:jc w:val="both"/>
        <w:rPr>
          <w:rFonts w:ascii="Calibri" w:eastAsia="Calibri" w:hAnsi="Calibri" w:cs="Arial"/>
          <w:lang w:val="fr-FR"/>
        </w:rPr>
      </w:pPr>
      <w:r w:rsidRPr="00912B6C">
        <w:rPr>
          <w:rFonts w:ascii="Calibri" w:eastAsia="Calibri" w:hAnsi="Calibri" w:cs="Arial"/>
          <w:b/>
          <w:bCs/>
          <w:lang w:val="fr-FR"/>
        </w:rPr>
        <w:t>Cheltuielile de personal ale bugetului general consolidat,</w:t>
      </w:r>
      <w:r w:rsidRPr="00912B6C">
        <w:rPr>
          <w:rFonts w:ascii="Calibri" w:eastAsia="Calibri" w:hAnsi="Calibri" w:cs="Arial"/>
          <w:lang w:val="fr-FR"/>
        </w:rPr>
        <w:t xml:space="preserve"> în anul 2017, au crescut cu 22% față de anul precedent, iar ca procent în PIB cu 0,7 puncte procentuale, </w:t>
      </w:r>
      <w:r w:rsidRPr="00912B6C">
        <w:rPr>
          <w:rFonts w:ascii="Calibri" w:eastAsia="Calibri" w:hAnsi="Calibri" w:cs="Arial"/>
          <w:bCs/>
          <w:lang w:val="fr-FR"/>
        </w:rPr>
        <w:t>fiind determinate de majorările salariale acordate în a doua parte a anului 2016, respectiv aplicarea, începând cu luna august 2016, a prevederilor O.U.G. nr. 20/2016 pentru modificarea şi completarea Ordonanței de urgență a Guvernului nr. 57/2015 privind salarizarea personalului plătit din fonduri publice în anul 2016, prorogarea unor termene, precum şi unele măsuri fiscal- bugetare şi pentru modificarea şi completarea unor acte normative, precum și de creșterile salariale acordate în 2017, respectiv c</w:t>
      </w:r>
      <w:r w:rsidRPr="00912B6C">
        <w:rPr>
          <w:rFonts w:ascii="Calibri" w:eastAsia="Calibri" w:hAnsi="Calibri" w:cs="Arial"/>
          <w:kern w:val="24"/>
          <w:lang w:val="fr-FR" w:eastAsia="ro-RO"/>
        </w:rPr>
        <w:t>reșterea cu 15 % a salariilor din sănătate și din educație de la 1 ianuarie 2017, a personalului plătit din fonduri publice din instituțiile şi autoritățile publice ale administrației publice locale care  beneficiază de  majorarea cu 20% începând cu 1 februarie 2017, majorarea salariului de bază minim brut pe țară garantat în plată de la 1.250 lei la 1.450 lei din 1 februarie 2017, majorarea cu 30% a salariilor personalului din bibliotecile naționale și muzee naționale începând cu iunie 2017, majorarea cu 15% a soldelor de funcție ale personalului militar începând cu iunie 2017, majorarea cu 10% a salariilor de funcție ale polițiștilor începând cu 1 octombrie 2017, precum și intrarea în vigoare începând cu 1 iulie 2017 a prevederilor din Legea-cadru nr.153/2017 privind salarizarea personalului plătit din fonduri publice.</w:t>
      </w:r>
    </w:p>
    <w:p w:rsidR="00912B6C" w:rsidRPr="00912B6C" w:rsidRDefault="00912B6C" w:rsidP="00912B6C">
      <w:pPr>
        <w:spacing w:after="120" w:line="276" w:lineRule="auto"/>
        <w:ind w:firstLine="624"/>
        <w:jc w:val="both"/>
        <w:rPr>
          <w:rFonts w:ascii="Calibri" w:eastAsia="Calibri" w:hAnsi="Calibri" w:cs="Arial"/>
          <w:bCs/>
          <w:lang w:val="fr-FR"/>
        </w:rPr>
      </w:pPr>
      <w:r w:rsidRPr="00912B6C">
        <w:rPr>
          <w:rFonts w:ascii="Calibri" w:eastAsia="Calibri" w:hAnsi="Calibri" w:cs="Arial"/>
          <w:bCs/>
          <w:lang w:val="fr-FR"/>
        </w:rPr>
        <w:t>Comparativ cu programul anual cheltuielile de personal s-au efectuat în proporție de 100%.</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b/>
          <w:bCs/>
          <w:lang w:val="fr-FR"/>
        </w:rPr>
        <w:t>Cheltuielile cu bunuri şi servicii</w:t>
      </w:r>
      <w:r w:rsidRPr="00912B6C">
        <w:rPr>
          <w:rFonts w:ascii="Calibri" w:eastAsia="Calibri" w:hAnsi="Calibri" w:cs="Arial"/>
          <w:lang w:val="fr-FR"/>
        </w:rPr>
        <w:t xml:space="preserve"> au înregistrat o ușoară diminuare cu 0,6% față de anul precedent, iar ca pondere în PIB au scăzut cu 0,6 pp. </w:t>
      </w:r>
      <w:r w:rsidRPr="00912B6C">
        <w:rPr>
          <w:rFonts w:ascii="Calibri" w:eastAsia="Calibri" w:hAnsi="Calibri" w:cs="Arial"/>
          <w:bCs/>
          <w:lang w:val="fr-FR"/>
        </w:rPr>
        <w:t>Comparativ cu programul anual  cheltuielile cu bunuri şi servicii s-au efectuat în proporție de 103,1%.</w:t>
      </w:r>
    </w:p>
    <w:p w:rsidR="00912B6C" w:rsidRPr="00912B6C" w:rsidRDefault="00912B6C" w:rsidP="00912B6C">
      <w:pPr>
        <w:spacing w:after="120" w:line="276" w:lineRule="auto"/>
        <w:ind w:firstLine="624"/>
        <w:jc w:val="both"/>
        <w:rPr>
          <w:rFonts w:ascii="Calibri" w:eastAsia="Calibri" w:hAnsi="Calibri" w:cs="Arial"/>
          <w:lang w:val="fr-FR"/>
        </w:rPr>
      </w:pPr>
      <w:r w:rsidRPr="00912B6C">
        <w:rPr>
          <w:rFonts w:ascii="Calibri" w:eastAsia="Calibri" w:hAnsi="Calibri" w:cs="Arial"/>
          <w:b/>
          <w:bCs/>
          <w:lang w:val="fr-FR"/>
        </w:rPr>
        <w:t>Cheltuielile cu dobânzile</w:t>
      </w:r>
      <w:r w:rsidRPr="00912B6C">
        <w:rPr>
          <w:rFonts w:ascii="Calibri" w:eastAsia="Calibri" w:hAnsi="Calibri" w:cs="Arial"/>
          <w:lang w:val="fr-FR"/>
        </w:rPr>
        <w:t xml:space="preserve"> au crescut cu 1,1% față de anul precedent, iar ca pondere în PIB s-au redus cu 0,1 pp. Acestea nu au reușit să atingă nivelul prevăzut a se efectua în anul 2017, gradul de efectuare fiind de 97,7%.</w:t>
      </w:r>
    </w:p>
    <w:p w:rsidR="00912B6C" w:rsidRPr="00912B6C" w:rsidRDefault="00912B6C" w:rsidP="00912B6C">
      <w:pPr>
        <w:spacing w:after="120" w:line="276" w:lineRule="auto"/>
        <w:ind w:firstLine="624"/>
        <w:jc w:val="both"/>
        <w:rPr>
          <w:rFonts w:ascii="Calibri" w:eastAsia="Calibri" w:hAnsi="Calibri" w:cs="Arial"/>
          <w:bCs/>
          <w:lang w:val="fr-FR"/>
        </w:rPr>
      </w:pPr>
      <w:r w:rsidRPr="00912B6C">
        <w:rPr>
          <w:rFonts w:ascii="Calibri" w:eastAsia="Calibri" w:hAnsi="Calibri" w:cs="Arial"/>
          <w:b/>
          <w:bCs/>
          <w:lang w:val="fr-FR"/>
        </w:rPr>
        <w:t xml:space="preserve">Cheltuielile cu subvențiile </w:t>
      </w:r>
      <w:r w:rsidRPr="00912B6C">
        <w:rPr>
          <w:rFonts w:ascii="Calibri" w:eastAsia="Calibri" w:hAnsi="Calibri" w:cs="Arial"/>
          <w:bCs/>
          <w:lang w:val="fr-FR"/>
        </w:rPr>
        <w:t xml:space="preserve">s-au diminuat față de anul precedent cu 6,1%, </w:t>
      </w:r>
      <w:r w:rsidRPr="00912B6C">
        <w:rPr>
          <w:rFonts w:ascii="Calibri" w:eastAsia="Calibri" w:hAnsi="Calibri" w:cs="Arial"/>
          <w:lang w:val="fr-FR"/>
        </w:rPr>
        <w:t xml:space="preserve">ponderea în PIB fiind, de asemenea redusă cu </w:t>
      </w:r>
      <w:r w:rsidRPr="00C55D79">
        <w:rPr>
          <w:rFonts w:ascii="Calibri" w:eastAsia="Calibri" w:hAnsi="Calibri" w:cs="Arial"/>
          <w:lang w:val="fr-FR"/>
        </w:rPr>
        <w:t xml:space="preserve">0,1 puncte </w:t>
      </w:r>
      <w:r w:rsidRPr="00912B6C">
        <w:rPr>
          <w:rFonts w:ascii="Calibri" w:eastAsia="Calibri" w:hAnsi="Calibri" w:cs="Arial"/>
          <w:lang w:val="fr-FR"/>
        </w:rPr>
        <w:t xml:space="preserve">procentuale. Se poate menționa că gradul de efectuare a fost de 89,8%. </w:t>
      </w:r>
      <w:r w:rsidRPr="00912B6C">
        <w:rPr>
          <w:rFonts w:ascii="Calibri" w:eastAsia="Calibri" w:hAnsi="Calibri" w:cs="Arial"/>
          <w:bCs/>
          <w:lang w:val="fr-FR"/>
        </w:rPr>
        <w:t>Din totalul cheltuielilor cu subvențiile o pondere de 60,5% o reprezintă cheltuielile cu subvențiile ale bugetului de stat, iar în cadrul acestora o pondere mai însemnată o dețin cheltuielile pentru sprijinirea producătorilor agricoli 51,9% (1.944,7 milioane lei), subvențiile pentru susținerea transportului feroviar public de călători 35,5% (1.332,85 milioane lei), subvențiile pentru transportul de călători cu metroul 7,1% (266,85 milioane lei), programe de conservare sau de închidere a minelor 3% (111,7 milioane lei).</w:t>
      </w:r>
    </w:p>
    <w:p w:rsidR="00912B6C" w:rsidRPr="00912B6C" w:rsidRDefault="00912B6C" w:rsidP="00912B6C">
      <w:pPr>
        <w:spacing w:line="276" w:lineRule="auto"/>
        <w:ind w:firstLine="624"/>
        <w:jc w:val="both"/>
        <w:rPr>
          <w:rFonts w:ascii="Calibri" w:eastAsia="Calibri" w:hAnsi="Calibri" w:cs="Arial"/>
          <w:color w:val="000000"/>
          <w:lang w:val="fr-FR"/>
        </w:rPr>
      </w:pPr>
      <w:r w:rsidRPr="00912B6C">
        <w:rPr>
          <w:rFonts w:ascii="Calibri" w:eastAsia="Calibri" w:hAnsi="Calibri" w:cs="Arial"/>
          <w:b/>
          <w:bCs/>
          <w:lang w:val="fr-FR"/>
        </w:rPr>
        <w:t xml:space="preserve">Cheltuielile cu asistența socială </w:t>
      </w:r>
      <w:r w:rsidRPr="00912B6C">
        <w:rPr>
          <w:rFonts w:ascii="Calibri" w:eastAsia="Calibri" w:hAnsi="Calibri" w:cs="Arial"/>
          <w:lang w:val="fr-FR"/>
        </w:rPr>
        <w:t xml:space="preserve">au crescut în </w:t>
      </w:r>
      <w:r w:rsidRPr="00912B6C">
        <w:rPr>
          <w:rFonts w:ascii="Calibri" w:eastAsia="Calibri" w:hAnsi="Calibri" w:cs="Arial"/>
          <w:color w:val="000000"/>
          <w:lang w:val="fr-FR"/>
        </w:rPr>
        <w:t>termeni nominali cu 13,1% comparativ cu anul anterior, iar  ponderea în PIB s-a majorat cu 0,1 puncte procentuale.</w:t>
      </w:r>
    </w:p>
    <w:p w:rsidR="00912B6C" w:rsidRPr="00912B6C" w:rsidRDefault="00912B6C" w:rsidP="00912B6C">
      <w:pPr>
        <w:spacing w:line="276" w:lineRule="auto"/>
        <w:ind w:firstLine="624"/>
        <w:jc w:val="both"/>
        <w:rPr>
          <w:rFonts w:ascii="Calibri" w:eastAsia="Calibri" w:hAnsi="Calibri" w:cs="Arial"/>
          <w:color w:val="000000"/>
          <w:lang w:val="fr-FR"/>
        </w:rPr>
      </w:pPr>
    </w:p>
    <w:p w:rsidR="00912B6C" w:rsidRPr="00912B6C" w:rsidRDefault="00912B6C" w:rsidP="00912B6C">
      <w:pPr>
        <w:spacing w:after="120" w:line="276" w:lineRule="auto"/>
        <w:ind w:firstLine="624"/>
        <w:jc w:val="both"/>
        <w:rPr>
          <w:rFonts w:ascii="Calibri" w:eastAsia="Calibri" w:hAnsi="Calibri" w:cs="Arial"/>
          <w:bCs/>
          <w:color w:val="000000"/>
          <w:lang w:val="fr-FR"/>
        </w:rPr>
      </w:pPr>
      <w:r w:rsidRPr="00912B6C">
        <w:rPr>
          <w:rFonts w:ascii="Calibri" w:eastAsia="Calibri" w:hAnsi="Calibri" w:cs="Arial"/>
          <w:color w:val="000000"/>
          <w:lang w:val="fr-FR"/>
        </w:rPr>
        <w:t xml:space="preserve">Evoluția cheltuielilor cu asistența socială în anul 2017 </w:t>
      </w:r>
      <w:r w:rsidRPr="00912B6C">
        <w:rPr>
          <w:rFonts w:ascii="Calibri" w:eastAsia="Calibri" w:hAnsi="Calibri" w:cs="Arial"/>
          <w:bCs/>
          <w:lang w:val="fr-FR"/>
        </w:rPr>
        <w:t>a fost influențată, în principal, de majorarea cu 5,25% a punctului de pensie de la 1 ianuarie 2017, acesta ajungând la 917,5 lei, și cu 9% de la 1 iulie 2017 a punctului de pensie, ajungând la 1000 lei, precum și de măsurile ce au fost aprobate în timpul anului 2016 care au contribuit la sporirea cheltuielilor sociale; majorarea și modificarea modalității de stabilire a indemnizației lunare pentru creșterea copilului și stimulentul de inserție.</w:t>
      </w:r>
    </w:p>
    <w:p w:rsidR="00912B6C" w:rsidRPr="00912B6C" w:rsidRDefault="00912B6C" w:rsidP="00912B6C">
      <w:pPr>
        <w:spacing w:after="120" w:line="276" w:lineRule="auto"/>
        <w:ind w:firstLine="624"/>
        <w:jc w:val="both"/>
        <w:rPr>
          <w:rFonts w:ascii="Calibri" w:eastAsia="Calibri" w:hAnsi="Calibri" w:cs="Arial"/>
          <w:bCs/>
          <w:color w:val="000000"/>
          <w:lang w:val="fr-FR"/>
        </w:rPr>
      </w:pPr>
      <w:r w:rsidRPr="00912B6C">
        <w:rPr>
          <w:rFonts w:ascii="Calibri" w:eastAsia="Calibri" w:hAnsi="Calibri" w:cs="Arial"/>
          <w:bCs/>
          <w:color w:val="000000"/>
          <w:lang w:val="fr-FR"/>
        </w:rPr>
        <w:t>Comparativ cu programul anual cheltuielile cu asistența socială s-au efectuat în proporție de 99,1%.</w:t>
      </w:r>
    </w:p>
    <w:p w:rsidR="00912B6C" w:rsidRPr="00912B6C" w:rsidRDefault="00912B6C" w:rsidP="00912B6C">
      <w:pPr>
        <w:spacing w:after="120" w:line="276" w:lineRule="auto"/>
        <w:ind w:firstLine="624"/>
        <w:jc w:val="both"/>
        <w:rPr>
          <w:rFonts w:ascii="Calibri" w:eastAsia="Calibri" w:hAnsi="Calibri" w:cs="Arial"/>
          <w:bCs/>
          <w:strike/>
          <w:color w:val="000000"/>
          <w:lang w:val="fr-FR"/>
        </w:rPr>
      </w:pPr>
      <w:r w:rsidRPr="00912B6C">
        <w:rPr>
          <w:rFonts w:ascii="Calibri" w:eastAsia="Calibri" w:hAnsi="Calibri" w:cs="Arial"/>
          <w:bCs/>
          <w:color w:val="000000"/>
          <w:lang w:val="fr-FR"/>
        </w:rPr>
        <w:t xml:space="preserve">La bugetul de stat cheltuielile cu asistența socială au fost în sumă de 27,8 miliarde lei și au reprezentat 19,2% din totalul cheltuielilor bugetului de stat. Din totalul plăților, suma de 19,2 miliarde lei, respectiv 69,1%, a fost utilizată de Ministerul Muncii și Justiției Sociale. </w:t>
      </w:r>
    </w:p>
    <w:p w:rsidR="00912B6C" w:rsidRPr="00912B6C" w:rsidRDefault="00912B6C" w:rsidP="00912B6C">
      <w:pPr>
        <w:spacing w:after="120" w:line="276" w:lineRule="auto"/>
        <w:ind w:firstLine="624"/>
        <w:jc w:val="both"/>
        <w:rPr>
          <w:rFonts w:ascii="Calibri" w:eastAsia="Calibri" w:hAnsi="Calibri" w:cs="Arial"/>
          <w:bCs/>
          <w:color w:val="000000"/>
          <w:lang w:val="fr-FR"/>
        </w:rPr>
      </w:pPr>
      <w:r w:rsidRPr="00912B6C">
        <w:rPr>
          <w:rFonts w:ascii="Calibri" w:eastAsia="Calibri" w:hAnsi="Calibri" w:cs="Arial"/>
          <w:bCs/>
          <w:color w:val="000000"/>
          <w:lang w:val="fr-FR"/>
        </w:rPr>
        <w:t xml:space="preserve">Cheltuielile privind asistența socială la bugetul de stat au înregistrat o creștere cu 19,7% comparativ cu anul precedent. </w:t>
      </w:r>
    </w:p>
    <w:p w:rsidR="00912B6C" w:rsidRPr="00912B6C" w:rsidRDefault="00912B6C" w:rsidP="00912B6C">
      <w:pPr>
        <w:spacing w:after="120" w:line="276" w:lineRule="auto"/>
        <w:ind w:firstLine="624"/>
        <w:jc w:val="both"/>
        <w:rPr>
          <w:rFonts w:ascii="Calibri" w:eastAsia="Calibri" w:hAnsi="Calibri" w:cs="Arial"/>
          <w:bCs/>
          <w:color w:val="000000"/>
          <w:lang w:val="fr-FR"/>
        </w:rPr>
      </w:pPr>
      <w:r w:rsidRPr="00912B6C">
        <w:rPr>
          <w:rFonts w:ascii="Calibri" w:eastAsia="Calibri" w:hAnsi="Calibri" w:cs="Arial"/>
          <w:b/>
          <w:bCs/>
          <w:color w:val="000000"/>
          <w:lang w:val="fr-FR"/>
        </w:rPr>
        <w:t>Cheltuielile aferente proiectelor cu finanțare externă rambursabilă</w:t>
      </w:r>
      <w:r w:rsidRPr="00912B6C">
        <w:rPr>
          <w:rFonts w:ascii="Calibri" w:eastAsia="Calibri" w:hAnsi="Calibri" w:cs="Arial"/>
          <w:bCs/>
          <w:color w:val="000000"/>
          <w:lang w:val="fr-FR"/>
        </w:rPr>
        <w:t xml:space="preserve"> s-au diminuat cu 30%. </w:t>
      </w:r>
    </w:p>
    <w:p w:rsidR="00912B6C" w:rsidRPr="00912B6C" w:rsidRDefault="00912B6C" w:rsidP="00912B6C">
      <w:pPr>
        <w:spacing w:after="120" w:line="276" w:lineRule="auto"/>
        <w:ind w:firstLine="624"/>
        <w:jc w:val="both"/>
        <w:rPr>
          <w:rFonts w:ascii="Calibri" w:eastAsia="Calibri" w:hAnsi="Calibri" w:cs="Arial"/>
          <w:bCs/>
          <w:color w:val="000000"/>
          <w:lang w:val="fr-FR"/>
        </w:rPr>
      </w:pPr>
      <w:r w:rsidRPr="00912B6C">
        <w:rPr>
          <w:rFonts w:ascii="Calibri" w:eastAsia="Calibri" w:hAnsi="Calibri" w:cs="Arial"/>
          <w:b/>
          <w:bCs/>
          <w:color w:val="000000"/>
          <w:lang w:val="fr-FR"/>
        </w:rPr>
        <w:t>Cheltuielile aferente proiectelor cu finanțare externă nerambursabilă aferente cadrului financiar 2014-2020</w:t>
      </w:r>
      <w:r w:rsidRPr="00912B6C">
        <w:rPr>
          <w:rFonts w:ascii="Calibri" w:eastAsia="Calibri" w:hAnsi="Calibri" w:cs="Arial"/>
          <w:bCs/>
          <w:color w:val="000000"/>
          <w:lang w:val="fr-FR"/>
        </w:rPr>
        <w:t xml:space="preserve"> au crescut, comparativ cu anul precedent, cu 12,4 miliarde lei (196,0%), iar ca pondere în PIB s-au majorat cu 1,4 puncte procentuale.</w:t>
      </w:r>
    </w:p>
    <w:p w:rsidR="00912B6C" w:rsidRPr="00912B6C" w:rsidRDefault="00912B6C" w:rsidP="00912B6C">
      <w:pPr>
        <w:spacing w:after="120" w:line="276" w:lineRule="auto"/>
        <w:jc w:val="both"/>
        <w:rPr>
          <w:rFonts w:ascii="Calibri" w:eastAsia="Calibri" w:hAnsi="Calibri" w:cs="Arial"/>
          <w:lang w:val="fr-FR"/>
        </w:rPr>
      </w:pPr>
      <w:r w:rsidRPr="00912B6C">
        <w:rPr>
          <w:rFonts w:ascii="Calibri" w:eastAsia="Calibri" w:hAnsi="Calibri" w:cs="Arial"/>
          <w:b/>
          <w:bCs/>
          <w:color w:val="FF0000"/>
          <w:lang w:val="fr-FR"/>
        </w:rPr>
        <w:tab/>
      </w:r>
      <w:r w:rsidRPr="00912B6C">
        <w:rPr>
          <w:rFonts w:ascii="Calibri" w:eastAsia="Calibri" w:hAnsi="Calibri" w:cs="Arial"/>
          <w:b/>
          <w:lang w:val="fr-FR"/>
        </w:rPr>
        <w:t xml:space="preserve">Cheltuielile pentru </w:t>
      </w:r>
      <w:r w:rsidRPr="00912B6C">
        <w:rPr>
          <w:rFonts w:ascii="Calibri" w:eastAsia="Calibri" w:hAnsi="Calibri" w:cs="Arial"/>
          <w:b/>
          <w:bCs/>
          <w:lang w:val="fr-FR"/>
        </w:rPr>
        <w:t>investiții</w:t>
      </w:r>
      <w:r w:rsidRPr="00912B6C">
        <w:rPr>
          <w:rFonts w:ascii="Calibri" w:eastAsia="Calibri" w:hAnsi="Calibri" w:cs="Arial"/>
          <w:lang w:val="fr-FR"/>
        </w:rPr>
        <w:t xml:space="preserve">, care includ cheltuielile de capital, precum şi cele aferente programelor de dezvoltare finanțate din surse interne şi externe, în anul 2017 au fost în sumă de 26,8 miliarde lei, respectiv 3,1% din PIB. </w:t>
      </w:r>
    </w:p>
    <w:p w:rsidR="00912B6C" w:rsidRPr="00912B6C" w:rsidRDefault="00912B6C" w:rsidP="00912B6C">
      <w:pPr>
        <w:spacing w:after="120" w:line="276" w:lineRule="auto"/>
        <w:jc w:val="both"/>
        <w:rPr>
          <w:rFonts w:ascii="Calibri" w:eastAsia="Calibri" w:hAnsi="Calibri" w:cs="Arial"/>
          <w:lang w:val="fr-FR"/>
        </w:rPr>
      </w:pPr>
    </w:p>
    <w:p w:rsidR="00912B6C" w:rsidRPr="00912B6C" w:rsidRDefault="00912B6C" w:rsidP="00912B6C">
      <w:pPr>
        <w:spacing w:after="120" w:line="276" w:lineRule="auto"/>
        <w:jc w:val="center"/>
        <w:rPr>
          <w:rFonts w:ascii="Calibri" w:eastAsia="Calibri" w:hAnsi="Calibri" w:cs="Arial"/>
          <w:b/>
          <w:bCs/>
        </w:rPr>
      </w:pPr>
      <w:r w:rsidRPr="00912B6C">
        <w:rPr>
          <w:rFonts w:ascii="Calibri" w:eastAsia="Calibri" w:hAnsi="Calibri" w:cs="Arial"/>
          <w:b/>
          <w:bCs/>
        </w:rPr>
        <w:t>Evoluția principalelor domenii finanțate din bugetul general consolidat</w:t>
      </w:r>
    </w:p>
    <w:p w:rsidR="00912B6C" w:rsidRPr="00912B6C" w:rsidRDefault="00412395" w:rsidP="00912B6C">
      <w:pPr>
        <w:spacing w:line="276" w:lineRule="auto"/>
        <w:jc w:val="center"/>
        <w:rPr>
          <w:rFonts w:ascii="Calibri" w:eastAsia="Calibri" w:hAnsi="Calibri" w:cs="Arial"/>
          <w:b/>
          <w:bCs/>
          <w:color w:val="FF0000"/>
        </w:rPr>
      </w:pPr>
      <w:r w:rsidRPr="00412395">
        <w:rPr>
          <w:rFonts w:eastAsia="Calibri"/>
          <w:noProof/>
          <w:lang w:val="ro-RO" w:eastAsia="ro-RO"/>
        </w:rPr>
        <w:drawing>
          <wp:inline distT="0" distB="0" distL="0" distR="0">
            <wp:extent cx="6264275" cy="4110579"/>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4110579"/>
                    </a:xfrm>
                    <a:prstGeom prst="rect">
                      <a:avLst/>
                    </a:prstGeom>
                    <a:noFill/>
                    <a:ln>
                      <a:noFill/>
                    </a:ln>
                  </pic:spPr>
                </pic:pic>
              </a:graphicData>
            </a:graphic>
          </wp:inline>
        </w:drawing>
      </w:r>
    </w:p>
    <w:p w:rsidR="00912B6C" w:rsidRPr="00912B6C" w:rsidRDefault="00912B6C" w:rsidP="00912B6C">
      <w:pPr>
        <w:spacing w:line="276" w:lineRule="auto"/>
        <w:ind w:firstLine="624"/>
        <w:jc w:val="both"/>
        <w:rPr>
          <w:rFonts w:ascii="Calibri" w:eastAsia="Calibri" w:hAnsi="Calibri" w:cs="Arial"/>
          <w:bCs/>
        </w:rPr>
      </w:pPr>
    </w:p>
    <w:p w:rsidR="00912B6C" w:rsidRPr="00912B6C" w:rsidRDefault="00912B6C" w:rsidP="00912B6C">
      <w:pPr>
        <w:spacing w:line="276" w:lineRule="auto"/>
        <w:ind w:firstLine="624"/>
        <w:jc w:val="both"/>
        <w:rPr>
          <w:rFonts w:ascii="Calibri" w:eastAsia="Calibri" w:hAnsi="Calibri" w:cs="Arial"/>
          <w:bCs/>
          <w:lang w:val="fr-FR"/>
        </w:rPr>
      </w:pPr>
      <w:r w:rsidRPr="00912B6C">
        <w:rPr>
          <w:rFonts w:ascii="Calibri" w:eastAsia="Calibri" w:hAnsi="Calibri" w:cs="Arial"/>
          <w:bCs/>
        </w:rPr>
        <w:t xml:space="preserve">În ceea ce privește cheltuielile pe principalele domenii în anul 2017 comparativ cu 2016 se constată creșteri în cazul majorității domeniilor, cele mai semnificative  înregistrându-se în domeniul agriculturii, silviculturii, pisciculturii și vânătorii(+113,9%), apărării(+47,8%), sănătății (+13,2%), asigurări și asistență socială (+13,7%), învățământului +14%), culturii recreerii și religiei +29,6%). </w:t>
      </w:r>
      <w:r w:rsidRPr="00912B6C">
        <w:rPr>
          <w:rFonts w:ascii="Calibri" w:eastAsia="Calibri" w:hAnsi="Calibri" w:cs="Arial"/>
          <w:bCs/>
          <w:lang w:val="fr-FR"/>
        </w:rPr>
        <w:t>Diminuări s-au înregistrat în domeniile: locuințe, servicii și dezvoltare publică (-0,5%), transporturi (-9,3%), protecția mediului (-9,2%).</w:t>
      </w:r>
    </w:p>
    <w:p w:rsidR="00D03B49" w:rsidRPr="00C86702" w:rsidRDefault="00D03B49" w:rsidP="00D03B49">
      <w:pPr>
        <w:jc w:val="both"/>
        <w:rPr>
          <w:rFonts w:ascii="Calibri" w:eastAsia="Calibri" w:hAnsi="Calibri" w:cs="Arial"/>
          <w:color w:val="FF0000"/>
          <w:shd w:val="clear" w:color="auto" w:fill="FFFFFF"/>
          <w:lang w:val="ro-RO"/>
        </w:rPr>
      </w:pPr>
    </w:p>
    <w:p w:rsidR="00D03B49" w:rsidRPr="00FA5738" w:rsidRDefault="00D03B49" w:rsidP="00FA5738">
      <w:pPr>
        <w:keepNext/>
        <w:shd w:val="clear" w:color="auto" w:fill="9CC2E5" w:themeFill="accent1" w:themeFillTint="99"/>
        <w:jc w:val="both"/>
        <w:rPr>
          <w:rFonts w:ascii="Calibri" w:hAnsi="Calibri" w:cs="Arial"/>
          <w:b/>
          <w:color w:val="000080"/>
          <w:lang w:val="ro-RO"/>
        </w:rPr>
      </w:pPr>
      <w:r w:rsidRPr="00FA5738">
        <w:rPr>
          <w:rFonts w:ascii="Calibri" w:hAnsi="Calibri" w:cs="Arial"/>
          <w:b/>
          <w:color w:val="000080"/>
          <w:lang w:val="ro-RO"/>
        </w:rPr>
        <w:t xml:space="preserve">Execuția </w:t>
      </w:r>
      <w:r w:rsidR="00734A7A">
        <w:rPr>
          <w:rFonts w:ascii="Calibri" w:hAnsi="Calibri" w:cs="Arial"/>
          <w:b/>
          <w:color w:val="000080"/>
          <w:lang w:val="ro-RO"/>
        </w:rPr>
        <w:t xml:space="preserve">bugetară </w:t>
      </w:r>
      <w:r w:rsidR="009D2BDC">
        <w:rPr>
          <w:rFonts w:ascii="Calibri" w:hAnsi="Calibri" w:cs="Arial"/>
          <w:b/>
          <w:color w:val="000080"/>
          <w:lang w:val="ro-RO"/>
        </w:rPr>
        <w:t>preliminată a</w:t>
      </w:r>
      <w:r w:rsidR="000A2B70" w:rsidRPr="00FA5738">
        <w:rPr>
          <w:rFonts w:ascii="Calibri" w:hAnsi="Calibri" w:cs="Arial"/>
          <w:b/>
          <w:color w:val="000080"/>
          <w:lang w:val="ro-RO"/>
        </w:rPr>
        <w:t xml:space="preserve"> anul</w:t>
      </w:r>
      <w:r w:rsidR="00FA5738">
        <w:rPr>
          <w:rFonts w:ascii="Calibri" w:hAnsi="Calibri" w:cs="Arial"/>
          <w:b/>
          <w:color w:val="000080"/>
          <w:lang w:val="ro-RO"/>
        </w:rPr>
        <w:t>ui</w:t>
      </w:r>
      <w:r w:rsidR="009C3A5E">
        <w:rPr>
          <w:rFonts w:ascii="Calibri" w:hAnsi="Calibri" w:cs="Arial"/>
          <w:b/>
          <w:color w:val="000080"/>
          <w:lang w:val="ro-RO"/>
        </w:rPr>
        <w:t xml:space="preserve"> 2018</w:t>
      </w:r>
    </w:p>
    <w:p w:rsidR="00912B6C" w:rsidRPr="00912B6C" w:rsidRDefault="00912B6C" w:rsidP="00912B6C">
      <w:pPr>
        <w:spacing w:before="240"/>
        <w:ind w:right="-57" w:firstLine="720"/>
        <w:jc w:val="both"/>
        <w:rPr>
          <w:rFonts w:ascii="Calibri" w:hAnsi="Calibri" w:cs="Arial"/>
          <w:bCs/>
          <w:lang w:val="ro-RO"/>
        </w:rPr>
      </w:pPr>
      <w:r w:rsidRPr="00912B6C">
        <w:rPr>
          <w:rFonts w:ascii="Calibri" w:hAnsi="Calibri" w:cs="Arial"/>
          <w:b/>
          <w:bCs/>
          <w:lang w:val="ro-RO"/>
        </w:rPr>
        <w:t xml:space="preserve">Execuția bugetului general consolidat, </w:t>
      </w:r>
      <w:r w:rsidRPr="00912B6C">
        <w:rPr>
          <w:rFonts w:ascii="Calibri" w:hAnsi="Calibri" w:cs="Arial"/>
          <w:bCs/>
          <w:lang w:val="ro-RO"/>
        </w:rPr>
        <w:t xml:space="preserve">pe baza datelor operative de execuție,  pe anul 2018  s-a încheiat cu un deficit de 27,3 miliarde de lei, </w:t>
      </w:r>
      <w:r w:rsidRPr="003350EC">
        <w:rPr>
          <w:rFonts w:ascii="Calibri" w:hAnsi="Calibri" w:cs="Arial"/>
          <w:bCs/>
          <w:color w:val="000000" w:themeColor="text1"/>
          <w:lang w:val="ro-RO"/>
        </w:rPr>
        <w:t>respectiv 2,</w:t>
      </w:r>
      <w:r w:rsidR="0034169E" w:rsidRPr="003350EC">
        <w:rPr>
          <w:rFonts w:ascii="Calibri" w:hAnsi="Calibri" w:cs="Arial"/>
          <w:bCs/>
          <w:color w:val="000000" w:themeColor="text1"/>
          <w:lang w:val="ro-RO"/>
        </w:rPr>
        <w:t>91</w:t>
      </w:r>
      <w:r w:rsidRPr="003350EC">
        <w:rPr>
          <w:rFonts w:ascii="Calibri" w:hAnsi="Calibri" w:cs="Arial"/>
          <w:bCs/>
          <w:color w:val="000000" w:themeColor="text1"/>
          <w:lang w:val="ro-RO"/>
        </w:rPr>
        <w:t>% din</w:t>
      </w:r>
      <w:r w:rsidRPr="00912B6C">
        <w:rPr>
          <w:rFonts w:ascii="Calibri" w:hAnsi="Calibri" w:cs="Arial"/>
          <w:bCs/>
          <w:lang w:val="ro-RO"/>
        </w:rPr>
        <w:t xml:space="preserve"> PIB, sub ținta anuală stabilită de 2,97% din PIB.</w:t>
      </w:r>
    </w:p>
    <w:p w:rsidR="00912B6C" w:rsidRPr="00912B6C" w:rsidRDefault="00912B6C" w:rsidP="00912B6C">
      <w:pPr>
        <w:spacing w:before="240"/>
        <w:ind w:right="-57" w:firstLine="720"/>
        <w:jc w:val="both"/>
        <w:rPr>
          <w:rFonts w:ascii="Calibri" w:hAnsi="Calibri" w:cs="Arial"/>
          <w:bCs/>
          <w:lang w:val="fr-FR"/>
        </w:rPr>
      </w:pPr>
      <w:r w:rsidRPr="00912B6C">
        <w:rPr>
          <w:rFonts w:ascii="Calibri" w:hAnsi="Calibri" w:cs="Arial"/>
          <w:b/>
          <w:bCs/>
          <w:lang w:val="fr-FR"/>
        </w:rPr>
        <w:t xml:space="preserve">1. Veniturile bugetului general consolidat, </w:t>
      </w:r>
      <w:r w:rsidRPr="00912B6C">
        <w:rPr>
          <w:rFonts w:ascii="Calibri" w:hAnsi="Calibri" w:cs="Arial"/>
          <w:bCs/>
          <w:lang w:val="fr-FR"/>
        </w:rPr>
        <w:t xml:space="preserve">în sumă de </w:t>
      </w:r>
      <w:r w:rsidRPr="00912B6C">
        <w:rPr>
          <w:rFonts w:ascii="Calibri" w:hAnsi="Calibri" w:cs="Arial"/>
          <w:b/>
          <w:bCs/>
          <w:lang w:val="fr-FR"/>
        </w:rPr>
        <w:t>295,1 miliarde lei, reprezentând 31,</w:t>
      </w:r>
      <w:r w:rsidR="0034169E">
        <w:rPr>
          <w:rFonts w:ascii="Calibri" w:hAnsi="Calibri" w:cs="Arial"/>
          <w:b/>
          <w:bCs/>
          <w:lang w:val="fr-FR"/>
        </w:rPr>
        <w:t>4</w:t>
      </w:r>
      <w:r w:rsidRPr="00912B6C">
        <w:rPr>
          <w:rFonts w:ascii="Calibri" w:hAnsi="Calibri" w:cs="Arial"/>
          <w:b/>
          <w:bCs/>
          <w:lang w:val="fr-FR"/>
        </w:rPr>
        <w:t xml:space="preserve">% din PIB, </w:t>
      </w:r>
      <w:r w:rsidRPr="00912B6C">
        <w:rPr>
          <w:rFonts w:ascii="Calibri" w:hAnsi="Calibri" w:cs="Arial"/>
          <w:bCs/>
          <w:lang w:val="fr-FR"/>
        </w:rPr>
        <w:t>comparativ cu 29,4% din PIB în 2017.</w:t>
      </w:r>
      <w:r w:rsidR="0034169E">
        <w:rPr>
          <w:rFonts w:ascii="Calibri" w:hAnsi="Calibri" w:cs="Arial"/>
          <w:bCs/>
          <w:lang w:val="fr-FR"/>
        </w:rPr>
        <w:t xml:space="preserve"> </w:t>
      </w:r>
      <w:r w:rsidRPr="00912B6C">
        <w:rPr>
          <w:rFonts w:ascii="Calibri" w:hAnsi="Calibri" w:cs="Arial"/>
          <w:bCs/>
          <w:lang w:val="fr-FR"/>
        </w:rPr>
        <w:t>Procentual, veniturile au fost cu 17,2% mai mari, în termeni nominali, față de anul trecut.</w:t>
      </w:r>
    </w:p>
    <w:p w:rsidR="00912B6C" w:rsidRPr="00912B6C" w:rsidRDefault="00912B6C" w:rsidP="00912B6C">
      <w:pPr>
        <w:ind w:right="-57" w:firstLine="720"/>
        <w:jc w:val="both"/>
        <w:rPr>
          <w:rFonts w:ascii="Calibri" w:hAnsi="Calibri" w:cs="Arial"/>
          <w:bCs/>
          <w:lang w:val="fr-FR"/>
        </w:rPr>
      </w:pPr>
      <w:r w:rsidRPr="00912B6C">
        <w:rPr>
          <w:rFonts w:ascii="Calibri" w:hAnsi="Calibri" w:cs="Arial"/>
          <w:bCs/>
          <w:lang w:val="fr-FR"/>
        </w:rPr>
        <w:t xml:space="preserve">Se înregistrează creșteri față de anul precedent în cazul încasărilor din </w:t>
      </w:r>
      <w:r w:rsidRPr="00912B6C">
        <w:rPr>
          <w:rFonts w:ascii="Calibri" w:hAnsi="Calibri" w:cs="Arial"/>
          <w:b/>
          <w:bCs/>
          <w:lang w:val="fr-FR"/>
        </w:rPr>
        <w:t>contribuțiile de asigurări</w:t>
      </w:r>
      <w:r w:rsidRPr="00912B6C">
        <w:rPr>
          <w:rFonts w:ascii="Calibri" w:hAnsi="Calibri" w:cs="Arial"/>
          <w:bCs/>
          <w:lang w:val="fr-FR"/>
        </w:rPr>
        <w:t xml:space="preserve"> (+36,8%). </w:t>
      </w:r>
      <w:r w:rsidRPr="00912B6C">
        <w:rPr>
          <w:rFonts w:ascii="Calibri" w:hAnsi="Calibri" w:cs="Arial"/>
          <w:lang w:val="fr-FR"/>
        </w:rPr>
        <w:t>Încasările din contribuțiile de asigurări au fost influențate de creșterea efectivului de salariați din economie, a câștigului salarial mediu brut, a salariului minim pe economie, dar și de condițiile legislative privind transferul contribuțiilor din sarcina angajatorului în sarcina angajatului, reglementate prin OUG nr. 79/2017 pentru modificarea şi completarea Legii nr. 227/2015 privind Codul fiscal.</w:t>
      </w:r>
    </w:p>
    <w:p w:rsidR="00912B6C" w:rsidRPr="00912B6C" w:rsidRDefault="00912B6C" w:rsidP="00912B6C">
      <w:pPr>
        <w:ind w:right="-57" w:firstLine="720"/>
        <w:jc w:val="both"/>
        <w:rPr>
          <w:rFonts w:ascii="Calibri" w:hAnsi="Calibri" w:cs="Arial"/>
          <w:bCs/>
          <w:lang w:val="fr-FR"/>
        </w:rPr>
      </w:pPr>
      <w:r w:rsidRPr="00912B6C">
        <w:rPr>
          <w:rFonts w:ascii="Calibri" w:hAnsi="Calibri" w:cs="Arial"/>
          <w:bCs/>
          <w:lang w:val="fr-FR"/>
        </w:rPr>
        <w:t xml:space="preserve">Începând cu luna mai, se constată o îmbunătățire a colectării veniturilor din TVA, astfel, acestea au crescut cu 11,3% față de realizările anului 2017, ajungând la o valoare de 59,6 miliarde lei pe întreg anul 2018. </w:t>
      </w:r>
    </w:p>
    <w:p w:rsidR="00912B6C" w:rsidRPr="00912B6C" w:rsidRDefault="00912B6C" w:rsidP="00912B6C">
      <w:pPr>
        <w:ind w:right="-57" w:firstLine="720"/>
        <w:jc w:val="both"/>
        <w:rPr>
          <w:rFonts w:ascii="Calibri" w:hAnsi="Calibri" w:cs="Arial"/>
          <w:bCs/>
          <w:lang w:val="fr-FR"/>
        </w:rPr>
      </w:pPr>
      <w:r w:rsidRPr="00912B6C">
        <w:rPr>
          <w:rFonts w:ascii="Calibri" w:hAnsi="Calibri" w:cs="Arial"/>
          <w:bCs/>
          <w:lang w:val="fr-FR"/>
        </w:rPr>
        <w:t xml:space="preserve">Veniturile din </w:t>
      </w:r>
      <w:r w:rsidRPr="00912B6C">
        <w:rPr>
          <w:rFonts w:ascii="Calibri" w:hAnsi="Calibri" w:cs="Arial"/>
          <w:b/>
          <w:bCs/>
          <w:lang w:val="fr-FR"/>
        </w:rPr>
        <w:t>accize</w:t>
      </w:r>
      <w:r w:rsidRPr="00912B6C">
        <w:rPr>
          <w:rFonts w:ascii="Calibri" w:hAnsi="Calibri" w:cs="Arial"/>
          <w:bCs/>
          <w:lang w:val="fr-FR"/>
        </w:rPr>
        <w:t xml:space="preserve"> au fost în sumă de 28,5 miliarde lei (3% din PIB) cu 7,2% mai mari comparativ cu anul precedent. </w:t>
      </w:r>
    </w:p>
    <w:p w:rsidR="00912B6C" w:rsidRPr="00912B6C" w:rsidRDefault="00912B6C" w:rsidP="00912B6C">
      <w:pPr>
        <w:ind w:right="-57" w:firstLine="720"/>
        <w:jc w:val="both"/>
        <w:rPr>
          <w:rFonts w:ascii="Calibri" w:hAnsi="Calibri" w:cs="Arial"/>
          <w:bCs/>
          <w:lang w:val="fr-FR"/>
        </w:rPr>
      </w:pPr>
      <w:r w:rsidRPr="00912B6C">
        <w:rPr>
          <w:rFonts w:ascii="Calibri" w:hAnsi="Calibri" w:cs="Arial"/>
          <w:bCs/>
          <w:lang w:val="fr-FR"/>
        </w:rPr>
        <w:t xml:space="preserve">De asemenea, încasările din </w:t>
      </w:r>
      <w:r w:rsidRPr="00912B6C">
        <w:rPr>
          <w:rFonts w:ascii="Calibri" w:hAnsi="Calibri" w:cs="Arial"/>
          <w:b/>
          <w:bCs/>
          <w:lang w:val="fr-FR"/>
        </w:rPr>
        <w:t>impozite și taxe pe proprietate</w:t>
      </w:r>
      <w:r w:rsidRPr="00912B6C">
        <w:rPr>
          <w:rFonts w:ascii="Calibri" w:hAnsi="Calibri" w:cs="Arial"/>
          <w:bCs/>
          <w:lang w:val="fr-FR"/>
        </w:rPr>
        <w:t xml:space="preserve"> au crescut cu 2% față de 2017, iar încasările din veniturile nefiscale au crescut cu 24%, influențate pozitiv de încasările din dividende.</w:t>
      </w:r>
    </w:p>
    <w:p w:rsidR="00912B6C" w:rsidRPr="00912B6C" w:rsidRDefault="00912B6C" w:rsidP="00912B6C">
      <w:pPr>
        <w:ind w:right="-57" w:firstLine="720"/>
        <w:jc w:val="both"/>
        <w:rPr>
          <w:rFonts w:ascii="Calibri" w:hAnsi="Calibri" w:cs="Arial"/>
          <w:bCs/>
          <w:lang w:val="fr-FR"/>
        </w:rPr>
      </w:pPr>
      <w:r w:rsidRPr="00912B6C">
        <w:rPr>
          <w:rFonts w:ascii="Calibri" w:hAnsi="Calibri" w:cs="Arial"/>
          <w:bCs/>
          <w:lang w:val="fr-FR"/>
        </w:rPr>
        <w:t xml:space="preserve">S-au înregistrat scăderi ale încasărilor din </w:t>
      </w:r>
      <w:r w:rsidRPr="00912B6C">
        <w:rPr>
          <w:rFonts w:ascii="Calibri" w:hAnsi="Calibri" w:cs="Arial"/>
          <w:b/>
          <w:bCs/>
          <w:lang w:val="fr-FR"/>
        </w:rPr>
        <w:t xml:space="preserve">impozitul pe salarii și venit </w:t>
      </w:r>
      <w:r w:rsidRPr="00912B6C">
        <w:rPr>
          <w:rFonts w:ascii="Calibri" w:hAnsi="Calibri" w:cs="Arial"/>
          <w:bCs/>
          <w:lang w:val="fr-FR"/>
        </w:rPr>
        <w:t>cu 24,8%</w:t>
      </w:r>
      <w:r w:rsidR="00C67653">
        <w:rPr>
          <w:rFonts w:ascii="Calibri" w:hAnsi="Calibri" w:cs="Arial"/>
          <w:bCs/>
          <w:lang w:val="fr-FR"/>
        </w:rPr>
        <w:t xml:space="preserve"> </w:t>
      </w:r>
      <w:r w:rsidRPr="00912B6C">
        <w:rPr>
          <w:rFonts w:ascii="Calibri" w:hAnsi="Calibri" w:cs="Arial"/>
          <w:bCs/>
          <w:lang w:val="fr-FR"/>
        </w:rPr>
        <w:t xml:space="preserve">pe fondul reducerii, începând cu 1 ianuarie 2018, a cotei impozitului pe venit de la 16% la 10%, măsură care s-a reflectat în încasări începând cu luna februarie 2018. </w:t>
      </w:r>
    </w:p>
    <w:p w:rsidR="00912B6C" w:rsidRPr="00912B6C" w:rsidRDefault="00912B6C" w:rsidP="00912B6C">
      <w:pPr>
        <w:ind w:right="-57" w:firstLine="720"/>
        <w:jc w:val="both"/>
        <w:rPr>
          <w:rFonts w:ascii="Calibri" w:hAnsi="Calibri" w:cs="Arial"/>
          <w:bCs/>
          <w:i/>
          <w:lang w:val="fr-FR"/>
        </w:rPr>
      </w:pPr>
      <w:r w:rsidRPr="00912B6C">
        <w:rPr>
          <w:rFonts w:ascii="Calibri" w:hAnsi="Calibri" w:cs="Arial"/>
          <w:bCs/>
          <w:lang w:val="fr-FR"/>
        </w:rPr>
        <w:t xml:space="preserve">De asemenea, se înregistrează o diminuare cu 42% față de anul precedent la </w:t>
      </w:r>
      <w:r w:rsidRPr="00912B6C">
        <w:rPr>
          <w:rFonts w:ascii="Calibri" w:hAnsi="Calibri" w:cs="Arial"/>
          <w:b/>
          <w:bCs/>
          <w:lang w:val="fr-FR"/>
        </w:rPr>
        <w:t>taxa pe utilizarea bunurilor, autorizarea utilizării bunurilor sau pe desfășurarea de activități</w:t>
      </w:r>
      <w:r w:rsidRPr="00912B6C">
        <w:rPr>
          <w:rFonts w:ascii="Calibri" w:hAnsi="Calibri" w:cs="Arial"/>
          <w:bCs/>
          <w:lang w:val="fr-FR"/>
        </w:rPr>
        <w:t xml:space="preserve"> ca urmare a aplicării </w:t>
      </w:r>
      <w:r w:rsidRPr="00912B6C">
        <w:rPr>
          <w:rFonts w:ascii="Calibri" w:hAnsi="Calibri" w:cs="Arial"/>
          <w:bCs/>
          <w:i/>
          <w:lang w:val="fr-FR"/>
        </w:rPr>
        <w:t>OUG nr. 52/2017 privind restituirea sumelor reprezentând taxa specială pentru autoturisme și autovehicule, taxa pe poluare pentru autovehicule, taxa pentru emisiile poluante provenite de la autovehicule și timbrul de mediu pentru autovehicule.</w:t>
      </w:r>
    </w:p>
    <w:p w:rsidR="00912B6C" w:rsidRPr="00912B6C" w:rsidRDefault="00912B6C" w:rsidP="00912B6C">
      <w:pPr>
        <w:ind w:right="-57" w:firstLine="720"/>
        <w:jc w:val="both"/>
        <w:rPr>
          <w:rFonts w:ascii="Calibri" w:hAnsi="Calibri" w:cs="Arial"/>
          <w:lang w:val="fr-FR"/>
        </w:rPr>
      </w:pPr>
      <w:r w:rsidRPr="00912B6C">
        <w:rPr>
          <w:rFonts w:ascii="Calibri" w:hAnsi="Calibri" w:cs="Arial"/>
          <w:b/>
          <w:bCs/>
          <w:lang w:val="fr-FR"/>
        </w:rPr>
        <w:t>Sumele de la Uniunea Europeană în contul plăților efectuate</w:t>
      </w:r>
      <w:r w:rsidRPr="00912B6C">
        <w:rPr>
          <w:rFonts w:ascii="Calibri" w:hAnsi="Calibri" w:cs="Arial"/>
          <w:bCs/>
          <w:lang w:val="fr-FR"/>
        </w:rPr>
        <w:t xml:space="preserve"> sunt 27,1 miliarde lei,</w:t>
      </w:r>
      <w:r w:rsidRPr="00912B6C">
        <w:rPr>
          <w:rFonts w:ascii="Calibri" w:hAnsi="Calibri" w:cs="Arial"/>
          <w:lang w:val="fr-FR"/>
        </w:rPr>
        <w:t xml:space="preserve"> fiind cu 57,8% mai mari față de anul 2017</w:t>
      </w:r>
      <w:r w:rsidRPr="00912B6C">
        <w:rPr>
          <w:rFonts w:ascii="Calibri" w:hAnsi="Calibri" w:cs="Arial"/>
          <w:bCs/>
          <w:lang w:val="fr-FR"/>
        </w:rPr>
        <w:t xml:space="preserve">. </w:t>
      </w:r>
    </w:p>
    <w:p w:rsidR="00912B6C" w:rsidRPr="00912B6C" w:rsidRDefault="00912B6C" w:rsidP="00912B6C">
      <w:pPr>
        <w:ind w:right="-57" w:firstLine="737"/>
        <w:jc w:val="both"/>
        <w:rPr>
          <w:rFonts w:ascii="Calibri" w:hAnsi="Calibri" w:cs="Arial"/>
          <w:b/>
          <w:bCs/>
          <w:lang w:val="fr-FR"/>
        </w:rPr>
      </w:pPr>
    </w:p>
    <w:p w:rsidR="00912B6C" w:rsidRPr="00912B6C" w:rsidRDefault="00912B6C" w:rsidP="00912B6C">
      <w:pPr>
        <w:ind w:right="-57" w:firstLine="737"/>
        <w:jc w:val="both"/>
        <w:rPr>
          <w:rFonts w:ascii="Calibri" w:hAnsi="Calibri" w:cs="Arial"/>
          <w:bCs/>
          <w:lang w:val="fr-FR"/>
        </w:rPr>
      </w:pPr>
      <w:r w:rsidRPr="00912B6C">
        <w:rPr>
          <w:rFonts w:ascii="Calibri" w:hAnsi="Calibri" w:cs="Arial"/>
          <w:b/>
          <w:bCs/>
          <w:lang w:val="fr-FR"/>
        </w:rPr>
        <w:t xml:space="preserve">2. Cheltuielile bugetului general consolidat </w:t>
      </w:r>
      <w:r w:rsidRPr="00912B6C">
        <w:rPr>
          <w:rFonts w:ascii="Calibri" w:hAnsi="Calibri" w:cs="Arial"/>
          <w:bCs/>
          <w:lang w:val="fr-FR"/>
        </w:rPr>
        <w:t xml:space="preserve">suntîn sumă de </w:t>
      </w:r>
      <w:r w:rsidRPr="00912B6C">
        <w:rPr>
          <w:rFonts w:ascii="Calibri" w:hAnsi="Calibri" w:cs="Arial"/>
          <w:b/>
          <w:bCs/>
          <w:lang w:val="fr-FR"/>
        </w:rPr>
        <w:t>322,4 miliarde lei,</w:t>
      </w:r>
      <w:r w:rsidRPr="00912B6C">
        <w:rPr>
          <w:rFonts w:ascii="Calibri" w:hAnsi="Calibri" w:cs="Arial"/>
          <w:bCs/>
          <w:lang w:val="fr-FR"/>
        </w:rPr>
        <w:t xml:space="preserve"> cu 16,8% mai mari față de anul  precedent.</w:t>
      </w:r>
    </w:p>
    <w:p w:rsidR="00912B6C" w:rsidRPr="00912B6C" w:rsidRDefault="00912B6C" w:rsidP="00912B6C">
      <w:pPr>
        <w:ind w:right="-57" w:firstLine="720"/>
        <w:jc w:val="both"/>
        <w:rPr>
          <w:rFonts w:ascii="Calibri" w:hAnsi="Calibri" w:cs="Arial"/>
          <w:bCs/>
          <w:lang w:val="fr-FR"/>
        </w:rPr>
      </w:pPr>
      <w:r w:rsidRPr="00912B6C">
        <w:rPr>
          <w:rFonts w:ascii="Calibri" w:hAnsi="Calibri" w:cs="Arial"/>
          <w:b/>
          <w:bCs/>
          <w:lang w:val="fr-FR"/>
        </w:rPr>
        <w:t>Cheltuielile de personal</w:t>
      </w:r>
      <w:r w:rsidRPr="00912B6C">
        <w:rPr>
          <w:rFonts w:ascii="Calibri" w:hAnsi="Calibri" w:cs="Arial"/>
          <w:bCs/>
          <w:lang w:val="fr-FR"/>
        </w:rPr>
        <w:t xml:space="preserve"> sunt cu 23,7% mai mari față de anul 2017, creșterea fiind determinată de majorările salariale acordate în temeiul Legii cadru nr. 153/2017privind salarizarea personalului plătit din fonduri publice.</w:t>
      </w:r>
    </w:p>
    <w:p w:rsidR="00912B6C" w:rsidRPr="00912B6C" w:rsidRDefault="00912B6C" w:rsidP="00912B6C">
      <w:pPr>
        <w:spacing w:before="240"/>
        <w:ind w:firstLine="720"/>
        <w:contextualSpacing/>
        <w:jc w:val="both"/>
        <w:rPr>
          <w:rFonts w:ascii="Calibri" w:hAnsi="Calibri" w:cs="Arial"/>
          <w:bCs/>
          <w:lang w:val="fr-FR"/>
        </w:rPr>
      </w:pPr>
      <w:r w:rsidRPr="00912B6C">
        <w:rPr>
          <w:rFonts w:ascii="Calibri" w:hAnsi="Calibri" w:cs="Arial"/>
          <w:bCs/>
          <w:lang w:val="fr-FR"/>
        </w:rPr>
        <w:t xml:space="preserve">Cheltuielile cu </w:t>
      </w:r>
      <w:r w:rsidRPr="00912B6C">
        <w:rPr>
          <w:rFonts w:ascii="Calibri" w:hAnsi="Calibri" w:cs="Arial"/>
          <w:b/>
          <w:bCs/>
          <w:lang w:val="fr-FR"/>
        </w:rPr>
        <w:t>bunuri şi servicii</w:t>
      </w:r>
      <w:r w:rsidRPr="00912B6C">
        <w:rPr>
          <w:rFonts w:ascii="Calibri" w:hAnsi="Calibri" w:cs="Arial"/>
          <w:bCs/>
          <w:lang w:val="fr-FR"/>
        </w:rPr>
        <w:t xml:space="preserve"> au crescut cu 9,8% față anul precedent. Creșteri semnificative se înregistrează atât la bugetele locale, cât și la bugetul fondului național unic de asigurări sociale de sănătate și la bugetele instituțiilor publice finanțate din venituri proprii și subvenții bugetare.</w:t>
      </w:r>
    </w:p>
    <w:p w:rsidR="00912B6C" w:rsidRPr="00912B6C" w:rsidRDefault="00912B6C" w:rsidP="00912B6C">
      <w:pPr>
        <w:spacing w:before="240"/>
        <w:ind w:firstLine="720"/>
        <w:contextualSpacing/>
        <w:jc w:val="both"/>
        <w:rPr>
          <w:rFonts w:ascii="Calibri" w:hAnsi="Calibri" w:cs="Arial"/>
          <w:bCs/>
          <w:lang w:val="fr-FR"/>
        </w:rPr>
      </w:pPr>
      <w:r w:rsidRPr="00912B6C">
        <w:rPr>
          <w:rFonts w:ascii="Calibri" w:hAnsi="Calibri" w:cs="Arial"/>
          <w:b/>
          <w:bCs/>
          <w:lang w:val="fr-FR"/>
        </w:rPr>
        <w:t>Subvențiile</w:t>
      </w:r>
      <w:r w:rsidRPr="00912B6C">
        <w:rPr>
          <w:rFonts w:ascii="Calibri" w:hAnsi="Calibri" w:cs="Arial"/>
          <w:bCs/>
          <w:lang w:val="fr-FR"/>
        </w:rPr>
        <w:t xml:space="preserve"> sunt mai mari cu 7,6% față de anul 2017, menținându-se la același nivel ca procent din Produsul Intern Brut, respectiv 0,7%.</w:t>
      </w:r>
    </w:p>
    <w:p w:rsidR="00912B6C" w:rsidRPr="00912B6C" w:rsidRDefault="00912B6C" w:rsidP="00912B6C">
      <w:pPr>
        <w:spacing w:before="240"/>
        <w:ind w:firstLine="720"/>
        <w:contextualSpacing/>
        <w:jc w:val="both"/>
        <w:rPr>
          <w:rFonts w:ascii="Calibri" w:hAnsi="Calibri" w:cs="Arial"/>
          <w:bCs/>
          <w:lang w:val="fr-FR"/>
        </w:rPr>
      </w:pPr>
      <w:r w:rsidRPr="00912B6C">
        <w:rPr>
          <w:rFonts w:ascii="Calibri" w:hAnsi="Calibri" w:cs="Arial"/>
          <w:b/>
          <w:bCs/>
          <w:lang w:val="fr-FR"/>
        </w:rPr>
        <w:t>Dobânzile</w:t>
      </w:r>
      <w:r w:rsidRPr="00912B6C">
        <w:rPr>
          <w:rFonts w:ascii="Calibri" w:hAnsi="Calibri" w:cs="Arial"/>
          <w:bCs/>
          <w:lang w:val="fr-FR"/>
        </w:rPr>
        <w:t xml:space="preserve"> sunt cu 27,8% mai mari față de anul trecut, reprezentând 1,4% din PIB, întrucât în luna octombrie 2018 s-a înregistrat un vârf de plată al dobânzilor, avându-se în vedere cumularea datelor de plată a dobânzilor aferente mai multor titluri de stat de tip benchmark.</w:t>
      </w:r>
    </w:p>
    <w:p w:rsidR="00912B6C" w:rsidRPr="00912B6C" w:rsidRDefault="00912B6C" w:rsidP="00912B6C">
      <w:pPr>
        <w:spacing w:before="240"/>
        <w:ind w:firstLine="720"/>
        <w:contextualSpacing/>
        <w:jc w:val="both"/>
        <w:rPr>
          <w:rFonts w:ascii="Calibri" w:hAnsi="Calibri" w:cs="Arial"/>
          <w:bCs/>
          <w:lang w:val="fr-FR"/>
        </w:rPr>
      </w:pPr>
      <w:r w:rsidRPr="00912B6C">
        <w:rPr>
          <w:rFonts w:ascii="Calibri" w:hAnsi="Calibri" w:cs="Arial"/>
          <w:b/>
          <w:bCs/>
          <w:lang w:val="fr-FR"/>
        </w:rPr>
        <w:t>Cheltuielile cu asistența socială</w:t>
      </w:r>
      <w:r w:rsidRPr="00912B6C">
        <w:rPr>
          <w:rFonts w:ascii="Calibri" w:hAnsi="Calibri" w:cs="Arial"/>
          <w:bCs/>
          <w:lang w:val="fr-FR"/>
        </w:rPr>
        <w:t xml:space="preserve"> au crescut față de anul precedent cu 9,5%, fiind influențate, în principal, de majorarea cu 9% a punctului de pensie de la 1 iulie 2017, ajungând la 1000 lei, respectiv cu 10% de la 1 iulie 2018, ajungând la 1100 lei,de creșterea nivelului îndemnizației sociale pentru pensionari de la 520 lei la 640 lei, precum și majorarea și modificarea modalității de stabilire a indemnizației lunare pentru creșterea copilului și stimulentul de inserție.</w:t>
      </w:r>
    </w:p>
    <w:p w:rsidR="00912B6C" w:rsidRDefault="00912B6C" w:rsidP="00912B6C">
      <w:pPr>
        <w:spacing w:before="240"/>
        <w:ind w:firstLine="720"/>
        <w:contextualSpacing/>
        <w:jc w:val="both"/>
        <w:rPr>
          <w:rFonts w:ascii="Calibri" w:hAnsi="Calibri" w:cs="Arial"/>
          <w:bCs/>
          <w:lang w:val="fr-FR"/>
        </w:rPr>
      </w:pPr>
      <w:r w:rsidRPr="00912B6C">
        <w:rPr>
          <w:rFonts w:ascii="Calibri" w:hAnsi="Calibri" w:cs="Arial"/>
          <w:bCs/>
          <w:lang w:val="fr-FR"/>
        </w:rPr>
        <w:t>Cheltuielile pentru investiții, care includ cheltuielile de capital, precum şi pe cele aferente programelor de dezvoltare finanţate din surse interne şi externe, au fost de 34,2 miliarde lei, cu 27,9% mai mari față de anul 2017.</w:t>
      </w:r>
    </w:p>
    <w:p w:rsidR="00A47503" w:rsidRDefault="00A47503" w:rsidP="00912B6C">
      <w:pPr>
        <w:spacing w:before="240"/>
        <w:ind w:firstLine="720"/>
        <w:contextualSpacing/>
        <w:jc w:val="both"/>
        <w:rPr>
          <w:rFonts w:ascii="Calibri" w:hAnsi="Calibri" w:cs="Arial"/>
          <w:bCs/>
          <w:lang w:val="fr-FR"/>
        </w:rPr>
      </w:pPr>
    </w:p>
    <w:p w:rsidR="00AC4302" w:rsidRDefault="00AC4302" w:rsidP="00912B6C">
      <w:pPr>
        <w:spacing w:before="240"/>
        <w:ind w:firstLine="720"/>
        <w:contextualSpacing/>
        <w:jc w:val="both"/>
        <w:rPr>
          <w:rFonts w:ascii="Calibri" w:hAnsi="Calibri" w:cs="Arial"/>
          <w:bCs/>
          <w:lang w:val="fr-FR"/>
        </w:rPr>
      </w:pPr>
    </w:p>
    <w:p w:rsidR="00710350" w:rsidRPr="00676235" w:rsidRDefault="00884E46" w:rsidP="00676235">
      <w:pPr>
        <w:keepNext/>
        <w:shd w:val="clear" w:color="auto" w:fill="9CC2E5" w:themeFill="accent1" w:themeFillTint="99"/>
        <w:jc w:val="both"/>
        <w:rPr>
          <w:rFonts w:ascii="Calibri" w:hAnsi="Calibri" w:cs="Arial"/>
          <w:b/>
          <w:color w:val="000080"/>
          <w:lang w:val="ro-RO"/>
        </w:rPr>
      </w:pPr>
      <w:r w:rsidRPr="00676235">
        <w:rPr>
          <w:rFonts w:ascii="Calibri" w:hAnsi="Calibri" w:cs="Arial"/>
          <w:b/>
          <w:color w:val="000080"/>
          <w:lang w:val="ro-RO"/>
        </w:rPr>
        <w:t>3.3.</w:t>
      </w:r>
      <w:r w:rsidRPr="00676235">
        <w:rPr>
          <w:rFonts w:ascii="Calibri" w:hAnsi="Calibri" w:cs="Arial"/>
          <w:b/>
          <w:color w:val="000080"/>
          <w:lang w:val="ro-RO"/>
        </w:rPr>
        <w:tab/>
        <w:t>Prognoze macr</w:t>
      </w:r>
      <w:r w:rsidR="009C3A5E" w:rsidRPr="00676235">
        <w:rPr>
          <w:rFonts w:ascii="Calibri" w:hAnsi="Calibri" w:cs="Arial"/>
          <w:b/>
          <w:color w:val="000080"/>
          <w:lang w:val="ro-RO"/>
        </w:rPr>
        <w:t>oeconomice pe termen mediu (2019-</w:t>
      </w:r>
      <w:r w:rsidR="009C3A5E" w:rsidRPr="00322391">
        <w:rPr>
          <w:rFonts w:ascii="Calibri" w:hAnsi="Calibri" w:cs="Arial"/>
          <w:b/>
          <w:color w:val="000080"/>
          <w:lang w:val="ro-RO"/>
        </w:rPr>
        <w:t>2021</w:t>
      </w:r>
      <w:r w:rsidRPr="00676235">
        <w:rPr>
          <w:rFonts w:ascii="Calibri" w:hAnsi="Calibri" w:cs="Arial"/>
          <w:b/>
          <w:color w:val="000080"/>
          <w:lang w:val="ro-RO"/>
        </w:rPr>
        <w:t>)</w:t>
      </w:r>
    </w:p>
    <w:p w:rsidR="006346A7" w:rsidRDefault="006346A7" w:rsidP="00322391">
      <w:pPr>
        <w:keepNext/>
        <w:jc w:val="both"/>
        <w:rPr>
          <w:rFonts w:ascii="Calibri" w:hAnsi="Calibri" w:cs="Arial"/>
          <w:b/>
          <w:color w:val="000080"/>
          <w:lang w:val="ro-RO"/>
        </w:rPr>
      </w:pPr>
    </w:p>
    <w:p w:rsidR="00D07CEE" w:rsidRPr="00D07CEE" w:rsidRDefault="00D07CEE" w:rsidP="00D07CEE">
      <w:pPr>
        <w:keepNext/>
        <w:spacing w:before="120"/>
        <w:jc w:val="both"/>
        <w:rPr>
          <w:rFonts w:ascii="Calibri" w:hAnsi="Calibri" w:cs="Calibri"/>
          <w:iCs/>
          <w:lang w:val="ro-RO"/>
        </w:rPr>
      </w:pPr>
      <w:r w:rsidRPr="00D07CEE">
        <w:rPr>
          <w:rFonts w:ascii="Calibri" w:eastAsia="Calibri" w:hAnsi="Calibri" w:cs="Calibri"/>
          <w:lang w:val="ro-RO"/>
        </w:rPr>
        <w:t xml:space="preserve">Cadrul macroeconomic configurat pentru perioada 2019 -2021  a luat în considerare: </w:t>
      </w:r>
      <w:r w:rsidRPr="00D07CEE">
        <w:rPr>
          <w:rFonts w:ascii="Calibri" w:eastAsia="Calibri" w:hAnsi="Calibri"/>
          <w:b/>
          <w:lang w:val="ro-RO"/>
        </w:rPr>
        <w:t>(i)</w:t>
      </w:r>
      <w:r w:rsidRPr="00D07CEE">
        <w:rPr>
          <w:rFonts w:ascii="Calibri" w:eastAsia="Calibri" w:hAnsi="Calibri"/>
          <w:lang w:val="ro-RO"/>
        </w:rPr>
        <w:t xml:space="preserve"> impactul pozitiv al măsurilor fiscal bugetare întreprinse până în prezent  asupra mediului de afaceri și asupra puterii de cumpărare a populației; </w:t>
      </w:r>
      <w:r w:rsidRPr="00D07CEE">
        <w:rPr>
          <w:rFonts w:ascii="Calibri" w:eastAsia="Calibri" w:hAnsi="Calibri"/>
          <w:b/>
          <w:lang w:val="ro-RO"/>
        </w:rPr>
        <w:t>(ii)</w:t>
      </w:r>
      <w:r w:rsidRPr="00D07CEE">
        <w:rPr>
          <w:rFonts w:ascii="Calibri" w:eastAsia="Calibri" w:hAnsi="Calibri"/>
          <w:lang w:val="ro-RO"/>
        </w:rPr>
        <w:t xml:space="preserve"> contextul european și global, evidențiat în previziunile  de toamnă ale Comisiei Europene, caracterizat prin creștere economică, dar mai puțin dinamică, pe fondul unui grad ridicat de incertitudine, creșterea </w:t>
      </w:r>
      <w:r w:rsidRPr="00D07CEE">
        <w:rPr>
          <w:rFonts w:ascii="Verdana" w:hAnsi="Verdana"/>
          <w:sz w:val="20"/>
          <w:szCs w:val="20"/>
          <w:shd w:val="clear" w:color="auto" w:fill="FFFFFF"/>
          <w:lang w:val="ro-RO"/>
        </w:rPr>
        <w:t xml:space="preserve">tensiunilor comerciale, creșterea prețurilor la petrol, piețe financiare tensionate, marcat de multiple riscuri interconectate de evoluție negative; </w:t>
      </w:r>
      <w:r w:rsidRPr="00D07CEE">
        <w:rPr>
          <w:rFonts w:ascii="Calibri" w:eastAsia="Calibri" w:hAnsi="Calibri"/>
          <w:b/>
          <w:lang w:val="ro-RO"/>
        </w:rPr>
        <w:t>(iii)</w:t>
      </w:r>
      <w:r w:rsidRPr="00D07CEE">
        <w:rPr>
          <w:rFonts w:ascii="Calibri" w:eastAsia="Calibri" w:hAnsi="Calibri"/>
          <w:lang w:val="ro-RO"/>
        </w:rPr>
        <w:t xml:space="preserve"> realizările economico-sociale din anul 2017 și din anul 2018 până la momentul actual, </w:t>
      </w:r>
      <w:r w:rsidRPr="00D07CEE">
        <w:rPr>
          <w:rFonts w:ascii="Calibri" w:eastAsia="Calibri" w:hAnsi="Calibri" w:cs="Calibri"/>
          <w:lang w:val="ro-RO"/>
        </w:rPr>
        <w:t xml:space="preserve">aspecte care vor sta </w:t>
      </w:r>
      <w:r w:rsidRPr="00D07CEE">
        <w:rPr>
          <w:rFonts w:ascii="Calibri" w:hAnsi="Calibri" w:cs="Arial"/>
          <w:lang w:val="ro-RO"/>
        </w:rPr>
        <w:t xml:space="preserve">la baza </w:t>
      </w:r>
      <w:r w:rsidRPr="00D07CEE">
        <w:rPr>
          <w:rFonts w:ascii="Calibri" w:hAnsi="Calibri" w:cs="Calibri"/>
          <w:iCs/>
          <w:lang w:val="ro-RO"/>
        </w:rPr>
        <w:t>fundamentării indicatorilor bugetari pentru anul 2019 si orizontul de referință 2020-2021, asigurându-se astfel caracterul predictibil și sustenabil al acestora.</w:t>
      </w:r>
    </w:p>
    <w:p w:rsidR="00D07CEE" w:rsidRPr="00D07CEE" w:rsidRDefault="00D07CEE" w:rsidP="00D07CEE">
      <w:pPr>
        <w:keepNext/>
        <w:spacing w:before="120"/>
        <w:jc w:val="both"/>
        <w:rPr>
          <w:rFonts w:ascii="Calibri" w:hAnsi="Calibri"/>
          <w:lang w:val="ro-RO"/>
        </w:rPr>
      </w:pPr>
      <w:r w:rsidRPr="00D07CEE">
        <w:rPr>
          <w:rFonts w:ascii="Calibri" w:hAnsi="Calibri"/>
          <w:lang w:val="ro-RO"/>
        </w:rPr>
        <w:t xml:space="preserve">Având în vedere evoluția potențialului de creștere economică, pentru perioada 2019-2021 se estimează că economia românească va continua creşterea susţinută, fiind posibilă o creştere a </w:t>
      </w:r>
      <w:r w:rsidRPr="00D07CEE">
        <w:rPr>
          <w:rFonts w:ascii="Calibri" w:hAnsi="Calibri"/>
          <w:b/>
          <w:lang w:val="ro-RO"/>
        </w:rPr>
        <w:t>produsului intern brut</w:t>
      </w:r>
      <w:r w:rsidRPr="00D07CEE">
        <w:rPr>
          <w:rFonts w:ascii="Calibri" w:hAnsi="Calibri"/>
          <w:lang w:val="ro-RO"/>
        </w:rPr>
        <w:t>, în medie, cu 5,4% anual.</w:t>
      </w:r>
    </w:p>
    <w:p w:rsidR="00D07CEE" w:rsidRPr="00D07CEE" w:rsidRDefault="00D07CEE" w:rsidP="00D07CEE">
      <w:pPr>
        <w:keepNext/>
        <w:jc w:val="both"/>
        <w:rPr>
          <w:rFonts w:ascii="Calibri" w:hAnsi="Calibri"/>
          <w:lang w:val="ro-RO"/>
        </w:rPr>
      </w:pPr>
    </w:p>
    <w:tbl>
      <w:tblPr>
        <w:tblW w:w="9001"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6267"/>
        <w:gridCol w:w="872"/>
        <w:gridCol w:w="14"/>
        <w:gridCol w:w="901"/>
        <w:gridCol w:w="15"/>
        <w:gridCol w:w="932"/>
      </w:tblGrid>
      <w:tr w:rsidR="00D07CEE" w:rsidRPr="00D07CEE" w:rsidTr="00BC1ED9">
        <w:trPr>
          <w:trHeight w:val="19"/>
          <w:tblHeader/>
          <w:jc w:val="center"/>
        </w:trPr>
        <w:tc>
          <w:tcPr>
            <w:tcW w:w="6267" w:type="dxa"/>
            <w:tcBorders>
              <w:top w:val="single" w:sz="2" w:space="0" w:color="333399"/>
              <w:left w:val="nil"/>
              <w:bottom w:val="single" w:sz="4" w:space="0" w:color="333399"/>
            </w:tcBorders>
            <w:shd w:val="clear" w:color="auto" w:fill="99CCFF"/>
            <w:vAlign w:val="center"/>
          </w:tcPr>
          <w:p w:rsidR="00D07CEE" w:rsidRPr="00D07CEE" w:rsidRDefault="00D07CEE" w:rsidP="00D07CEE">
            <w:pPr>
              <w:keepNext/>
              <w:jc w:val="both"/>
              <w:outlineLvl w:val="1"/>
              <w:rPr>
                <w:rFonts w:ascii="Calibri" w:hAnsi="Calibri" w:cs="Arial"/>
                <w:b/>
                <w:iCs/>
                <w:lang w:val="ro-RO"/>
              </w:rPr>
            </w:pPr>
            <w:r w:rsidRPr="00D07CEE">
              <w:rPr>
                <w:rFonts w:ascii="Calibri" w:hAnsi="Calibri" w:cs="Arial"/>
                <w:b/>
                <w:iCs/>
                <w:lang w:val="ro-RO"/>
              </w:rPr>
              <w:t>Creşterea economică</w:t>
            </w:r>
          </w:p>
        </w:tc>
        <w:tc>
          <w:tcPr>
            <w:tcW w:w="872" w:type="dxa"/>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2019</w:t>
            </w:r>
          </w:p>
        </w:tc>
        <w:tc>
          <w:tcPr>
            <w:tcW w:w="930" w:type="dxa"/>
            <w:gridSpan w:val="3"/>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2020</w:t>
            </w:r>
          </w:p>
        </w:tc>
        <w:tc>
          <w:tcPr>
            <w:tcW w:w="932" w:type="dxa"/>
            <w:tcBorders>
              <w:top w:val="single" w:sz="2" w:space="0" w:color="333399"/>
              <w:bottom w:val="single" w:sz="4" w:space="0" w:color="333399"/>
              <w:right w:val="nil"/>
            </w:tcBorders>
            <w:shd w:val="clear" w:color="auto" w:fill="99CCFF"/>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2021</w:t>
            </w:r>
          </w:p>
        </w:tc>
      </w:tr>
      <w:tr w:rsidR="00D07CEE" w:rsidRPr="00D07CEE" w:rsidTr="00BC1ED9">
        <w:trPr>
          <w:trHeight w:val="19"/>
          <w:jc w:val="center"/>
        </w:trPr>
        <w:tc>
          <w:tcPr>
            <w:tcW w:w="9001" w:type="dxa"/>
            <w:gridSpan w:val="6"/>
            <w:tcBorders>
              <w:top w:val="single" w:sz="4" w:space="0" w:color="333399"/>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lang w:val="ro-RO"/>
              </w:rPr>
            </w:pPr>
            <w:r w:rsidRPr="00D07CEE">
              <w:rPr>
                <w:rFonts w:ascii="Calibri" w:hAnsi="Calibri" w:cs="Arial"/>
                <w:i/>
                <w:iCs/>
                <w:lang w:val="ro-RO"/>
              </w:rPr>
              <w:t>Modificări procentuale anuale</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PIB real</w:t>
            </w:r>
          </w:p>
        </w:tc>
        <w:tc>
          <w:tcPr>
            <w:tcW w:w="87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5,5</w:t>
            </w:r>
          </w:p>
        </w:tc>
        <w:tc>
          <w:tcPr>
            <w:tcW w:w="930" w:type="dxa"/>
            <w:gridSpan w:val="3"/>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5,7</w:t>
            </w:r>
          </w:p>
        </w:tc>
        <w:tc>
          <w:tcPr>
            <w:tcW w:w="93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5,0</w:t>
            </w:r>
          </w:p>
        </w:tc>
      </w:tr>
      <w:tr w:rsidR="00D07CEE" w:rsidRPr="00D07CEE" w:rsidTr="00BC1ED9">
        <w:trPr>
          <w:trHeight w:val="19"/>
          <w:jc w:val="center"/>
        </w:trPr>
        <w:tc>
          <w:tcPr>
            <w:tcW w:w="6267" w:type="dxa"/>
            <w:tcBorders>
              <w:top w:val="nil"/>
              <w:left w:val="nil"/>
              <w:bottom w:val="single" w:sz="4" w:space="0" w:color="auto"/>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PIB nominal</w:t>
            </w:r>
          </w:p>
        </w:tc>
        <w:tc>
          <w:tcPr>
            <w:tcW w:w="87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7,7</w:t>
            </w:r>
          </w:p>
        </w:tc>
        <w:tc>
          <w:tcPr>
            <w:tcW w:w="930" w:type="dxa"/>
            <w:gridSpan w:val="3"/>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7,7</w:t>
            </w:r>
          </w:p>
        </w:tc>
        <w:tc>
          <w:tcPr>
            <w:tcW w:w="93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7,0</w:t>
            </w:r>
          </w:p>
        </w:tc>
      </w:tr>
      <w:tr w:rsidR="00D07CEE" w:rsidRPr="00D07CEE" w:rsidTr="00BC1ED9">
        <w:trPr>
          <w:trHeight w:val="19"/>
          <w:jc w:val="center"/>
        </w:trPr>
        <w:tc>
          <w:tcPr>
            <w:tcW w:w="9001" w:type="dxa"/>
            <w:gridSpan w:val="6"/>
            <w:tcBorders>
              <w:top w:val="single" w:sz="4" w:space="0" w:color="auto"/>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Componentele PIB-ului real</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Cererea internă, din care:</w:t>
            </w:r>
          </w:p>
        </w:tc>
        <w:tc>
          <w:tcPr>
            <w:tcW w:w="87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5,9</w:t>
            </w:r>
          </w:p>
        </w:tc>
        <w:tc>
          <w:tcPr>
            <w:tcW w:w="930" w:type="dxa"/>
            <w:gridSpan w:val="3"/>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6,1</w:t>
            </w:r>
          </w:p>
        </w:tc>
        <w:tc>
          <w:tcPr>
            <w:tcW w:w="93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 xml:space="preserve">   Consumul final</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5,7</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4,8</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 xml:space="preserve">      - Cheltuielile cu consumul privat, din care:</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6,4</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6,2</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ind w:left="595" w:hanging="595"/>
              <w:jc w:val="both"/>
              <w:rPr>
                <w:rFonts w:ascii="Calibri" w:hAnsi="Calibri" w:cs="Arial"/>
                <w:lang w:val="ro-RO"/>
              </w:rPr>
            </w:pPr>
            <w:r w:rsidRPr="00D07CEE">
              <w:rPr>
                <w:rFonts w:ascii="Calibri" w:hAnsi="Calibri" w:cs="Arial"/>
                <w:lang w:val="ro-RO"/>
              </w:rPr>
              <w:t xml:space="preserve">              - Cheltuielile cu consumul final al populaţiei</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6,5</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6,3</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ind w:left="595" w:hanging="595"/>
              <w:jc w:val="both"/>
              <w:rPr>
                <w:rFonts w:ascii="Calibri" w:hAnsi="Calibri" w:cs="Arial"/>
                <w:lang w:val="ro-RO"/>
              </w:rPr>
            </w:pPr>
            <w:r w:rsidRPr="00D07CEE">
              <w:rPr>
                <w:rFonts w:ascii="Calibri" w:hAnsi="Calibri" w:cs="Arial"/>
                <w:lang w:val="ro-RO"/>
              </w:rPr>
              <w:t xml:space="preserve">      - Cheltuielile cu consumul guvernamental, din care:</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4,0</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3,8</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2,3</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 xml:space="preserve">              - Consumul colectiv al administraţiei publice</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4,5</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4,0</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2,5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 xml:space="preserve">   Formarea brută de capital fix</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7,9</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Exporturi de bunuri şi servicii*)</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7,1</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7,0</w:t>
            </w:r>
          </w:p>
        </w:tc>
      </w:tr>
      <w:tr w:rsidR="00D07CEE" w:rsidRPr="00D07CEE" w:rsidTr="00BC1ED9">
        <w:trPr>
          <w:trHeight w:val="19"/>
          <w:jc w:val="center"/>
        </w:trPr>
        <w:tc>
          <w:tcPr>
            <w:tcW w:w="6267" w:type="dxa"/>
            <w:tcBorders>
              <w:top w:val="nil"/>
              <w:left w:val="nil"/>
              <w:bottom w:val="single" w:sz="4" w:space="0" w:color="auto"/>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Importuri de bunuri şi servicii*)</w:t>
            </w:r>
          </w:p>
        </w:tc>
        <w:tc>
          <w:tcPr>
            <w:tcW w:w="87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7,8</w:t>
            </w:r>
          </w:p>
        </w:tc>
        <w:tc>
          <w:tcPr>
            <w:tcW w:w="930" w:type="dxa"/>
            <w:gridSpan w:val="3"/>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7,9</w:t>
            </w:r>
          </w:p>
        </w:tc>
        <w:tc>
          <w:tcPr>
            <w:tcW w:w="93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7,8</w:t>
            </w:r>
          </w:p>
        </w:tc>
      </w:tr>
      <w:tr w:rsidR="00D07CEE" w:rsidRPr="008368B9" w:rsidTr="00BC1ED9">
        <w:trPr>
          <w:trHeight w:val="19"/>
          <w:jc w:val="center"/>
        </w:trPr>
        <w:tc>
          <w:tcPr>
            <w:tcW w:w="9001" w:type="dxa"/>
            <w:gridSpan w:val="6"/>
            <w:tcBorders>
              <w:top w:val="single" w:sz="4" w:space="0" w:color="auto"/>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Contribuţii la creşterea PIB (procente)</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Cererea internă finală</w:t>
            </w:r>
          </w:p>
        </w:tc>
        <w:tc>
          <w:tcPr>
            <w:tcW w:w="886" w:type="dxa"/>
            <w:gridSpan w:val="2"/>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6,1</w:t>
            </w:r>
          </w:p>
        </w:tc>
        <w:tc>
          <w:tcPr>
            <w:tcW w:w="901"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6,2</w:t>
            </w:r>
          </w:p>
        </w:tc>
        <w:tc>
          <w:tcPr>
            <w:tcW w:w="947" w:type="dxa"/>
            <w:gridSpan w:val="2"/>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5,4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Modificarea stocurilor</w:t>
            </w:r>
          </w:p>
        </w:tc>
        <w:tc>
          <w:tcPr>
            <w:tcW w:w="886" w:type="dxa"/>
            <w:gridSpan w:val="2"/>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lang w:val="ro-RO"/>
              </w:rPr>
            </w:pPr>
            <w:r w:rsidRPr="00D07CEE">
              <w:rPr>
                <w:rFonts w:ascii="Calibri" w:hAnsi="Calibri" w:cs="Arial"/>
                <w:lang w:val="ro-RO"/>
              </w:rPr>
              <w:t>0,0</w:t>
            </w:r>
          </w:p>
        </w:tc>
        <w:tc>
          <w:tcPr>
            <w:tcW w:w="901" w:type="dxa"/>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lang w:val="ro-RO"/>
              </w:rPr>
            </w:pPr>
            <w:r w:rsidRPr="00D07CEE">
              <w:rPr>
                <w:rFonts w:ascii="Calibri" w:hAnsi="Calibri" w:cs="Arial"/>
                <w:lang w:val="ro-RO"/>
              </w:rPr>
              <w:t>0,0</w:t>
            </w:r>
          </w:p>
        </w:tc>
        <w:tc>
          <w:tcPr>
            <w:tcW w:w="947" w:type="dxa"/>
            <w:gridSpan w:val="2"/>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lang w:val="ro-RO"/>
              </w:rPr>
            </w:pPr>
            <w:r w:rsidRPr="00D07CEE">
              <w:rPr>
                <w:rFonts w:ascii="Calibri" w:hAnsi="Calibri" w:cs="Arial"/>
                <w:lang w:val="ro-RO"/>
              </w:rPr>
              <w:t>0,0</w:t>
            </w:r>
          </w:p>
        </w:tc>
      </w:tr>
      <w:tr w:rsidR="00D07CEE" w:rsidRPr="00D07CEE" w:rsidTr="00BC1ED9">
        <w:trPr>
          <w:trHeight w:val="19"/>
          <w:jc w:val="center"/>
        </w:trPr>
        <w:tc>
          <w:tcPr>
            <w:tcW w:w="6267" w:type="dxa"/>
            <w:tcBorders>
              <w:top w:val="nil"/>
              <w:left w:val="nil"/>
              <w:bottom w:val="single" w:sz="2" w:space="0" w:color="333399"/>
              <w:right w:val="nil"/>
            </w:tcBorders>
            <w:shd w:val="clear" w:color="auto" w:fill="auto"/>
            <w:vAlign w:val="center"/>
          </w:tcPr>
          <w:p w:rsidR="00D07CEE" w:rsidRPr="00D07CEE" w:rsidRDefault="00D07CEE" w:rsidP="00D07CEE">
            <w:pPr>
              <w:keepNext/>
              <w:jc w:val="both"/>
              <w:rPr>
                <w:rFonts w:ascii="Calibri" w:hAnsi="Calibri" w:cs="Arial"/>
                <w:lang w:val="ro-RO"/>
              </w:rPr>
            </w:pPr>
            <w:r w:rsidRPr="00D07CEE">
              <w:rPr>
                <w:rFonts w:ascii="Calibri" w:hAnsi="Calibri" w:cs="Arial"/>
                <w:lang w:val="ro-RO"/>
              </w:rPr>
              <w:t>Export net</w:t>
            </w:r>
          </w:p>
        </w:tc>
        <w:tc>
          <w:tcPr>
            <w:tcW w:w="886" w:type="dxa"/>
            <w:gridSpan w:val="2"/>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-0,6</w:t>
            </w:r>
          </w:p>
        </w:tc>
        <w:tc>
          <w:tcPr>
            <w:tcW w:w="901" w:type="dxa"/>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-0,5</w:t>
            </w:r>
          </w:p>
        </w:tc>
        <w:tc>
          <w:tcPr>
            <w:tcW w:w="947" w:type="dxa"/>
            <w:gridSpan w:val="2"/>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lang w:val="ro-RO"/>
              </w:rPr>
            </w:pPr>
            <w:r w:rsidRPr="00D07CEE">
              <w:rPr>
                <w:rFonts w:ascii="Calibri" w:hAnsi="Calibri" w:cs="Arial"/>
                <w:lang w:val="ro-RO"/>
              </w:rPr>
              <w:t>-0,5</w:t>
            </w:r>
          </w:p>
        </w:tc>
      </w:tr>
      <w:tr w:rsidR="00D07CEE" w:rsidRPr="00D07CEE" w:rsidTr="00BC1ED9">
        <w:trPr>
          <w:trHeight w:val="19"/>
          <w:tblHeader/>
          <w:jc w:val="center"/>
        </w:trPr>
        <w:tc>
          <w:tcPr>
            <w:tcW w:w="6267" w:type="dxa"/>
            <w:tcBorders>
              <w:top w:val="single" w:sz="2" w:space="0" w:color="333399"/>
              <w:left w:val="nil"/>
              <w:bottom w:val="single" w:sz="4" w:space="0" w:color="333399"/>
            </w:tcBorders>
            <w:shd w:val="clear" w:color="auto" w:fill="99CCFF"/>
            <w:vAlign w:val="center"/>
          </w:tcPr>
          <w:p w:rsidR="00D07CEE" w:rsidRPr="00D07CEE" w:rsidRDefault="00D07CEE" w:rsidP="00D07CEE">
            <w:pPr>
              <w:keepNext/>
              <w:jc w:val="both"/>
              <w:outlineLvl w:val="1"/>
              <w:rPr>
                <w:rFonts w:ascii="Calibri" w:hAnsi="Calibri" w:cs="Arial"/>
                <w:b/>
                <w:iCs/>
                <w:lang w:val="ro-RO"/>
              </w:rPr>
            </w:pPr>
          </w:p>
        </w:tc>
        <w:tc>
          <w:tcPr>
            <w:tcW w:w="872" w:type="dxa"/>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p>
        </w:tc>
        <w:tc>
          <w:tcPr>
            <w:tcW w:w="930" w:type="dxa"/>
            <w:gridSpan w:val="3"/>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p>
        </w:tc>
        <w:tc>
          <w:tcPr>
            <w:tcW w:w="932" w:type="dxa"/>
            <w:tcBorders>
              <w:top w:val="single" w:sz="2" w:space="0" w:color="333399"/>
              <w:bottom w:val="single" w:sz="4" w:space="0" w:color="333399"/>
              <w:right w:val="nil"/>
            </w:tcBorders>
            <w:shd w:val="clear" w:color="auto" w:fill="99CCFF"/>
            <w:vAlign w:val="center"/>
          </w:tcPr>
          <w:p w:rsidR="00D07CEE" w:rsidRPr="00D07CEE" w:rsidRDefault="00D07CEE" w:rsidP="00D07CEE">
            <w:pPr>
              <w:keepNext/>
              <w:jc w:val="center"/>
              <w:rPr>
                <w:rFonts w:ascii="Calibri" w:hAnsi="Calibri" w:cs="Arial"/>
                <w:b/>
                <w:lang w:val="ro-RO"/>
              </w:rPr>
            </w:pPr>
          </w:p>
        </w:tc>
      </w:tr>
    </w:tbl>
    <w:p w:rsidR="00D07CEE" w:rsidRPr="00D07CEE" w:rsidRDefault="00D07CEE" w:rsidP="00D07CEE">
      <w:pPr>
        <w:keepNext/>
        <w:ind w:firstLine="210"/>
        <w:jc w:val="both"/>
        <w:rPr>
          <w:rFonts w:ascii="Calibri" w:hAnsi="Calibri"/>
          <w:i/>
          <w:lang w:val="ro-RO"/>
        </w:rPr>
      </w:pPr>
      <w:r w:rsidRPr="00D07CEE">
        <w:rPr>
          <w:rFonts w:ascii="Calibri" w:hAnsi="Calibri"/>
          <w:i/>
          <w:lang w:val="ro-RO"/>
        </w:rPr>
        <w:t>Sursa: Comisia Naţională de Strategie şi Prognoză</w:t>
      </w:r>
    </w:p>
    <w:p w:rsidR="00D07CEE" w:rsidRPr="00D07CEE" w:rsidRDefault="00D07CEE" w:rsidP="00D07CEE">
      <w:pPr>
        <w:keepNext/>
        <w:jc w:val="both"/>
        <w:rPr>
          <w:rFonts w:ascii="Calibri" w:hAnsi="Calibri"/>
          <w:bCs/>
          <w:lang w:val="ro-RO"/>
        </w:rPr>
      </w:pPr>
      <w:r w:rsidRPr="00D07CEE">
        <w:rPr>
          <w:rFonts w:ascii="Calibri" w:hAnsi="Calibri"/>
          <w:bCs/>
          <w:lang w:val="ro-RO"/>
        </w:rPr>
        <w:t>*) Exporturile şi importurile de bunuri şi servicii sunt exprimate în termeni reali (de volum)</w:t>
      </w:r>
    </w:p>
    <w:p w:rsidR="00D07CEE" w:rsidRPr="00D07CEE" w:rsidRDefault="00D07CEE" w:rsidP="00D07CEE">
      <w:pPr>
        <w:keepNext/>
        <w:spacing w:before="120"/>
        <w:jc w:val="both"/>
        <w:outlineLvl w:val="0"/>
        <w:rPr>
          <w:rFonts w:ascii="Calibri" w:hAnsi="Calibri" w:cs="Arial"/>
          <w:lang w:val="ro-RO"/>
        </w:rPr>
      </w:pPr>
      <w:r w:rsidRPr="00D07CEE">
        <w:rPr>
          <w:rFonts w:ascii="Calibri" w:hAnsi="Calibri" w:cs="Arial"/>
          <w:lang w:val="ro-RO"/>
        </w:rPr>
        <w:t>Cererea internă (consumul și investițiile) va continua să reprezinte motorul creşterii economice. Cheltuielile cu consumul privat se vor majora, în medie, cu 6% anual. Formarea brută de capital fix se va accelera pe fondul îmbunătăţirii finanţării din economie, cu un ritm mediu anual de 7,4%.</w:t>
      </w:r>
    </w:p>
    <w:p w:rsidR="00D07CEE" w:rsidRPr="00D07CEE" w:rsidRDefault="00D07CEE" w:rsidP="00D07CE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jc w:val="both"/>
        <w:rPr>
          <w:rFonts w:ascii="Calibri" w:hAnsi="Calibri" w:cs="Arial"/>
          <w:spacing w:val="-2"/>
          <w:lang w:val="ro-RO" w:eastAsia="en-GB"/>
        </w:rPr>
      </w:pPr>
      <w:r w:rsidRPr="00D07CEE">
        <w:rPr>
          <w:rFonts w:ascii="Calibri" w:hAnsi="Calibri" w:cs="Arial"/>
          <w:spacing w:val="-2"/>
          <w:lang w:val="ro-RO" w:eastAsia="en-GB"/>
        </w:rPr>
        <w:t>Exporturile şi importurile de bunuri şi servicii vor înregistra ritmuri de creştere, în termeni reali, cu o medie anuală de 7%, respectiv 7,8%, exportul net având efect negativ asupra produsului intern brut, diminuându-i creşterea.</w:t>
      </w:r>
    </w:p>
    <w:p w:rsidR="00D07CEE" w:rsidRPr="00A13AB9" w:rsidRDefault="00A13AB9" w:rsidP="00D07CE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jc w:val="both"/>
        <w:rPr>
          <w:rFonts w:ascii="Calibri" w:hAnsi="Calibri" w:cs="Arial"/>
          <w:spacing w:val="-2"/>
          <w:lang w:val="ro-RO" w:eastAsia="en-GB"/>
        </w:rPr>
      </w:pPr>
      <w:r w:rsidRPr="00A13AB9">
        <w:rPr>
          <w:rFonts w:ascii="Calibri" w:hAnsi="Calibri"/>
          <w:b/>
          <w:spacing w:val="-2"/>
          <w:lang w:val="ro-RO" w:eastAsia="en-GB"/>
        </w:rPr>
        <w:t>Numărul mediu de salariaţi</w:t>
      </w:r>
      <w:r w:rsidRPr="00A13AB9">
        <w:rPr>
          <w:rFonts w:ascii="Calibri" w:hAnsi="Calibri"/>
          <w:spacing w:val="-2"/>
          <w:lang w:val="ro-RO" w:eastAsia="en-GB"/>
        </w:rPr>
        <w:t xml:space="preserve"> se va majora în perioada 2019-2021, în medie cu 3,3% anual, iar </w:t>
      </w:r>
      <w:r w:rsidRPr="00A13AB9">
        <w:rPr>
          <w:rFonts w:ascii="Calibri" w:hAnsi="Calibri"/>
          <w:b/>
          <w:spacing w:val="-2"/>
          <w:lang w:val="ro-RO" w:eastAsia="en-GB"/>
        </w:rPr>
        <w:t>rata şomajului înregistrat</w:t>
      </w:r>
      <w:r w:rsidRPr="00A13AB9">
        <w:rPr>
          <w:rFonts w:ascii="Calibri" w:hAnsi="Calibri"/>
          <w:spacing w:val="-2"/>
          <w:lang w:val="ro-RO" w:eastAsia="en-GB"/>
        </w:rPr>
        <w:t xml:space="preserve"> la sfârşitul anului se va diminua, ajungând la 2,8% la sfârşitul anului 2021.</w:t>
      </w:r>
    </w:p>
    <w:p w:rsidR="00D07CEE" w:rsidRPr="00D07CEE" w:rsidRDefault="00D07CEE" w:rsidP="00D07CEE">
      <w:pPr>
        <w:keepNext/>
        <w:spacing w:before="120"/>
        <w:jc w:val="both"/>
        <w:rPr>
          <w:rFonts w:ascii="Calibri" w:hAnsi="Calibri"/>
          <w:lang w:val="ro-RO"/>
        </w:rPr>
      </w:pPr>
      <w:r w:rsidRPr="00D07CEE">
        <w:rPr>
          <w:rFonts w:ascii="Calibri" w:hAnsi="Calibri"/>
          <w:lang w:val="ro-RO"/>
        </w:rPr>
        <w:t xml:space="preserve">Pornind de la ipoteza unor creşteri economice temperate la nivel mondial, cu efect pozitiv pe creşterea cererii externe şi, implicit, a </w:t>
      </w:r>
      <w:r w:rsidRPr="00D07CEE">
        <w:rPr>
          <w:rFonts w:ascii="Calibri" w:hAnsi="Calibri"/>
          <w:b/>
          <w:lang w:val="ro-RO"/>
        </w:rPr>
        <w:t>comerţului exterior</w:t>
      </w:r>
      <w:r w:rsidRPr="00D07CEE">
        <w:rPr>
          <w:rFonts w:ascii="Calibri" w:hAnsi="Calibri"/>
          <w:lang w:val="ro-RO"/>
        </w:rPr>
        <w:t xml:space="preserve"> românesc, în perioada 2019 - 2021 se estimează creşteri medii anuale ale exporturilor de bunuri cu 8,5%, iar ale importurilor cu 9,0%.</w:t>
      </w:r>
    </w:p>
    <w:p w:rsidR="00D07CEE" w:rsidRPr="00D07CEE" w:rsidRDefault="00D07CEE" w:rsidP="00D07CEE">
      <w:pPr>
        <w:keepNext/>
        <w:spacing w:before="120"/>
        <w:jc w:val="right"/>
        <w:rPr>
          <w:rFonts w:ascii="Calibri" w:hAnsi="Calibri"/>
          <w:lang w:val="ro-RO"/>
        </w:rPr>
      </w:pPr>
      <w:r w:rsidRPr="00D07CEE">
        <w:rPr>
          <w:rFonts w:ascii="Calibri" w:hAnsi="Calibri"/>
          <w:lang w:val="ro-RO"/>
        </w:rPr>
        <w:t xml:space="preserve">  - mil. euro -</w:t>
      </w:r>
    </w:p>
    <w:tbl>
      <w:tblPr>
        <w:tblW w:w="9213" w:type="dxa"/>
        <w:jc w:val="center"/>
        <w:tblBorders>
          <w:top w:val="single" w:sz="24" w:space="0" w:color="auto"/>
          <w:bottom w:val="single" w:sz="24" w:space="0" w:color="auto"/>
        </w:tblBorders>
        <w:tblLayout w:type="fixed"/>
        <w:tblLook w:val="0000" w:firstRow="0" w:lastRow="0" w:firstColumn="0" w:lastColumn="0" w:noHBand="0" w:noVBand="0"/>
      </w:tblPr>
      <w:tblGrid>
        <w:gridCol w:w="4141"/>
        <w:gridCol w:w="1599"/>
        <w:gridCol w:w="1528"/>
        <w:gridCol w:w="1945"/>
      </w:tblGrid>
      <w:tr w:rsidR="00D07CEE" w:rsidRPr="00D07CEE" w:rsidTr="00BC1ED9">
        <w:trPr>
          <w:tblHeader/>
          <w:jc w:val="center"/>
        </w:trPr>
        <w:tc>
          <w:tcPr>
            <w:tcW w:w="4141" w:type="dxa"/>
            <w:tcBorders>
              <w:top w:val="single" w:sz="2" w:space="0" w:color="333399"/>
              <w:bottom w:val="single" w:sz="2" w:space="0" w:color="333399"/>
            </w:tcBorders>
            <w:shd w:val="clear" w:color="auto" w:fill="99CCFF"/>
            <w:noWrap/>
            <w:vAlign w:val="center"/>
          </w:tcPr>
          <w:p w:rsidR="00D07CEE" w:rsidRPr="00D07CEE" w:rsidRDefault="00D07CEE" w:rsidP="00D07CEE">
            <w:pPr>
              <w:keepNext/>
              <w:spacing w:after="120"/>
              <w:jc w:val="both"/>
              <w:rPr>
                <w:rFonts w:ascii="Calibri" w:hAnsi="Calibri" w:cs="Arial"/>
                <w:b/>
                <w:bCs/>
                <w:lang w:val="ro-RO"/>
              </w:rPr>
            </w:pPr>
            <w:r w:rsidRPr="00D07CEE">
              <w:rPr>
                <w:rFonts w:ascii="Calibri" w:hAnsi="Calibri" w:cs="Arial"/>
                <w:b/>
                <w:bCs/>
                <w:lang w:val="ro-RO"/>
              </w:rPr>
              <w:t>Comerţul exterior şi contul curent</w:t>
            </w:r>
          </w:p>
        </w:tc>
        <w:tc>
          <w:tcPr>
            <w:tcW w:w="1599" w:type="dxa"/>
            <w:tcBorders>
              <w:top w:val="single" w:sz="2" w:space="0" w:color="333399"/>
              <w:bottom w:val="single" w:sz="2" w:space="0" w:color="333399"/>
            </w:tcBorders>
            <w:shd w:val="clear" w:color="auto" w:fill="99CCFF"/>
            <w:noWrap/>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2019</w:t>
            </w:r>
          </w:p>
        </w:tc>
        <w:tc>
          <w:tcPr>
            <w:tcW w:w="1528"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2020</w:t>
            </w:r>
          </w:p>
        </w:tc>
        <w:tc>
          <w:tcPr>
            <w:tcW w:w="1945"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Arial"/>
                <w:b/>
                <w:lang w:val="ro-RO"/>
              </w:rPr>
            </w:pPr>
            <w:r w:rsidRPr="00D07CEE">
              <w:rPr>
                <w:rFonts w:ascii="Calibri" w:hAnsi="Calibri" w:cs="Arial"/>
                <w:b/>
                <w:lang w:val="ro-RO"/>
              </w:rPr>
              <w:t>2021</w:t>
            </w:r>
          </w:p>
        </w:tc>
      </w:tr>
      <w:tr w:rsidR="00D07CEE" w:rsidRPr="00D07CEE" w:rsidTr="00BC1ED9">
        <w:trPr>
          <w:jc w:val="center"/>
        </w:trPr>
        <w:tc>
          <w:tcPr>
            <w:tcW w:w="4141" w:type="dxa"/>
            <w:tcBorders>
              <w:top w:val="single" w:sz="2" w:space="0" w:color="333399"/>
              <w:left w:val="nil"/>
              <w:bottom w:val="nil"/>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Export de bunuri FOB</w:t>
            </w:r>
            <w:r w:rsidRPr="00D07CEE">
              <w:rPr>
                <w:rFonts w:ascii="Calibri" w:hAnsi="Calibri" w:cs="Arial"/>
                <w:vertAlign w:val="superscript"/>
                <w:lang w:val="ro-RO"/>
              </w:rPr>
              <w:t>*)</w:t>
            </w:r>
          </w:p>
        </w:tc>
        <w:tc>
          <w:tcPr>
            <w:tcW w:w="1599" w:type="dxa"/>
            <w:tcBorders>
              <w:top w:val="single" w:sz="2" w:space="0" w:color="333399"/>
              <w:left w:val="nil"/>
              <w:bottom w:val="nil"/>
              <w:right w:val="nil"/>
            </w:tcBorders>
            <w:noWrap/>
            <w:vAlign w:val="center"/>
          </w:tcPr>
          <w:p w:rsidR="00D07CEE" w:rsidRPr="00D07CEE" w:rsidRDefault="00D07CEE" w:rsidP="00D07CEE">
            <w:pPr>
              <w:jc w:val="center"/>
              <w:rPr>
                <w:rFonts w:ascii="Calibri" w:hAnsi="Calibri" w:cs="Arial"/>
              </w:rPr>
            </w:pPr>
            <w:r w:rsidRPr="00D07CEE">
              <w:rPr>
                <w:rFonts w:ascii="Calibri" w:hAnsi="Calibri" w:cs="Arial"/>
              </w:rPr>
              <w:t>74.000</w:t>
            </w:r>
          </w:p>
        </w:tc>
        <w:tc>
          <w:tcPr>
            <w:tcW w:w="1528" w:type="dxa"/>
            <w:tcBorders>
              <w:top w:val="single" w:sz="2" w:space="0" w:color="333399"/>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80.215</w:t>
            </w:r>
          </w:p>
        </w:tc>
        <w:tc>
          <w:tcPr>
            <w:tcW w:w="1945" w:type="dxa"/>
            <w:tcBorders>
              <w:top w:val="single" w:sz="2" w:space="0" w:color="333399"/>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87.035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sidRPr="00D07CEE">
              <w:rPr>
                <w:rFonts w:ascii="Calibri" w:hAnsi="Calibri" w:cs="Arial"/>
              </w:rPr>
              <w:t>8,6</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8,4</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8,5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Import de bunuri CIF</w:t>
            </w:r>
            <w:r w:rsidRPr="00D07CEE">
              <w:rPr>
                <w:rFonts w:ascii="Calibri" w:hAnsi="Calibri" w:cs="Arial"/>
                <w:vertAlign w:val="superscript"/>
                <w:lang w:val="ro-RO"/>
              </w:rPr>
              <w:t>*)</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sidRPr="00D07CEE">
              <w:rPr>
                <w:rFonts w:ascii="Calibri" w:hAnsi="Calibri" w:cs="Arial"/>
              </w:rPr>
              <w:t>90.900</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99.080</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107.895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sidRPr="00D07CEE">
              <w:rPr>
                <w:rFonts w:ascii="Calibri" w:hAnsi="Calibri" w:cs="Arial"/>
              </w:rPr>
              <w:t>9,2</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9,0</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8,9</w:t>
            </w:r>
          </w:p>
        </w:tc>
      </w:tr>
      <w:tr w:rsidR="00D07CEE" w:rsidRPr="00D07CEE" w:rsidTr="00BC1ED9">
        <w:trPr>
          <w:jc w:val="center"/>
        </w:trPr>
        <w:tc>
          <w:tcPr>
            <w:tcW w:w="4141" w:type="dxa"/>
            <w:tcBorders>
              <w:top w:val="nil"/>
              <w:left w:val="nil"/>
              <w:bottom w:val="single" w:sz="4" w:space="0" w:color="auto"/>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 xml:space="preserve">Sold Balanţă Comercială FOB - CIF </w:t>
            </w:r>
          </w:p>
        </w:tc>
        <w:tc>
          <w:tcPr>
            <w:tcW w:w="1599" w:type="dxa"/>
            <w:tcBorders>
              <w:top w:val="nil"/>
              <w:left w:val="nil"/>
              <w:bottom w:val="single" w:sz="4" w:space="0" w:color="auto"/>
              <w:right w:val="nil"/>
            </w:tcBorders>
            <w:noWrap/>
            <w:vAlign w:val="center"/>
          </w:tcPr>
          <w:p w:rsidR="00D07CEE" w:rsidRPr="00D07CEE" w:rsidRDefault="00D07CEE" w:rsidP="00D07CEE">
            <w:pPr>
              <w:jc w:val="center"/>
              <w:rPr>
                <w:rFonts w:ascii="Calibri" w:hAnsi="Calibri" w:cs="Arial"/>
              </w:rPr>
            </w:pPr>
            <w:r w:rsidRPr="00D07CEE">
              <w:rPr>
                <w:rFonts w:ascii="Calibri" w:hAnsi="Calibri" w:cs="Arial"/>
              </w:rPr>
              <w:t>-16.900</w:t>
            </w:r>
          </w:p>
        </w:tc>
        <w:tc>
          <w:tcPr>
            <w:tcW w:w="1528" w:type="dxa"/>
            <w:tcBorders>
              <w:top w:val="nil"/>
              <w:left w:val="nil"/>
              <w:bottom w:val="single" w:sz="4" w:space="0" w:color="auto"/>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-18.865</w:t>
            </w:r>
          </w:p>
        </w:tc>
        <w:tc>
          <w:tcPr>
            <w:tcW w:w="1945" w:type="dxa"/>
            <w:tcBorders>
              <w:top w:val="nil"/>
              <w:left w:val="nil"/>
              <w:bottom w:val="single" w:sz="4" w:space="0" w:color="auto"/>
              <w:right w:val="nil"/>
            </w:tcBorders>
            <w:vAlign w:val="center"/>
          </w:tcPr>
          <w:p w:rsidR="00D07CEE" w:rsidRPr="00D07CEE" w:rsidRDefault="00D07CEE" w:rsidP="00D07CEE">
            <w:pPr>
              <w:jc w:val="center"/>
              <w:rPr>
                <w:rFonts w:ascii="Calibri" w:hAnsi="Calibri" w:cs="Arial"/>
              </w:rPr>
            </w:pPr>
            <w:r w:rsidRPr="00D07CEE">
              <w:rPr>
                <w:rFonts w:ascii="Calibri" w:hAnsi="Calibri" w:cs="Arial"/>
              </w:rPr>
              <w:t>-20.860</w:t>
            </w:r>
          </w:p>
        </w:tc>
      </w:tr>
      <w:tr w:rsidR="00D07CEE" w:rsidRPr="00D07CEE" w:rsidTr="00BC1ED9">
        <w:trPr>
          <w:jc w:val="center"/>
        </w:trPr>
        <w:tc>
          <w:tcPr>
            <w:tcW w:w="4141" w:type="dxa"/>
            <w:tcBorders>
              <w:top w:val="single" w:sz="4" w:space="0" w:color="auto"/>
              <w:left w:val="nil"/>
              <w:bottom w:val="nil"/>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Soldul contului curent</w:t>
            </w:r>
          </w:p>
        </w:tc>
        <w:tc>
          <w:tcPr>
            <w:tcW w:w="1599" w:type="dxa"/>
            <w:tcBorders>
              <w:top w:val="single" w:sz="4" w:space="0" w:color="auto"/>
              <w:left w:val="nil"/>
              <w:bottom w:val="nil"/>
              <w:right w:val="nil"/>
            </w:tcBorders>
            <w:noWrap/>
            <w:vAlign w:val="center"/>
          </w:tcPr>
          <w:p w:rsidR="00D07CEE" w:rsidRPr="00D07CEE" w:rsidRDefault="00D07CEE" w:rsidP="00D07CEE">
            <w:pPr>
              <w:jc w:val="center"/>
              <w:rPr>
                <w:rFonts w:ascii="Calibri" w:hAnsi="Calibri" w:cs="Arial"/>
                <w:b/>
                <w:bCs/>
              </w:rPr>
            </w:pPr>
            <w:r w:rsidRPr="00D07CEE">
              <w:rPr>
                <w:rFonts w:ascii="Calibri" w:hAnsi="Calibri" w:cs="Arial"/>
                <w:b/>
                <w:bCs/>
              </w:rPr>
              <w:t>-7.270</w:t>
            </w:r>
          </w:p>
        </w:tc>
        <w:tc>
          <w:tcPr>
            <w:tcW w:w="1528" w:type="dxa"/>
            <w:tcBorders>
              <w:top w:val="single" w:sz="4" w:space="0" w:color="auto"/>
              <w:left w:val="nil"/>
              <w:bottom w:val="nil"/>
              <w:right w:val="nil"/>
            </w:tcBorders>
            <w:vAlign w:val="center"/>
          </w:tcPr>
          <w:p w:rsidR="00D07CEE" w:rsidRPr="00D07CEE" w:rsidRDefault="00D07CEE" w:rsidP="00D07CEE">
            <w:pPr>
              <w:jc w:val="center"/>
              <w:rPr>
                <w:rFonts w:ascii="Calibri" w:hAnsi="Calibri" w:cs="Arial"/>
                <w:b/>
                <w:bCs/>
              </w:rPr>
            </w:pPr>
            <w:r w:rsidRPr="00D07CEE">
              <w:rPr>
                <w:rFonts w:ascii="Calibri" w:hAnsi="Calibri" w:cs="Arial"/>
                <w:b/>
                <w:bCs/>
              </w:rPr>
              <w:t>-6.910</w:t>
            </w:r>
          </w:p>
        </w:tc>
        <w:tc>
          <w:tcPr>
            <w:tcW w:w="1945" w:type="dxa"/>
            <w:tcBorders>
              <w:top w:val="single" w:sz="4" w:space="0" w:color="auto"/>
              <w:left w:val="nil"/>
              <w:bottom w:val="nil"/>
              <w:right w:val="nil"/>
            </w:tcBorders>
            <w:vAlign w:val="center"/>
          </w:tcPr>
          <w:p w:rsidR="00D07CEE" w:rsidRPr="00D07CEE" w:rsidRDefault="00D07CEE" w:rsidP="00D07CEE">
            <w:pPr>
              <w:jc w:val="center"/>
              <w:rPr>
                <w:rFonts w:ascii="Calibri" w:hAnsi="Calibri" w:cs="Arial"/>
                <w:b/>
                <w:bCs/>
              </w:rPr>
            </w:pPr>
            <w:r w:rsidRPr="00D07CEE">
              <w:rPr>
                <w:rFonts w:ascii="Calibri" w:hAnsi="Calibri" w:cs="Arial"/>
                <w:b/>
                <w:bCs/>
              </w:rPr>
              <w:t>-6.725</w:t>
            </w:r>
          </w:p>
        </w:tc>
      </w:tr>
      <w:tr w:rsidR="00D07CEE" w:rsidRPr="00D07CEE" w:rsidTr="00BC1ED9">
        <w:trPr>
          <w:jc w:val="center"/>
        </w:trPr>
        <w:tc>
          <w:tcPr>
            <w:tcW w:w="4141" w:type="dxa"/>
            <w:tcBorders>
              <w:top w:val="nil"/>
              <w:left w:val="nil"/>
              <w:bottom w:val="single" w:sz="2" w:space="0" w:color="333399"/>
              <w:right w:val="nil"/>
            </w:tcBorders>
            <w:noWrap/>
            <w:vAlign w:val="center"/>
          </w:tcPr>
          <w:p w:rsidR="00D07CEE" w:rsidRPr="00D07CEE" w:rsidRDefault="00D07CEE" w:rsidP="00D07CEE">
            <w:pPr>
              <w:keepNext/>
              <w:jc w:val="both"/>
              <w:rPr>
                <w:rFonts w:ascii="Calibri" w:hAnsi="Calibri" w:cs="Arial"/>
                <w:bCs/>
                <w:lang w:val="ro-RO"/>
              </w:rPr>
            </w:pPr>
            <w:r w:rsidRPr="00D07CEE">
              <w:rPr>
                <w:rFonts w:ascii="Calibri" w:hAnsi="Calibri" w:cs="Arial"/>
                <w:bCs/>
                <w:lang w:val="ro-RO"/>
              </w:rPr>
              <w:t xml:space="preserve">     - % din PIB</w:t>
            </w:r>
          </w:p>
        </w:tc>
        <w:tc>
          <w:tcPr>
            <w:tcW w:w="1599" w:type="dxa"/>
            <w:tcBorders>
              <w:top w:val="nil"/>
              <w:left w:val="nil"/>
              <w:bottom w:val="single" w:sz="2" w:space="0" w:color="333399"/>
              <w:right w:val="nil"/>
            </w:tcBorders>
            <w:noWrap/>
            <w:vAlign w:val="center"/>
          </w:tcPr>
          <w:p w:rsidR="00D07CEE" w:rsidRPr="00D07CEE" w:rsidRDefault="00D07CEE" w:rsidP="00D07CEE">
            <w:pPr>
              <w:jc w:val="center"/>
              <w:rPr>
                <w:rFonts w:ascii="Calibri" w:hAnsi="Calibri" w:cs="Arial"/>
                <w:b/>
                <w:bCs/>
              </w:rPr>
            </w:pPr>
            <w:r w:rsidRPr="00D07CEE">
              <w:rPr>
                <w:rFonts w:ascii="Calibri" w:hAnsi="Calibri" w:cs="Arial"/>
                <w:b/>
                <w:bCs/>
              </w:rPr>
              <w:t>-3,3</w:t>
            </w:r>
          </w:p>
        </w:tc>
        <w:tc>
          <w:tcPr>
            <w:tcW w:w="1528" w:type="dxa"/>
            <w:tcBorders>
              <w:top w:val="nil"/>
              <w:left w:val="nil"/>
              <w:bottom w:val="single" w:sz="2" w:space="0" w:color="333399"/>
              <w:right w:val="nil"/>
            </w:tcBorders>
            <w:vAlign w:val="center"/>
          </w:tcPr>
          <w:p w:rsidR="00D07CEE" w:rsidRPr="00D07CEE" w:rsidRDefault="00D07CEE" w:rsidP="00D07CEE">
            <w:pPr>
              <w:jc w:val="center"/>
              <w:rPr>
                <w:rFonts w:ascii="Calibri" w:hAnsi="Calibri" w:cs="Arial"/>
                <w:b/>
                <w:bCs/>
              </w:rPr>
            </w:pPr>
            <w:r w:rsidRPr="00D07CEE">
              <w:rPr>
                <w:rFonts w:ascii="Calibri" w:hAnsi="Calibri" w:cs="Arial"/>
                <w:b/>
                <w:bCs/>
              </w:rPr>
              <w:t>-2,9</w:t>
            </w:r>
          </w:p>
        </w:tc>
        <w:tc>
          <w:tcPr>
            <w:tcW w:w="1945" w:type="dxa"/>
            <w:tcBorders>
              <w:top w:val="nil"/>
              <w:left w:val="nil"/>
              <w:bottom w:val="single" w:sz="2" w:space="0" w:color="333399"/>
              <w:right w:val="nil"/>
            </w:tcBorders>
            <w:vAlign w:val="center"/>
          </w:tcPr>
          <w:p w:rsidR="00D07CEE" w:rsidRPr="00D07CEE" w:rsidRDefault="00D07CEE" w:rsidP="00D07CEE">
            <w:pPr>
              <w:jc w:val="center"/>
              <w:rPr>
                <w:rFonts w:ascii="Calibri" w:hAnsi="Calibri" w:cs="Arial"/>
                <w:b/>
                <w:bCs/>
              </w:rPr>
            </w:pPr>
            <w:r w:rsidRPr="00D07CEE">
              <w:rPr>
                <w:rFonts w:ascii="Calibri" w:hAnsi="Calibri" w:cs="Arial"/>
                <w:b/>
                <w:bCs/>
              </w:rPr>
              <w:t>-2,6</w:t>
            </w:r>
          </w:p>
        </w:tc>
      </w:tr>
    </w:tbl>
    <w:p w:rsidR="00D07CEE" w:rsidRPr="00D07CEE" w:rsidRDefault="00D07CEE" w:rsidP="00D07CEE">
      <w:pPr>
        <w:keepNext/>
        <w:spacing w:before="120"/>
        <w:jc w:val="both"/>
        <w:rPr>
          <w:rFonts w:ascii="Calibri" w:hAnsi="Calibri"/>
          <w:bCs/>
          <w:lang w:val="ro-RO"/>
        </w:rPr>
      </w:pPr>
      <w:r w:rsidRPr="00D07CEE">
        <w:rPr>
          <w:rFonts w:ascii="Calibri" w:hAnsi="Calibri"/>
          <w:bCs/>
          <w:vertAlign w:val="superscript"/>
          <w:lang w:val="ro-RO"/>
        </w:rPr>
        <w:t xml:space="preserve">        *)</w:t>
      </w:r>
      <w:r w:rsidRPr="00D07CEE">
        <w:rPr>
          <w:rFonts w:ascii="Calibri" w:hAnsi="Calibri"/>
          <w:bCs/>
          <w:lang w:val="ro-RO"/>
        </w:rPr>
        <w:t xml:space="preserve"> Exportul şi importul de bunuri sunt valori nominale exprimate în  euro.</w:t>
      </w:r>
    </w:p>
    <w:p w:rsidR="00D07CEE" w:rsidRPr="00D07CEE" w:rsidRDefault="00D07CEE" w:rsidP="00D07CEE">
      <w:pPr>
        <w:keepNext/>
        <w:spacing w:after="120"/>
        <w:ind w:firstLine="210"/>
        <w:jc w:val="both"/>
        <w:rPr>
          <w:rFonts w:ascii="Calibri" w:hAnsi="Calibri"/>
          <w:i/>
          <w:lang w:val="ro-RO"/>
        </w:rPr>
      </w:pPr>
      <w:r w:rsidRPr="00D07CEE">
        <w:rPr>
          <w:rFonts w:ascii="Calibri" w:hAnsi="Calibri"/>
          <w:i/>
          <w:lang w:val="ro-RO"/>
        </w:rPr>
        <w:t>Sursa: Comisia Naţională de Strategie și Prognoză</w:t>
      </w:r>
    </w:p>
    <w:p w:rsidR="00D07CEE" w:rsidRPr="00D07CEE" w:rsidRDefault="00D07CEE" w:rsidP="00D07CEE">
      <w:pPr>
        <w:keepNext/>
        <w:spacing w:after="120"/>
        <w:jc w:val="both"/>
        <w:rPr>
          <w:rFonts w:ascii="Calibri" w:hAnsi="Calibri"/>
          <w:lang w:val="ro-RO"/>
        </w:rPr>
      </w:pPr>
      <w:r w:rsidRPr="00D07CEE">
        <w:rPr>
          <w:rFonts w:ascii="Calibri" w:hAnsi="Calibri"/>
          <w:lang w:val="ro-RO"/>
        </w:rPr>
        <w:t xml:space="preserve">Nivelul </w:t>
      </w:r>
      <w:r w:rsidRPr="00D07CEE">
        <w:rPr>
          <w:rFonts w:ascii="Calibri" w:hAnsi="Calibri"/>
          <w:b/>
          <w:lang w:val="ro-RO"/>
        </w:rPr>
        <w:t>deficitului de cont curent</w:t>
      </w:r>
      <w:r w:rsidRPr="00D07CEE">
        <w:rPr>
          <w:rFonts w:ascii="Calibri" w:hAnsi="Calibri"/>
          <w:lang w:val="ro-RO"/>
        </w:rPr>
        <w:t xml:space="preserve"> se va situa în intervalul 2019-2021 la valori cuprinse între 7,3 – 6,7 mld. euro, ponderea în PIB diminuându-se până la 2,6% în anul 2021. </w:t>
      </w:r>
    </w:p>
    <w:p w:rsidR="00D07CEE" w:rsidRPr="00D07CEE" w:rsidRDefault="00D07CEE" w:rsidP="00D07CEE">
      <w:pPr>
        <w:keepNext/>
        <w:spacing w:before="120" w:after="120"/>
        <w:jc w:val="both"/>
        <w:rPr>
          <w:rFonts w:ascii="Calibri" w:hAnsi="Calibri" w:cs="Calibri"/>
          <w:lang w:val="ro-RO"/>
        </w:rPr>
      </w:pPr>
      <w:r w:rsidRPr="00D07CEE">
        <w:rPr>
          <w:rFonts w:ascii="Calibri" w:hAnsi="Calibri" w:cs="Calibri"/>
          <w:lang w:val="ro-RO"/>
        </w:rPr>
        <w:t xml:space="preserve">Pentru anul 2019, se estimează că </w:t>
      </w:r>
      <w:r w:rsidRPr="00D07CEE">
        <w:rPr>
          <w:rFonts w:ascii="Calibri" w:hAnsi="Calibri" w:cs="Calibri"/>
          <w:b/>
          <w:lang w:val="ro-RO"/>
        </w:rPr>
        <w:t xml:space="preserve">inflaţia </w:t>
      </w:r>
      <w:r w:rsidRPr="00D07CEE">
        <w:rPr>
          <w:rFonts w:ascii="Calibri" w:hAnsi="Calibri" w:cs="Calibri"/>
          <w:lang w:val="ro-RO"/>
        </w:rPr>
        <w:t>se va reduce atât ca medie anuală cât şi la sfârşitul anului până la valoarea de 2,8%. În perioada 2020-2021 se aşteaptă ca inflaţia să-şi continue trendul descendent ajungând în anul 2021 la 2,3% la sfârşitul anului şi 2,5% ca medie anuală.</w:t>
      </w:r>
    </w:p>
    <w:p w:rsidR="00D07CEE" w:rsidRPr="00D07CEE" w:rsidRDefault="00D07CEE" w:rsidP="00D07CEE">
      <w:pPr>
        <w:keepNext/>
        <w:spacing w:before="120" w:after="120"/>
        <w:jc w:val="both"/>
        <w:rPr>
          <w:rFonts w:ascii="Calibri" w:hAnsi="Calibri" w:cs="Calibri"/>
          <w:lang w:val="ro-RO"/>
        </w:rPr>
      </w:pPr>
      <w:r w:rsidRPr="00D07CEE">
        <w:rPr>
          <w:rFonts w:ascii="Calibri" w:hAnsi="Calibri" w:cs="Calibri"/>
          <w:lang w:val="ro-RO"/>
        </w:rPr>
        <w:t>Previziunile au luat în calcul ani agricoli normali precum şi o uşoară creştere pentru preţul internaţional al petrolului.</w:t>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p>
    <w:p w:rsidR="00D07CEE" w:rsidRPr="00D07CEE" w:rsidRDefault="00D07CEE" w:rsidP="00D07CEE">
      <w:pPr>
        <w:keepNext/>
        <w:spacing w:before="120" w:after="120"/>
        <w:ind w:firstLine="708"/>
        <w:jc w:val="center"/>
        <w:rPr>
          <w:rFonts w:ascii="Calibri" w:hAnsi="Calibri" w:cs="Calibri"/>
          <w:lang w:val="ro-RO"/>
        </w:rPr>
      </w:pP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hAnsi="Calibri" w:cs="Calibri"/>
          <w:lang w:val="ro-RO"/>
        </w:rPr>
        <w:tab/>
      </w:r>
      <w:r w:rsidRPr="00D07CEE">
        <w:rPr>
          <w:rFonts w:ascii="Calibri" w:eastAsia="MS Mincho" w:hAnsi="Calibri" w:cs="Calibri"/>
          <w:lang w:val="ro-RO" w:eastAsia="ja-JP"/>
        </w:rPr>
        <w:t>- %-</w:t>
      </w:r>
    </w:p>
    <w:tbl>
      <w:tblPr>
        <w:tblW w:w="9299"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846"/>
        <w:gridCol w:w="1282"/>
        <w:gridCol w:w="1181"/>
        <w:gridCol w:w="990"/>
      </w:tblGrid>
      <w:tr w:rsidR="00D07CEE" w:rsidRPr="00D07CEE" w:rsidTr="00BC1ED9">
        <w:trPr>
          <w:trHeight w:val="502"/>
          <w:tblHeader/>
          <w:jc w:val="center"/>
        </w:trPr>
        <w:tc>
          <w:tcPr>
            <w:tcW w:w="5846" w:type="dxa"/>
            <w:tcBorders>
              <w:top w:val="single" w:sz="2" w:space="0" w:color="333399"/>
              <w:bottom w:val="single" w:sz="2" w:space="0" w:color="333399"/>
            </w:tcBorders>
            <w:shd w:val="clear" w:color="auto" w:fill="99CCFF"/>
            <w:noWrap/>
            <w:vAlign w:val="center"/>
          </w:tcPr>
          <w:p w:rsidR="00D07CEE" w:rsidRPr="00D07CEE" w:rsidRDefault="00D07CEE" w:rsidP="00D07CEE">
            <w:pPr>
              <w:keepNext/>
              <w:spacing w:before="120" w:line="360" w:lineRule="auto"/>
              <w:jc w:val="both"/>
              <w:rPr>
                <w:rFonts w:ascii="Calibri" w:hAnsi="Calibri" w:cs="Calibri"/>
                <w:b/>
                <w:lang w:val="ro-RO"/>
              </w:rPr>
            </w:pPr>
            <w:r w:rsidRPr="00D07CEE">
              <w:rPr>
                <w:rFonts w:ascii="Calibri" w:hAnsi="Calibri" w:cs="Calibri"/>
                <w:b/>
                <w:lang w:val="ro-RO"/>
              </w:rPr>
              <w:t xml:space="preserve">Inflaţia </w:t>
            </w:r>
          </w:p>
        </w:tc>
        <w:tc>
          <w:tcPr>
            <w:tcW w:w="1282" w:type="dxa"/>
            <w:tcBorders>
              <w:top w:val="single" w:sz="2" w:space="0" w:color="333399"/>
              <w:bottom w:val="single" w:sz="2" w:space="0" w:color="333399"/>
            </w:tcBorders>
            <w:shd w:val="clear" w:color="auto" w:fill="99CCFF"/>
            <w:noWrap/>
            <w:vAlign w:val="center"/>
          </w:tcPr>
          <w:p w:rsidR="00D07CEE" w:rsidRPr="00D07CEE" w:rsidRDefault="00D07CEE" w:rsidP="00D07CEE">
            <w:pPr>
              <w:keepNext/>
              <w:jc w:val="center"/>
              <w:rPr>
                <w:rFonts w:ascii="Calibri" w:hAnsi="Calibri" w:cs="Calibri"/>
                <w:b/>
                <w:lang w:val="ro-RO"/>
              </w:rPr>
            </w:pPr>
            <w:r w:rsidRPr="00D07CEE">
              <w:rPr>
                <w:rFonts w:ascii="Calibri" w:hAnsi="Calibri" w:cs="Calibri"/>
                <w:b/>
                <w:lang w:val="ro-RO"/>
              </w:rPr>
              <w:t>2019</w:t>
            </w:r>
          </w:p>
        </w:tc>
        <w:tc>
          <w:tcPr>
            <w:tcW w:w="1181"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Calibri"/>
                <w:b/>
                <w:lang w:val="ro-RO"/>
              </w:rPr>
            </w:pPr>
            <w:r w:rsidRPr="00D07CEE">
              <w:rPr>
                <w:rFonts w:ascii="Calibri" w:hAnsi="Calibri" w:cs="Calibri"/>
                <w:b/>
                <w:lang w:val="ro-RO"/>
              </w:rPr>
              <w:t>2020</w:t>
            </w:r>
          </w:p>
        </w:tc>
        <w:tc>
          <w:tcPr>
            <w:tcW w:w="990"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Calibri"/>
                <w:b/>
                <w:lang w:val="ro-RO"/>
              </w:rPr>
            </w:pPr>
            <w:r w:rsidRPr="00D07CEE">
              <w:rPr>
                <w:rFonts w:ascii="Calibri" w:hAnsi="Calibri" w:cs="Calibri"/>
                <w:b/>
                <w:lang w:val="ro-RO"/>
              </w:rPr>
              <w:t>2021</w:t>
            </w:r>
          </w:p>
        </w:tc>
      </w:tr>
      <w:tr w:rsidR="00D07CEE" w:rsidRPr="00D07CEE" w:rsidTr="00BC1ED9">
        <w:trPr>
          <w:trHeight w:val="422"/>
          <w:jc w:val="center"/>
        </w:trPr>
        <w:tc>
          <w:tcPr>
            <w:tcW w:w="5846" w:type="dxa"/>
            <w:tcBorders>
              <w:top w:val="single" w:sz="2" w:space="0" w:color="333399"/>
              <w:left w:val="nil"/>
              <w:bottom w:val="nil"/>
              <w:right w:val="nil"/>
            </w:tcBorders>
            <w:shd w:val="clear" w:color="auto" w:fill="auto"/>
            <w:noWrap/>
            <w:vAlign w:val="center"/>
          </w:tcPr>
          <w:p w:rsidR="00D07CEE" w:rsidRPr="00D07CEE" w:rsidRDefault="00D07CEE" w:rsidP="00D07CEE">
            <w:pPr>
              <w:keepNext/>
              <w:jc w:val="both"/>
              <w:rPr>
                <w:rFonts w:ascii="Calibri" w:hAnsi="Calibri" w:cs="Calibri"/>
                <w:lang w:val="ro-RO"/>
              </w:rPr>
            </w:pPr>
            <w:r w:rsidRPr="00D07CEE">
              <w:rPr>
                <w:rFonts w:ascii="Calibri" w:hAnsi="Calibri" w:cs="Calibri"/>
                <w:lang w:val="ro-RO"/>
              </w:rPr>
              <w:t xml:space="preserve">   - sfârşitul anului</w:t>
            </w:r>
          </w:p>
        </w:tc>
        <w:tc>
          <w:tcPr>
            <w:tcW w:w="1282" w:type="dxa"/>
            <w:tcBorders>
              <w:top w:val="single" w:sz="2" w:space="0" w:color="333399"/>
              <w:left w:val="nil"/>
              <w:bottom w:val="nil"/>
              <w:right w:val="nil"/>
            </w:tcBorders>
            <w:shd w:val="clear" w:color="auto" w:fill="auto"/>
            <w:noWrap/>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2,8</w:t>
            </w:r>
          </w:p>
        </w:tc>
        <w:tc>
          <w:tcPr>
            <w:tcW w:w="1181" w:type="dxa"/>
            <w:tcBorders>
              <w:top w:val="single" w:sz="2" w:space="0" w:color="333399"/>
              <w:left w:val="nil"/>
              <w:bottom w:val="nil"/>
              <w:right w:val="nil"/>
            </w:tcBorders>
            <w:shd w:val="clear" w:color="auto" w:fill="auto"/>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2,5</w:t>
            </w:r>
          </w:p>
        </w:tc>
        <w:tc>
          <w:tcPr>
            <w:tcW w:w="990" w:type="dxa"/>
            <w:tcBorders>
              <w:top w:val="single" w:sz="2" w:space="0" w:color="333399"/>
              <w:left w:val="nil"/>
              <w:bottom w:val="nil"/>
              <w:right w:val="nil"/>
            </w:tcBorders>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2,3</w:t>
            </w:r>
          </w:p>
        </w:tc>
      </w:tr>
      <w:tr w:rsidR="00D07CEE" w:rsidRPr="00D07CEE" w:rsidTr="00BC1ED9">
        <w:trPr>
          <w:trHeight w:val="333"/>
          <w:jc w:val="center"/>
        </w:trPr>
        <w:tc>
          <w:tcPr>
            <w:tcW w:w="5846" w:type="dxa"/>
            <w:tcBorders>
              <w:top w:val="nil"/>
              <w:left w:val="nil"/>
              <w:bottom w:val="single" w:sz="2" w:space="0" w:color="333399"/>
              <w:right w:val="nil"/>
            </w:tcBorders>
            <w:shd w:val="clear" w:color="auto" w:fill="auto"/>
            <w:noWrap/>
            <w:vAlign w:val="center"/>
          </w:tcPr>
          <w:p w:rsidR="00D07CEE" w:rsidRPr="00D07CEE" w:rsidRDefault="00D07CEE" w:rsidP="00D07CEE">
            <w:pPr>
              <w:keepNext/>
              <w:jc w:val="both"/>
              <w:rPr>
                <w:rFonts w:ascii="Calibri" w:hAnsi="Calibri" w:cs="Calibri"/>
                <w:lang w:val="ro-RO"/>
              </w:rPr>
            </w:pPr>
            <w:r w:rsidRPr="00D07CEE">
              <w:rPr>
                <w:rFonts w:ascii="Calibri" w:hAnsi="Calibri" w:cs="Calibri"/>
                <w:lang w:val="ro-RO"/>
              </w:rPr>
              <w:t xml:space="preserve">   - medie anuală</w:t>
            </w:r>
          </w:p>
        </w:tc>
        <w:tc>
          <w:tcPr>
            <w:tcW w:w="1282" w:type="dxa"/>
            <w:tcBorders>
              <w:top w:val="nil"/>
              <w:left w:val="nil"/>
              <w:bottom w:val="single" w:sz="2" w:space="0" w:color="333399"/>
              <w:right w:val="nil"/>
            </w:tcBorders>
            <w:shd w:val="clear" w:color="auto" w:fill="auto"/>
            <w:noWrap/>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2,8</w:t>
            </w:r>
          </w:p>
        </w:tc>
        <w:tc>
          <w:tcPr>
            <w:tcW w:w="1181" w:type="dxa"/>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2,6</w:t>
            </w:r>
          </w:p>
        </w:tc>
        <w:tc>
          <w:tcPr>
            <w:tcW w:w="990" w:type="dxa"/>
            <w:tcBorders>
              <w:top w:val="nil"/>
              <w:left w:val="nil"/>
              <w:bottom w:val="single" w:sz="2" w:space="0" w:color="333399"/>
              <w:right w:val="nil"/>
            </w:tcBorders>
            <w:vAlign w:val="center"/>
          </w:tcPr>
          <w:p w:rsidR="00D07CEE" w:rsidRPr="00D07CEE" w:rsidRDefault="00D07CEE" w:rsidP="00D07CEE">
            <w:pPr>
              <w:keepNext/>
              <w:jc w:val="center"/>
              <w:rPr>
                <w:rFonts w:ascii="Calibri" w:hAnsi="Calibri" w:cs="Calibri"/>
                <w:lang w:val="ro-RO"/>
              </w:rPr>
            </w:pPr>
            <w:r w:rsidRPr="00D07CEE">
              <w:rPr>
                <w:rFonts w:ascii="Calibri" w:hAnsi="Calibri" w:cs="Calibri"/>
                <w:lang w:val="ro-RO"/>
              </w:rPr>
              <w:t>2,5</w:t>
            </w:r>
          </w:p>
        </w:tc>
      </w:tr>
    </w:tbl>
    <w:p w:rsidR="00D07CEE" w:rsidRPr="00D07CEE" w:rsidRDefault="00D07CEE" w:rsidP="00D07CEE">
      <w:pPr>
        <w:keepNext/>
        <w:ind w:firstLine="450"/>
        <w:jc w:val="both"/>
        <w:rPr>
          <w:rFonts w:ascii="Calibri" w:hAnsi="Calibri" w:cs="Calibri"/>
          <w:lang w:val="ro-RO"/>
        </w:rPr>
      </w:pPr>
    </w:p>
    <w:p w:rsidR="00D07CEE" w:rsidRPr="00D07CEE" w:rsidRDefault="00D07CEE" w:rsidP="00D07CEE">
      <w:pPr>
        <w:keepNext/>
        <w:jc w:val="both"/>
        <w:rPr>
          <w:rFonts w:ascii="Calibri" w:hAnsi="Calibri" w:cs="Arial"/>
          <w:b/>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Default="006346A7" w:rsidP="00322391">
      <w:pPr>
        <w:keepNext/>
        <w:jc w:val="both"/>
        <w:rPr>
          <w:rFonts w:ascii="Calibri" w:hAnsi="Calibri" w:cs="Arial"/>
          <w:b/>
          <w:color w:val="000080"/>
          <w:lang w:val="ro-RO"/>
        </w:rPr>
      </w:pPr>
    </w:p>
    <w:p w:rsidR="006346A7" w:rsidRPr="00676235" w:rsidRDefault="006346A7" w:rsidP="00322391">
      <w:pPr>
        <w:keepNext/>
        <w:jc w:val="both"/>
        <w:rPr>
          <w:rFonts w:ascii="Calibri" w:hAnsi="Calibri" w:cs="Arial"/>
          <w:b/>
          <w:color w:val="000080"/>
          <w:lang w:val="ro-RO"/>
        </w:rPr>
      </w:pPr>
    </w:p>
    <w:p w:rsidR="00884E46" w:rsidRPr="00C86702" w:rsidRDefault="00884E46" w:rsidP="00743BC3">
      <w:pPr>
        <w:shd w:val="clear" w:color="auto" w:fill="9CC2E5" w:themeFill="accent1" w:themeFillTint="99"/>
        <w:autoSpaceDE w:val="0"/>
        <w:autoSpaceDN w:val="0"/>
        <w:adjustRightInd w:val="0"/>
        <w:spacing w:before="120" w:line="276" w:lineRule="auto"/>
        <w:jc w:val="both"/>
        <w:rPr>
          <w:rFonts w:ascii="Calibri" w:hAnsi="Calibri" w:cs="Arial"/>
          <w:b/>
          <w:color w:val="002060"/>
          <w:lang w:val="ro-RO"/>
        </w:rPr>
      </w:pPr>
      <w:r w:rsidRPr="00C86702">
        <w:rPr>
          <w:rFonts w:ascii="Calibri" w:hAnsi="Calibri" w:cs="Arial"/>
          <w:b/>
          <w:color w:val="002060"/>
          <w:lang w:val="ro-RO"/>
        </w:rPr>
        <w:t xml:space="preserve">4. Cadrul fiscal-bugetar </w:t>
      </w:r>
      <w:r w:rsidR="00824CE3">
        <w:rPr>
          <w:rFonts w:ascii="Calibri" w:hAnsi="Calibri" w:cs="Arial"/>
          <w:b/>
          <w:color w:val="002060"/>
          <w:lang w:val="ro-RO"/>
        </w:rPr>
        <w:t>pe orizontul 2019-2021</w:t>
      </w:r>
    </w:p>
    <w:p w:rsidR="0002401E" w:rsidRDefault="0002401E" w:rsidP="0002401E">
      <w:pPr>
        <w:jc w:val="both"/>
        <w:rPr>
          <w:rFonts w:ascii="Calibri" w:hAnsi="Calibri" w:cs="Arial"/>
        </w:rPr>
      </w:pPr>
    </w:p>
    <w:p w:rsidR="0002401E" w:rsidRPr="00E33B63" w:rsidRDefault="000A2B70" w:rsidP="000A2B70">
      <w:pPr>
        <w:shd w:val="clear" w:color="auto" w:fill="9CC2E5" w:themeFill="accent1" w:themeFillTint="99"/>
        <w:autoSpaceDE w:val="0"/>
        <w:autoSpaceDN w:val="0"/>
        <w:adjustRightInd w:val="0"/>
        <w:spacing w:before="120" w:line="276" w:lineRule="auto"/>
        <w:jc w:val="both"/>
        <w:rPr>
          <w:rFonts w:ascii="Calibri" w:hAnsi="Calibri" w:cs="Arial"/>
          <w:shd w:val="clear" w:color="auto" w:fill="FFFFFF"/>
        </w:rPr>
      </w:pPr>
      <w:r>
        <w:rPr>
          <w:rFonts w:ascii="Calibri" w:hAnsi="Calibri" w:cs="Arial"/>
          <w:b/>
          <w:bCs/>
          <w:color w:val="002060"/>
          <w:lang w:val="ro-RO"/>
        </w:rPr>
        <w:t xml:space="preserve">4.1. </w:t>
      </w:r>
      <w:r w:rsidR="00F23BF0">
        <w:rPr>
          <w:rFonts w:ascii="Calibri" w:hAnsi="Calibri" w:cs="Arial"/>
          <w:b/>
          <w:bCs/>
          <w:color w:val="002060"/>
          <w:lang w:val="ro-RO"/>
        </w:rPr>
        <w:t>Realizări în anul</w:t>
      </w:r>
      <w:r w:rsidR="00824CE3">
        <w:rPr>
          <w:rFonts w:ascii="Calibri" w:hAnsi="Calibri" w:cs="Arial"/>
          <w:b/>
          <w:bCs/>
          <w:color w:val="002060"/>
          <w:lang w:val="ro-RO"/>
        </w:rPr>
        <w:t xml:space="preserve"> 20</w:t>
      </w:r>
      <w:r w:rsidR="00F23BF0">
        <w:rPr>
          <w:rFonts w:ascii="Calibri" w:hAnsi="Calibri" w:cs="Arial"/>
          <w:b/>
          <w:bCs/>
          <w:color w:val="002060"/>
          <w:lang w:val="ro-RO"/>
        </w:rPr>
        <w:t>18</w:t>
      </w:r>
      <w:r w:rsidR="00FA2A39" w:rsidRPr="00FA2A39">
        <w:rPr>
          <w:rFonts w:ascii="Calibri" w:hAnsi="Calibri" w:cs="Arial"/>
          <w:b/>
          <w:bCs/>
          <w:color w:val="002060"/>
          <w:lang w:val="ro-RO"/>
        </w:rPr>
        <w:t xml:space="preserve"> față de măsurile asumate prin </w:t>
      </w:r>
      <w:r w:rsidR="00F23BF0">
        <w:rPr>
          <w:rFonts w:ascii="Calibri" w:hAnsi="Calibri" w:cs="Arial"/>
          <w:b/>
          <w:bCs/>
          <w:color w:val="002060"/>
          <w:lang w:val="ro-RO"/>
        </w:rPr>
        <w:t>strategia anterioară</w:t>
      </w:r>
    </w:p>
    <w:p w:rsidR="002D6C69" w:rsidRPr="002D6C69" w:rsidRDefault="002D6C69" w:rsidP="002D6C69">
      <w:pPr>
        <w:suppressAutoHyphens/>
        <w:jc w:val="both"/>
        <w:rPr>
          <w:rFonts w:ascii="Calibri" w:hAnsi="Calibri"/>
          <w:color w:val="000000" w:themeColor="text1"/>
          <w:lang w:val="ro-RO" w:eastAsia="zh-CN"/>
        </w:rPr>
      </w:pPr>
      <w:r w:rsidRPr="002D6C69">
        <w:rPr>
          <w:rFonts w:ascii="Calibri" w:hAnsi="Calibri" w:cs="Arial"/>
          <w:b/>
          <w:bCs/>
          <w:color w:val="000000" w:themeColor="text1"/>
          <w:u w:val="single"/>
          <w:lang w:val="ro-RO" w:eastAsia="zh-CN"/>
        </w:rPr>
        <w:t>În domeniul impozitelor directe</w:t>
      </w:r>
    </w:p>
    <w:p w:rsidR="002D6C69" w:rsidRPr="002D6C69" w:rsidRDefault="002D6C69" w:rsidP="002D6C69">
      <w:pPr>
        <w:suppressAutoHyphens/>
        <w:jc w:val="both"/>
        <w:rPr>
          <w:rFonts w:ascii="Calibri" w:hAnsi="Calibri"/>
          <w:color w:val="000000" w:themeColor="text1"/>
          <w:lang w:val="ro-RO" w:eastAsia="zh-CN"/>
        </w:rPr>
      </w:pPr>
      <w:r w:rsidRPr="002D6C69">
        <w:rPr>
          <w:rFonts w:ascii="Calibri" w:hAnsi="Calibri" w:cs="Arial"/>
          <w:b/>
          <w:bCs/>
          <w:color w:val="000000" w:themeColor="text1"/>
          <w:lang w:val="ro-RO" w:eastAsia="zh-CN"/>
        </w:rPr>
        <w:t>Impozitul pe profit</w:t>
      </w:r>
    </w:p>
    <w:p w:rsidR="002D6C69" w:rsidRPr="002D6C69" w:rsidRDefault="002D6C69" w:rsidP="00565476">
      <w:pPr>
        <w:numPr>
          <w:ilvl w:val="0"/>
          <w:numId w:val="216"/>
        </w:numPr>
        <w:suppressAutoHyphens/>
        <w:jc w:val="both"/>
        <w:rPr>
          <w:rFonts w:ascii="Calibri" w:hAnsi="Calibri"/>
          <w:color w:val="000000" w:themeColor="text1"/>
          <w:lang w:val="ro-RO" w:eastAsia="zh-CN"/>
        </w:rPr>
      </w:pPr>
      <w:r w:rsidRPr="002D6C69">
        <w:rPr>
          <w:rFonts w:ascii="Calibri" w:hAnsi="Calibri" w:cs="Arial"/>
          <w:color w:val="000000" w:themeColor="text1"/>
          <w:lang w:val="ro-RO" w:eastAsia="zh-CN"/>
        </w:rPr>
        <w:t>Începând cu 26 aprilie 2018, au fost  promovate măsuri care să combată reducerea rezultatului fiscal prin intermediul cesiunilor de creanțe. Astfel, la calculul impozitului pe profit, î</w:t>
      </w:r>
      <w:r w:rsidRPr="002D6C69">
        <w:rPr>
          <w:rFonts w:ascii="Calibri" w:hAnsi="Calibri" w:cs="Arial"/>
          <w:i/>
          <w:iCs/>
          <w:color w:val="000000" w:themeColor="text1"/>
          <w:lang w:val="ro-RO" w:eastAsia="ro-RO"/>
        </w:rPr>
        <w:t>n cazul creanţelor cesionate, pierderea netă reprezentând diferenţa dintre preţul de cesiune şi valoarea creanţei cesionate este deductibilă în limita unui plafon de 30% din valoarea acestei pierderi.</w:t>
      </w:r>
    </w:p>
    <w:p w:rsidR="002D6C69" w:rsidRPr="002D6C69" w:rsidRDefault="002D6C69" w:rsidP="00565476">
      <w:pPr>
        <w:numPr>
          <w:ilvl w:val="0"/>
          <w:numId w:val="216"/>
        </w:numPr>
        <w:suppressAutoHyphens/>
        <w:ind w:right="132"/>
        <w:jc w:val="both"/>
        <w:rPr>
          <w:rFonts w:ascii="Calibri" w:hAnsi="Calibri" w:cs="Arial"/>
          <w:color w:val="000000" w:themeColor="text1"/>
          <w:lang w:val="ro-RO" w:eastAsia="zh-CN"/>
        </w:rPr>
      </w:pPr>
      <w:r w:rsidRPr="002D6C69">
        <w:rPr>
          <w:rFonts w:ascii="Calibri" w:hAnsi="Calibri" w:cs="Arial"/>
          <w:color w:val="000000" w:themeColor="text1"/>
          <w:lang w:val="ro-RO" w:eastAsia="zh-CN"/>
        </w:rPr>
        <w:t>Începând cu 1 aprilie 2018, s-a instituit obligația contribuabililor care efectuează sponsorizări/mecenat, respectiv acordă burse private și care scad aceste sume din impozitul pe profit, de a declara beneficiarii sumelor respective, cu scopul monitorizării și controlului acestor sume, astfel încât să se asigure cheltuirea fondurilor primite de beneficiari numai în scopul pentru care aceștia s-au înființat sau în scopul pentru care au fost alocate, după caz.</w:t>
      </w:r>
    </w:p>
    <w:p w:rsidR="002D6C69" w:rsidRPr="002D6C69" w:rsidRDefault="002D6C69" w:rsidP="00565476">
      <w:pPr>
        <w:numPr>
          <w:ilvl w:val="0"/>
          <w:numId w:val="216"/>
        </w:numPr>
        <w:suppressAutoHyphens/>
        <w:ind w:right="132"/>
        <w:jc w:val="both"/>
        <w:rPr>
          <w:rFonts w:ascii="Calibri" w:hAnsi="Calibri"/>
          <w:color w:val="000000" w:themeColor="text1"/>
          <w:lang w:val="ro-RO" w:eastAsia="zh-CN"/>
        </w:rPr>
      </w:pPr>
      <w:r w:rsidRPr="002D6C69">
        <w:rPr>
          <w:rFonts w:ascii="Calibri" w:hAnsi="Calibri"/>
          <w:color w:val="000000" w:themeColor="text1"/>
          <w:lang w:val="ro-RO" w:eastAsia="zh-CN"/>
        </w:rPr>
        <w:t>În cazul sponsorizărilor efectuate către entităţi persoane juridice fără scop lucrativ, inclusiv unităţi de cult, începând cu 1 aprilie 2019, sumele aferente acestora se scad din impozitul pe profit datorat, dacă beneficiarul sponsorizării este înscris, la data încheierii contractului, în Registrul entităţilor/unităţilor de cult pentru care se acordă deduceri fiscale.</w:t>
      </w:r>
    </w:p>
    <w:p w:rsidR="002D6C69" w:rsidRPr="002D6C69" w:rsidRDefault="002D6C69" w:rsidP="00565476">
      <w:pPr>
        <w:numPr>
          <w:ilvl w:val="0"/>
          <w:numId w:val="216"/>
        </w:numPr>
        <w:suppressAutoHyphens/>
        <w:ind w:right="132"/>
        <w:jc w:val="both"/>
        <w:rPr>
          <w:rFonts w:ascii="Calibri" w:hAnsi="Calibri"/>
          <w:color w:val="000000" w:themeColor="text1"/>
          <w:lang w:val="ro-RO" w:eastAsia="zh-CN"/>
        </w:rPr>
      </w:pPr>
      <w:r w:rsidRPr="002D6C69">
        <w:rPr>
          <w:rFonts w:ascii="Calibri" w:hAnsi="Calibri"/>
          <w:color w:val="000000" w:themeColor="text1"/>
          <w:lang w:val="ro-RO" w:eastAsia="zh-CN"/>
        </w:rPr>
        <w:t>Pentru deducerea costurilor excedentare ale îndatorării la calculul rezultatului fiscal, potrivit prevederilor Legii nr.30/2019 pentru aprobarea OUG nr.25/2018, s-a majorat plafonul deductibil de la 200.000 euro la 1.000.000 euro, precum și nivelul de deducere în funcție de EBITDA de la 10% la 30%.</w:t>
      </w:r>
    </w:p>
    <w:p w:rsidR="002D6C69" w:rsidRPr="002D6C69" w:rsidRDefault="002D6C69" w:rsidP="002D6C69">
      <w:pPr>
        <w:suppressAutoHyphens/>
        <w:ind w:right="132"/>
        <w:jc w:val="both"/>
        <w:rPr>
          <w:rFonts w:ascii="Calibri" w:hAnsi="Calibri"/>
          <w:color w:val="000000" w:themeColor="text1"/>
          <w:lang w:val="ro-RO" w:eastAsia="zh-CN"/>
        </w:rPr>
      </w:pPr>
    </w:p>
    <w:p w:rsidR="002D6C69" w:rsidRPr="002D6C69" w:rsidRDefault="002D6C69" w:rsidP="002D6C69">
      <w:pPr>
        <w:suppressAutoHyphens/>
        <w:jc w:val="both"/>
        <w:rPr>
          <w:rFonts w:ascii="Calibri" w:hAnsi="Calibri"/>
          <w:color w:val="000000" w:themeColor="text1"/>
          <w:lang w:val="fr-BE" w:eastAsia="zh-CN"/>
        </w:rPr>
      </w:pPr>
      <w:r w:rsidRPr="002D6C69">
        <w:rPr>
          <w:rFonts w:ascii="Calibri" w:hAnsi="Calibri" w:cs="Arial"/>
          <w:b/>
          <w:bCs/>
          <w:color w:val="000000" w:themeColor="text1"/>
          <w:lang w:val="ro-RO" w:eastAsia="zh-CN"/>
        </w:rPr>
        <w:t>Impozitul pe veniturile microîntreprinderilor</w:t>
      </w:r>
    </w:p>
    <w:p w:rsidR="002D6C69" w:rsidRPr="002D6C69" w:rsidRDefault="002D6C69" w:rsidP="002D6C69">
      <w:pPr>
        <w:widowControl w:val="0"/>
        <w:tabs>
          <w:tab w:val="left" w:pos="21"/>
        </w:tabs>
        <w:suppressAutoHyphens/>
        <w:jc w:val="both"/>
        <w:rPr>
          <w:rFonts w:ascii="Calibri" w:eastAsia="SimSun" w:hAnsi="Calibri" w:cs="Arial"/>
          <w:b/>
          <w:color w:val="000000" w:themeColor="text1"/>
          <w:lang w:val="ro-RO" w:eastAsia="zh-CN" w:bidi="hi-IN"/>
        </w:rPr>
      </w:pPr>
      <w:r w:rsidRPr="002D6C69">
        <w:rPr>
          <w:rFonts w:ascii="Calibri" w:eastAsia="SimSun" w:hAnsi="Calibri" w:cs="Arial"/>
          <w:b/>
          <w:color w:val="000000" w:themeColor="text1"/>
          <w:lang w:val="ro-RO" w:eastAsia="zh-CN" w:bidi="hi-IN"/>
        </w:rPr>
        <w:t>Începând cu 1 aprilie 2018:</w:t>
      </w:r>
    </w:p>
    <w:p w:rsidR="002D6C69" w:rsidRPr="002D6C69" w:rsidRDefault="002D6C69" w:rsidP="002D6C69">
      <w:pPr>
        <w:widowControl w:val="0"/>
        <w:tabs>
          <w:tab w:val="left" w:pos="21"/>
        </w:tabs>
        <w:suppressAutoHyphens/>
        <w:jc w:val="both"/>
        <w:rPr>
          <w:rFonts w:ascii="Calibri" w:hAnsi="Calibri"/>
          <w:color w:val="000000" w:themeColor="text1"/>
          <w:lang w:val="fr-BE" w:eastAsia="zh-CN"/>
        </w:rPr>
      </w:pPr>
    </w:p>
    <w:p w:rsidR="002D6C69" w:rsidRPr="002D6C69" w:rsidRDefault="002D6C69" w:rsidP="00565476">
      <w:pPr>
        <w:widowControl w:val="0"/>
        <w:numPr>
          <w:ilvl w:val="0"/>
          <w:numId w:val="217"/>
        </w:numPr>
        <w:tabs>
          <w:tab w:val="left" w:pos="21"/>
        </w:tabs>
        <w:suppressAutoHyphens/>
        <w:jc w:val="both"/>
        <w:rPr>
          <w:rFonts w:ascii="Calibri" w:hAnsi="Calibri"/>
          <w:color w:val="000000" w:themeColor="text1"/>
          <w:lang w:val="ro-RO" w:eastAsia="zh-CN"/>
        </w:rPr>
      </w:pPr>
      <w:r w:rsidRPr="002D6C69">
        <w:rPr>
          <w:rFonts w:ascii="Calibri" w:eastAsia="SimSun" w:hAnsi="Calibri" w:cs="Arial"/>
          <w:color w:val="000000" w:themeColor="text1"/>
          <w:lang w:val="ro-RO" w:eastAsia="zh-CN" w:bidi="hi-IN"/>
        </w:rPr>
        <w:t xml:space="preserve">Se instituie regula fiscală, potrivit căreia </w:t>
      </w:r>
      <w:r w:rsidRPr="002D6C69">
        <w:rPr>
          <w:rFonts w:ascii="Calibri" w:eastAsia="Arial" w:hAnsi="Calibri" w:cs="Arial"/>
          <w:bCs/>
          <w:color w:val="000000" w:themeColor="text1"/>
          <w:lang w:val="ro-RO" w:eastAsia="zh-CN" w:bidi="hi-IN"/>
        </w:rPr>
        <w:t>microîntreprinderile pot opta pentru plata impozitului pe profit, în cazul în care acestea îndeplinesc două condiții:</w:t>
      </w:r>
    </w:p>
    <w:p w:rsidR="002D6C69" w:rsidRPr="002D6C69" w:rsidRDefault="002D6C69" w:rsidP="00565476">
      <w:pPr>
        <w:widowControl w:val="0"/>
        <w:numPr>
          <w:ilvl w:val="0"/>
          <w:numId w:val="218"/>
        </w:numPr>
        <w:tabs>
          <w:tab w:val="left" w:pos="446"/>
        </w:tabs>
        <w:suppressAutoHyphens/>
        <w:ind w:right="52"/>
        <w:jc w:val="both"/>
        <w:rPr>
          <w:rFonts w:ascii="Calibri" w:hAnsi="Calibri"/>
          <w:color w:val="000000" w:themeColor="text1"/>
          <w:lang w:val="fr-BE" w:eastAsia="zh-CN"/>
        </w:rPr>
      </w:pPr>
      <w:r w:rsidRPr="002D6C69">
        <w:rPr>
          <w:rFonts w:ascii="Calibri" w:eastAsia="Arial" w:hAnsi="Calibri" w:cs="Arial"/>
          <w:bCs/>
          <w:color w:val="000000" w:themeColor="text1"/>
          <w:lang w:val="ro-RO" w:eastAsia="zh-CN" w:bidi="hi-IN"/>
        </w:rPr>
        <w:t xml:space="preserve">au un nivel de capital social minim de 45.000 lei (aprox. 10.000 euro) și </w:t>
      </w:r>
    </w:p>
    <w:p w:rsidR="002D6C69" w:rsidRPr="002D6C69" w:rsidRDefault="002D6C69" w:rsidP="00565476">
      <w:pPr>
        <w:widowControl w:val="0"/>
        <w:numPr>
          <w:ilvl w:val="0"/>
          <w:numId w:val="218"/>
        </w:numPr>
        <w:tabs>
          <w:tab w:val="left" w:pos="465"/>
        </w:tabs>
        <w:suppressAutoHyphens/>
        <w:ind w:right="52"/>
        <w:jc w:val="both"/>
        <w:rPr>
          <w:rFonts w:ascii="Calibri" w:hAnsi="Calibri"/>
          <w:color w:val="000000" w:themeColor="text1"/>
          <w:lang w:val="fr-BE" w:eastAsia="zh-CN"/>
        </w:rPr>
      </w:pPr>
      <w:r w:rsidRPr="002D6C69">
        <w:rPr>
          <w:rFonts w:ascii="Calibri" w:eastAsia="Arial" w:hAnsi="Calibri" w:cs="Arial"/>
          <w:bCs/>
          <w:color w:val="000000" w:themeColor="text1"/>
          <w:lang w:val="ro-RO" w:eastAsia="zh-CN" w:bidi="hi-IN"/>
        </w:rPr>
        <w:t>au cel puțin 2 salariați</w:t>
      </w:r>
      <w:r w:rsidRPr="002D6C69">
        <w:rPr>
          <w:rFonts w:ascii="Calibri" w:eastAsia="Arial" w:hAnsi="Calibri" w:cs="Arial"/>
          <w:color w:val="000000" w:themeColor="text1"/>
          <w:lang w:val="ro-RO" w:eastAsia="zh-CN" w:bidi="hi-IN"/>
        </w:rPr>
        <w:t>.</w:t>
      </w:r>
    </w:p>
    <w:p w:rsidR="002D6C69" w:rsidRPr="002D6C69" w:rsidRDefault="002D6C69" w:rsidP="002D6C69">
      <w:pPr>
        <w:widowControl w:val="0"/>
        <w:suppressAutoHyphens/>
        <w:ind w:left="720"/>
        <w:jc w:val="both"/>
        <w:rPr>
          <w:rFonts w:ascii="Calibri" w:hAnsi="Calibri"/>
          <w:color w:val="000000" w:themeColor="text1"/>
          <w:lang w:val="fr-BE" w:eastAsia="zh-CN"/>
        </w:rPr>
      </w:pPr>
      <w:r w:rsidRPr="002D6C69">
        <w:rPr>
          <w:rFonts w:ascii="Calibri" w:eastAsia="SimSun" w:hAnsi="Calibri" w:cs="Arial"/>
          <w:color w:val="000000" w:themeColor="text1"/>
          <w:lang w:val="ro-RO" w:eastAsia="zh-CN" w:bidi="hi-IN"/>
        </w:rPr>
        <w:t>Măsura a vizat s</w:t>
      </w:r>
      <w:r w:rsidRPr="002D6C69">
        <w:rPr>
          <w:rFonts w:ascii="Calibri" w:eastAsia="SimSun" w:hAnsi="Calibri" w:cs="Arial"/>
          <w:color w:val="000000" w:themeColor="text1"/>
          <w:lang w:val="ro-RO" w:eastAsia="ro-RO" w:bidi="hi-IN"/>
        </w:rPr>
        <w:t>timularea investițiilor și antreprenoriatului, prin crearea unui mediu de afaceri atractiv pentru întreprinderile mici și mijlocii, cu îndeplinirea concomitentă a unor condiții legate de valoarea capitalului social și a numărului de salariați.</w:t>
      </w:r>
    </w:p>
    <w:p w:rsidR="002D6C69" w:rsidRPr="002D6C69" w:rsidRDefault="002D6C69" w:rsidP="00565476">
      <w:pPr>
        <w:widowControl w:val="0"/>
        <w:numPr>
          <w:ilvl w:val="0"/>
          <w:numId w:val="217"/>
        </w:numPr>
        <w:suppressAutoHyphens/>
        <w:jc w:val="both"/>
        <w:rPr>
          <w:rFonts w:ascii="Calibri" w:hAnsi="Calibri"/>
          <w:color w:val="000000" w:themeColor="text1"/>
          <w:lang w:val="ro-RO" w:eastAsia="zh-CN"/>
        </w:rPr>
      </w:pPr>
      <w:r w:rsidRPr="002D6C69">
        <w:rPr>
          <w:rFonts w:ascii="Calibri" w:eastAsia="SimSun" w:hAnsi="Calibri" w:cs="Arial"/>
          <w:b/>
          <w:color w:val="000000" w:themeColor="text1"/>
          <w:lang w:val="ro-RO" w:eastAsia="zh-CN" w:bidi="hi-IN"/>
        </w:rPr>
        <w:t xml:space="preserve">Pentru susținerea domeniului social, </w:t>
      </w:r>
      <w:r w:rsidRPr="002D6C69">
        <w:rPr>
          <w:rFonts w:ascii="Calibri" w:eastAsia="SimSun" w:hAnsi="Calibri" w:cs="Arial"/>
          <w:color w:val="000000" w:themeColor="text1"/>
          <w:lang w:val="ro-RO" w:eastAsia="zh-CN" w:bidi="hi-IN"/>
        </w:rPr>
        <w:t xml:space="preserve">s-a instituit măsuracare permitemicroîntreprinderilor să scadă din impozitul datorat cheltuielile cu sponsorizarea efectuate </w:t>
      </w:r>
      <w:r w:rsidRPr="002D6C69">
        <w:rPr>
          <w:rFonts w:ascii="Calibri" w:eastAsia="SimSun" w:hAnsi="Calibri" w:cs="Arial"/>
          <w:color w:val="000000" w:themeColor="text1"/>
          <w:shd w:val="clear" w:color="auto" w:fill="FFFFFF"/>
          <w:lang w:val="ro-RO" w:eastAsia="ro-RO" w:bidi="hi-IN"/>
        </w:rPr>
        <w:t>pentru susținerea entităților nonprofit și a unităților de cult, care sunt furnizori de servicii sociale acreditați cu cel puțin un serviciu social licențiat, potrivit legii,</w:t>
      </w:r>
      <w:r w:rsidRPr="002D6C69">
        <w:rPr>
          <w:rFonts w:ascii="Calibri" w:eastAsia="SimSun" w:hAnsi="Calibri" w:cs="Arial"/>
          <w:color w:val="000000" w:themeColor="text1"/>
          <w:lang w:val="ro-RO" w:eastAsia="zh-CN" w:bidi="hi-IN"/>
        </w:rPr>
        <w:t xml:space="preserve"> în limita valorii reprezentând 20% din impozit.</w:t>
      </w:r>
    </w:p>
    <w:p w:rsidR="002D6C69" w:rsidRPr="002D6C69" w:rsidRDefault="002D6C69" w:rsidP="002D6C69">
      <w:pPr>
        <w:widowControl w:val="0"/>
        <w:suppressAutoHyphens/>
        <w:ind w:left="720"/>
        <w:jc w:val="both"/>
        <w:rPr>
          <w:rFonts w:ascii="Calibri" w:eastAsia="SimSun" w:hAnsi="Calibri" w:cs="Arial"/>
          <w:color w:val="000000" w:themeColor="text1"/>
          <w:lang w:val="ro-RO" w:eastAsia="zh-CN" w:bidi="hi-IN"/>
        </w:rPr>
      </w:pPr>
      <w:r w:rsidRPr="002D6C69">
        <w:rPr>
          <w:rFonts w:ascii="Calibri" w:eastAsia="SimSun" w:hAnsi="Calibri" w:cs="Arial"/>
          <w:color w:val="000000" w:themeColor="text1"/>
          <w:lang w:val="ro-RO" w:eastAsia="zh-CN" w:bidi="hi-IN"/>
        </w:rPr>
        <w:t xml:space="preserve">Pentru monitorizarea folosirii acestor resurse financiare bugetare, s-a institut obligația, de a declara beneficiarii sumelor respective. </w:t>
      </w:r>
      <w:r w:rsidRPr="002D6C69">
        <w:rPr>
          <w:rFonts w:ascii="Calibri" w:hAnsi="Calibri"/>
          <w:color w:val="000000" w:themeColor="text1"/>
          <w:lang w:val="ro-RO" w:eastAsia="zh-CN"/>
        </w:rPr>
        <w:t>Începând cu 1 aprilie 2019, sumele corespunzătoare cheluielilor cu sponsorizarea se scad din impozitul pe veniturile microîntreprinderilor, doar dacă beneficiarul sponsorizării este înscris, la data încheierii contractului, în Registrul entităţilor/unităţilor de cult pentru care se acordă deduceri fiscale.</w:t>
      </w:r>
    </w:p>
    <w:p w:rsidR="002D6C69" w:rsidRDefault="002D6C69" w:rsidP="002D6C69">
      <w:pPr>
        <w:widowControl w:val="0"/>
        <w:suppressAutoHyphens/>
        <w:jc w:val="both"/>
        <w:rPr>
          <w:rFonts w:ascii="Calibri" w:hAnsi="Calibri"/>
          <w:color w:val="000000" w:themeColor="text1"/>
          <w:lang w:val="ro-RO" w:eastAsia="zh-CN"/>
        </w:rPr>
      </w:pPr>
    </w:p>
    <w:p w:rsidR="00E021A7" w:rsidRDefault="00E021A7" w:rsidP="002D6C69">
      <w:pPr>
        <w:widowControl w:val="0"/>
        <w:suppressAutoHyphens/>
        <w:jc w:val="both"/>
        <w:rPr>
          <w:rFonts w:ascii="Calibri" w:hAnsi="Calibri"/>
          <w:color w:val="000000" w:themeColor="text1"/>
          <w:lang w:val="ro-RO" w:eastAsia="zh-CN"/>
        </w:rPr>
      </w:pPr>
    </w:p>
    <w:p w:rsidR="00E021A7" w:rsidRPr="002D6C69" w:rsidRDefault="00E021A7" w:rsidP="002D6C69">
      <w:pPr>
        <w:widowControl w:val="0"/>
        <w:suppressAutoHyphens/>
        <w:jc w:val="both"/>
        <w:rPr>
          <w:rFonts w:ascii="Calibri" w:hAnsi="Calibri"/>
          <w:color w:val="000000" w:themeColor="text1"/>
          <w:lang w:val="ro-RO" w:eastAsia="zh-CN"/>
        </w:rPr>
      </w:pPr>
    </w:p>
    <w:p w:rsidR="002D6C69" w:rsidRPr="002D6C69" w:rsidRDefault="002D6C69" w:rsidP="002D6C69">
      <w:pPr>
        <w:suppressAutoHyphens/>
        <w:jc w:val="both"/>
        <w:rPr>
          <w:rFonts w:ascii="Calibri" w:eastAsia="Arial" w:hAnsi="Calibri" w:cs="Arial"/>
          <w:b/>
          <w:color w:val="000000" w:themeColor="text1"/>
          <w:lang w:val="ro-RO" w:eastAsia="zh-CN"/>
        </w:rPr>
      </w:pPr>
      <w:r w:rsidRPr="002D6C69">
        <w:rPr>
          <w:rFonts w:ascii="Calibri" w:eastAsia="Arial" w:hAnsi="Calibri" w:cs="Arial"/>
          <w:b/>
          <w:color w:val="000000" w:themeColor="text1"/>
          <w:lang w:val="ro-RO" w:eastAsia="zh-CN"/>
        </w:rPr>
        <w:t>Alte impozite directe î</w:t>
      </w:r>
      <w:r w:rsidRPr="002D6C69">
        <w:rPr>
          <w:rFonts w:ascii="Calibri" w:eastAsia="Arial" w:hAnsi="Calibri" w:cs="Arial"/>
          <w:b/>
          <w:bCs/>
          <w:color w:val="000000" w:themeColor="text1"/>
          <w:lang w:val="ro-RO" w:eastAsia="zh-CN"/>
        </w:rPr>
        <w:t>n domeniul resurselor naturale</w:t>
      </w:r>
      <w:r w:rsidRPr="002D6C69">
        <w:rPr>
          <w:rFonts w:ascii="Calibri" w:eastAsia="Arial" w:hAnsi="Calibri" w:cs="Arial"/>
          <w:b/>
          <w:color w:val="000000" w:themeColor="text1"/>
          <w:lang w:val="ro-RO" w:eastAsia="zh-CN"/>
        </w:rPr>
        <w:t>pentru anul 2018:</w:t>
      </w:r>
    </w:p>
    <w:p w:rsidR="002D6C69" w:rsidRPr="002D6C69" w:rsidRDefault="002D6C69" w:rsidP="002D6C69">
      <w:pPr>
        <w:suppressAutoHyphens/>
        <w:jc w:val="both"/>
        <w:rPr>
          <w:rFonts w:ascii="Calibri" w:hAnsi="Calibri"/>
          <w:color w:val="000000" w:themeColor="text1"/>
          <w:lang w:val="fr-BE" w:eastAsia="zh-CN"/>
        </w:rPr>
      </w:pPr>
    </w:p>
    <w:p w:rsidR="002D6C69" w:rsidRPr="002D6C69" w:rsidRDefault="002D6C69" w:rsidP="00565476">
      <w:pPr>
        <w:numPr>
          <w:ilvl w:val="0"/>
          <w:numId w:val="219"/>
        </w:numPr>
        <w:suppressAutoHyphens/>
        <w:jc w:val="both"/>
        <w:rPr>
          <w:rFonts w:ascii="Calibri" w:eastAsia="Arial" w:hAnsi="Calibri" w:cs="Arial"/>
          <w:color w:val="000000" w:themeColor="text1"/>
          <w:lang w:val="ro-RO" w:eastAsia="zh-CN"/>
        </w:rPr>
      </w:pPr>
      <w:r w:rsidRPr="002D6C69">
        <w:rPr>
          <w:rFonts w:ascii="Calibri" w:eastAsia="Arial" w:hAnsi="Calibri" w:cs="Arial"/>
          <w:color w:val="000000" w:themeColor="text1"/>
          <w:lang w:val="ro-RO" w:eastAsia="zh-CN"/>
        </w:rPr>
        <w:t>S-a prorogat termenul din Ordonanţa Guvernului nr. 6/2013 privind instituirea unor măsuri speciale pentru impozitarea exploatării resurselor naturale, altele decât gazele naturale, aprobată cu modificări şi completări prin Legea nr. 261/2013, cu modificările ulterioare. Prin  Ordonanța de urgență a Guvernului nr.114/2018 s-a prorogat termenul de aplicare pentru perioada 2019-2021;</w:t>
      </w:r>
    </w:p>
    <w:p w:rsidR="002D6C69" w:rsidRPr="002D6C69" w:rsidRDefault="002D6C69" w:rsidP="00565476">
      <w:pPr>
        <w:numPr>
          <w:ilvl w:val="0"/>
          <w:numId w:val="219"/>
        </w:numPr>
        <w:suppressAutoHyphens/>
        <w:jc w:val="both"/>
        <w:rPr>
          <w:rFonts w:ascii="Calibri" w:hAnsi="Calibri"/>
          <w:color w:val="000000" w:themeColor="text1"/>
          <w:lang w:val="ro-RO" w:eastAsia="zh-CN"/>
        </w:rPr>
      </w:pPr>
      <w:r w:rsidRPr="002D6C69">
        <w:rPr>
          <w:rFonts w:ascii="Calibri" w:eastAsia="Arial" w:hAnsi="Calibri" w:cs="Arial"/>
          <w:color w:val="000000" w:themeColor="text1"/>
          <w:lang w:val="ro-RO" w:eastAsia="zh-CN"/>
        </w:rPr>
        <w:t xml:space="preserve">Prin aprobarea ca lege, </w:t>
      </w:r>
      <w:r w:rsidRPr="002D6C69">
        <w:rPr>
          <w:rFonts w:ascii="Calibri" w:eastAsia="Arial" w:hAnsi="Calibri" w:cs="Arial"/>
          <w:i/>
          <w:color w:val="000000" w:themeColor="text1"/>
          <w:lang w:val="ro-RO" w:eastAsia="zh-CN"/>
        </w:rPr>
        <w:t>Ordonanţa Guvernului nr. 7/2013 privind instituirea impozitului asupra veniturilor suplimentare obţinute ca urmare a dereglementării preţurilor din sectorul gazelor naturale, cu modificările şi completările ulterioare</w:t>
      </w:r>
      <w:r w:rsidRPr="002D6C69">
        <w:rPr>
          <w:rFonts w:ascii="Calibri" w:eastAsia="Arial" w:hAnsi="Calibri" w:cs="Arial"/>
          <w:color w:val="000000" w:themeColor="text1"/>
          <w:lang w:val="ro-RO" w:eastAsia="zh-CN"/>
        </w:rPr>
        <w:t xml:space="preserve"> stabilește un impozit permanent pentru operatorii din acest sector de activitate.</w:t>
      </w:r>
    </w:p>
    <w:p w:rsidR="002D6C69" w:rsidRPr="002D6C69" w:rsidRDefault="002D6C69" w:rsidP="00565476">
      <w:pPr>
        <w:numPr>
          <w:ilvl w:val="0"/>
          <w:numId w:val="219"/>
        </w:numPr>
        <w:suppressAutoHyphens/>
        <w:jc w:val="both"/>
        <w:rPr>
          <w:rFonts w:ascii="Calibri" w:eastAsia="Arial" w:hAnsi="Calibri" w:cs="Arial"/>
          <w:color w:val="000000" w:themeColor="text1"/>
          <w:lang w:val="ro-RO" w:eastAsia="zh-CN"/>
        </w:rPr>
      </w:pPr>
      <w:r w:rsidRPr="002D6C69">
        <w:rPr>
          <w:rFonts w:ascii="Calibri" w:eastAsia="Arial" w:hAnsi="Calibri" w:cs="Arial"/>
          <w:color w:val="000000" w:themeColor="text1"/>
          <w:lang w:val="ro-RO" w:eastAsia="zh-CN"/>
        </w:rPr>
        <w:t xml:space="preserve">Prin aprobarea  </w:t>
      </w:r>
      <w:r w:rsidRPr="002D6C69">
        <w:rPr>
          <w:rFonts w:ascii="Calibri" w:eastAsia="Arial" w:hAnsi="Calibri" w:cs="Arial"/>
          <w:i/>
          <w:color w:val="000000" w:themeColor="text1"/>
          <w:lang w:val="ro-RO" w:eastAsia="zh-CN"/>
        </w:rPr>
        <w:t>Legii nr. 256/2018 din 12 noiembrie 2018 privind unele măsuri necesare pentru implementarea operaţiunilor petroliere de către titularii de acorduri petroliere referitoare la perimetre petroliere offshore</w:t>
      </w:r>
      <w:r w:rsidRPr="002D6C69">
        <w:rPr>
          <w:rFonts w:ascii="Calibri" w:eastAsia="Arial" w:hAnsi="Calibri" w:cs="Arial"/>
          <w:color w:val="000000" w:themeColor="text1"/>
          <w:lang w:val="ro-RO" w:eastAsia="zh-CN"/>
        </w:rPr>
        <w:t xml:space="preserve"> s-a instituit un  impozit asupra veniturilor suplimentare offshore obţinute din vânzarea gazelor naturale extrase din perimetrele offshore.</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eastAsia="Arial" w:hAnsi="Calibri" w:cs="Arial"/>
          <w:color w:val="000000" w:themeColor="text1"/>
          <w:lang w:val="ro-RO" w:eastAsia="zh-CN"/>
        </w:rPr>
      </w:pPr>
      <w:r w:rsidRPr="002D6C69">
        <w:rPr>
          <w:rFonts w:ascii="Calibri" w:eastAsia="Arial" w:hAnsi="Calibri" w:cs="Arial"/>
          <w:b/>
          <w:color w:val="000000" w:themeColor="text1"/>
          <w:lang w:val="ro-RO" w:eastAsia="zh-CN"/>
        </w:rPr>
        <w:t xml:space="preserve">Alte impozite directe în domenii specifice </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eastAsia="Arial" w:hAnsi="Calibri" w:cs="Arial"/>
          <w:color w:val="000000" w:themeColor="text1"/>
          <w:lang w:val="ro-RO" w:eastAsia="zh-CN"/>
        </w:rPr>
      </w:pPr>
      <w:r w:rsidRPr="002D6C69">
        <w:rPr>
          <w:rFonts w:ascii="Calibri" w:eastAsia="Arial" w:hAnsi="Calibri" w:cs="Arial"/>
          <w:color w:val="000000" w:themeColor="text1"/>
          <w:lang w:val="ro-RO" w:eastAsia="zh-CN"/>
        </w:rPr>
        <w:t>Începând cu 1 ianuarie 2019, prin Ordonanța de urgență a Guvernului nr.114/2018, s-a instituit taxa pe activele financiare ale instituțiilor de credit al cărei eventual impact nu a fost inclus in proiecția de venituri bugetare.</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hAnsi="Calibri"/>
          <w:color w:val="000000" w:themeColor="text1"/>
          <w:lang w:val="fr-BE" w:eastAsia="zh-CN"/>
        </w:rPr>
      </w:pPr>
      <w:r w:rsidRPr="002D6C69">
        <w:rPr>
          <w:rFonts w:ascii="Calibri" w:hAnsi="Calibri" w:cs="Arial"/>
          <w:b/>
          <w:color w:val="000000" w:themeColor="text1"/>
          <w:lang w:val="ro-RO" w:eastAsia="zh-CN"/>
        </w:rPr>
        <w:t>În domeniul impozitului pe venit și contribuțiilor sociale obligatorii</w:t>
      </w:r>
    </w:p>
    <w:p w:rsidR="002D6C69" w:rsidRPr="002D6C69" w:rsidRDefault="002D6C69" w:rsidP="00565476">
      <w:pPr>
        <w:numPr>
          <w:ilvl w:val="0"/>
          <w:numId w:val="220"/>
        </w:numPr>
        <w:suppressAutoHyphens/>
        <w:jc w:val="both"/>
        <w:rPr>
          <w:rFonts w:ascii="Calibri" w:hAnsi="Calibri"/>
          <w:color w:val="000000" w:themeColor="text1"/>
          <w:lang w:val="fr-BE" w:eastAsia="zh-CN"/>
        </w:rPr>
      </w:pPr>
      <w:r w:rsidRPr="002D6C69">
        <w:rPr>
          <w:rFonts w:ascii="Calibri" w:hAnsi="Calibri" w:cs="Arial"/>
          <w:color w:val="000000" w:themeColor="text1"/>
          <w:lang w:val="ro-RO" w:eastAsia="zh-CN"/>
        </w:rPr>
        <w:t>Reducerea cotei de impozit pe venit, de la 16% la 10%</w:t>
      </w:r>
      <w:r w:rsidRPr="002D6C69">
        <w:rPr>
          <w:rFonts w:ascii="Calibri" w:hAnsi="Calibri" w:cs="Arial"/>
          <w:i/>
          <w:color w:val="000000" w:themeColor="text1"/>
          <w:lang w:val="ro-RO" w:eastAsia="zh-CN"/>
        </w:rPr>
        <w:t>;</w:t>
      </w:r>
    </w:p>
    <w:p w:rsidR="002D6C69" w:rsidRPr="002D6C69" w:rsidRDefault="002D6C69" w:rsidP="00565476">
      <w:pPr>
        <w:numPr>
          <w:ilvl w:val="0"/>
          <w:numId w:val="220"/>
        </w:numPr>
        <w:suppressAutoHyphens/>
        <w:jc w:val="both"/>
        <w:rPr>
          <w:rFonts w:ascii="Calibri" w:eastAsia="Calibri" w:hAnsi="Calibri"/>
          <w:color w:val="000000" w:themeColor="text1"/>
          <w:lang w:val="ro-RO" w:eastAsia="zh-CN"/>
        </w:rPr>
      </w:pPr>
      <w:r w:rsidRPr="002D6C69">
        <w:rPr>
          <w:rFonts w:ascii="Calibri" w:eastAsia="Calibri" w:hAnsi="Calibri" w:cs="Arial"/>
          <w:color w:val="000000" w:themeColor="text1"/>
          <w:lang w:val="ro-RO" w:eastAsia="zh-CN"/>
        </w:rPr>
        <w:t>Majorarea nivelului salariului lunar brut  în funcție de care se acordă deducerea personală, precum și majorarea nivelului deducerilor personale, în sumă fixă, acordate persoanelor care realizează venituri din salarii și asimilate salariilor de până la 1.950 lei și majorarea deducerilor personale acordate în mod degresiv persoanelor fizice care realizează venituri din salarii și asimilate salariilor până la valoarea de 3.600 lei, inclusiv</w:t>
      </w:r>
      <w:r w:rsidRPr="002D6C69">
        <w:rPr>
          <w:rFonts w:ascii="Calibri" w:eastAsia="Calibri" w:hAnsi="Calibri" w:cs="Arial"/>
          <w:bCs/>
          <w:color w:val="000000" w:themeColor="text1"/>
          <w:lang w:val="ro-RO" w:eastAsia="zh-CN"/>
        </w:rPr>
        <w:t>;</w:t>
      </w:r>
    </w:p>
    <w:p w:rsidR="002D6C69" w:rsidRPr="002D6C69" w:rsidRDefault="002D6C69" w:rsidP="00565476">
      <w:pPr>
        <w:numPr>
          <w:ilvl w:val="0"/>
          <w:numId w:val="220"/>
        </w:numPr>
        <w:suppressAutoHyphens/>
        <w:jc w:val="both"/>
        <w:rPr>
          <w:rFonts w:ascii="Calibri" w:eastAsia="Calibri" w:hAnsi="Calibri"/>
          <w:color w:val="000000" w:themeColor="text1"/>
          <w:lang w:val="ro-RO" w:eastAsia="zh-CN"/>
        </w:rPr>
      </w:pPr>
      <w:r w:rsidRPr="002D6C69">
        <w:rPr>
          <w:rFonts w:ascii="Calibri" w:eastAsia="Calibri" w:hAnsi="Calibri" w:cs="Arial"/>
          <w:color w:val="000000" w:themeColor="text1"/>
          <w:lang w:val="ro-RO" w:eastAsia="zh-CN"/>
        </w:rPr>
        <w:t>Reducerea cotei totale a contribuțiilor sociale obligatorii, per total cu 2 puncte procentuale de la 39,25%, la 37,25%;</w:t>
      </w:r>
    </w:p>
    <w:p w:rsidR="002D6C69" w:rsidRPr="002D6C69" w:rsidRDefault="002D6C69" w:rsidP="00565476">
      <w:pPr>
        <w:numPr>
          <w:ilvl w:val="0"/>
          <w:numId w:val="220"/>
        </w:numPr>
        <w:suppressAutoHyphens/>
        <w:jc w:val="both"/>
        <w:rPr>
          <w:rFonts w:ascii="Calibri" w:hAnsi="Calibri"/>
          <w:color w:val="000000" w:themeColor="text1"/>
          <w:lang w:val="fr-BE" w:eastAsia="zh-CN"/>
        </w:rPr>
      </w:pPr>
      <w:r w:rsidRPr="002D6C69">
        <w:rPr>
          <w:rFonts w:ascii="Calibri" w:hAnsi="Calibri" w:cs="Arial"/>
          <w:bCs/>
          <w:color w:val="000000" w:themeColor="text1"/>
          <w:kern w:val="1"/>
          <w:lang w:val="ro-RO" w:eastAsia="zh-CN"/>
        </w:rPr>
        <w:t xml:space="preserve">Reducerea numărului contribuțiilor sociale de la 9 la 3, respectiv contribuția de asigurări sociale (CAS), contribuția de asigurări sociale de sănătate (CASS) – datorate de angajați și contribuția asiguratorie pentru muncă – datorată de anagajtori. </w:t>
      </w:r>
    </w:p>
    <w:p w:rsidR="002D6C69" w:rsidRPr="002D6C69" w:rsidRDefault="002D6C69" w:rsidP="00565476">
      <w:pPr>
        <w:numPr>
          <w:ilvl w:val="0"/>
          <w:numId w:val="220"/>
        </w:numPr>
        <w:suppressAutoHyphens/>
        <w:jc w:val="both"/>
        <w:rPr>
          <w:rFonts w:ascii="Calibri" w:hAnsi="Calibri"/>
          <w:color w:val="000000" w:themeColor="text1"/>
          <w:lang w:val="ro-RO" w:eastAsia="zh-CN"/>
        </w:rPr>
      </w:pPr>
      <w:r w:rsidRPr="002D6C69">
        <w:rPr>
          <w:rFonts w:ascii="Calibri" w:eastAsia="MS Mincho" w:hAnsi="Calibri" w:cs="Arial"/>
          <w:color w:val="000000" w:themeColor="text1"/>
          <w:kern w:val="1"/>
          <w:lang w:val="ro-RO" w:eastAsia="ja-JP"/>
        </w:rPr>
        <w:t xml:space="preserve">Transferul sarcinii fiscale a obligațiilor privind contribuțiile sociale obligatorii (CAS și CASS) datorate de angajator la angajat, în cazul veniturilor din salarii și asimilate salariilor, respectiv: </w:t>
      </w:r>
    </w:p>
    <w:p w:rsidR="002D6C69" w:rsidRPr="002D6C69" w:rsidRDefault="002D6C69" w:rsidP="00565476">
      <w:pPr>
        <w:numPr>
          <w:ilvl w:val="0"/>
          <w:numId w:val="221"/>
        </w:numPr>
        <w:tabs>
          <w:tab w:val="left" w:pos="362"/>
          <w:tab w:val="left" w:pos="543"/>
        </w:tabs>
        <w:suppressAutoHyphens/>
        <w:jc w:val="both"/>
        <w:rPr>
          <w:rFonts w:ascii="Calibri" w:hAnsi="Calibri"/>
          <w:color w:val="000000" w:themeColor="text1"/>
          <w:lang w:val="fr-BE" w:eastAsia="zh-CN"/>
        </w:rPr>
      </w:pPr>
      <w:r w:rsidRPr="002D6C69">
        <w:rPr>
          <w:rFonts w:ascii="Calibri" w:eastAsia="MS Mincho" w:hAnsi="Calibri" w:cs="Arial"/>
          <w:color w:val="000000" w:themeColor="text1"/>
          <w:kern w:val="1"/>
          <w:lang w:val="ro-RO" w:eastAsia="ja-JP"/>
        </w:rPr>
        <w:t xml:space="preserve">CAS (25%) și CASS (10%) se datorează de către persoana fizică </w:t>
      </w:r>
    </w:p>
    <w:p w:rsidR="002D6C69" w:rsidRPr="002D6C69" w:rsidRDefault="002D6C69" w:rsidP="00565476">
      <w:pPr>
        <w:numPr>
          <w:ilvl w:val="0"/>
          <w:numId w:val="221"/>
        </w:numPr>
        <w:tabs>
          <w:tab w:val="left" w:pos="362"/>
          <w:tab w:val="left" w:pos="543"/>
        </w:tabs>
        <w:suppressAutoHyphens/>
        <w:jc w:val="both"/>
        <w:rPr>
          <w:rFonts w:ascii="Calibri" w:hAnsi="Calibri"/>
          <w:color w:val="000000" w:themeColor="text1"/>
          <w:lang w:val="fr-BE" w:eastAsia="zh-CN"/>
        </w:rPr>
      </w:pPr>
      <w:r w:rsidRPr="002D6C69">
        <w:rPr>
          <w:rFonts w:ascii="Calibri" w:eastAsia="MS Mincho" w:hAnsi="Calibri" w:cs="Arial"/>
          <w:color w:val="000000" w:themeColor="text1"/>
          <w:kern w:val="1"/>
          <w:lang w:val="ro-RO" w:eastAsia="ja-JP"/>
        </w:rPr>
        <w:t xml:space="preserve">cotă suplimentară de CAS (4% sau 8%) pentru condiții deosebite, speciale sau alte condiții de muncă definite potrivit legii </w:t>
      </w:r>
      <w:r w:rsidRPr="002D6C69">
        <w:rPr>
          <w:rFonts w:ascii="Calibri" w:hAnsi="Calibri" w:cs="Arial"/>
          <w:color w:val="000000" w:themeColor="text1"/>
          <w:lang w:val="ro-RO" w:eastAsia="zh-CN"/>
        </w:rPr>
        <w:t>și</w:t>
      </w:r>
      <w:r w:rsidRPr="002D6C69">
        <w:rPr>
          <w:rFonts w:ascii="Calibri" w:eastAsia="MS Mincho" w:hAnsi="Calibri" w:cs="Arial"/>
          <w:color w:val="000000" w:themeColor="text1"/>
          <w:kern w:val="1"/>
          <w:lang w:val="ro-RO" w:eastAsia="ja-JP"/>
        </w:rPr>
        <w:t xml:space="preserve"> contribuția asiguratorie pentru muncă, datorate de către angajatori (2,25%).</w:t>
      </w:r>
    </w:p>
    <w:p w:rsidR="002D6C69" w:rsidRPr="002D6C69" w:rsidRDefault="002D6C69" w:rsidP="00565476">
      <w:pPr>
        <w:numPr>
          <w:ilvl w:val="0"/>
          <w:numId w:val="220"/>
        </w:numPr>
        <w:suppressAutoHyphens/>
        <w:jc w:val="both"/>
        <w:rPr>
          <w:rFonts w:ascii="Calibri" w:eastAsia="Calibri" w:hAnsi="Calibri"/>
          <w:color w:val="000000" w:themeColor="text1"/>
          <w:lang w:val="ro-RO" w:eastAsia="zh-CN"/>
        </w:rPr>
      </w:pPr>
      <w:r w:rsidRPr="002D6C69">
        <w:rPr>
          <w:rFonts w:ascii="Calibri" w:eastAsia="Calibri" w:hAnsi="Calibri" w:cs="Arial"/>
          <w:bCs/>
          <w:color w:val="000000" w:themeColor="text1"/>
          <w:lang w:val="ro-RO" w:eastAsia="zh-CN"/>
        </w:rPr>
        <w:t>Simplificarea obligațiilor declarative ale persoanelor fizice, prin comasarea unui număr de 7 declarații, într-o declarație unică și efectuarea plăților oricând în cursul anului până la termenul de 15 martie, inclusiv, al anului următor celui de realizare a veniturilor</w:t>
      </w:r>
      <w:r w:rsidRPr="002D6C69">
        <w:rPr>
          <w:rFonts w:ascii="Calibri" w:eastAsia="Calibri" w:hAnsi="Calibri" w:cs="Arial"/>
          <w:color w:val="000000" w:themeColor="text1"/>
          <w:lang w:val="ro-RO" w:eastAsia="zh-CN"/>
        </w:rPr>
        <w:t>;</w:t>
      </w:r>
    </w:p>
    <w:p w:rsidR="002D6C69" w:rsidRPr="002D6C69" w:rsidRDefault="002D6C69" w:rsidP="00565476">
      <w:pPr>
        <w:numPr>
          <w:ilvl w:val="0"/>
          <w:numId w:val="220"/>
        </w:numPr>
        <w:suppressAutoHyphens/>
        <w:autoSpaceDE w:val="0"/>
        <w:jc w:val="both"/>
        <w:rPr>
          <w:rFonts w:ascii="Calibri" w:hAnsi="Calibri"/>
          <w:color w:val="000000" w:themeColor="text1"/>
          <w:lang w:val="fr-BE" w:eastAsia="zh-CN"/>
        </w:rPr>
      </w:pPr>
      <w:r w:rsidRPr="002D6C69">
        <w:rPr>
          <w:rFonts w:ascii="Calibri" w:eastAsia="SimSun" w:hAnsi="Calibri" w:cs="Arial"/>
          <w:bCs/>
          <w:iCs/>
          <w:color w:val="000000" w:themeColor="text1"/>
          <w:kern w:val="1"/>
          <w:lang w:val="ro-RO" w:eastAsia="zh-CN" w:bidi="hi-IN"/>
        </w:rPr>
        <w:t>Reglementarea unui sistem de bonificații pentru achitarea integrală a obligațiilor fiscale estimate, respectiv a impozitului pe venit și contribuțiilor sociale</w:t>
      </w:r>
      <w:r w:rsidRPr="002D6C69">
        <w:rPr>
          <w:rFonts w:ascii="Calibri" w:hAnsi="Calibri" w:cs="Arial"/>
          <w:iCs/>
          <w:color w:val="000000" w:themeColor="text1"/>
          <w:lang w:val="ro-RO" w:eastAsia="ro-RO"/>
        </w:rPr>
        <w:t>pentru stimularea depunerii declaraţiei unice prin mijloace electronice de transmitere la distanţă și pentru plata cu anticipație a obligațiilor fiscale.</w:t>
      </w:r>
    </w:p>
    <w:p w:rsidR="002D6C69" w:rsidRPr="002D6C69" w:rsidRDefault="002D6C69" w:rsidP="00565476">
      <w:pPr>
        <w:numPr>
          <w:ilvl w:val="0"/>
          <w:numId w:val="220"/>
        </w:numPr>
        <w:suppressAutoHyphens/>
        <w:jc w:val="both"/>
        <w:rPr>
          <w:rFonts w:ascii="Calibri" w:eastAsia="Calibri" w:hAnsi="Calibri"/>
          <w:color w:val="000000" w:themeColor="text1"/>
          <w:lang w:val="ro-RO" w:eastAsia="zh-CN"/>
        </w:rPr>
      </w:pPr>
      <w:r w:rsidRPr="002D6C69">
        <w:rPr>
          <w:rFonts w:ascii="Calibri" w:eastAsia="Calibri" w:hAnsi="Calibri" w:cs="Arial"/>
          <w:bCs/>
          <w:color w:val="000000" w:themeColor="text1"/>
          <w:lang w:val="ro-RO" w:eastAsia="zh-CN"/>
        </w:rPr>
        <w:t>Implementarea unui nou mecanism de stabilire a impozitului pe venit și a contribuțiilor sociale obligatorii, respectiv autoimpunerea</w:t>
      </w:r>
      <w:r w:rsidRPr="002D6C69">
        <w:rPr>
          <w:rFonts w:ascii="Calibri" w:eastAsia="Calibri" w:hAnsi="Calibri" w:cs="Arial"/>
          <w:b/>
          <w:bCs/>
          <w:color w:val="000000" w:themeColor="text1"/>
          <w:lang w:val="ro-RO" w:eastAsia="zh-CN"/>
        </w:rPr>
        <w:t xml:space="preserve">, </w:t>
      </w:r>
      <w:r w:rsidRPr="002D6C69">
        <w:rPr>
          <w:rFonts w:ascii="Calibri" w:eastAsia="Calibri" w:hAnsi="Calibri" w:cs="Arial"/>
          <w:bCs/>
          <w:color w:val="000000" w:themeColor="text1"/>
          <w:lang w:val="ro-RO" w:eastAsia="zh-CN"/>
        </w:rPr>
        <w:t>care presupune eliminarea emiterii deciziilor de impunere de către organul fiscal competent</w:t>
      </w:r>
      <w:r w:rsidRPr="002D6C69">
        <w:rPr>
          <w:rFonts w:ascii="Calibri" w:eastAsia="Calibri" w:hAnsi="Calibri" w:cs="Arial"/>
          <w:color w:val="000000" w:themeColor="text1"/>
          <w:lang w:val="ro-RO" w:eastAsia="zh-CN"/>
        </w:rPr>
        <w:t>;</w:t>
      </w:r>
    </w:p>
    <w:p w:rsidR="002D6C69" w:rsidRPr="002D6C69" w:rsidRDefault="002D6C69" w:rsidP="00565476">
      <w:pPr>
        <w:numPr>
          <w:ilvl w:val="0"/>
          <w:numId w:val="220"/>
        </w:numPr>
        <w:suppressAutoHyphens/>
        <w:autoSpaceDE w:val="0"/>
        <w:jc w:val="both"/>
        <w:rPr>
          <w:rFonts w:ascii="Calibri" w:eastAsia="Calibri" w:hAnsi="Calibri"/>
          <w:color w:val="000000" w:themeColor="text1"/>
          <w:lang w:val="ro-RO" w:eastAsia="zh-CN"/>
        </w:rPr>
      </w:pPr>
      <w:r w:rsidRPr="002D6C69">
        <w:rPr>
          <w:rFonts w:ascii="Calibri" w:eastAsia="Calibri" w:hAnsi="Calibri" w:cs="Arial"/>
          <w:bCs/>
          <w:iCs/>
          <w:color w:val="000000" w:themeColor="text1"/>
          <w:lang w:val="ro-RO" w:eastAsia="zh-CN"/>
        </w:rPr>
        <w:t>Posibilitatea contribuabililor de a opta ca</w:t>
      </w:r>
      <w:r w:rsidRPr="002D6C69">
        <w:rPr>
          <w:rFonts w:ascii="Calibri" w:eastAsia="Calibri" w:hAnsi="Calibri" w:cs="Arial"/>
          <w:iCs/>
          <w:color w:val="000000" w:themeColor="text1"/>
          <w:lang w:val="ro-RO" w:eastAsia="zh-CN"/>
        </w:rPr>
        <w:t xml:space="preserve"> plătitorii de venituri să distribuie cota de 2% sau de 3,5% din impozitul datorat pentru susținerea entităţilor nonprofit care se înfiinţează şi funcţionează în condiţiile legii, a unităţilor de cult, precum şi pentru acordarea de burse private sau a  entităţilor nonprofit şi a unităţilor de cult, care sunt furnizori de servicii sociale acreditaţi cu cel puţin un serviciu social licenţiat, în condiţiile legii</w:t>
      </w:r>
      <w:r w:rsidRPr="002D6C69">
        <w:rPr>
          <w:rFonts w:ascii="Calibri" w:eastAsia="Calibri" w:hAnsi="Calibri" w:cs="Arial"/>
          <w:color w:val="000000" w:themeColor="text1"/>
          <w:lang w:val="ro-RO" w:eastAsia="zh-CN"/>
        </w:rPr>
        <w:t>;</w:t>
      </w:r>
    </w:p>
    <w:p w:rsidR="002D6C69" w:rsidRPr="002D6C69" w:rsidRDefault="002D6C69" w:rsidP="00565476">
      <w:pPr>
        <w:numPr>
          <w:ilvl w:val="0"/>
          <w:numId w:val="220"/>
        </w:numPr>
        <w:suppressAutoHyphens/>
        <w:jc w:val="both"/>
        <w:rPr>
          <w:rFonts w:ascii="Calibri" w:eastAsia="Calibri" w:hAnsi="Calibri"/>
          <w:color w:val="000000" w:themeColor="text1"/>
          <w:lang w:val="ro-RO" w:eastAsia="zh-CN"/>
        </w:rPr>
      </w:pPr>
      <w:r w:rsidRPr="002D6C69">
        <w:rPr>
          <w:rFonts w:ascii="Calibri" w:eastAsia="Calibri" w:hAnsi="Calibri" w:cs="Arial"/>
          <w:color w:val="000000" w:themeColor="text1"/>
          <w:lang w:val="ro-RO" w:eastAsia="zh-CN"/>
        </w:rPr>
        <w:t xml:space="preserve">Modificarea modului de stabilire a CAS și a CASS, în cazul persoanelor fizice care desfășoară activități independente sau alte categorii de venituri, în sensul că aceste persoane nu mai datorează contribuțiile sociale  asupra venitului realizat: </w:t>
      </w:r>
    </w:p>
    <w:p w:rsidR="002D6C69" w:rsidRPr="002D6C69" w:rsidRDefault="002D6C69" w:rsidP="00565476">
      <w:pPr>
        <w:numPr>
          <w:ilvl w:val="0"/>
          <w:numId w:val="222"/>
        </w:numPr>
        <w:suppressAutoHyphens/>
        <w:jc w:val="both"/>
        <w:rPr>
          <w:rFonts w:ascii="Calibri" w:eastAsia="Calibri" w:hAnsi="Calibri"/>
          <w:color w:val="000000" w:themeColor="text1"/>
          <w:lang w:val="ro-RO" w:eastAsia="zh-CN"/>
        </w:rPr>
      </w:pPr>
      <w:r w:rsidRPr="002D6C69">
        <w:rPr>
          <w:rFonts w:ascii="Calibri" w:eastAsia="Calibri" w:hAnsi="Calibri" w:cs="Arial"/>
          <w:color w:val="000000" w:themeColor="text1"/>
          <w:lang w:val="ro-RO" w:eastAsia="zh-CN"/>
        </w:rPr>
        <w:t>baza de calcul a CAS este venitul ales, care este cel puțin egal cu salariul minim brut pe țară;</w:t>
      </w:r>
    </w:p>
    <w:p w:rsidR="002D6C69" w:rsidRPr="002D6C69" w:rsidRDefault="002D6C69" w:rsidP="00565476">
      <w:pPr>
        <w:numPr>
          <w:ilvl w:val="0"/>
          <w:numId w:val="222"/>
        </w:numPr>
        <w:suppressAutoHyphens/>
        <w:jc w:val="both"/>
        <w:rPr>
          <w:rFonts w:ascii="Calibri" w:eastAsia="Calibri" w:hAnsi="Calibri"/>
          <w:color w:val="000000" w:themeColor="text1"/>
          <w:lang w:val="ro-RO" w:eastAsia="zh-CN"/>
        </w:rPr>
      </w:pPr>
      <w:r w:rsidRPr="002D6C69">
        <w:rPr>
          <w:rFonts w:ascii="Calibri" w:eastAsia="Calibri" w:hAnsi="Calibri" w:cs="Arial"/>
          <w:color w:val="000000" w:themeColor="text1"/>
          <w:lang w:val="ro-RO" w:eastAsia="zh-CN"/>
        </w:rPr>
        <w:t>baza de calcul a CASS este salariul minim brut pe țară.</w:t>
      </w:r>
    </w:p>
    <w:p w:rsidR="002D6C69" w:rsidRPr="002D6C69" w:rsidRDefault="002D6C69" w:rsidP="00565476">
      <w:pPr>
        <w:numPr>
          <w:ilvl w:val="0"/>
          <w:numId w:val="220"/>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Persoanele fizice  care au calitatea de pensionari, șomeri, persoane aflate în concedii pentru creșterea copiilor, persoane care obțin ajutoare sociale și alte categorii de persoane aflate sub protecţia sau în custodia statului sunt asigurate în sistemul public de sănătate fără plata CASS.</w:t>
      </w:r>
    </w:p>
    <w:p w:rsidR="002D6C69" w:rsidRPr="002D6C69" w:rsidRDefault="002D6C69" w:rsidP="002D6C69">
      <w:pPr>
        <w:suppressAutoHyphens/>
        <w:jc w:val="both"/>
        <w:rPr>
          <w:rFonts w:ascii="Calibri" w:hAnsi="Calibri" w:cs="Arial"/>
          <w:bCs/>
          <w:color w:val="000000" w:themeColor="text1"/>
          <w:kern w:val="1"/>
          <w:lang w:val="ro-RO" w:eastAsia="zh-CN"/>
        </w:rPr>
      </w:pPr>
    </w:p>
    <w:p w:rsidR="002D6C69" w:rsidRPr="002D6C69" w:rsidRDefault="002D6C69" w:rsidP="002D6C69">
      <w:p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cu aplicabilitate de la data de 1 ianuarie 2019:</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 xml:space="preserve">acordarea de facilități fiscale persoanelor fizice, pentru veniturile din salarii şi asimilate salariilor cuprinse între 3.000 și 30.000 lei lei lunar, inclusiv, realizate în baza contractelor individuale de muncă încheiate cu angajatori care desfășoară activităţi în sectorul de construcții, precum și în domeniile de producere a materialelor de construcții, în perioada 1 ianuarie 2019-31 decembrie 2028, respectiv: </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scutirea de la plata impozitului pe venit;</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 xml:space="preserve">reducerea cotei CAS datorată de angajat cu 3,75 puncte procentuale. </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exceptarea angajatului de la plata CASS;</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exceptarea de la plata CAS datorată de angajator pentru condiții deosebite/speciale de muncă;</w:t>
      </w:r>
    </w:p>
    <w:p w:rsidR="002D6C69" w:rsidRPr="002D6C69" w:rsidRDefault="002D6C69" w:rsidP="00565476">
      <w:pPr>
        <w:numPr>
          <w:ilvl w:val="0"/>
          <w:numId w:val="223"/>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reducerea cotei contribuției asiguratorii pentru muncă datorată de angajator la nivelul cotei aferente contribuției la Fondul de garantare pentru plata creanțelor salariale.</w:t>
      </w:r>
    </w:p>
    <w:p w:rsidR="002D6C69" w:rsidRPr="002D6C69" w:rsidRDefault="002D6C69" w:rsidP="002D6C69">
      <w:p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cu aplicabilitate de la data de 1 aprilie 2019:</w:t>
      </w:r>
    </w:p>
    <w:p w:rsidR="002D6C69" w:rsidRPr="002D6C69" w:rsidRDefault="002D6C69" w:rsidP="002D6C69">
      <w:p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Ca urmare a propunerilor mediului de afaceri: aplicarea unei singure cote (3,5%) ce poate fi distribuită din impozitul pe venit către entitățile nonprofit și unitățile de cult, înscrise în Registrul entităților/unităților de cult.</w:t>
      </w:r>
    </w:p>
    <w:p w:rsidR="002D6C69" w:rsidRPr="002D6C69" w:rsidRDefault="002D6C69" w:rsidP="002D6C69">
      <w:pPr>
        <w:suppressAutoHyphens/>
        <w:jc w:val="both"/>
        <w:rPr>
          <w:rFonts w:ascii="Calibri" w:hAnsi="Calibri" w:cs="Arial"/>
          <w:bCs/>
          <w:color w:val="000000" w:themeColor="text1"/>
          <w:kern w:val="1"/>
          <w:lang w:val="ro-RO" w:eastAsia="zh-CN"/>
        </w:rPr>
      </w:pPr>
    </w:p>
    <w:p w:rsidR="002D6C69" w:rsidRPr="002D6C69" w:rsidRDefault="002D6C69" w:rsidP="002D6C69">
      <w:pPr>
        <w:suppressAutoHyphens/>
        <w:jc w:val="both"/>
        <w:rPr>
          <w:rFonts w:ascii="Calibri" w:hAnsi="Calibri"/>
          <w:color w:val="000000" w:themeColor="text1"/>
          <w:lang w:val="ro-RO" w:eastAsia="zh-CN"/>
        </w:rPr>
      </w:pPr>
      <w:r w:rsidRPr="002D6C69">
        <w:rPr>
          <w:rFonts w:ascii="Calibri" w:hAnsi="Calibri" w:cs="Arial"/>
          <w:b/>
          <w:bCs/>
          <w:color w:val="000000" w:themeColor="text1"/>
          <w:kern w:val="1"/>
          <w:lang w:val="ro-RO" w:eastAsia="zh-CN"/>
        </w:rPr>
        <w:t>În domeniul impozitelor și taxelor locale:</w:t>
      </w:r>
    </w:p>
    <w:p w:rsidR="002D6C69" w:rsidRPr="002D6C69" w:rsidRDefault="002D6C69" w:rsidP="00565476">
      <w:pPr>
        <w:numPr>
          <w:ilvl w:val="0"/>
          <w:numId w:val="224"/>
        </w:numPr>
        <w:suppressAutoHyphens/>
        <w:jc w:val="both"/>
        <w:rPr>
          <w:rFonts w:ascii="Calibri" w:hAnsi="Calibri" w:cs="Arial"/>
          <w:bCs/>
          <w:color w:val="000000" w:themeColor="text1"/>
          <w:kern w:val="1"/>
          <w:lang w:val="ro-RO" w:eastAsia="zh-CN"/>
        </w:rPr>
      </w:pPr>
      <w:r w:rsidRPr="002D6C69">
        <w:rPr>
          <w:rFonts w:ascii="Calibri" w:hAnsi="Calibri" w:cs="Arial"/>
          <w:bCs/>
          <w:color w:val="000000" w:themeColor="text1"/>
          <w:kern w:val="1"/>
          <w:lang w:val="ro-RO" w:eastAsia="zh-CN"/>
        </w:rPr>
        <w:t xml:space="preserve">Prin Legea nr. 145/2018 pentru aprobarea Ordonanţei de urgenţă a Guvernului nr. 18/2018 privind adoptarea unor măsuri fiscal-bugetare şi pentru modificarea şi completarea unor acte normative, a fost extinsă scutirea de la plata impozitului pe clădiri și a impozitului pe teren, pentru clădirea de domiciliu, repectiv terenul de la adresa de domiciliu aflată în proprietatea sau coproprietatea persoanelor persecutate pe motive politice. </w:t>
      </w:r>
    </w:p>
    <w:p w:rsidR="002D6C69" w:rsidRPr="002D6C69" w:rsidRDefault="002D6C69" w:rsidP="00565476">
      <w:pPr>
        <w:numPr>
          <w:ilvl w:val="0"/>
          <w:numId w:val="224"/>
        </w:numPr>
        <w:suppressAutoHyphens/>
        <w:jc w:val="both"/>
        <w:rPr>
          <w:rFonts w:ascii="Calibri" w:hAnsi="Calibri"/>
          <w:color w:val="000000" w:themeColor="text1"/>
          <w:lang w:val="ro-RO" w:eastAsia="zh-CN"/>
        </w:rPr>
      </w:pPr>
      <w:r w:rsidRPr="002D6C69">
        <w:rPr>
          <w:rFonts w:ascii="Calibri" w:hAnsi="Calibri" w:cs="Arial"/>
          <w:bCs/>
          <w:color w:val="000000" w:themeColor="text1"/>
          <w:kern w:val="1"/>
          <w:lang w:val="ro-RO" w:eastAsia="zh-CN"/>
        </w:rPr>
        <w:t xml:space="preserve">Prin Legea nr. 111/2018 pentru modificarea şi completarea Legii nr. 227/2015 privind Codul fiscal, a fost extinsă scutirea de la plata impozitului pe clădiri și a impozitului pe teren, pentru clădirea de domiciliu, repectiv terenul de la adresa de domiciliu, pentru reprezentanții legali care au în îngrijire, supraveghere şi întreţinere persoane cu handicap grav sau accentuat şi persoane încadrate în gradul I de invaliditate. </w:t>
      </w:r>
    </w:p>
    <w:p w:rsidR="002D6C69" w:rsidRPr="002D6C69" w:rsidRDefault="002D6C69" w:rsidP="002D6C69">
      <w:pPr>
        <w:suppressAutoHyphens/>
        <w:autoSpaceDE w:val="0"/>
        <w:jc w:val="both"/>
        <w:rPr>
          <w:rFonts w:ascii="Calibri" w:hAnsi="Calibri" w:cs="Arial"/>
          <w:bCs/>
          <w:i/>
          <w:strike/>
          <w:color w:val="000000" w:themeColor="text1"/>
          <w:kern w:val="1"/>
          <w:lang w:val="pt-BR" w:eastAsia="zh-CN"/>
        </w:rPr>
      </w:pPr>
    </w:p>
    <w:p w:rsidR="002D6C69" w:rsidRPr="002D6C69" w:rsidRDefault="002D6C69" w:rsidP="002D6C69">
      <w:pPr>
        <w:tabs>
          <w:tab w:val="left" w:pos="0"/>
        </w:tabs>
        <w:suppressAutoHyphens/>
        <w:jc w:val="both"/>
        <w:rPr>
          <w:rFonts w:ascii="Calibri" w:hAnsi="Calibri"/>
          <w:color w:val="000000" w:themeColor="text1"/>
          <w:lang w:val="fr-BE" w:eastAsia="zh-CN"/>
        </w:rPr>
      </w:pPr>
      <w:r w:rsidRPr="002D6C69">
        <w:rPr>
          <w:rFonts w:ascii="Calibri" w:hAnsi="Calibri" w:cs="Arial"/>
          <w:b/>
          <w:bCs/>
          <w:iCs/>
          <w:color w:val="000000" w:themeColor="text1"/>
          <w:u w:val="single"/>
          <w:lang w:val="pt-BR" w:eastAsia="zh-CN"/>
        </w:rPr>
        <w:t>În domeniul impozitelor indirecte</w:t>
      </w:r>
      <w:r w:rsidRPr="002D6C69">
        <w:rPr>
          <w:rFonts w:ascii="Calibri" w:hAnsi="Calibri" w:cs="Arial"/>
          <w:b/>
          <w:bCs/>
          <w:iCs/>
          <w:color w:val="000000" w:themeColor="text1"/>
          <w:u w:val="single"/>
          <w:lang w:val="ro-RO" w:eastAsia="zh-CN"/>
        </w:rPr>
        <w:t>:</w:t>
      </w:r>
    </w:p>
    <w:p w:rsidR="002D6C69" w:rsidRPr="002D6C69" w:rsidRDefault="002D6C69" w:rsidP="002D6C69">
      <w:pPr>
        <w:tabs>
          <w:tab w:val="left" w:pos="0"/>
        </w:tabs>
        <w:suppressAutoHyphens/>
        <w:jc w:val="both"/>
        <w:rPr>
          <w:rFonts w:ascii="Calibri" w:hAnsi="Calibri" w:cs="Arial"/>
          <w:b/>
          <w:bCs/>
          <w:color w:val="000000" w:themeColor="text1"/>
          <w:lang w:val="pt-BR" w:eastAsia="zh-CN"/>
        </w:rPr>
      </w:pPr>
    </w:p>
    <w:p w:rsidR="002D6C69" w:rsidRPr="002D6C69" w:rsidRDefault="002D6C69" w:rsidP="002D6C69">
      <w:pPr>
        <w:tabs>
          <w:tab w:val="left" w:pos="0"/>
        </w:tabs>
        <w:suppressAutoHyphens/>
        <w:jc w:val="both"/>
        <w:rPr>
          <w:rFonts w:ascii="Calibri" w:hAnsi="Calibri" w:cs="Arial"/>
          <w:color w:val="000000" w:themeColor="text1"/>
          <w:lang w:val="ro-RO" w:eastAsia="zh-CN"/>
        </w:rPr>
      </w:pPr>
      <w:r w:rsidRPr="002D6C69">
        <w:rPr>
          <w:rFonts w:ascii="Calibri" w:hAnsi="Calibri" w:cs="Arial"/>
          <w:b/>
          <w:bCs/>
          <w:color w:val="000000" w:themeColor="text1"/>
          <w:lang w:val="pt-BR" w:eastAsia="zh-CN"/>
        </w:rPr>
        <w:t>În domeniul TV</w:t>
      </w:r>
      <w:r w:rsidRPr="002D6C69">
        <w:rPr>
          <w:rFonts w:ascii="Calibri" w:hAnsi="Calibri" w:cs="Arial"/>
          <w:b/>
          <w:bCs/>
          <w:color w:val="000000" w:themeColor="text1"/>
          <w:lang w:val="ro-RO" w:eastAsia="zh-CN"/>
        </w:rPr>
        <w:t>A</w:t>
      </w:r>
      <w:r w:rsidRPr="002D6C69">
        <w:rPr>
          <w:rFonts w:ascii="Calibri" w:hAnsi="Calibri" w:cs="Arial"/>
          <w:color w:val="000000" w:themeColor="text1"/>
          <w:lang w:val="ro-RO" w:eastAsia="zh-CN"/>
        </w:rPr>
        <w:t xml:space="preserve"> au fost adoptate următoarele măsuri:</w:t>
      </w:r>
    </w:p>
    <w:p w:rsidR="002D6C69" w:rsidRPr="002D6C69" w:rsidRDefault="002D6C69" w:rsidP="002D6C69">
      <w:pPr>
        <w:tabs>
          <w:tab w:val="left" w:pos="0"/>
        </w:tabs>
        <w:suppressAutoHyphens/>
        <w:jc w:val="both"/>
        <w:rPr>
          <w:rFonts w:ascii="Calibri" w:hAnsi="Calibri" w:cs="Arial"/>
          <w:b/>
          <w:i/>
          <w:color w:val="000000" w:themeColor="text1"/>
          <w:lang w:val="ro-RO" w:eastAsia="zh-CN"/>
        </w:rPr>
      </w:pPr>
    </w:p>
    <w:p w:rsidR="002D6C69" w:rsidRPr="002D6C69" w:rsidRDefault="002D6C69" w:rsidP="002D6C69">
      <w:pPr>
        <w:tabs>
          <w:tab w:val="left" w:pos="0"/>
        </w:tabs>
        <w:suppressAutoHyphens/>
        <w:jc w:val="both"/>
        <w:rPr>
          <w:rFonts w:ascii="Calibri" w:hAnsi="Calibri"/>
          <w:color w:val="000000" w:themeColor="text1"/>
          <w:lang w:val="fr-BE" w:eastAsia="zh-CN"/>
        </w:rPr>
      </w:pPr>
      <w:r w:rsidRPr="002D6C69">
        <w:rPr>
          <w:rFonts w:ascii="Calibri" w:hAnsi="Calibri" w:cs="Arial"/>
          <w:b/>
          <w:i/>
          <w:color w:val="000000" w:themeColor="text1"/>
          <w:lang w:val="ro-RO" w:eastAsia="zh-CN"/>
        </w:rPr>
        <w:t>cu aplicabilitate de la data de 1 aprilie 2018:</w:t>
      </w:r>
    </w:p>
    <w:p w:rsidR="002D6C69" w:rsidRPr="002D6C69" w:rsidRDefault="002D6C69" w:rsidP="00565476">
      <w:pPr>
        <w:numPr>
          <w:ilvl w:val="0"/>
          <w:numId w:val="225"/>
        </w:numPr>
        <w:tabs>
          <w:tab w:val="left" w:pos="0"/>
        </w:tabs>
        <w:suppressAutoHyphens/>
        <w:jc w:val="both"/>
        <w:rPr>
          <w:rFonts w:ascii="Calibri" w:hAnsi="Calibri" w:cs="Arial"/>
          <w:color w:val="000000" w:themeColor="text1"/>
          <w:lang w:val="ro-RO" w:eastAsia="ro-RO"/>
        </w:rPr>
      </w:pPr>
      <w:r w:rsidRPr="002D6C69">
        <w:rPr>
          <w:rFonts w:ascii="Calibri" w:eastAsia="Arial" w:hAnsi="Calibri" w:cs="Arial"/>
          <w:color w:val="000000" w:themeColor="text1"/>
          <w:lang w:val="ro-RO" w:eastAsia="zh-CN"/>
        </w:rPr>
        <w:t xml:space="preserve">majorarea plafonului de scutire de la plata TVA, de la echivalentul în moneda națională a 65.000 euro, calculat la cursul de schimb din ziua aderării la Uniunea Europeană, respectiv 220.000 lei, la echivalentul în moneda națională a 88.500 euro, calculat la cursul de schimb din ziua aderării la Uniunea Europeană, respectiv 300.000 lei. Această măsură a fost introdusă de Parlamentul României prin </w:t>
      </w:r>
      <w:r w:rsidRPr="002D6C69">
        <w:rPr>
          <w:rFonts w:ascii="Calibri" w:hAnsi="Calibri" w:cs="Arial"/>
          <w:color w:val="000000" w:themeColor="text1"/>
          <w:lang w:val="ro-RO" w:eastAsia="ro-RO"/>
        </w:rPr>
        <w:t>Legea nr. 72/2018 privind aprobarea Ordonanţei Guvernului nr. 25/2017 pentru modificarea şi completarea Legii nr. 227/2015 privind Codul fiscal.</w:t>
      </w:r>
    </w:p>
    <w:p w:rsidR="002D6C69" w:rsidRPr="002D6C69" w:rsidRDefault="002D6C69" w:rsidP="002D6C69">
      <w:pPr>
        <w:tabs>
          <w:tab w:val="left" w:pos="0"/>
        </w:tabs>
        <w:suppressAutoHyphens/>
        <w:jc w:val="both"/>
        <w:rPr>
          <w:rFonts w:ascii="Calibri" w:eastAsia="Arial" w:hAnsi="Calibri" w:cs="Arial"/>
          <w:i/>
          <w:color w:val="000000" w:themeColor="text1"/>
          <w:lang w:val="ro-RO" w:eastAsia="ro-RO"/>
        </w:rPr>
      </w:pPr>
    </w:p>
    <w:p w:rsidR="002D6C69" w:rsidRPr="002D6C69" w:rsidRDefault="002D6C69" w:rsidP="002D6C69">
      <w:pPr>
        <w:tabs>
          <w:tab w:val="left" w:pos="0"/>
        </w:tabs>
        <w:suppressAutoHyphens/>
        <w:jc w:val="both"/>
        <w:rPr>
          <w:rFonts w:ascii="Calibri" w:hAnsi="Calibri"/>
          <w:color w:val="000000" w:themeColor="text1"/>
          <w:lang w:val="fr-BE" w:eastAsia="zh-CN"/>
        </w:rPr>
      </w:pPr>
      <w:r w:rsidRPr="002D6C69">
        <w:rPr>
          <w:rFonts w:ascii="Calibri" w:hAnsi="Calibri" w:cs="Arial"/>
          <w:b/>
          <w:i/>
          <w:color w:val="000000" w:themeColor="text1"/>
          <w:lang w:val="ro-RO" w:eastAsia="ro-RO"/>
        </w:rPr>
        <w:t>cu aplicabilitate de la data de 1 noiembrie 2018</w:t>
      </w:r>
      <w:r w:rsidRPr="002D6C69">
        <w:rPr>
          <w:rFonts w:ascii="Calibri" w:hAnsi="Calibri" w:cs="Arial"/>
          <w:b/>
          <w:i/>
          <w:color w:val="000000" w:themeColor="text1"/>
          <w:lang w:val="it-IT" w:eastAsia="ro-RO"/>
        </w:rPr>
        <w:t>:</w:t>
      </w:r>
    </w:p>
    <w:p w:rsidR="002D6C69" w:rsidRPr="002D6C69" w:rsidRDefault="002D6C69" w:rsidP="00565476">
      <w:pPr>
        <w:numPr>
          <w:ilvl w:val="0"/>
          <w:numId w:val="226"/>
        </w:numPr>
        <w:tabs>
          <w:tab w:val="left" w:pos="0"/>
        </w:tabs>
        <w:suppressAutoHyphens/>
        <w:jc w:val="both"/>
        <w:rPr>
          <w:rFonts w:ascii="Calibri" w:hAnsi="Calibri"/>
          <w:color w:val="000000" w:themeColor="text1"/>
          <w:lang w:val="fr-BE" w:eastAsia="zh-CN"/>
        </w:rPr>
      </w:pPr>
      <w:r w:rsidRPr="002D6C69">
        <w:rPr>
          <w:rFonts w:ascii="Calibri" w:hAnsi="Calibri" w:cs="Arial"/>
          <w:color w:val="000000" w:themeColor="text1"/>
          <w:lang w:val="it-IT" w:eastAsia="ro-RO"/>
        </w:rPr>
        <w:t>reducerea cotei de TVA la 5% pentru:</w:t>
      </w:r>
    </w:p>
    <w:p w:rsidR="002D6C69" w:rsidRPr="002D6C69" w:rsidRDefault="002D6C69" w:rsidP="00565476">
      <w:pPr>
        <w:numPr>
          <w:ilvl w:val="0"/>
          <w:numId w:val="226"/>
        </w:numPr>
        <w:suppressAutoHyphens/>
        <w:autoSpaceDE w:val="0"/>
        <w:jc w:val="both"/>
        <w:rPr>
          <w:rFonts w:ascii="Calibri" w:hAnsi="Calibri"/>
          <w:color w:val="000000" w:themeColor="text1"/>
          <w:lang w:val="en-GB" w:eastAsia="zh-CN"/>
        </w:rPr>
      </w:pPr>
      <w:r w:rsidRPr="002D6C69">
        <w:rPr>
          <w:rFonts w:ascii="Calibri" w:hAnsi="Calibri" w:cs="Arial"/>
          <w:color w:val="000000" w:themeColor="text1"/>
          <w:lang w:val="ro-RO" w:eastAsia="ro-RO"/>
        </w:rPr>
        <w:t>cazarea în cadrul sectorului hotelier sau al sectoarelor cu funcţie similară, inclusiv închirierea terenurilor amenajate pentru camping;</w:t>
      </w:r>
    </w:p>
    <w:p w:rsidR="002D6C69" w:rsidRPr="002D6C69" w:rsidRDefault="002D6C69" w:rsidP="00565476">
      <w:pPr>
        <w:numPr>
          <w:ilvl w:val="0"/>
          <w:numId w:val="226"/>
        </w:numPr>
        <w:suppressAutoHyphens/>
        <w:autoSpaceDE w:val="0"/>
        <w:jc w:val="both"/>
        <w:rPr>
          <w:rFonts w:ascii="Calibri" w:hAnsi="Calibri"/>
          <w:color w:val="000000" w:themeColor="text1"/>
          <w:lang w:val="fr-BE" w:eastAsia="zh-CN"/>
        </w:rPr>
      </w:pPr>
      <w:r w:rsidRPr="002D6C69">
        <w:rPr>
          <w:rFonts w:ascii="Calibri" w:hAnsi="Calibri" w:cs="Arial"/>
          <w:color w:val="000000" w:themeColor="text1"/>
          <w:lang w:val="ro-RO" w:eastAsia="ro-RO"/>
        </w:rPr>
        <w:t>serviciile de restaurant şi de catering, cu excepţia băuturilor alcoolice, altele decât berea care se încadrează la codul NC 22 03 00 10</w:t>
      </w:r>
      <w:r w:rsidRPr="002D6C69">
        <w:rPr>
          <w:rFonts w:ascii="Calibri" w:hAnsi="Calibri" w:cs="Arial"/>
          <w:color w:val="000000" w:themeColor="text1"/>
          <w:lang w:val="it-IT" w:eastAsia="ro-RO"/>
        </w:rPr>
        <w:t>;</w:t>
      </w:r>
    </w:p>
    <w:p w:rsidR="002D6C69" w:rsidRPr="002D6C69" w:rsidRDefault="002D6C69" w:rsidP="00565476">
      <w:pPr>
        <w:numPr>
          <w:ilvl w:val="0"/>
          <w:numId w:val="226"/>
        </w:numPr>
        <w:tabs>
          <w:tab w:val="left" w:pos="724"/>
        </w:tabs>
        <w:suppressAutoHyphens/>
        <w:jc w:val="both"/>
        <w:rPr>
          <w:rFonts w:ascii="Calibri" w:hAnsi="Calibri"/>
          <w:color w:val="000000" w:themeColor="text1"/>
          <w:lang w:val="ro-RO" w:eastAsia="zh-CN"/>
        </w:rPr>
      </w:pPr>
      <w:r w:rsidRPr="002D6C69">
        <w:rPr>
          <w:rFonts w:ascii="Calibri" w:hAnsi="Calibri" w:cs="Arial"/>
          <w:color w:val="000000" w:themeColor="text1"/>
          <w:lang w:val="ro-RO" w:eastAsia="ro-RO"/>
        </w:rPr>
        <w:t>serviciile constând în permiterea accesului la bâlciuri, parcuri de distracţii şi parcuri recreative ale căror activităţi sunt încadrate la codurile CAEN 9321 şi 9329, potrivit Clasificării activităţilor din economia  naţională - CAEN, actualizată prin Ordinul preşedintelui Institutului Naţional de Statistică nr. 337/2007;</w:t>
      </w:r>
    </w:p>
    <w:p w:rsidR="002D6C69" w:rsidRPr="002D6C69" w:rsidRDefault="002D6C69" w:rsidP="00565476">
      <w:pPr>
        <w:numPr>
          <w:ilvl w:val="0"/>
          <w:numId w:val="226"/>
        </w:numPr>
        <w:tabs>
          <w:tab w:val="left" w:pos="724"/>
        </w:tabs>
        <w:suppressAutoHyphens/>
        <w:autoSpaceDE w:val="0"/>
        <w:jc w:val="both"/>
        <w:rPr>
          <w:rFonts w:ascii="Calibri" w:hAnsi="Calibri" w:cs="Arial"/>
          <w:color w:val="000000" w:themeColor="text1"/>
          <w:lang w:val="ro-RO" w:eastAsia="ro-RO"/>
        </w:rPr>
      </w:pPr>
      <w:r w:rsidRPr="002D6C69">
        <w:rPr>
          <w:rFonts w:ascii="Calibri" w:hAnsi="Calibri" w:cs="Arial"/>
          <w:color w:val="000000" w:themeColor="text1"/>
          <w:lang w:val="ro-RO" w:eastAsia="ro-RO"/>
        </w:rPr>
        <w:t>dreptul de utilizare a facilităţilor sportive ale căror activităţi sunt încadrate la codurile CAEN 9311 şi 9313, potrivit Clasificării activităţilor din economia naţională - CAEN, actualizată prin Ordinul preşedintelui Institutului Naţional de Statistică nr. 337/2007, în scopul practicării sportului şi educaţiei fizice, altele decât cele scutite conform art. 292 alin. (1) lit. l).</w:t>
      </w:r>
    </w:p>
    <w:p w:rsidR="002D6C69" w:rsidRPr="002D6C69" w:rsidRDefault="002D6C69" w:rsidP="002D6C69">
      <w:pPr>
        <w:tabs>
          <w:tab w:val="left" w:pos="0"/>
        </w:tabs>
        <w:suppressAutoHyphens/>
        <w:jc w:val="both"/>
        <w:rPr>
          <w:rFonts w:ascii="Calibri" w:eastAsia="Arial" w:hAnsi="Calibri" w:cs="Arial"/>
          <w:i/>
          <w:color w:val="000000" w:themeColor="text1"/>
          <w:lang w:val="ro-RO" w:eastAsia="ro-RO"/>
        </w:rPr>
      </w:pPr>
    </w:p>
    <w:p w:rsidR="002D6C69" w:rsidRPr="002D6C69" w:rsidRDefault="002D6C69" w:rsidP="002D6C69">
      <w:pPr>
        <w:tabs>
          <w:tab w:val="left" w:pos="0"/>
        </w:tabs>
        <w:suppressAutoHyphens/>
        <w:jc w:val="both"/>
        <w:rPr>
          <w:rFonts w:ascii="Calibri" w:hAnsi="Calibri"/>
          <w:color w:val="000000" w:themeColor="text1"/>
          <w:lang w:val="fr-BE" w:eastAsia="zh-CN"/>
        </w:rPr>
      </w:pPr>
      <w:r w:rsidRPr="002D6C69">
        <w:rPr>
          <w:rFonts w:ascii="Calibri" w:hAnsi="Calibri" w:cs="Arial"/>
          <w:b/>
          <w:i/>
          <w:color w:val="000000" w:themeColor="text1"/>
          <w:lang w:val="ro-RO" w:eastAsia="ro-RO"/>
        </w:rPr>
        <w:t>cu aplicabilitate de la data de 1 ianuarie 2019</w:t>
      </w:r>
      <w:r w:rsidRPr="002D6C69">
        <w:rPr>
          <w:rFonts w:ascii="Calibri" w:hAnsi="Calibri" w:cs="Arial"/>
          <w:i/>
          <w:color w:val="000000" w:themeColor="text1"/>
          <w:lang w:val="ro-RO" w:eastAsia="ro-RO"/>
        </w:rPr>
        <w:t>:</w:t>
      </w:r>
    </w:p>
    <w:p w:rsidR="002D6C69" w:rsidRPr="002D6C69" w:rsidRDefault="002D6C69" w:rsidP="00565476">
      <w:pPr>
        <w:numPr>
          <w:ilvl w:val="0"/>
          <w:numId w:val="227"/>
        </w:numPr>
        <w:suppressAutoHyphens/>
        <w:autoSpaceDE w:val="0"/>
        <w:jc w:val="both"/>
        <w:rPr>
          <w:rFonts w:ascii="Calibri" w:hAnsi="Calibri"/>
          <w:color w:val="000000" w:themeColor="text1"/>
          <w:lang w:val="ro-RO" w:eastAsia="zh-CN"/>
        </w:rPr>
      </w:pPr>
      <w:r w:rsidRPr="002D6C69">
        <w:rPr>
          <w:rFonts w:ascii="Calibri" w:hAnsi="Calibri" w:cs="Arial"/>
          <w:color w:val="000000" w:themeColor="text1"/>
          <w:lang w:val="ro-RO" w:eastAsia="ro-RO"/>
        </w:rPr>
        <w:t>reducerea cotei de TVA la 9% pentru serviciile de alimentare cu apă şi de canalizare.</w:t>
      </w:r>
      <w:r w:rsidRPr="002D6C69">
        <w:rPr>
          <w:rFonts w:ascii="Calibri" w:eastAsia="Arial" w:hAnsi="Calibri" w:cs="Arial"/>
          <w:color w:val="000000" w:themeColor="text1"/>
          <w:lang w:val="ro-RO" w:eastAsia="zh-CN"/>
        </w:rPr>
        <w:t xml:space="preserve"> Această măsură a fost introdusă de Parlamentul României prin </w:t>
      </w:r>
      <w:r w:rsidRPr="002D6C69">
        <w:rPr>
          <w:rFonts w:ascii="Calibri" w:hAnsi="Calibri" w:cs="Arial"/>
          <w:color w:val="000000" w:themeColor="text1"/>
          <w:lang w:val="ro-RO" w:eastAsia="ro-RO"/>
        </w:rPr>
        <w:t>Legea nr. 175/2018 pentru modificarea şi completarea art. 291 alin. (2) din Legea nr. 227/2015 privind Codul fiscal.</w:t>
      </w:r>
    </w:p>
    <w:p w:rsidR="002D6C69" w:rsidRPr="002D6C69" w:rsidRDefault="002D6C69" w:rsidP="002D6C69">
      <w:pPr>
        <w:suppressAutoHyphens/>
        <w:autoSpaceDE w:val="0"/>
        <w:jc w:val="both"/>
        <w:rPr>
          <w:rFonts w:ascii="Calibri" w:hAnsi="Calibri"/>
          <w:color w:val="000000" w:themeColor="text1"/>
          <w:lang w:val="ro-RO" w:eastAsia="zh-CN"/>
        </w:rPr>
      </w:pPr>
    </w:p>
    <w:p w:rsidR="002D6C69" w:rsidRPr="002D6C69" w:rsidRDefault="002D6C69" w:rsidP="00565476">
      <w:pPr>
        <w:numPr>
          <w:ilvl w:val="0"/>
          <w:numId w:val="227"/>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 xml:space="preserve">prelungirea până la data de 30 iunie 2022 a aplicării taxării inverse în domeniul TVA pentru livrarea de cereale şi plante tehnice, transferul de certificate de emisii de gaze cu efect de seră, livrarea de energie electrică către un comerciant persoană impozabilă, stabilit în România, transferul de certificate verzi, furnizările de telefoane mobile, de dispozitive cu circuite integrate, de console de jocuri, tablete PC şi laptopuri, prin Ordonanţa de Urgenţă a Guvernului nr. 114/2018 privind instituirea unor măsuri în domeniul investiţiilor publice şi a unor măsuri fiscal-bugetare, modificarea şi completarea unor acte normative şi prorogarea unor termene. </w:t>
      </w:r>
    </w:p>
    <w:p w:rsidR="002D6C69" w:rsidRPr="002D6C69" w:rsidRDefault="002D6C69" w:rsidP="00565476">
      <w:pPr>
        <w:numPr>
          <w:ilvl w:val="0"/>
          <w:numId w:val="227"/>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extinderea cotei de TVA de 5% pentru livrarea de locuinţe (cele cu o suprafaţă mai mică de 120 mp și o valoare maximă de 450.000 lei).</w:t>
      </w:r>
    </w:p>
    <w:p w:rsidR="002D6C69" w:rsidRPr="002D6C69" w:rsidRDefault="002D6C69" w:rsidP="002D6C69">
      <w:pPr>
        <w:suppressAutoHyphens/>
        <w:autoSpaceDE w:val="0"/>
        <w:jc w:val="both"/>
        <w:rPr>
          <w:rFonts w:ascii="Calibri" w:hAnsi="Calibri"/>
          <w:color w:val="000000" w:themeColor="text1"/>
          <w:lang w:val="ro-RO" w:eastAsia="zh-CN"/>
        </w:rPr>
      </w:pPr>
    </w:p>
    <w:p w:rsidR="002D6C69" w:rsidRPr="002D6C69" w:rsidRDefault="002D6C69" w:rsidP="002D6C69">
      <w:pPr>
        <w:suppressAutoHyphens/>
        <w:autoSpaceDE w:val="0"/>
        <w:spacing w:line="276" w:lineRule="auto"/>
        <w:contextualSpacing/>
        <w:jc w:val="both"/>
        <w:rPr>
          <w:rFonts w:ascii="Calibri" w:eastAsia="Calibri" w:hAnsi="Calibri"/>
          <w:color w:val="000000" w:themeColor="text1"/>
          <w:lang w:val="fr-BE" w:eastAsia="zh-CN"/>
        </w:rPr>
      </w:pPr>
      <w:r w:rsidRPr="002D6C69">
        <w:rPr>
          <w:rFonts w:ascii="Calibri" w:eastAsia="Calibri" w:hAnsi="Calibri"/>
          <w:color w:val="000000" w:themeColor="text1"/>
          <w:lang w:val="fr-BE" w:eastAsia="zh-CN"/>
        </w:rPr>
        <w:t>cu aplicabilitate de la data de 13 ianuarie 2019:</w:t>
      </w:r>
    </w:p>
    <w:p w:rsidR="002D6C69" w:rsidRPr="002D6C69" w:rsidRDefault="002D6C69" w:rsidP="00565476">
      <w:pPr>
        <w:numPr>
          <w:ilvl w:val="0"/>
          <w:numId w:val="229"/>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extinderea cotei de TVA de 5% pentru:</w:t>
      </w:r>
    </w:p>
    <w:p w:rsidR="002D6C69" w:rsidRPr="002D6C69" w:rsidRDefault="002D6C69" w:rsidP="00565476">
      <w:pPr>
        <w:numPr>
          <w:ilvl w:val="0"/>
          <w:numId w:val="228"/>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transportul de persoane cu trenurile sau vehiculele istorice cu tracţiune cu aburi pe linii înguste în scop turistic sau de agrement;</w:t>
      </w:r>
    </w:p>
    <w:p w:rsidR="002D6C69" w:rsidRPr="002D6C69" w:rsidRDefault="002D6C69" w:rsidP="00565476">
      <w:pPr>
        <w:numPr>
          <w:ilvl w:val="0"/>
          <w:numId w:val="228"/>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transportul de persoane utilizând instalaţiile de transport pe cablu – telecabină, telegondolă, telescaun, teleski – în scop turistic sau de agrement;</w:t>
      </w:r>
    </w:p>
    <w:p w:rsidR="002D6C69" w:rsidRPr="002D6C69" w:rsidRDefault="002D6C69" w:rsidP="00565476">
      <w:pPr>
        <w:numPr>
          <w:ilvl w:val="0"/>
          <w:numId w:val="228"/>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transportul de persoane cu vehicule cu tracţiune animală, folosite în scop turistic sau de agrement;</w:t>
      </w:r>
    </w:p>
    <w:p w:rsidR="002D6C69" w:rsidRPr="002D6C69" w:rsidRDefault="002D6C69" w:rsidP="00565476">
      <w:pPr>
        <w:numPr>
          <w:ilvl w:val="0"/>
          <w:numId w:val="228"/>
        </w:numPr>
        <w:suppressAutoHyphens/>
        <w:autoSpaceDE w:val="0"/>
        <w:jc w:val="both"/>
        <w:rPr>
          <w:rFonts w:ascii="Calibri" w:hAnsi="Calibri"/>
          <w:color w:val="000000" w:themeColor="text1"/>
          <w:lang w:val="ro-RO" w:eastAsia="zh-CN"/>
        </w:rPr>
      </w:pPr>
      <w:r w:rsidRPr="002D6C69">
        <w:rPr>
          <w:rFonts w:ascii="Calibri" w:hAnsi="Calibri"/>
          <w:color w:val="000000" w:themeColor="text1"/>
          <w:lang w:val="ro-RO" w:eastAsia="zh-CN"/>
        </w:rPr>
        <w:t>transportul de persoane cu ambarcaţiuni folosite în scop turistic sau de agrement.</w:t>
      </w:r>
    </w:p>
    <w:p w:rsidR="002D6C69" w:rsidRPr="002D6C69" w:rsidRDefault="002D6C69" w:rsidP="002D6C69">
      <w:pPr>
        <w:suppressAutoHyphens/>
        <w:autoSpaceDE w:val="0"/>
        <w:jc w:val="both"/>
        <w:rPr>
          <w:rFonts w:ascii="Calibri" w:hAnsi="Calibri"/>
          <w:color w:val="000000" w:themeColor="text1"/>
          <w:lang w:val="ro-RO" w:eastAsia="zh-CN"/>
        </w:rPr>
      </w:pPr>
      <w:r w:rsidRPr="002D6C69">
        <w:rPr>
          <w:rFonts w:ascii="Calibri" w:eastAsia="Arial" w:hAnsi="Calibri" w:cs="Arial"/>
          <w:color w:val="000000" w:themeColor="text1"/>
          <w:lang w:val="ro-RO" w:eastAsia="zh-CN"/>
        </w:rPr>
        <w:t xml:space="preserve">Totodată, având în vedere </w:t>
      </w:r>
      <w:r w:rsidRPr="002D6C69">
        <w:rPr>
          <w:rFonts w:ascii="Calibri" w:hAnsi="Calibri" w:cs="Arial"/>
          <w:color w:val="000000" w:themeColor="text1"/>
          <w:lang w:val="ro-RO" w:eastAsia="zh-CN"/>
        </w:rPr>
        <w:t xml:space="preserve">obligația României, în calitate de stat membru al Uniunii Europene, de a armoniza legislaţia naţională cu legislaţia Uniunii Europene, a fost elaborat un proiect de legeprin care au fost transpuse în legislația națională prevederile următoarelor directive: </w:t>
      </w:r>
    </w:p>
    <w:p w:rsidR="002D6C69" w:rsidRPr="002D6C69" w:rsidRDefault="002D6C69" w:rsidP="002D6C69">
      <w:pPr>
        <w:suppressAutoHyphens/>
        <w:jc w:val="both"/>
        <w:rPr>
          <w:rFonts w:ascii="Calibri" w:hAnsi="Calibri"/>
          <w:color w:val="000000" w:themeColor="text1"/>
          <w:lang w:val="fr-BE" w:eastAsia="zh-CN"/>
        </w:rPr>
      </w:pPr>
      <w:r w:rsidRPr="002D6C69">
        <w:rPr>
          <w:rFonts w:ascii="Calibri" w:hAnsi="Calibri" w:cs="Arial"/>
          <w:b/>
          <w:color w:val="000000" w:themeColor="text1"/>
          <w:lang w:val="ro-RO" w:eastAsia="zh-CN"/>
        </w:rPr>
        <w:t>Directiva (UE) 2016/1065</w:t>
      </w:r>
      <w:r w:rsidRPr="002D6C69">
        <w:rPr>
          <w:rFonts w:ascii="Calibri" w:hAnsi="Calibri" w:cs="Arial"/>
          <w:color w:val="000000" w:themeColor="text1"/>
          <w:lang w:val="ro-RO" w:eastAsia="zh-CN"/>
        </w:rPr>
        <w:t xml:space="preserve"> a Consiliului din 27 iunie 2016 de modificare a Directivei 2006/112/CE în ceea ce privește tratamentul aplicat cupoanelor valorice și </w:t>
      </w:r>
      <w:r w:rsidRPr="002D6C69">
        <w:rPr>
          <w:rFonts w:ascii="Calibri" w:hAnsi="Calibri" w:cs="Arial"/>
          <w:b/>
          <w:color w:val="000000" w:themeColor="text1"/>
          <w:lang w:val="ro-RO" w:eastAsia="zh-CN"/>
        </w:rPr>
        <w:t xml:space="preserve">art. 1 al </w:t>
      </w:r>
      <w:r w:rsidRPr="002D6C69">
        <w:rPr>
          <w:rFonts w:ascii="Calibri" w:hAnsi="Calibri" w:cs="Arial"/>
          <w:b/>
          <w:color w:val="000000" w:themeColor="text1"/>
          <w:lang w:val="ro-RO" w:eastAsia="ro-RO"/>
        </w:rPr>
        <w:t>Directivei  (UE)  2017/2455</w:t>
      </w:r>
      <w:r w:rsidRPr="002D6C69">
        <w:rPr>
          <w:rFonts w:ascii="Calibri" w:hAnsi="Calibri" w:cs="Arial"/>
          <w:color w:val="000000" w:themeColor="text1"/>
          <w:lang w:val="ro-RO" w:eastAsia="ro-RO"/>
        </w:rPr>
        <w:t xml:space="preserve"> a Consiliului din 5 decembrie 2017 de modificare a Directivei 2006/112/EC și a Directivei 2009/132/CE în ceea ce privește anumite obligații privind taxa pe valoarea adăugată pentru prestările de servicii și vânzările de bunuri la distanță.</w:t>
      </w:r>
    </w:p>
    <w:p w:rsidR="002D6C69" w:rsidRPr="002D6C69" w:rsidRDefault="002D6C69" w:rsidP="002D6C69">
      <w:pPr>
        <w:suppressAutoHyphens/>
        <w:ind w:left="362"/>
        <w:jc w:val="both"/>
        <w:rPr>
          <w:rFonts w:ascii="Calibri" w:eastAsia="SimSun" w:hAnsi="Calibri" w:cs="Arial"/>
          <w:color w:val="000000" w:themeColor="text1"/>
          <w:shd w:val="clear" w:color="auto" w:fill="FFFFFF"/>
          <w:lang w:val="ro-RO" w:eastAsia="ro-RO"/>
        </w:rPr>
      </w:pPr>
    </w:p>
    <w:p w:rsidR="002D6C69" w:rsidRPr="002D6C69" w:rsidRDefault="002D6C69" w:rsidP="002D6C69">
      <w:pPr>
        <w:tabs>
          <w:tab w:val="left" w:pos="0"/>
        </w:tabs>
        <w:suppressAutoHyphens/>
        <w:jc w:val="both"/>
        <w:rPr>
          <w:rFonts w:ascii="Calibri" w:hAnsi="Calibri" w:cs="Arial"/>
          <w:color w:val="000000" w:themeColor="text1"/>
          <w:lang w:val="ro-RO" w:eastAsia="zh-CN"/>
        </w:rPr>
      </w:pPr>
      <w:r w:rsidRPr="002D6C69">
        <w:rPr>
          <w:rFonts w:ascii="Calibri" w:hAnsi="Calibri" w:cs="Arial"/>
          <w:b/>
          <w:bCs/>
          <w:color w:val="000000" w:themeColor="text1"/>
          <w:lang w:val="pt-BR" w:eastAsia="zh-CN"/>
        </w:rPr>
        <w:t>În domeniul accizelor a</w:t>
      </w:r>
      <w:r w:rsidRPr="002D6C69">
        <w:rPr>
          <w:rFonts w:ascii="Calibri" w:hAnsi="Calibri" w:cs="Arial"/>
          <w:color w:val="000000" w:themeColor="text1"/>
          <w:lang w:val="ro-RO" w:eastAsia="zh-CN"/>
        </w:rPr>
        <w:t>u fost adoptate următoarele măsuri:</w:t>
      </w:r>
    </w:p>
    <w:p w:rsidR="002D6C69" w:rsidRPr="002D6C69" w:rsidRDefault="002D6C69" w:rsidP="002D6C69">
      <w:pPr>
        <w:tabs>
          <w:tab w:val="left" w:pos="0"/>
        </w:tabs>
        <w:suppressAutoHyphens/>
        <w:jc w:val="both"/>
        <w:rPr>
          <w:rFonts w:ascii="Calibri" w:hAnsi="Calibri" w:cs="Arial"/>
          <w:color w:val="000000" w:themeColor="text1"/>
          <w:lang w:val="ro-RO" w:eastAsia="zh-CN"/>
        </w:rPr>
      </w:pPr>
    </w:p>
    <w:p w:rsidR="002D6C69" w:rsidRPr="002D6C69" w:rsidRDefault="002D6C69" w:rsidP="002D6C69">
      <w:pPr>
        <w:tabs>
          <w:tab w:val="left" w:pos="0"/>
        </w:tabs>
        <w:suppressAutoHyphens/>
        <w:autoSpaceDE w:val="0"/>
        <w:jc w:val="both"/>
        <w:rPr>
          <w:rFonts w:ascii="Calibri" w:hAnsi="Calibri"/>
          <w:color w:val="000000" w:themeColor="text1"/>
          <w:lang w:val="fr-BE" w:eastAsia="zh-CN"/>
        </w:rPr>
      </w:pPr>
      <w:r w:rsidRPr="002D6C69">
        <w:rPr>
          <w:rFonts w:ascii="Calibri" w:hAnsi="Calibri" w:cs="Arial"/>
          <w:b/>
          <w:bCs/>
          <w:i/>
          <w:color w:val="000000" w:themeColor="text1"/>
          <w:shd w:val="clear" w:color="auto" w:fill="FFFFFF"/>
          <w:lang w:val="ro-RO" w:eastAsia="zh-CN"/>
        </w:rPr>
        <w:t>cu aplicabilitate de la data de 1 ianuarie 2018:</w:t>
      </w:r>
    </w:p>
    <w:p w:rsidR="002D6C69" w:rsidRPr="002D6C69" w:rsidRDefault="002D6C69" w:rsidP="00565476">
      <w:pPr>
        <w:numPr>
          <w:ilvl w:val="0"/>
          <w:numId w:val="229"/>
        </w:numPr>
        <w:tabs>
          <w:tab w:val="left" w:pos="0"/>
        </w:tabs>
        <w:suppressAutoHyphens/>
        <w:jc w:val="both"/>
        <w:rPr>
          <w:rFonts w:ascii="Calibri" w:eastAsia="Arial (W1)" w:hAnsi="Calibri" w:cs="Arial"/>
          <w:color w:val="000000" w:themeColor="text1"/>
          <w:lang w:val="it-IT" w:eastAsia="ro-RO"/>
        </w:rPr>
      </w:pPr>
      <w:r w:rsidRPr="002D6C69">
        <w:rPr>
          <w:rFonts w:ascii="Calibri" w:hAnsi="Calibri" w:cs="Arial"/>
          <w:color w:val="000000" w:themeColor="text1"/>
          <w:lang w:val="it-IT" w:eastAsia="zh-CN"/>
        </w:rPr>
        <w:t>A fost m</w:t>
      </w:r>
      <w:r w:rsidRPr="002D6C69">
        <w:rPr>
          <w:rFonts w:ascii="Calibri" w:eastAsia="Arial (W1)" w:hAnsi="Calibri" w:cs="Arial"/>
          <w:color w:val="000000" w:themeColor="text1"/>
          <w:lang w:val="it-IT" w:eastAsia="ro-RO"/>
        </w:rPr>
        <w:t>ajorat nivelul accizelor la tutun de fumat fin tăiat destinat rulării în țigarete, precum și la alte tutunuri de fumat de la 383,78 lei/kg la 398,70 lei/kg.</w:t>
      </w:r>
    </w:p>
    <w:p w:rsidR="002D6C69" w:rsidRPr="002D6C69" w:rsidRDefault="002D6C69" w:rsidP="002D6C69">
      <w:pPr>
        <w:suppressAutoHyphens/>
        <w:autoSpaceDE w:val="0"/>
        <w:jc w:val="both"/>
        <w:rPr>
          <w:rFonts w:ascii="Calibri" w:eastAsia="Arial" w:hAnsi="Calibri" w:cs="Arial"/>
          <w:b/>
          <w:bCs/>
          <w:i/>
          <w:color w:val="000000" w:themeColor="text1"/>
          <w:shd w:val="clear" w:color="auto" w:fill="FFFFFF"/>
          <w:lang w:val="it-IT" w:eastAsia="zh-CN"/>
        </w:rPr>
      </w:pPr>
    </w:p>
    <w:p w:rsidR="002D6C69" w:rsidRPr="002D6C69" w:rsidRDefault="002D6C69" w:rsidP="002D6C69">
      <w:pPr>
        <w:suppressAutoHyphens/>
        <w:autoSpaceDE w:val="0"/>
        <w:jc w:val="both"/>
        <w:rPr>
          <w:rFonts w:ascii="Calibri" w:hAnsi="Calibri"/>
          <w:color w:val="000000" w:themeColor="text1"/>
          <w:lang w:val="fr-BE" w:eastAsia="zh-CN"/>
        </w:rPr>
      </w:pPr>
      <w:r w:rsidRPr="002D6C69">
        <w:rPr>
          <w:rFonts w:ascii="Calibri" w:hAnsi="Calibri" w:cs="Arial"/>
          <w:b/>
          <w:bCs/>
          <w:i/>
          <w:color w:val="000000" w:themeColor="text1"/>
          <w:shd w:val="clear" w:color="auto" w:fill="FFFFFF"/>
          <w:lang w:val="ro-RO" w:eastAsia="zh-CN"/>
        </w:rPr>
        <w:t>cu aplicabilitate de la data de 1 aprilie 2018:</w:t>
      </w:r>
    </w:p>
    <w:p w:rsidR="002D6C69" w:rsidRPr="002D6C69" w:rsidRDefault="002D6C69" w:rsidP="00565476">
      <w:pPr>
        <w:numPr>
          <w:ilvl w:val="0"/>
          <w:numId w:val="229"/>
        </w:numPr>
        <w:suppressAutoHyphens/>
        <w:autoSpaceDE w:val="0"/>
        <w:jc w:val="both"/>
        <w:rPr>
          <w:rFonts w:ascii="Calibri" w:hAnsi="Calibri"/>
          <w:color w:val="000000" w:themeColor="text1"/>
          <w:lang w:val="fr-BE" w:eastAsia="zh-CN"/>
        </w:rPr>
      </w:pPr>
      <w:r w:rsidRPr="002D6C69">
        <w:rPr>
          <w:rFonts w:ascii="Calibri" w:hAnsi="Calibri" w:cs="Arial"/>
          <w:color w:val="000000" w:themeColor="text1"/>
          <w:lang w:val="it-IT" w:eastAsia="zh-CN"/>
        </w:rPr>
        <w:t xml:space="preserve">A fost majorat nivelul accizei totale pentru țigarete </w:t>
      </w:r>
      <w:r w:rsidRPr="002D6C69">
        <w:rPr>
          <w:rFonts w:ascii="Calibri" w:eastAsia="Arial (W1)" w:hAnsi="Calibri" w:cs="Arial"/>
          <w:color w:val="000000" w:themeColor="text1"/>
          <w:lang w:val="it-IT" w:eastAsia="ro-RO"/>
        </w:rPr>
        <w:t>de la 439,94 lei/1000 țigarete la 448,74 lei/1000 țigarete.</w:t>
      </w:r>
    </w:p>
    <w:p w:rsidR="002D6C69" w:rsidRPr="002D6C69" w:rsidRDefault="002D6C69" w:rsidP="00565476">
      <w:pPr>
        <w:numPr>
          <w:ilvl w:val="0"/>
          <w:numId w:val="229"/>
        </w:numPr>
        <w:suppressAutoHyphens/>
        <w:autoSpaceDE w:val="0"/>
        <w:jc w:val="both"/>
        <w:rPr>
          <w:rFonts w:ascii="Calibri" w:hAnsi="Calibri" w:cs="Arial"/>
          <w:color w:val="000000" w:themeColor="text1"/>
          <w:lang w:val="it-IT" w:eastAsia="zh-CN"/>
        </w:rPr>
      </w:pPr>
      <w:r w:rsidRPr="002D6C69">
        <w:rPr>
          <w:rFonts w:ascii="Calibri" w:hAnsi="Calibri" w:cs="Arial"/>
          <w:color w:val="000000" w:themeColor="text1"/>
          <w:lang w:val="it-IT" w:eastAsia="zh-CN"/>
        </w:rPr>
        <w:t>Totodată, potrivit prevederilor Ordonanţei de urgenţă  nr. 25/2018</w:t>
      </w:r>
      <w:r w:rsidRPr="002D6C69">
        <w:rPr>
          <w:rFonts w:ascii="Calibri" w:hAnsi="Calibri" w:cs="Arial"/>
          <w:i/>
          <w:iCs/>
          <w:color w:val="000000" w:themeColor="text1"/>
          <w:lang w:val="it-IT" w:eastAsia="zh-CN"/>
        </w:rPr>
        <w:t xml:space="preserve">privind modificarea şi completarea unor acte normative, precum şi pentru aprobarea unor măsuri fiscal-bugetare </w:t>
      </w:r>
      <w:r w:rsidRPr="002D6C69">
        <w:rPr>
          <w:rFonts w:ascii="Calibri" w:hAnsi="Calibri" w:cs="Arial"/>
          <w:color w:val="000000" w:themeColor="text1"/>
          <w:lang w:val="it-IT" w:eastAsia="zh-CN"/>
        </w:rPr>
        <w:t>s-a stabilit un nivel al accizelor diferenţiat pentru motorina utilizată drept carburant pentru transportul rutier de mărfuri în cont propriu sau pentru alte persoane precum și pentru transportul de persoane, regulat sau ocazional, exclusiv transportul public local de persoane, prin diminuarea cu 183,62 lei/1.000 litri, respectiv cu 217,31 lei/tonă a nivelului standard prevăzut pentru motorină din anexa nr. 1 de la Titlul VIII din Codul fiscal.</w:t>
      </w:r>
    </w:p>
    <w:p w:rsidR="002D6C69" w:rsidRPr="002D6C69" w:rsidRDefault="002D6C69" w:rsidP="002D6C69">
      <w:pPr>
        <w:suppressAutoHyphens/>
        <w:autoSpaceDE w:val="0"/>
        <w:jc w:val="both"/>
        <w:rPr>
          <w:rFonts w:ascii="Calibri" w:eastAsia="Arial" w:hAnsi="Calibri" w:cs="Arial"/>
          <w:b/>
          <w:bCs/>
          <w:i/>
          <w:color w:val="000000" w:themeColor="text1"/>
          <w:highlight w:val="white"/>
          <w:lang w:val="it-IT" w:eastAsia="zh-CN"/>
        </w:rPr>
      </w:pPr>
    </w:p>
    <w:p w:rsidR="002D6C69" w:rsidRPr="002D6C69" w:rsidRDefault="002D6C69" w:rsidP="002D6C69">
      <w:pPr>
        <w:suppressAutoHyphens/>
        <w:autoSpaceDE w:val="0"/>
        <w:jc w:val="both"/>
        <w:rPr>
          <w:rFonts w:ascii="Calibri" w:hAnsi="Calibri"/>
          <w:color w:val="000000" w:themeColor="text1"/>
          <w:lang w:val="fr-BE" w:eastAsia="zh-CN"/>
        </w:rPr>
      </w:pPr>
      <w:r w:rsidRPr="002D6C69">
        <w:rPr>
          <w:rFonts w:ascii="Calibri" w:hAnsi="Calibri" w:cs="Arial"/>
          <w:b/>
          <w:bCs/>
          <w:i/>
          <w:color w:val="000000" w:themeColor="text1"/>
          <w:highlight w:val="white"/>
          <w:lang w:val="ro-RO" w:eastAsia="zh-CN"/>
        </w:rPr>
        <w:t>cu aplicabilitate de la data de 1 ianuarie 2019:</w:t>
      </w:r>
    </w:p>
    <w:p w:rsidR="002D6C69" w:rsidRPr="002D6C69" w:rsidRDefault="002D6C69" w:rsidP="00565476">
      <w:pPr>
        <w:numPr>
          <w:ilvl w:val="0"/>
          <w:numId w:val="230"/>
        </w:numPr>
        <w:suppressAutoHyphens/>
        <w:autoSpaceDE w:val="0"/>
        <w:jc w:val="both"/>
        <w:rPr>
          <w:rFonts w:ascii="Calibri" w:hAnsi="Calibri"/>
          <w:color w:val="000000" w:themeColor="text1"/>
          <w:lang w:val="fr-BE" w:eastAsia="zh-CN"/>
        </w:rPr>
      </w:pPr>
      <w:r w:rsidRPr="002D6C69">
        <w:rPr>
          <w:rFonts w:ascii="Calibri" w:eastAsia="Arial" w:hAnsi="Calibri" w:cs="Arial"/>
          <w:color w:val="000000" w:themeColor="text1"/>
          <w:highlight w:val="white"/>
          <w:lang w:val="ro-RO" w:eastAsia="zh-CN"/>
        </w:rPr>
        <w:t>A</w:t>
      </w:r>
      <w:r w:rsidRPr="002D6C69">
        <w:rPr>
          <w:rFonts w:ascii="Calibri" w:hAnsi="Calibri" w:cs="Arial"/>
          <w:color w:val="000000" w:themeColor="text1"/>
          <w:highlight w:val="white"/>
          <w:lang w:val="it-IT" w:eastAsia="zh-CN"/>
        </w:rPr>
        <w:t xml:space="preserve"> fost majorat nivelul accizei totale pentru țigarete </w:t>
      </w:r>
      <w:r w:rsidRPr="002D6C69">
        <w:rPr>
          <w:rFonts w:ascii="Calibri" w:eastAsia="Arial (W1)" w:hAnsi="Calibri" w:cs="Arial"/>
          <w:color w:val="000000" w:themeColor="text1"/>
          <w:highlight w:val="white"/>
          <w:lang w:val="it-IT" w:eastAsia="ro-RO"/>
        </w:rPr>
        <w:t xml:space="preserve">de la 448,74 lei/1000 țigarete la 483,74 lei/1000 țigarete </w:t>
      </w:r>
      <w:r w:rsidRPr="002D6C69">
        <w:rPr>
          <w:rFonts w:ascii="Calibri" w:eastAsia="Arial (W1)" w:hAnsi="Calibri" w:cs="Arial"/>
          <w:color w:val="000000" w:themeColor="text1"/>
          <w:lang w:val="it-IT" w:eastAsia="ro-RO"/>
        </w:rPr>
        <w:t>și fost prevăzut un calendar de creștere graduală a nivelului accizei totale pentru țigarete</w:t>
      </w:r>
      <w:r w:rsidRPr="002D6C69">
        <w:rPr>
          <w:rFonts w:ascii="Calibri" w:eastAsia="Arial (W1)" w:hAnsi="Calibri" w:cs="Arial"/>
          <w:color w:val="000000" w:themeColor="text1"/>
          <w:highlight w:val="white"/>
          <w:lang w:val="it-IT" w:eastAsia="ro-RO"/>
        </w:rPr>
        <w:t xml:space="preserve"> prin</w:t>
      </w:r>
      <w:r w:rsidRPr="002D6C69">
        <w:rPr>
          <w:rFonts w:ascii="Calibri" w:hAnsi="Calibri" w:cs="Arial"/>
          <w:color w:val="000000" w:themeColor="text1"/>
          <w:highlight w:val="white"/>
          <w:lang w:val="it-IT" w:eastAsia="zh-CN"/>
        </w:rPr>
        <w:t xml:space="preserve"> Ordonanța de urgență a Guvernului </w:t>
      </w:r>
      <w:r w:rsidRPr="002D6C69">
        <w:rPr>
          <w:rFonts w:ascii="Calibri" w:eastAsia="Arial" w:hAnsi="Calibri" w:cs="Arial"/>
          <w:color w:val="000000" w:themeColor="text1"/>
          <w:highlight w:val="white"/>
          <w:lang w:val="ro-RO" w:eastAsia="zh-CN"/>
        </w:rPr>
        <w:t xml:space="preserve">nr. 114/2018 </w:t>
      </w:r>
      <w:r w:rsidRPr="002D6C69">
        <w:rPr>
          <w:rFonts w:ascii="Calibri" w:eastAsia="Arial" w:hAnsi="Calibri" w:cs="Arial"/>
          <w:i/>
          <w:iCs/>
          <w:color w:val="000000" w:themeColor="text1"/>
          <w:highlight w:val="white"/>
          <w:lang w:val="ro-RO" w:eastAsia="zh-CN"/>
        </w:rPr>
        <w:t>privind instituirea unor măsuri în domeniul investițiilor publice și a unor măsuri fiscal-bugetare, modificarea și completarea unor acte normative și prorogarea unor termene</w:t>
      </w:r>
      <w:r w:rsidRPr="002D6C69">
        <w:rPr>
          <w:rFonts w:ascii="Calibri" w:eastAsia="Arial (W1)" w:hAnsi="Calibri" w:cs="Arial"/>
          <w:color w:val="000000" w:themeColor="text1"/>
          <w:highlight w:val="white"/>
          <w:lang w:val="it-IT" w:eastAsia="ro-RO"/>
        </w:rPr>
        <w:t>.</w:t>
      </w:r>
    </w:p>
    <w:p w:rsidR="001D5EB6" w:rsidRPr="001D5EB6" w:rsidRDefault="001D5EB6" w:rsidP="00A05FB4">
      <w:pPr>
        <w:suppressAutoHyphens/>
        <w:jc w:val="both"/>
        <w:rPr>
          <w:rFonts w:asciiTheme="minorHAnsi" w:hAnsiTheme="minorHAnsi"/>
          <w:color w:val="000000" w:themeColor="text1"/>
          <w:lang w:val="fr-BE" w:eastAsia="zh-CN"/>
        </w:rPr>
      </w:pPr>
    </w:p>
    <w:p w:rsidR="000050E5" w:rsidRPr="00FA2A39" w:rsidRDefault="000050E5" w:rsidP="000050E5">
      <w:pPr>
        <w:tabs>
          <w:tab w:val="left" w:pos="0"/>
        </w:tabs>
        <w:suppressAutoHyphens/>
        <w:jc w:val="both"/>
        <w:rPr>
          <w:rFonts w:asciiTheme="minorHAnsi" w:hAnsiTheme="minorHAnsi" w:cs="Arial"/>
          <w:bCs/>
          <w:kern w:val="1"/>
          <w:lang w:val="ro-RO" w:eastAsia="zh-CN"/>
        </w:rPr>
      </w:pPr>
    </w:p>
    <w:p w:rsidR="0002401E" w:rsidRPr="003C5DCD" w:rsidRDefault="0002401E" w:rsidP="000A2B70">
      <w:pPr>
        <w:shd w:val="clear" w:color="auto" w:fill="9CC2E5" w:themeFill="accent1" w:themeFillTint="99"/>
        <w:autoSpaceDE w:val="0"/>
        <w:autoSpaceDN w:val="0"/>
        <w:adjustRightInd w:val="0"/>
        <w:spacing w:before="120" w:line="276" w:lineRule="auto"/>
        <w:jc w:val="both"/>
        <w:rPr>
          <w:rFonts w:ascii="Calibri" w:hAnsi="Calibri"/>
          <w:color w:val="002060"/>
          <w:lang w:val="ro-RO"/>
        </w:rPr>
      </w:pPr>
      <w:r w:rsidRPr="003C5DCD">
        <w:rPr>
          <w:rFonts w:ascii="Calibri" w:hAnsi="Calibri" w:cs="Arial"/>
          <w:b/>
          <w:bCs/>
          <w:color w:val="002060"/>
          <w:lang w:val="ro-RO"/>
        </w:rPr>
        <w:t xml:space="preserve">4.2.  Scurtă caracterizare a </w:t>
      </w:r>
      <w:r w:rsidRPr="000A2B70">
        <w:rPr>
          <w:rFonts w:ascii="Calibri" w:hAnsi="Calibri" w:cs="Arial"/>
          <w:b/>
          <w:color w:val="002060"/>
          <w:lang w:val="ro-RO"/>
        </w:rPr>
        <w:t>politicii</w:t>
      </w:r>
      <w:r w:rsidR="00E91B4E">
        <w:rPr>
          <w:rFonts w:ascii="Calibri" w:hAnsi="Calibri" w:cs="Arial"/>
          <w:b/>
          <w:bCs/>
          <w:color w:val="002060"/>
          <w:lang w:val="ro-RO"/>
        </w:rPr>
        <w:t xml:space="preserve"> fiscale pe perioada 2019-2021</w:t>
      </w:r>
      <w:r w:rsidRPr="003C5DCD">
        <w:rPr>
          <w:rFonts w:ascii="Calibri" w:hAnsi="Calibri" w:cs="Arial"/>
          <w:b/>
          <w:bCs/>
          <w:color w:val="002060"/>
          <w:lang w:val="ro-RO"/>
        </w:rPr>
        <w:t>, principalele obiective pe termen mediu</w:t>
      </w:r>
    </w:p>
    <w:p w:rsidR="002D6C69" w:rsidRPr="002D6C69" w:rsidRDefault="002D6C69" w:rsidP="002D6C69">
      <w:pPr>
        <w:suppressAutoHyphens/>
        <w:autoSpaceDE w:val="0"/>
        <w:jc w:val="both"/>
        <w:rPr>
          <w:rFonts w:ascii="Calibri" w:hAnsi="Calibri"/>
          <w:lang w:val="it-IT" w:eastAsia="zh-CN"/>
        </w:rPr>
      </w:pPr>
      <w:r w:rsidRPr="002D6C69">
        <w:rPr>
          <w:rFonts w:ascii="Calibri" w:hAnsi="Calibri" w:cs="Arial"/>
          <w:lang w:val="ro-RO" w:eastAsia="zh-CN"/>
        </w:rPr>
        <w:t>Principalele obiective ale politicii fiscale avute în vedere pe termen mediu vizează în principal următoarele aspecte:</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lang w:val="fr-BE" w:eastAsia="zh-CN"/>
        </w:rPr>
      </w:pPr>
      <w:r w:rsidRPr="002D6C69">
        <w:rPr>
          <w:rFonts w:ascii="Calibri" w:hAnsi="Calibri" w:cs="Arial"/>
          <w:lang w:val="ro-RO" w:eastAsia="zh-CN"/>
        </w:rPr>
        <w:t>Continuarea implementării măsurilor cuprinse în Programul de guvernare 2018-2020, pe măsură ce spațiul fiscal-bugetar va permite;</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lang w:val="fr-BE" w:eastAsia="zh-CN"/>
        </w:rPr>
      </w:pPr>
      <w:r w:rsidRPr="002D6C69">
        <w:rPr>
          <w:rFonts w:ascii="Calibri" w:hAnsi="Calibri" w:cs="Arial"/>
          <w:lang w:val="ro-RO" w:eastAsia="zh-CN"/>
        </w:rPr>
        <w:t>Continuarea perfecționării legislației pentru a corespunde criteriilor de armonizare cu legislația comunitară, prin transpunerea în legislația națională a măsurilor adoptate la nivel european;</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lang w:val="fr-BE" w:eastAsia="zh-CN"/>
        </w:rPr>
      </w:pPr>
      <w:r w:rsidRPr="002D6C69">
        <w:rPr>
          <w:rFonts w:ascii="Calibri" w:hAnsi="Calibri" w:cs="Arial"/>
          <w:lang w:val="ro-RO" w:eastAsia="zh-CN"/>
        </w:rPr>
        <w:t>Îmbunătățirea și simplificarea legislației fiscale, ca urmare a dialogului cu mediul de afaceri;</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lang w:val="en-GB" w:eastAsia="zh-CN"/>
        </w:rPr>
      </w:pPr>
      <w:r w:rsidRPr="002D6C69">
        <w:rPr>
          <w:rFonts w:ascii="Calibri" w:hAnsi="Calibri" w:cs="Arial"/>
          <w:lang w:val="ro-RO" w:eastAsia="zh-CN"/>
        </w:rPr>
        <w:t>Perfecționarea legislației în funcție de fenomenele evazioniste, în vederea contracarării acestora.</w:t>
      </w:r>
    </w:p>
    <w:p w:rsidR="002D6C69" w:rsidRPr="002D6C69" w:rsidRDefault="002D6C69" w:rsidP="002D6C69">
      <w:pPr>
        <w:suppressAutoHyphens/>
        <w:autoSpaceDE w:val="0"/>
        <w:spacing w:after="160" w:line="259" w:lineRule="auto"/>
        <w:ind w:left="720"/>
        <w:jc w:val="both"/>
        <w:rPr>
          <w:rFonts w:asciiTheme="minorHAnsi" w:hAnsiTheme="minorHAnsi"/>
          <w:lang w:val="en-GB" w:eastAsia="zh-CN"/>
        </w:rPr>
      </w:pPr>
    </w:p>
    <w:p w:rsidR="002D6C69" w:rsidRPr="002D6C69" w:rsidRDefault="002D6C69" w:rsidP="002D6C69">
      <w:pPr>
        <w:widowControl w:val="0"/>
        <w:tabs>
          <w:tab w:val="num" w:pos="1920"/>
        </w:tabs>
        <w:spacing w:before="120"/>
        <w:jc w:val="both"/>
        <w:rPr>
          <w:rFonts w:ascii="Calibri" w:hAnsi="Calibri" w:cs="Arial"/>
          <w:lang w:val="ro-RO"/>
        </w:rPr>
      </w:pPr>
      <w:r w:rsidRPr="002D6C69">
        <w:rPr>
          <w:rFonts w:ascii="Calibri" w:hAnsi="Calibri" w:cs="Arial"/>
          <w:b/>
          <w:color w:val="000050"/>
          <w:lang w:val="ro-RO"/>
        </w:rPr>
        <w:t>Proiecţia veniturilor bugetului general consolidat pe perioada 2019-2021</w:t>
      </w:r>
      <w:r w:rsidRPr="002D6C69">
        <w:rPr>
          <w:rFonts w:ascii="Calibri" w:hAnsi="Calibri" w:cs="Arial"/>
          <w:lang w:val="ro-RO"/>
        </w:rPr>
        <w:t xml:space="preserve"> s-a realizat pe baza indicatorilor macroeconomici pentru  orizontul de referinţă,  precum şi a reglementărilor existente în prezent în domeniul fiscal.</w:t>
      </w:r>
    </w:p>
    <w:p w:rsidR="002D6C69" w:rsidRPr="002D6C69" w:rsidRDefault="002D6C69" w:rsidP="002D6C69">
      <w:pPr>
        <w:widowControl w:val="0"/>
        <w:tabs>
          <w:tab w:val="num" w:pos="1920"/>
        </w:tabs>
        <w:spacing w:before="120"/>
        <w:jc w:val="both"/>
        <w:rPr>
          <w:rFonts w:ascii="Calibri" w:hAnsi="Calibri" w:cs="Arial"/>
          <w:lang w:val="ro-RO"/>
        </w:rPr>
      </w:pPr>
      <w:r w:rsidRPr="002D6C69">
        <w:rPr>
          <w:rFonts w:ascii="Calibri" w:hAnsi="Calibri" w:cs="Arial"/>
          <w:lang w:val="ro-RO"/>
        </w:rPr>
        <w:t>Pe termen mediu, pe fondul revigorării economice, veniturile bugetare se vor înscrie pe un trend ascendent în valoare nominală, dar și ca procent în PIB.</w:t>
      </w:r>
    </w:p>
    <w:p w:rsidR="002D6C69" w:rsidRPr="002D6C69" w:rsidRDefault="002D6C69" w:rsidP="002D6C69">
      <w:pPr>
        <w:widowControl w:val="0"/>
        <w:tabs>
          <w:tab w:val="num" w:pos="1920"/>
        </w:tabs>
        <w:spacing w:before="120"/>
        <w:jc w:val="both"/>
        <w:rPr>
          <w:rFonts w:ascii="Calibri" w:hAnsi="Calibri" w:cs="Arial"/>
          <w:color w:val="000000" w:themeColor="text1"/>
          <w:lang w:val="ro-RO"/>
        </w:rPr>
      </w:pPr>
      <w:r w:rsidRPr="002D6C69">
        <w:rPr>
          <w:rFonts w:ascii="Calibri" w:hAnsi="Calibri" w:cs="Arial"/>
          <w:lang w:val="ro-RO"/>
        </w:rPr>
        <w:t>Astfel, în anul 2019 veniturile bugetare în termeni</w:t>
      </w:r>
      <w:r w:rsidR="003A7EE3">
        <w:rPr>
          <w:rFonts w:ascii="Calibri" w:hAnsi="Calibri" w:cs="Arial"/>
          <w:lang w:val="ro-RO"/>
        </w:rPr>
        <w:t xml:space="preserve"> nominali sunt estimate la 342</w:t>
      </w:r>
      <w:r w:rsidR="000200AF">
        <w:rPr>
          <w:rFonts w:ascii="Calibri" w:hAnsi="Calibri" w:cs="Arial"/>
          <w:lang w:val="ro-RO"/>
        </w:rPr>
        <w:t>,</w:t>
      </w:r>
      <w:r w:rsidR="003A7EE3">
        <w:rPr>
          <w:rFonts w:ascii="Calibri" w:hAnsi="Calibri" w:cs="Arial"/>
          <w:lang w:val="ro-RO"/>
        </w:rPr>
        <w:t>7 miliarde lei (33,51</w:t>
      </w:r>
      <w:r w:rsidRPr="002D6C69">
        <w:rPr>
          <w:rFonts w:ascii="Calibri" w:hAnsi="Calibri" w:cs="Arial"/>
          <w:lang w:val="ro-RO"/>
        </w:rPr>
        <w:t xml:space="preserve">% din PIB), în creștere în valoare nominală pe orizontul de referință, ajungând în anul 2020 la 354,8  miliarde lei (32,23 % din PIB), și </w:t>
      </w:r>
      <w:r w:rsidRPr="002D6C69">
        <w:rPr>
          <w:rFonts w:ascii="Calibri" w:hAnsi="Calibri" w:cs="Arial"/>
          <w:color w:val="000000" w:themeColor="text1"/>
          <w:lang w:val="ro-RO"/>
        </w:rPr>
        <w:t>la 376,8  miliarde lei în anul 2021,  respec</w:t>
      </w:r>
      <w:r w:rsidR="003A7EE3">
        <w:rPr>
          <w:rFonts w:ascii="Calibri" w:hAnsi="Calibri" w:cs="Arial"/>
          <w:color w:val="000000" w:themeColor="text1"/>
          <w:lang w:val="ro-RO"/>
        </w:rPr>
        <w:t>tiv  o creștere nominală de 34,1</w:t>
      </w:r>
      <w:r w:rsidRPr="002D6C69">
        <w:rPr>
          <w:rFonts w:ascii="Calibri" w:hAnsi="Calibri" w:cs="Arial"/>
          <w:color w:val="000000" w:themeColor="text1"/>
          <w:lang w:val="ro-RO"/>
        </w:rPr>
        <w:t xml:space="preserve"> miliarde lei față de anul 2019.</w:t>
      </w:r>
    </w:p>
    <w:p w:rsidR="002D6C69" w:rsidRPr="002D6C69" w:rsidRDefault="002D6C69" w:rsidP="002D6C69">
      <w:pPr>
        <w:widowControl w:val="0"/>
        <w:tabs>
          <w:tab w:val="num" w:pos="1920"/>
        </w:tabs>
        <w:spacing w:before="120"/>
        <w:jc w:val="both"/>
        <w:rPr>
          <w:rFonts w:ascii="Calibri" w:hAnsi="Calibri" w:cs="Arial"/>
          <w:lang w:val="ro-RO"/>
        </w:rPr>
      </w:pPr>
      <w:r w:rsidRPr="002D6C69">
        <w:rPr>
          <w:rFonts w:ascii="Calibri" w:hAnsi="Calibri" w:cs="Arial"/>
          <w:lang w:val="ro-RO"/>
        </w:rPr>
        <w:t xml:space="preserve">Cele mai mari ponderi în cadrul veniturilor bugetare le înregistrează </w:t>
      </w:r>
      <w:r w:rsidRPr="002D6C69">
        <w:rPr>
          <w:rFonts w:ascii="Calibri" w:hAnsi="Calibri" w:cs="Arial"/>
          <w:b/>
          <w:color w:val="000050"/>
          <w:lang w:val="ro-RO"/>
        </w:rPr>
        <w:t>contribuțiile de asigurări sociale</w:t>
      </w:r>
      <w:r w:rsidR="00BB5625">
        <w:rPr>
          <w:rFonts w:ascii="Calibri" w:hAnsi="Calibri" w:cs="Arial"/>
          <w:lang w:val="ro-RO"/>
        </w:rPr>
        <w:t>( 34,2</w:t>
      </w:r>
      <w:r w:rsidRPr="002D6C69">
        <w:rPr>
          <w:rFonts w:ascii="Calibri" w:hAnsi="Calibri" w:cs="Arial"/>
          <w:lang w:val="ro-RO"/>
        </w:rPr>
        <w:t>) , TVA</w:t>
      </w:r>
      <w:r w:rsidR="00BB5625">
        <w:rPr>
          <w:rFonts w:ascii="Calibri" w:hAnsi="Calibri" w:cs="Arial"/>
          <w:lang w:val="ro-RO"/>
        </w:rPr>
        <w:t xml:space="preserve"> ( 20,3</w:t>
      </w:r>
      <w:r w:rsidRPr="002D6C69">
        <w:rPr>
          <w:rFonts w:ascii="Calibri" w:hAnsi="Calibri" w:cs="Arial"/>
          <w:lang w:val="ro-RO"/>
        </w:rPr>
        <w:t xml:space="preserve"> %),</w:t>
      </w:r>
      <w:r w:rsidRPr="002D6C69">
        <w:rPr>
          <w:rFonts w:ascii="Calibri" w:hAnsi="Calibri" w:cs="Arial"/>
          <w:b/>
          <w:lang w:val="ro-RO"/>
        </w:rPr>
        <w:t>sume primite de UE</w:t>
      </w:r>
      <w:r w:rsidR="00BB5625">
        <w:rPr>
          <w:rFonts w:ascii="Calibri" w:hAnsi="Calibri" w:cs="Arial"/>
          <w:lang w:val="ro-RO"/>
        </w:rPr>
        <w:t>(9,8</w:t>
      </w:r>
      <w:r w:rsidRPr="002D6C69">
        <w:rPr>
          <w:rFonts w:ascii="Calibri" w:hAnsi="Calibri" w:cs="Arial"/>
          <w:lang w:val="ro-RO"/>
        </w:rPr>
        <w:t xml:space="preserve">% din total ), </w:t>
      </w:r>
      <w:r w:rsidRPr="002D6C69">
        <w:rPr>
          <w:rFonts w:ascii="Calibri" w:hAnsi="Calibri" w:cs="Arial"/>
          <w:b/>
          <w:lang w:val="ro-RO"/>
        </w:rPr>
        <w:t>accize</w:t>
      </w:r>
      <w:r w:rsidRPr="002D6C69">
        <w:rPr>
          <w:rFonts w:ascii="Calibri" w:hAnsi="Calibri" w:cs="Arial"/>
          <w:lang w:val="ro-RO"/>
        </w:rPr>
        <w:t xml:space="preserve"> (9,1%), </w:t>
      </w:r>
      <w:r w:rsidRPr="002D6C69">
        <w:rPr>
          <w:rFonts w:ascii="Calibri" w:hAnsi="Calibri" w:cs="Arial"/>
          <w:b/>
          <w:lang w:val="ro-RO"/>
        </w:rPr>
        <w:t>venituri nefiscale</w:t>
      </w:r>
      <w:r w:rsidRPr="002D6C69">
        <w:rPr>
          <w:rFonts w:ascii="Calibri" w:hAnsi="Calibri" w:cs="Arial"/>
          <w:lang w:val="ro-RO"/>
        </w:rPr>
        <w:t xml:space="preserve"> ( 8,3 %)   </w:t>
      </w:r>
      <w:r w:rsidRPr="002D6C69">
        <w:rPr>
          <w:rFonts w:ascii="Calibri" w:hAnsi="Calibri" w:cs="Arial"/>
          <w:b/>
          <w:lang w:val="ro-RO"/>
        </w:rPr>
        <w:t xml:space="preserve">impozit pe venit si salarii </w:t>
      </w:r>
      <w:r w:rsidRPr="002D6C69">
        <w:rPr>
          <w:rFonts w:ascii="Calibri" w:hAnsi="Calibri" w:cs="Arial"/>
          <w:lang w:val="ro-RO"/>
        </w:rPr>
        <w:t>( 6,9 %).</w:t>
      </w:r>
    </w:p>
    <w:p w:rsidR="00BD58B2" w:rsidRDefault="00BD58B2" w:rsidP="003221FD">
      <w:pPr>
        <w:tabs>
          <w:tab w:val="left" w:pos="993"/>
        </w:tabs>
        <w:suppressAutoHyphens/>
        <w:overflowPunct w:val="0"/>
        <w:autoSpaceDE w:val="0"/>
        <w:jc w:val="both"/>
        <w:textAlignment w:val="baseline"/>
        <w:rPr>
          <w:rFonts w:ascii="Calibri" w:hAnsi="Calibri" w:cs="Arial"/>
          <w:b/>
          <w:bCs/>
          <w:lang w:val="ro-RO"/>
        </w:rPr>
      </w:pPr>
    </w:p>
    <w:p w:rsidR="003C5DCD" w:rsidRPr="00C86702" w:rsidRDefault="003C5DCD" w:rsidP="0002401E">
      <w:pPr>
        <w:suppressAutoHyphens/>
        <w:jc w:val="both"/>
        <w:rPr>
          <w:rFonts w:ascii="Calibri" w:hAnsi="Calibri" w:cs="Arial"/>
          <w:lang w:val="ro-RO"/>
        </w:rPr>
      </w:pPr>
    </w:p>
    <w:p w:rsidR="0032532F" w:rsidRPr="0002401E" w:rsidRDefault="004631BC" w:rsidP="0002401E">
      <w:pPr>
        <w:keepLines/>
        <w:widowControl w:val="0"/>
        <w:shd w:val="clear" w:color="auto" w:fill="9CC2E5" w:themeFill="accent1" w:themeFillTint="99"/>
        <w:spacing w:line="320" w:lineRule="exact"/>
        <w:jc w:val="both"/>
        <w:rPr>
          <w:rFonts w:ascii="Calibri" w:hAnsi="Calibri"/>
          <w:b/>
          <w:color w:val="002060"/>
          <w:lang w:val="ro-RO"/>
        </w:rPr>
      </w:pPr>
      <w:r>
        <w:rPr>
          <w:rFonts w:ascii="Calibri" w:hAnsi="Calibri" w:cs="Arial"/>
          <w:b/>
          <w:color w:val="002060"/>
          <w:lang w:val="ro-RO"/>
        </w:rPr>
        <w:t>4.3</w:t>
      </w:r>
      <w:r w:rsidR="0032532F" w:rsidRPr="0002401E">
        <w:rPr>
          <w:rFonts w:ascii="Calibri" w:hAnsi="Calibri" w:cs="Arial"/>
          <w:b/>
          <w:color w:val="002060"/>
          <w:lang w:val="ro-RO"/>
        </w:rPr>
        <w:t xml:space="preserve"> Politica de cheltuieli</w:t>
      </w:r>
    </w:p>
    <w:p w:rsidR="009F64CE" w:rsidRPr="009F64CE" w:rsidRDefault="009F64CE" w:rsidP="009F64CE">
      <w:pPr>
        <w:widowControl w:val="0"/>
        <w:spacing w:before="120"/>
        <w:jc w:val="both"/>
        <w:rPr>
          <w:rFonts w:ascii="Calibri" w:hAnsi="Calibri"/>
          <w:color w:val="002060"/>
          <w:lang w:val="ro-RO"/>
        </w:rPr>
      </w:pPr>
      <w:r w:rsidRPr="009F64CE">
        <w:rPr>
          <w:rFonts w:ascii="Calibri" w:hAnsi="Calibri"/>
          <w:color w:val="002060"/>
          <w:lang w:val="ro-RO"/>
        </w:rPr>
        <w:t xml:space="preserve">Măsuri pe termen mediu </w:t>
      </w:r>
    </w:p>
    <w:p w:rsidR="009F64CE" w:rsidRPr="009F64CE" w:rsidRDefault="009F64CE" w:rsidP="00565476">
      <w:pPr>
        <w:widowControl w:val="0"/>
        <w:numPr>
          <w:ilvl w:val="3"/>
          <w:numId w:val="202"/>
        </w:numPr>
        <w:spacing w:before="120" w:after="160" w:line="259" w:lineRule="auto"/>
        <w:ind w:left="360"/>
        <w:jc w:val="both"/>
        <w:rPr>
          <w:rFonts w:ascii="Calibri" w:hAnsi="Calibri"/>
          <w:lang w:val="ro-RO"/>
        </w:rPr>
      </w:pPr>
      <w:r w:rsidRPr="009F64CE">
        <w:rPr>
          <w:rFonts w:ascii="Calibri" w:hAnsi="Calibri"/>
          <w:lang w:val="ro-RO"/>
        </w:rPr>
        <w:t>Asigurarea unui nivel sustenabil pentru cheltuielile cu salariile şi  pensiile în sectorul public;</w:t>
      </w:r>
    </w:p>
    <w:p w:rsidR="009F64CE" w:rsidRPr="009F64CE" w:rsidRDefault="009F64CE" w:rsidP="00565476">
      <w:pPr>
        <w:widowControl w:val="0"/>
        <w:numPr>
          <w:ilvl w:val="3"/>
          <w:numId w:val="202"/>
        </w:numPr>
        <w:spacing w:before="120" w:after="160" w:line="259" w:lineRule="auto"/>
        <w:ind w:left="360"/>
        <w:jc w:val="both"/>
        <w:rPr>
          <w:rFonts w:ascii="Calibri" w:hAnsi="Calibri"/>
          <w:lang w:val="ro-RO"/>
        </w:rPr>
      </w:pPr>
      <w:r w:rsidRPr="009F64CE">
        <w:rPr>
          <w:rFonts w:ascii="Calibri" w:hAnsi="Calibri"/>
          <w:lang w:val="ro-RO"/>
        </w:rPr>
        <w:t>Orientarea resurselor disponibile către investiţii publice de în domeniile: infrastructură, agricultură şi  dezvoltarea rurală, energia şi  tehnologia avansată;</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lang w:val="ro-RO" w:eastAsia="ro-RO"/>
        </w:rPr>
      </w:pPr>
      <w:r w:rsidRPr="009F64CE">
        <w:rPr>
          <w:rFonts w:ascii="Calibri" w:hAnsi="Calibri" w:cs="Calibri"/>
          <w:lang w:val="ro-RO" w:eastAsia="ro-RO"/>
        </w:rPr>
        <w:t>Reorientarea cheltuielilor de investiţii publice în vederea realizării unei treceri treptate de la investiţiile finanţate integral din surse naţionale la investiţii cofinanţate din fonduri europene;</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lang w:val="ro-RO" w:eastAsia="ro-RO"/>
        </w:rPr>
      </w:pPr>
      <w:r w:rsidRPr="009F64CE">
        <w:rPr>
          <w:rFonts w:ascii="Calibri" w:hAnsi="Calibri" w:cs="Calibri"/>
          <w:lang w:val="ro-RO" w:eastAsia="ro-RO"/>
        </w:rPr>
        <w:t>Accelerarea ritmului de cheltuire a fondurilor europene pentru îmbunătăţirea ratei de absorbţie;</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lang w:val="ro-RO" w:eastAsia="ro-RO"/>
        </w:rPr>
      </w:pPr>
      <w:r w:rsidRPr="009F64CE">
        <w:rPr>
          <w:rFonts w:ascii="Calibri" w:hAnsi="Calibri" w:cs="Calibri"/>
          <w:lang w:val="ro-RO" w:eastAsia="ro-RO"/>
        </w:rPr>
        <w:t>Continuarea finanţării schemelor de ajutor de stat şi în perioada 2019-2021, pentru a contribui la  crearea de noi locuri de muncă, realizarea de investiţii care utilizează tehnologii noi, obţinerea de produse, servicii, tehnologii inovative, cu efecte asupra creşterii economice şi asigurării  stabilităţii macroeconomice;</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lang w:val="ro-RO"/>
        </w:rPr>
      </w:pPr>
      <w:r w:rsidRPr="003964D3">
        <w:rPr>
          <w:rFonts w:asciiTheme="minorHAnsi" w:eastAsia="Calibri" w:hAnsiTheme="minorHAnsi" w:cs="Courier New"/>
          <w:b/>
          <w:color w:val="002060"/>
          <w:lang w:val="ro-RO"/>
        </w:rPr>
        <w:t>Cheltuielile bugetare estimate pentru anul 2019</w:t>
      </w:r>
      <w:r w:rsidR="002261D5">
        <w:rPr>
          <w:rFonts w:asciiTheme="minorHAnsi" w:eastAsia="Calibri" w:hAnsiTheme="minorHAnsi" w:cs="Courier New"/>
          <w:color w:val="000000"/>
          <w:lang w:val="ro-RO"/>
        </w:rPr>
        <w:t>sunt în sumă de 370,9</w:t>
      </w:r>
      <w:r w:rsidRPr="003964D3">
        <w:rPr>
          <w:rFonts w:asciiTheme="minorHAnsi" w:eastAsia="Calibri" w:hAnsiTheme="minorHAnsi" w:cs="Courier New"/>
          <w:color w:val="000000"/>
          <w:lang w:val="ro-RO"/>
        </w:rPr>
        <w:t xml:space="preserve">  mil</w:t>
      </w:r>
      <w:r w:rsidR="00BB5625">
        <w:rPr>
          <w:rFonts w:asciiTheme="minorHAnsi" w:eastAsia="Calibri" w:hAnsiTheme="minorHAnsi" w:cs="Courier New"/>
          <w:color w:val="000000"/>
          <w:lang w:val="ro-RO"/>
        </w:rPr>
        <w:t xml:space="preserve">iarde lei, în </w:t>
      </w:r>
      <w:r w:rsidR="002261D5">
        <w:rPr>
          <w:rFonts w:asciiTheme="minorHAnsi" w:eastAsia="Calibri" w:hAnsiTheme="minorHAnsi" w:cs="Courier New"/>
          <w:color w:val="000000"/>
          <w:lang w:val="ro-RO"/>
        </w:rPr>
        <w:t>creștere cu  48,4</w:t>
      </w:r>
      <w:r w:rsidRPr="003964D3">
        <w:rPr>
          <w:rFonts w:asciiTheme="minorHAnsi" w:eastAsia="Calibri" w:hAnsiTheme="minorHAnsi" w:cs="Courier New"/>
          <w:color w:val="000000"/>
          <w:lang w:val="ro-RO"/>
        </w:rPr>
        <w:t xml:space="preserve">   miliarde lei  față de anul 2018,  în anul 2021 acestea ajung la </w:t>
      </w:r>
      <w:r w:rsidR="002261D5">
        <w:rPr>
          <w:rFonts w:asciiTheme="minorHAnsi" w:eastAsia="Calibri" w:hAnsiTheme="minorHAnsi" w:cs="Courier New"/>
          <w:color w:val="000000"/>
          <w:lang w:val="ro-RO"/>
        </w:rPr>
        <w:t>400,5 miliarde lei  respectiv    33,9</w:t>
      </w:r>
      <w:r w:rsidRPr="003964D3">
        <w:rPr>
          <w:rFonts w:asciiTheme="minorHAnsi" w:eastAsia="Calibri" w:hAnsiTheme="minorHAnsi" w:cs="Courier New"/>
          <w:color w:val="000000"/>
          <w:lang w:val="ro-RO"/>
        </w:rPr>
        <w:t>% din PIB,  înregistrând o tendință de scădere  ca pondere  în PIB  pe orizontul de referință datorită necesitătii de reducere a deficitului bugetar.</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lang w:val="ro-RO"/>
        </w:rPr>
      </w:pPr>
      <w:r w:rsidRPr="003964D3">
        <w:rPr>
          <w:rFonts w:asciiTheme="minorHAnsi" w:eastAsia="Calibri" w:hAnsiTheme="minorHAnsi" w:cs="Courier New"/>
          <w:color w:val="000000"/>
          <w:lang w:val="ro-RO"/>
        </w:rPr>
        <w:t xml:space="preserve">Cea mai mare creștere pe orizontul de referi nță ca procent in PIB o înregistrează </w:t>
      </w:r>
      <w:r w:rsidRPr="003964D3">
        <w:rPr>
          <w:rFonts w:asciiTheme="minorHAnsi" w:eastAsia="Calibri" w:hAnsiTheme="minorHAnsi" w:cs="Courier New"/>
          <w:b/>
          <w:color w:val="002060"/>
          <w:lang w:val="ro-RO"/>
        </w:rPr>
        <w:t>cheltuielile cu asistența socială</w:t>
      </w:r>
      <w:r w:rsidRPr="003964D3">
        <w:rPr>
          <w:rFonts w:asciiTheme="minorHAnsi" w:eastAsia="Calibri" w:hAnsiTheme="minorHAnsi" w:cs="Courier New"/>
          <w:color w:val="000000"/>
          <w:lang w:val="ro-RO"/>
        </w:rPr>
        <w:t>datorită măsurilor sociale adoptate.</w:t>
      </w:r>
    </w:p>
    <w:p w:rsidR="009F64CE" w:rsidRPr="009F64CE" w:rsidRDefault="009F64CE" w:rsidP="009F64CE">
      <w:pPr>
        <w:autoSpaceDE w:val="0"/>
        <w:autoSpaceDN w:val="0"/>
        <w:adjustRightInd w:val="0"/>
        <w:spacing w:after="120" w:line="276" w:lineRule="auto"/>
        <w:contextualSpacing/>
        <w:jc w:val="both"/>
        <w:rPr>
          <w:rFonts w:asciiTheme="minorHAnsi" w:eastAsia="Calibri" w:hAnsiTheme="minorHAnsi" w:cs="Courier New"/>
          <w:color w:val="000000"/>
          <w:lang w:val="ro-RO"/>
        </w:rPr>
      </w:pPr>
      <w:r w:rsidRPr="009F64CE">
        <w:rPr>
          <w:rFonts w:asciiTheme="minorHAnsi" w:eastAsia="Calibri" w:hAnsiTheme="minorHAnsi" w:cs="Courier New"/>
          <w:b/>
          <w:color w:val="002060"/>
          <w:lang w:val="ro-RO"/>
        </w:rPr>
        <w:t>Cheltuielile de personal</w:t>
      </w:r>
      <w:r w:rsidR="002261D5">
        <w:rPr>
          <w:rFonts w:asciiTheme="minorHAnsi" w:eastAsia="Calibri" w:hAnsiTheme="minorHAnsi" w:cs="Courier New"/>
          <w:color w:val="000000"/>
          <w:lang w:val="ro-RO"/>
        </w:rPr>
        <w:t>sunt in sumă de 102,1</w:t>
      </w:r>
      <w:r w:rsidRPr="009F64CE">
        <w:rPr>
          <w:rFonts w:asciiTheme="minorHAnsi" w:eastAsia="Calibri" w:hAnsiTheme="minorHAnsi" w:cs="Courier New"/>
          <w:color w:val="000000"/>
          <w:lang w:val="ro-RO"/>
        </w:rPr>
        <w:t xml:space="preserve"> miliarde lei in anul 2019, ajungand in anul 2021 la 110,4 miliarde lei .</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lang w:val="ro-RO"/>
        </w:rPr>
      </w:pPr>
      <w:r w:rsidRPr="003964D3">
        <w:rPr>
          <w:rFonts w:asciiTheme="minorHAnsi" w:eastAsia="Calibri" w:hAnsiTheme="minorHAnsi" w:cs="Courier New"/>
          <w:b/>
          <w:color w:val="002060"/>
          <w:lang w:val="ro-RO"/>
        </w:rPr>
        <w:t>Bunurile și serviciile</w:t>
      </w:r>
      <w:r w:rsidRPr="003964D3">
        <w:rPr>
          <w:rFonts w:asciiTheme="minorHAnsi" w:eastAsia="Calibri" w:hAnsiTheme="minorHAnsi" w:cs="Courier New"/>
          <w:color w:val="000000"/>
          <w:lang w:val="ro-RO"/>
        </w:rPr>
        <w:t xml:space="preserve">înregistreaza o ușoară tendință de </w:t>
      </w:r>
      <w:r w:rsidR="00BB5625">
        <w:rPr>
          <w:rFonts w:asciiTheme="minorHAnsi" w:eastAsia="Calibri" w:hAnsiTheme="minorHAnsi" w:cs="Courier New"/>
          <w:color w:val="000000"/>
          <w:lang w:val="ro-RO"/>
        </w:rPr>
        <w:t>scădere  pe perioada  2020</w:t>
      </w:r>
      <w:r w:rsidR="00A11256">
        <w:rPr>
          <w:rFonts w:asciiTheme="minorHAnsi" w:eastAsia="Calibri" w:hAnsiTheme="minorHAnsi" w:cs="Courier New"/>
          <w:color w:val="000000"/>
          <w:lang w:val="ro-RO"/>
        </w:rPr>
        <w:t>-2021</w:t>
      </w:r>
      <w:r w:rsidR="00D74D37" w:rsidRPr="003964D3">
        <w:rPr>
          <w:rFonts w:asciiTheme="minorHAnsi" w:eastAsia="Calibri" w:hAnsiTheme="minorHAnsi" w:cs="Courier New"/>
          <w:color w:val="000000"/>
          <w:lang w:val="ro-RO"/>
        </w:rPr>
        <w:t xml:space="preserve"> fat</w:t>
      </w:r>
      <w:r w:rsidR="00BB5625">
        <w:rPr>
          <w:rFonts w:asciiTheme="minorHAnsi" w:eastAsia="Calibri" w:hAnsiTheme="minorHAnsi" w:cs="Courier New"/>
          <w:color w:val="000000"/>
          <w:lang w:val="ro-RO"/>
        </w:rPr>
        <w:t>a de anul 2019</w:t>
      </w:r>
      <w:r w:rsidR="00D74D37" w:rsidRPr="003964D3">
        <w:rPr>
          <w:rFonts w:asciiTheme="minorHAnsi" w:eastAsia="Calibri" w:hAnsiTheme="minorHAnsi" w:cs="Courier New"/>
          <w:color w:val="000000"/>
          <w:lang w:val="ro-RO"/>
        </w:rPr>
        <w:t xml:space="preserve">, </w:t>
      </w:r>
      <w:r w:rsidRPr="003964D3">
        <w:rPr>
          <w:rFonts w:asciiTheme="minorHAnsi" w:eastAsia="Calibri" w:hAnsiTheme="minorHAnsi" w:cs="Courier New"/>
          <w:color w:val="000000"/>
          <w:lang w:val="ro-RO"/>
        </w:rPr>
        <w:t xml:space="preserve">  în timp ce cheltuielile cu datoria publică inregistrează o diminuare  pe perioada 2019-2021 ca procent in PIB.</w:t>
      </w:r>
    </w:p>
    <w:p w:rsidR="009F64CE" w:rsidRPr="003964D3" w:rsidRDefault="009F64CE" w:rsidP="009F64CE">
      <w:pPr>
        <w:jc w:val="both"/>
        <w:rPr>
          <w:lang w:val="fr-FR"/>
        </w:rPr>
      </w:pPr>
      <w:r w:rsidRPr="003964D3">
        <w:rPr>
          <w:rFonts w:asciiTheme="minorHAnsi" w:eastAsia="Calibri" w:hAnsiTheme="minorHAnsi" w:cs="Courier New"/>
          <w:b/>
          <w:color w:val="002060"/>
          <w:lang w:val="fr-FR"/>
        </w:rPr>
        <w:t>Cheltuielile cu investițiile</w:t>
      </w:r>
      <w:r w:rsidRPr="003964D3">
        <w:rPr>
          <w:rFonts w:asciiTheme="minorHAnsi" w:eastAsia="Calibri" w:hAnsiTheme="minorHAnsi" w:cs="Courier New"/>
          <w:color w:val="002060"/>
          <w:lang w:val="fr-FR"/>
        </w:rPr>
        <w:t xml:space="preserve">  ajung la </w:t>
      </w:r>
      <w:r w:rsidRPr="003964D3">
        <w:rPr>
          <w:rFonts w:asciiTheme="minorHAnsi" w:eastAsia="Calibri" w:hAnsiTheme="minorHAnsi" w:cs="Courier New"/>
          <w:color w:val="000000" w:themeColor="text1"/>
          <w:lang w:val="fr-FR"/>
        </w:rPr>
        <w:t xml:space="preserve"> 43,2 miliarde lei  în anul 2021. </w:t>
      </w:r>
    </w:p>
    <w:p w:rsidR="004631BC" w:rsidRPr="002A66A2" w:rsidRDefault="004631BC" w:rsidP="00645726">
      <w:pPr>
        <w:widowControl w:val="0"/>
        <w:spacing w:before="40" w:after="100" w:line="269" w:lineRule="auto"/>
        <w:jc w:val="both"/>
        <w:rPr>
          <w:rFonts w:asciiTheme="minorHAnsi" w:hAnsiTheme="minorHAnsi" w:cs="Courier New"/>
          <w:color w:val="000000" w:themeColor="text1"/>
          <w:lang w:val="ro-RO"/>
        </w:rPr>
      </w:pPr>
    </w:p>
    <w:tbl>
      <w:tblPr>
        <w:tblW w:w="10017" w:type="dxa"/>
        <w:tblInd w:w="51" w:type="dxa"/>
        <w:shd w:val="clear" w:color="auto" w:fill="99CCFF"/>
        <w:tblLook w:val="01E0" w:firstRow="1" w:lastRow="1" w:firstColumn="1" w:lastColumn="1" w:noHBand="0" w:noVBand="0"/>
      </w:tblPr>
      <w:tblGrid>
        <w:gridCol w:w="10017"/>
      </w:tblGrid>
      <w:tr w:rsidR="00641BA7" w:rsidRPr="00C86702" w:rsidTr="001C7118">
        <w:trPr>
          <w:trHeight w:val="290"/>
        </w:trPr>
        <w:tc>
          <w:tcPr>
            <w:tcW w:w="10017" w:type="dxa"/>
            <w:shd w:val="clear" w:color="auto" w:fill="9CC2E5" w:themeFill="accent1" w:themeFillTint="99"/>
          </w:tcPr>
          <w:p w:rsidR="00641BA7" w:rsidRPr="00C86702" w:rsidRDefault="00641BA7" w:rsidP="00E91B4E">
            <w:pPr>
              <w:keepLines/>
              <w:widowControl w:val="0"/>
              <w:shd w:val="clear" w:color="auto" w:fill="9CC2E5" w:themeFill="accent1" w:themeFillTint="99"/>
              <w:spacing w:line="320" w:lineRule="exact"/>
              <w:jc w:val="both"/>
              <w:rPr>
                <w:rFonts w:ascii="Calibri" w:hAnsi="Calibri"/>
                <w:b/>
                <w:color w:val="000080"/>
                <w:lang w:val="ro-RO"/>
              </w:rPr>
            </w:pPr>
            <w:r w:rsidRPr="001930D6">
              <w:rPr>
                <w:rFonts w:ascii="Calibri" w:hAnsi="Calibri"/>
                <w:b/>
                <w:color w:val="002060"/>
                <w:lang w:val="ro-RO"/>
              </w:rPr>
              <w:t>4.</w:t>
            </w:r>
            <w:r w:rsidR="004631BC">
              <w:rPr>
                <w:rFonts w:ascii="Calibri" w:hAnsi="Calibri"/>
                <w:b/>
                <w:color w:val="002060"/>
                <w:lang w:val="ro-RO"/>
              </w:rPr>
              <w:t>4</w:t>
            </w:r>
            <w:r w:rsidRPr="001930D6">
              <w:rPr>
                <w:rFonts w:ascii="Calibri" w:hAnsi="Calibri"/>
                <w:b/>
                <w:color w:val="002060"/>
                <w:lang w:val="ro-RO"/>
              </w:rPr>
              <w:t xml:space="preserve">  Politica de administrare fiscală</w:t>
            </w:r>
          </w:p>
        </w:tc>
      </w:tr>
      <w:tr w:rsidR="001C19AF" w:rsidRPr="001C19AF" w:rsidTr="00D31E57">
        <w:trPr>
          <w:trHeight w:val="290"/>
        </w:trPr>
        <w:tc>
          <w:tcPr>
            <w:tcW w:w="10017" w:type="dxa"/>
            <w:shd w:val="clear" w:color="auto" w:fill="FFFFFF" w:themeFill="background1"/>
          </w:tcPr>
          <w:p w:rsidR="001C19AF" w:rsidRPr="001C19AF" w:rsidRDefault="001C19AF" w:rsidP="001C19AF">
            <w:pPr>
              <w:rPr>
                <w:rFonts w:ascii="Arial Narrow" w:hAnsi="Arial Narrow"/>
                <w:b/>
                <w:color w:val="000000"/>
                <w:lang w:val="ro-RO"/>
              </w:rPr>
            </w:pPr>
          </w:p>
        </w:tc>
      </w:tr>
    </w:tbl>
    <w:p w:rsidR="0079170F" w:rsidRPr="0079170F" w:rsidRDefault="0079170F" w:rsidP="0079170F">
      <w:pPr>
        <w:suppressAutoHyphens/>
        <w:ind w:firstLine="720"/>
        <w:jc w:val="both"/>
        <w:rPr>
          <w:rFonts w:ascii="Calibri" w:hAnsi="Calibri" w:cs="Calibri"/>
          <w:color w:val="000000"/>
          <w:lang w:val="ro-RO" w:eastAsia="zh-CN"/>
        </w:rPr>
      </w:pPr>
      <w:r w:rsidRPr="0079170F">
        <w:rPr>
          <w:rFonts w:ascii="Calibri" w:hAnsi="Calibri" w:cs="Calibri"/>
          <w:color w:val="000000"/>
          <w:lang w:val="ro-RO" w:eastAsia="zh-CN"/>
        </w:rPr>
        <w:t>Rezultatele obţinute de Agenţia Naţională de Administrare Fiscală în anul 2018 relevă o creştere semnificativă a eficienţei şi dinamicii activităţii de administrare fiscală. Astfel, veniturile bugetare totale încasate, în sumă de 244.690,7 mil. lei, au depăşit cu 15,1% încasările din anul 2017.</w:t>
      </w:r>
    </w:p>
    <w:p w:rsidR="0079170F" w:rsidRPr="0079170F" w:rsidRDefault="0079170F" w:rsidP="0079170F">
      <w:pPr>
        <w:suppressAutoHyphens/>
        <w:rPr>
          <w:rFonts w:ascii="Calibri" w:hAnsi="Calibri" w:cs="Calibri"/>
          <w:b/>
          <w:color w:val="000000"/>
          <w:lang w:val="ro-RO" w:eastAsia="zh-CN"/>
        </w:rPr>
      </w:pPr>
    </w:p>
    <w:p w:rsidR="0079170F" w:rsidRPr="0079170F" w:rsidRDefault="0079170F" w:rsidP="0079170F">
      <w:pPr>
        <w:suppressAutoHyphens/>
        <w:jc w:val="both"/>
        <w:rPr>
          <w:rFonts w:ascii="Calibri" w:hAnsi="Calibri" w:cs="Calibri"/>
          <w:b/>
          <w:color w:val="000000"/>
          <w:lang w:val="ro-RO" w:eastAsia="zh-CN"/>
        </w:rPr>
      </w:pPr>
      <w:r w:rsidRPr="0079170F">
        <w:rPr>
          <w:rFonts w:ascii="Calibri" w:hAnsi="Calibri" w:cs="Calibri"/>
          <w:bCs/>
          <w:iCs/>
          <w:color w:val="000000"/>
          <w:lang w:val="ro-RO" w:eastAsia="zh-CN"/>
        </w:rPr>
        <w:tab/>
      </w:r>
    </w:p>
    <w:p w:rsidR="0079170F" w:rsidRPr="0079170F" w:rsidRDefault="0079170F" w:rsidP="0079170F">
      <w:pPr>
        <w:shd w:val="clear" w:color="auto" w:fill="E5F2FF"/>
        <w:suppressAutoHyphens/>
        <w:rPr>
          <w:rFonts w:ascii="Calibri" w:hAnsi="Calibri" w:cs="Calibri"/>
          <w:b/>
          <w:color w:val="000000"/>
          <w:lang w:val="ro-RO" w:eastAsia="zh-CN"/>
        </w:rPr>
      </w:pPr>
      <w:r w:rsidRPr="0079170F">
        <w:rPr>
          <w:rFonts w:ascii="Calibri" w:hAnsi="Calibri" w:cs="Calibri"/>
          <w:b/>
          <w:color w:val="000000"/>
          <w:lang w:val="ro-RO" w:eastAsia="zh-CN"/>
        </w:rPr>
        <w:t>I. Realizările ANAF în anul 2018</w:t>
      </w:r>
    </w:p>
    <w:p w:rsidR="0079170F" w:rsidRPr="0079170F" w:rsidRDefault="0079170F" w:rsidP="0079170F">
      <w:pPr>
        <w:suppressAutoHyphens/>
        <w:rPr>
          <w:rFonts w:ascii="Calibri" w:hAnsi="Calibri" w:cs="Calibri"/>
          <w:b/>
          <w:color w:val="000000"/>
          <w:lang w:val="ro-RO" w:eastAsia="zh-CN"/>
        </w:rPr>
      </w:pPr>
    </w:p>
    <w:p w:rsidR="0079170F" w:rsidRPr="0079170F" w:rsidRDefault="0079170F" w:rsidP="0079170F">
      <w:pPr>
        <w:shd w:val="clear" w:color="auto" w:fill="E5F2FF"/>
        <w:suppressAutoHyphens/>
        <w:rPr>
          <w:rFonts w:ascii="Calibri" w:hAnsi="Calibri" w:cs="Arial Narrow"/>
          <w:b/>
          <w:color w:val="000000"/>
          <w:lang w:val="ro-RO" w:eastAsia="zh-CN"/>
        </w:rPr>
      </w:pPr>
      <w:r w:rsidRPr="0079170F">
        <w:rPr>
          <w:rFonts w:ascii="Calibri" w:hAnsi="Calibri" w:cs="Calibri"/>
          <w:b/>
          <w:color w:val="000000"/>
          <w:lang w:val="ro-RO" w:eastAsia="zh-CN"/>
        </w:rPr>
        <w:t>1. Cele mai importante acţiuni legislative şi organizatorice</w:t>
      </w:r>
    </w:p>
    <w:p w:rsidR="0079170F" w:rsidRPr="0079170F" w:rsidRDefault="0079170F" w:rsidP="0079170F">
      <w:pPr>
        <w:suppressAutoHyphens/>
        <w:rPr>
          <w:rFonts w:ascii="Calibri" w:hAnsi="Calibri" w:cs="Arial Narrow"/>
          <w:b/>
          <w:color w:val="000000"/>
          <w:lang w:val="ro-RO" w:eastAsia="zh-CN"/>
        </w:rPr>
      </w:pPr>
    </w:p>
    <w:p w:rsidR="0079170F" w:rsidRPr="0079170F" w:rsidRDefault="0079170F" w:rsidP="0079170F">
      <w:pPr>
        <w:suppressAutoHyphens/>
        <w:jc w:val="both"/>
        <w:rPr>
          <w:rFonts w:ascii="Calibri" w:hAnsi="Calibri" w:cs="Calibri"/>
          <w:color w:val="000000"/>
          <w:lang w:val="ro-RO" w:eastAsia="zh-CN"/>
        </w:rPr>
      </w:pPr>
      <w:r w:rsidRPr="0079170F">
        <w:rPr>
          <w:rFonts w:ascii="Calibri" w:hAnsi="Calibri" w:cs="Arial Narrow"/>
          <w:color w:val="000000"/>
          <w:lang w:val="ro-RO" w:eastAsia="zh-CN"/>
        </w:rPr>
        <w:tab/>
      </w:r>
      <w:r w:rsidRPr="0079170F">
        <w:rPr>
          <w:rFonts w:ascii="Calibri" w:hAnsi="Calibri" w:cs="Calibri"/>
          <w:b/>
          <w:color w:val="000000"/>
          <w:lang w:val="ro-RO" w:eastAsia="zh-CN"/>
        </w:rPr>
        <w:t>1.1. Activitatea de colectare a veniturilor</w:t>
      </w:r>
    </w:p>
    <w:p w:rsidR="0079170F" w:rsidRPr="0079170F" w:rsidRDefault="0079170F" w:rsidP="0079170F">
      <w:pPr>
        <w:suppressAutoHyphens/>
        <w:spacing w:after="120"/>
        <w:ind w:firstLine="720"/>
        <w:jc w:val="both"/>
        <w:rPr>
          <w:rFonts w:ascii="Calibri" w:hAnsi="Calibri" w:cs="Calibri"/>
          <w:color w:val="000000"/>
          <w:shd w:val="clear" w:color="auto" w:fill="FFFFFF"/>
          <w:lang w:val="ro-RO" w:eastAsia="zh-CN"/>
        </w:rPr>
      </w:pPr>
      <w:r w:rsidRPr="0079170F">
        <w:rPr>
          <w:rFonts w:ascii="Calibri" w:hAnsi="Calibri" w:cs="Calibri"/>
          <w:color w:val="000000"/>
          <w:shd w:val="clear" w:color="auto" w:fill="FFFFFF"/>
          <w:lang w:val="ro-RO" w:eastAsia="zh-CN"/>
        </w:rPr>
        <w:t xml:space="preserve">Totalul veniturilor bugetare realizate de Agenţia Naţională de Administrare Fiscală în anul 2018 au fost de 244.690,7 mil. lei, ceea ce reprezintă o depăşire cu 15,1% a nivelului veniturilor realizate în anul 2017. </w:t>
      </w:r>
    </w:p>
    <w:p w:rsidR="0079170F" w:rsidRPr="0079170F" w:rsidRDefault="0079170F" w:rsidP="0079170F">
      <w:pPr>
        <w:suppressAutoHyphens/>
        <w:spacing w:after="120"/>
        <w:ind w:firstLine="720"/>
        <w:jc w:val="both"/>
        <w:rPr>
          <w:rFonts w:ascii="Calibri" w:hAnsi="Calibri" w:cs="Calibri"/>
          <w:color w:val="000000"/>
          <w:shd w:val="clear" w:color="auto" w:fill="FFFFFF"/>
          <w:lang w:val="ro-RO" w:eastAsia="zh-CN"/>
        </w:rPr>
      </w:pPr>
      <w:r w:rsidRPr="0079170F">
        <w:rPr>
          <w:rFonts w:ascii="Calibri" w:hAnsi="Calibri" w:cs="Calibri"/>
          <w:color w:val="000000"/>
          <w:shd w:val="clear" w:color="auto" w:fill="FFFFFF"/>
          <w:lang w:val="ro-RO" w:eastAsia="zh-CN"/>
        </w:rPr>
        <w:t>Veniturile bugetului de stat au fost de 151.086,6 mil. lei. Contribuţia cea mai importantă la formarea veniturilor bugetului de stat o aduce TVA, cu o pondere de 39,5%, urmată de accize cu 17,9% şi de impozitul pe venit cu 14,9%.</w:t>
      </w:r>
    </w:p>
    <w:p w:rsidR="0079170F" w:rsidRPr="0079170F" w:rsidRDefault="0079170F" w:rsidP="0079170F">
      <w:pPr>
        <w:suppressAutoHyphens/>
        <w:spacing w:after="120"/>
        <w:ind w:firstLine="720"/>
        <w:jc w:val="both"/>
        <w:rPr>
          <w:rFonts w:ascii="Calibri" w:hAnsi="Calibri" w:cs="Calibri"/>
          <w:color w:val="000000"/>
          <w:shd w:val="clear" w:color="auto" w:fill="FFFFFF"/>
          <w:lang w:val="ro-RO" w:eastAsia="zh-CN"/>
        </w:rPr>
      </w:pPr>
      <w:r w:rsidRPr="0079170F">
        <w:rPr>
          <w:rFonts w:ascii="Calibri" w:hAnsi="Calibri" w:cs="Calibri"/>
          <w:color w:val="000000"/>
          <w:shd w:val="clear" w:color="auto" w:fill="FFFFFF"/>
          <w:lang w:val="ro-RO" w:eastAsia="zh-CN"/>
        </w:rPr>
        <w:t>Totalul încasărilor reprezentând contribuții de asigurări sociale a fost de 92.285 mil.lei, cu 21.845,7 mil. lei mai mult ( 131% - indice nominal), față de total an 2017 ( 70.439,3 mil.lei ).</w:t>
      </w:r>
    </w:p>
    <w:p w:rsidR="0079170F" w:rsidRPr="0079170F" w:rsidRDefault="0079170F" w:rsidP="0079170F">
      <w:pPr>
        <w:suppressAutoHyphens/>
        <w:spacing w:after="120"/>
        <w:ind w:firstLine="720"/>
        <w:jc w:val="both"/>
        <w:rPr>
          <w:rFonts w:ascii="Calibri" w:hAnsi="Calibri" w:cs="Calibri"/>
          <w:color w:val="000000"/>
          <w:shd w:val="clear" w:color="auto" w:fill="FFFFFF"/>
          <w:lang w:val="ro-RO" w:eastAsia="zh-CN"/>
        </w:rPr>
      </w:pPr>
      <w:r w:rsidRPr="0079170F">
        <w:rPr>
          <w:rFonts w:ascii="Calibri" w:hAnsi="Calibri" w:cs="Calibri"/>
          <w:color w:val="000000"/>
          <w:shd w:val="clear" w:color="auto" w:fill="FFFFFF"/>
          <w:lang w:val="ro-RO" w:eastAsia="zh-CN"/>
        </w:rPr>
        <w:t>La  30 noiembrie 2018, încasările din arieratele recuperabile la bugetele administrate de A.N.A.F. au fost în sumă de 31.865,0 mil.lei, ponderea cea mai mare reprezentând-o încasările din arieratele recuperabile la bugetul de stat (58,1%). Arieratele rămase de recuperat la 30 noiembrie 2018  erau în cuantum de 16.199,2 mil.lei , reprezentând  1,7% din PIB.</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lang w:val="ro-RO" w:eastAsia="zh-CN"/>
        </w:rPr>
      </w:pP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lang w:val="ro-RO" w:eastAsia="zh-CN"/>
        </w:rPr>
      </w:pP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t>1.2. Sprijinirea conformării voluntare</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color w:val="000000"/>
          <w:lang w:val="ro-RO" w:eastAsia="zh-CN"/>
        </w:rPr>
      </w:pP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color w:val="000000"/>
          <w:lang w:val="ro-RO" w:eastAsia="zh-CN"/>
        </w:rPr>
        <w:t>În perioada ianuarie – noiembrie 2018 faţă de aceeaşi perioadă a anului 2017, gradul de conformare voluntară la plată a crescut cu 0,9 p.p. (de la 85,5% la 86,4%) iar gradul de conformare voluntară la declarare în perioada ianuarie – noiembrie 2018 a fost de 94,3% față de 95,5% în aceeași perioadă a anului 2017.</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color w:val="000000"/>
          <w:lang w:val="ro-RO" w:eastAsia="zh-CN"/>
        </w:rPr>
      </w:pPr>
      <w:r w:rsidRPr="0079170F">
        <w:rPr>
          <w:rFonts w:ascii="Calibri" w:hAnsi="Calibri" w:cs="Calibri"/>
          <w:color w:val="000000"/>
          <w:lang w:val="ro-RO" w:eastAsia="zh-CN"/>
        </w:rPr>
        <w:tab/>
      </w:r>
      <w:r w:rsidRPr="0079170F">
        <w:rPr>
          <w:rFonts w:ascii="Calibri" w:hAnsi="Calibri" w:cs="Calibri"/>
          <w:color w:val="000000"/>
          <w:lang w:val="ro-RO" w:eastAsia="zh-CN"/>
        </w:rPr>
        <w:tab/>
      </w:r>
      <w:r w:rsidRPr="0079170F">
        <w:rPr>
          <w:rFonts w:ascii="Calibri" w:hAnsi="Calibri" w:cs="Calibri"/>
          <w:color w:val="000000"/>
          <w:lang w:val="ro-RO" w:eastAsia="zh-CN"/>
        </w:rPr>
        <w:tab/>
      </w:r>
      <w:r w:rsidRPr="0079170F">
        <w:rPr>
          <w:rFonts w:ascii="Calibri" w:hAnsi="Calibri" w:cs="Calibri"/>
          <w:color w:val="000000"/>
          <w:lang w:val="ro-RO" w:eastAsia="zh-CN"/>
        </w:rPr>
        <w:tab/>
        <w:t>În vederea creşterii gradului de conformare voluntară, în domeniul inspecției fiscale, în perioada ianuarie – noiembrie 2018 au fost emise un număr total de 14 soluţii fiscale individuale anticipate, fiind emise şi 13 decizii de respingere pentru cererile de emitere a unor soluţii fiscale individuale anticipate. Totodată, au fost emise 3 acorduri de preț în avans unilateral.</w:t>
      </w:r>
    </w:p>
    <w:p w:rsidR="0079170F" w:rsidRPr="0079170F" w:rsidRDefault="0079170F" w:rsidP="0079170F">
      <w:pPr>
        <w:tabs>
          <w:tab w:val="left" w:pos="180"/>
          <w:tab w:val="left" w:pos="360"/>
          <w:tab w:val="left" w:pos="540"/>
          <w:tab w:val="left" w:pos="720"/>
        </w:tabs>
        <w:suppressAutoHyphens/>
        <w:spacing w:after="120"/>
        <w:jc w:val="both"/>
        <w:rPr>
          <w:rFonts w:ascii="Calibri" w:eastAsia="Calibri" w:hAnsi="Calibri" w:cs="Calibri"/>
          <w:color w:val="000000"/>
          <w:lang w:val="ro-RO" w:eastAsia="zh-CN"/>
        </w:rPr>
      </w:pPr>
      <w:r w:rsidRPr="0079170F">
        <w:rPr>
          <w:rFonts w:ascii="Calibri" w:hAnsi="Calibri" w:cs="Calibri"/>
          <w:color w:val="000000"/>
          <w:lang w:val="ro-RO" w:eastAsia="zh-CN"/>
        </w:rPr>
        <w:tab/>
      </w:r>
      <w:r w:rsidRPr="0079170F">
        <w:rPr>
          <w:rFonts w:ascii="Calibri" w:hAnsi="Calibri" w:cs="Calibri"/>
          <w:color w:val="000000"/>
          <w:lang w:val="ro-RO" w:eastAsia="zh-CN"/>
        </w:rPr>
        <w:tab/>
      </w:r>
      <w:r w:rsidRPr="0079170F">
        <w:rPr>
          <w:rFonts w:ascii="Calibri" w:hAnsi="Calibri" w:cs="Calibri"/>
          <w:color w:val="000000"/>
          <w:lang w:val="ro-RO" w:eastAsia="zh-CN"/>
        </w:rPr>
        <w:tab/>
      </w:r>
      <w:r w:rsidRPr="0079170F">
        <w:rPr>
          <w:rFonts w:ascii="Calibri" w:hAnsi="Calibri" w:cs="Calibri"/>
          <w:color w:val="000000"/>
          <w:lang w:val="ro-RO" w:eastAsia="zh-CN"/>
        </w:rPr>
        <w:tab/>
        <w:t xml:space="preserve">În vederea creşterii conformării voluntare, în domeniul asistenței contribuabililor, a fost actualizată și publicată pe site „Broşura privind procedura de aplicare şi contravenţiile care intră sub incidenţa Legii prevenirii nr. 270/2017”. </w:t>
      </w:r>
    </w:p>
    <w:p w:rsidR="0079170F" w:rsidRPr="0079170F" w:rsidRDefault="0079170F" w:rsidP="0079170F">
      <w:pPr>
        <w:tabs>
          <w:tab w:val="left" w:pos="180"/>
          <w:tab w:val="left" w:pos="360"/>
          <w:tab w:val="left" w:pos="540"/>
          <w:tab w:val="left" w:pos="720"/>
        </w:tabs>
        <w:suppressAutoHyphens/>
        <w:spacing w:after="120"/>
        <w:ind w:firstLine="709"/>
        <w:jc w:val="both"/>
        <w:rPr>
          <w:rFonts w:ascii="Calibri" w:hAnsi="Calibri" w:cs="Calibri"/>
          <w:color w:val="000000"/>
          <w:lang w:val="ro-RO" w:eastAsia="zh-CN"/>
        </w:rPr>
      </w:pPr>
      <w:r w:rsidRPr="0079170F">
        <w:rPr>
          <w:rFonts w:ascii="Calibri" w:hAnsi="Calibri" w:cs="Calibri"/>
          <w:color w:val="000000"/>
          <w:lang w:val="ro-RO" w:eastAsia="zh-CN"/>
        </w:rPr>
        <w:t>Totodată a fost elaborat un document prin care utilizatorii serviciului Spațiul Privat Virtual au fost inștiințați cu privire la posibilitatea de a beneficia de esalonarea la plata a obligatiilor fiscale. Documentul a fost transmis către 103.681 contribuabili, prin Spațiul Privat Virtual, în luna decembrie 2018, contribuabili care figurau înscriși în evidențele fiscale cu obligații de plată care depășeau cuantumul sumelor prevăzute de art. 184, alin. 7 din Legea nr. 207/2015 privind Codul de procedură fiscală, respectiv 500 lei în cazul persoanelor fizice și 5000 lei în cazul persoanelor juridice. Prin documentul transmis, contribuabilii au fost informați cu privire la posibilitatea și condițiile necesare pentru a beneficia de eșalonarea la plată a obligațiilor fiscale.</w:t>
      </w:r>
    </w:p>
    <w:p w:rsidR="0079170F" w:rsidRPr="0079170F" w:rsidRDefault="0079170F" w:rsidP="0079170F">
      <w:pPr>
        <w:tabs>
          <w:tab w:val="left" w:pos="180"/>
          <w:tab w:val="left" w:pos="360"/>
          <w:tab w:val="left" w:pos="540"/>
          <w:tab w:val="left" w:pos="720"/>
        </w:tabs>
        <w:suppressAutoHyphens/>
        <w:spacing w:after="120"/>
        <w:ind w:firstLine="709"/>
        <w:jc w:val="both"/>
        <w:rPr>
          <w:rFonts w:ascii="Calibri" w:hAnsi="Calibri" w:cs="Calibri"/>
          <w:color w:val="000000"/>
          <w:lang w:val="ro-RO" w:eastAsia="zh-CN"/>
        </w:rPr>
      </w:pPr>
      <w:r w:rsidRPr="0079170F">
        <w:rPr>
          <w:rFonts w:ascii="Calibri" w:hAnsi="Calibri" w:cs="Calibri"/>
          <w:color w:val="000000"/>
          <w:lang w:val="ro-RO" w:eastAsia="zh-CN"/>
        </w:rPr>
        <w:tab/>
        <w:t>De asemenea, în anul 2018 au fost organizate 1.273 întâlniri la care au luat parte aproximativ 24.000 de contribuabili. Totodată, pe pagina de Facebook, au fost publicate 84 de postări care conţin  anunțuri privind desfăşurarea sesiunilor de asistenţă,  sesiunile efectiv desfășurate privind modalități de îndeplinire a obligaţiilor fiscale de declarare şi de plată precum  și anunțuri relevante pentru contribuabili, impactul acestora fiind de 1.458.354 persoane.</w:t>
      </w:r>
    </w:p>
    <w:p w:rsidR="0079170F" w:rsidRPr="0079170F" w:rsidRDefault="0079170F" w:rsidP="0079170F">
      <w:pPr>
        <w:suppressAutoHyphens/>
        <w:spacing w:after="120"/>
        <w:ind w:firstLine="720"/>
        <w:jc w:val="both"/>
        <w:rPr>
          <w:rFonts w:ascii="Calibri" w:hAnsi="Calibri" w:cs="Calibri"/>
          <w:b/>
          <w:i/>
          <w:color w:val="000000"/>
          <w:lang w:val="ro-RO" w:eastAsia="zh-CN"/>
        </w:rPr>
      </w:pPr>
    </w:p>
    <w:p w:rsidR="0079170F" w:rsidRPr="0079170F" w:rsidRDefault="0079170F" w:rsidP="0079170F">
      <w:pPr>
        <w:suppressAutoHyphens/>
        <w:spacing w:after="120"/>
        <w:ind w:firstLine="720"/>
        <w:jc w:val="both"/>
        <w:rPr>
          <w:rFonts w:ascii="Calibri" w:hAnsi="Calibri" w:cs="Calibri"/>
          <w:i/>
          <w:color w:val="000000"/>
          <w:lang w:val="ro-RO" w:eastAsia="zh-CN"/>
        </w:rPr>
      </w:pPr>
      <w:r w:rsidRPr="0079170F">
        <w:rPr>
          <w:rFonts w:ascii="Calibri" w:hAnsi="Calibri" w:cs="Calibri"/>
          <w:b/>
          <w:i/>
          <w:color w:val="000000"/>
          <w:lang w:val="ro-RO" w:eastAsia="zh-CN"/>
        </w:rPr>
        <w:t xml:space="preserve">1.3.Îmbunătăţirea relaţiei cu contribuabilii  </w:t>
      </w:r>
    </w:p>
    <w:p w:rsidR="0079170F" w:rsidRPr="0079170F" w:rsidRDefault="0079170F" w:rsidP="0079170F">
      <w:pPr>
        <w:suppressAutoHyphens/>
        <w:spacing w:after="120"/>
        <w:jc w:val="both"/>
        <w:rPr>
          <w:rFonts w:ascii="Calibri" w:hAnsi="Calibri" w:cs="Calibri"/>
          <w:color w:val="000000"/>
          <w:lang w:val="ro-RO" w:eastAsia="zh-CN"/>
        </w:rPr>
      </w:pPr>
      <w:r w:rsidRPr="0079170F">
        <w:rPr>
          <w:rFonts w:ascii="Calibri" w:hAnsi="Calibri" w:cs="Calibri"/>
          <w:color w:val="000000"/>
          <w:lang w:val="ro-RO" w:eastAsia="zh-CN"/>
        </w:rPr>
        <w:tab/>
        <w:t>În vederea creșterii calității serviciilor destinate contribuabililor, începând cu 1 august 2018 a fost introdus un portofoliu cuprinzător de standarde (cantitative) de oferire a serviciilor la sediile unităților fiscale în cadrul unităților fiscale subordonate DGRFP Brașov, aceste standarde fiind prezente în cadrul unităților fiscale subordonate DGRFP Galați și DGRFP Cluj Napoca de la  1 noiembrie 2016, respectiv 1 septembrie 2017. De asemenea, în 54 de unități fiscale interacţiunea cu contribuabilii se desfăşoară exclusiv prin intermediul “</w:t>
      </w:r>
      <w:r w:rsidRPr="0079170F">
        <w:rPr>
          <w:rFonts w:ascii="Calibri" w:hAnsi="Calibri" w:cs="Calibri"/>
          <w:i/>
          <w:color w:val="000000"/>
          <w:lang w:val="ro-RO" w:eastAsia="zh-CN"/>
        </w:rPr>
        <w:t>ghişeului unic</w:t>
      </w:r>
      <w:r w:rsidRPr="0079170F">
        <w:rPr>
          <w:rFonts w:ascii="Calibri" w:hAnsi="Calibri" w:cs="Calibri"/>
          <w:color w:val="000000"/>
          <w:lang w:val="ro-RO" w:eastAsia="zh-CN"/>
        </w:rPr>
        <w:t>”.</w:t>
      </w:r>
    </w:p>
    <w:p w:rsidR="0079170F" w:rsidRPr="0079170F" w:rsidRDefault="0079170F" w:rsidP="0079170F">
      <w:pPr>
        <w:tabs>
          <w:tab w:val="left" w:pos="360"/>
          <w:tab w:val="left" w:pos="547"/>
        </w:tabs>
        <w:suppressAutoHyphens/>
        <w:spacing w:after="120"/>
        <w:jc w:val="both"/>
        <w:rPr>
          <w:rFonts w:ascii="Calibri" w:hAnsi="Calibri" w:cs="Calibri"/>
          <w:color w:val="000000"/>
          <w:lang w:val="ro-RO" w:eastAsia="zh-CN"/>
        </w:rPr>
      </w:pPr>
      <w:r w:rsidRPr="0079170F">
        <w:rPr>
          <w:rFonts w:ascii="Calibri" w:hAnsi="Calibri" w:cs="Calibri"/>
          <w:color w:val="000000"/>
          <w:lang w:val="ro-RO" w:eastAsia="zh-CN"/>
        </w:rPr>
        <w:tab/>
      </w:r>
      <w:r w:rsidRPr="0079170F">
        <w:rPr>
          <w:rFonts w:ascii="Calibri" w:hAnsi="Calibri" w:cs="Calibri"/>
          <w:color w:val="000000"/>
          <w:lang w:val="ro-RO" w:eastAsia="zh-CN"/>
        </w:rPr>
        <w:tab/>
      </w:r>
      <w:r w:rsidRPr="0079170F">
        <w:rPr>
          <w:rFonts w:ascii="Calibri" w:hAnsi="Calibri" w:cs="Calibri"/>
          <w:color w:val="000000"/>
          <w:lang w:val="ro-RO" w:eastAsia="zh-CN"/>
        </w:rPr>
        <w:tab/>
        <w:t>În toate unitățile fiscale teritoriale a fost implementat conceptul de ”self service” care presupune instalarea unui calculator în spații dedicate pentru a fi utilizate de către contribuabili, cu asistență din partea personalului ANAF, în vederea educării acestora în utilizarea serviciilor la distanță. În perioada aprilie – noiembrie 2018 s-au înregistrat, la nivel național, un număr de 41.602 de utilizări.</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lang w:val="ro-RO" w:eastAsia="zh-CN"/>
        </w:rPr>
      </w:pP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t>1.4. Combaterea evaziunii şi fraudei fiscale</w:t>
      </w:r>
    </w:p>
    <w:p w:rsidR="0079170F" w:rsidRPr="0079170F" w:rsidRDefault="0079170F" w:rsidP="0079170F">
      <w:pPr>
        <w:suppressAutoHyphens/>
        <w:spacing w:after="120"/>
        <w:ind w:firstLine="720"/>
        <w:jc w:val="both"/>
        <w:rPr>
          <w:rFonts w:ascii="Calibri" w:hAnsi="Calibri" w:cs="Calibri"/>
          <w:color w:val="000000"/>
          <w:lang w:val="ro-RO" w:eastAsia="zh-CN"/>
        </w:rPr>
      </w:pPr>
      <w:r w:rsidRPr="0079170F">
        <w:rPr>
          <w:rFonts w:ascii="Calibri" w:hAnsi="Calibri" w:cs="Calibri"/>
          <w:color w:val="000000"/>
          <w:lang w:val="ro-RO" w:eastAsia="zh-CN"/>
        </w:rPr>
        <w:t>În perioada ianuarie - noiembrie 2018, pe linia prevenirii şi combaterii evaziunii fiscale, Agenţia Naţională de Administrare Fiscală a obținut următoarele rezultate:</w:t>
      </w:r>
    </w:p>
    <w:p w:rsidR="0079170F" w:rsidRPr="0079170F" w:rsidRDefault="0079170F" w:rsidP="00565476">
      <w:pPr>
        <w:numPr>
          <w:ilvl w:val="0"/>
          <w:numId w:val="213"/>
        </w:numPr>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efectuate 133.551 verificări la contribuabili persoane juridice şi fizice (cu 33,6% mai puțin decât în perioada ianuarie - noiembrie 2017), urmare cărora au fost atrase la bugetul general consolidat sume suplimentare totale de 5.585,4 mil. lei (cu 29,2% mai puțin decât în perioada ianuarie - noiembrie 2017) şi a fost diminuată pierderea fiscală cu suma de 2.815,2 mil. lei (cu 5,4% mai mult decât în perioada ianuarie - noiembrie 2017);</w:t>
      </w:r>
    </w:p>
    <w:p w:rsidR="0079170F" w:rsidRPr="0079170F" w:rsidRDefault="0079170F" w:rsidP="00565476">
      <w:pPr>
        <w:numPr>
          <w:ilvl w:val="0"/>
          <w:numId w:val="213"/>
        </w:numPr>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aplicate 36.307 amenzi contravenţionale, în sumă totală de 168,6 mil. lei (cu 1,1% mai mult decât în perioada ianuarie - noiembrie 2017) şi au fost încasate un număr de 49.146 amenzi, în sumă totală de 251,8 mil. lei (cu 79,3%  mai mult decât în perioada ianuarie - noiembrie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 fost înaintat organelor abilitate în vederea continuării cercetărilor un număr de 2.043 sesizări pentru un prejudiciu de 2.223,6 mil. lei (cu 51,3% mai putin decât în perioada ianuarie - noiembrie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instituite 1.781 măsuri asigurătorii, în valoare de 1.455,0 mil. lei (cu 53,0% mai putin decât în perioada ianuarie - noiembrie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valoarea confiscărilor de bunuri şi numerar a fost de 134,5 mil. lei (cu 18,4% mai puțin decât în perioada ianuarie - noiembrie 2017), incluzând un număr de aprox. 45,2 mil. bucăţi ţigarete confiscate.</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i/>
          <w:iCs/>
          <w:color w:val="000000"/>
          <w:lang w:val="ro-RO" w:eastAsia="zh-CN"/>
        </w:rPr>
      </w:pP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t>Activitatea de inspecţie fiscală</w:t>
      </w:r>
    </w:p>
    <w:p w:rsidR="0079170F" w:rsidRPr="003964D3" w:rsidRDefault="0079170F" w:rsidP="0079170F">
      <w:pPr>
        <w:spacing w:before="100" w:beforeAutospacing="1" w:after="119"/>
        <w:ind w:firstLine="720"/>
        <w:jc w:val="both"/>
        <w:rPr>
          <w:color w:val="00000A"/>
          <w:lang w:val="ro-RO" w:eastAsia="ro-RO"/>
        </w:rPr>
      </w:pPr>
      <w:r w:rsidRPr="00F54451">
        <w:rPr>
          <w:rFonts w:ascii="Calibri" w:hAnsi="Calibri"/>
          <w:lang w:val="ro-RO" w:eastAsia="ro-RO"/>
        </w:rPr>
        <w:t>În</w:t>
      </w:r>
      <w:r w:rsidRPr="0079170F">
        <w:rPr>
          <w:rFonts w:ascii="Calibri" w:hAnsi="Calibri"/>
          <w:color w:val="000000"/>
          <w:lang w:val="ro-RO" w:eastAsia="ro-RO"/>
        </w:rPr>
        <w:t xml:space="preserve"> perioada ianuarie – noiembrie 2018, organele de inspecţie fiscală din ANAF au efectuat un număr de 37.880 verificări (inspecţii fiscale, controale inopinate, controale încrucişate, cercetări la faţa locului) la contribuabili persoane juridice şi fizice, din care 23.741 inspecţii fiscale, urmare cărora:</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stabilite obligaţii fiscale de plată suplimentare (principale şi accesorii) în valoare totală de 5.581,8 mil. lei, din care 5.452,8 mil. lei reprezintă obligaţii fiscale principale;</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aplicate 4.118  amenzi în valoare totală de 9,1 mil. lei;</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înaintate organelor de urmărire penală un număr de 1.327 sesizări, pentru un prejudiciu total de 1.242,3 mil. lei;</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au fost instituite 1.544 măsuri asigurătorii în valoare de 1.250,9 mil. lei;</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lang w:val="ro-RO" w:eastAsia="zh-CN"/>
        </w:rPr>
      </w:pPr>
      <w:r w:rsidRPr="0079170F">
        <w:rPr>
          <w:rFonts w:ascii="Calibri" w:hAnsi="Calibri" w:cs="Calibri"/>
          <w:color w:val="000000"/>
          <w:lang w:val="ro-RO" w:eastAsia="zh-CN"/>
        </w:rPr>
        <w:t>a fost diminuată pierderea fiscală cu suma de 2.832,2 mil. lei;</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cadrul inspecţiilor fiscale ce au vizat verificarea dosarului preţurilor de transfer, au fost stabilite obligaţii fiscale de plată suplimentare (principale şi accesorii) în valoare totală de 136,9 mil. lei şi a fost diminuată pierderea fiscală cu suma de 217,9 mil. lei.</w:t>
      </w:r>
    </w:p>
    <w:p w:rsidR="0079170F" w:rsidRPr="0079170F" w:rsidRDefault="0079170F" w:rsidP="0079170F">
      <w:pPr>
        <w:tabs>
          <w:tab w:val="left" w:pos="180"/>
          <w:tab w:val="left" w:pos="360"/>
          <w:tab w:val="left" w:pos="540"/>
          <w:tab w:val="left" w:pos="720"/>
        </w:tabs>
        <w:suppressAutoHyphens/>
        <w:rPr>
          <w:rFonts w:ascii="Calibri" w:hAnsi="Calibri" w:cs="Calibri"/>
          <w:b/>
          <w:color w:val="000000"/>
          <w:lang w:val="ro-RO" w:eastAsia="zh-CN"/>
        </w:rPr>
      </w:pPr>
    </w:p>
    <w:p w:rsidR="0079170F" w:rsidRPr="0079170F" w:rsidRDefault="0079170F" w:rsidP="0079170F">
      <w:pPr>
        <w:tabs>
          <w:tab w:val="left" w:pos="180"/>
          <w:tab w:val="left" w:pos="360"/>
          <w:tab w:val="left" w:pos="540"/>
          <w:tab w:val="left" w:pos="720"/>
        </w:tabs>
        <w:suppressAutoHyphens/>
        <w:spacing w:after="120"/>
        <w:rPr>
          <w:rFonts w:ascii="Calibri" w:hAnsi="Calibri" w:cs="Calibri"/>
          <w:i/>
          <w:color w:val="000000"/>
          <w:lang w:val="ro-RO" w:eastAsia="zh-CN"/>
        </w:rPr>
      </w:pP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r>
      <w:r w:rsidRPr="0079170F">
        <w:rPr>
          <w:rFonts w:ascii="Calibri" w:hAnsi="Calibri" w:cs="Calibri"/>
          <w:b/>
          <w:i/>
          <w:iCs/>
          <w:color w:val="000000"/>
          <w:lang w:val="ro-RO" w:eastAsia="zh-CN"/>
        </w:rPr>
        <w:tab/>
        <w:t>Activitatea în domeniul antifraudei fiscale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În perioada ianuarie - noiembrie  2018, urmare verificării unui număr de 45.939 contribuabili, au fost stabilite/cuantificate prejudicii aferente actelor de sesizare înaintate organelor de urmărire penală şi sancţiuni contravenţionale (amenzi şi confiscări) în sumă totală de 1.172,7 mil. lei (echivalentul a 255,0 mil. EUR).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Din total sume stabilite, 82,8% reprezintă prejudicii aferente actelor de sesizare înaintate organelor de urmărire penală, în timp ce sancţiunile contravenţionale (amenzi şi confiscări) reprezintă 17,2%.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La nivelul structurii de antifraudă fiscală au fost identificate și instrumentate, pe baza analizei de risc și în cadrul cooperării interinstituționale, fenomene de fraudă fiscală cu implicații fiscale negative semnificative asupra bugetului statului.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Urmare verificărilor specifice, în perioada de referință, au fost înaintate organelor de urmărire penală 310 acte de sesizare pentru un prejudiciu total estimat de 971,3 mil. lei (echivalentul a 211,2 mil. EUR).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Valoarea actelor de sesizare care înregistrează prejudicii mai mari de 1 mil. lei reprezintă 94,6% în total valoare prejudicii stabilite prin actele de sesizare înaintate organelor de urmărire penală în perioada ianuarie - noiembrie 2018.</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Pentru asigurarea recuperării prejudiciilor aferente cazurilor investigate, au fost instituite 237 măsuri asigurătorii în sumă de 203,9 mil. lei (echivalentul a 44,3 mil. EUR).</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Pe linia prevenirii evaziunii fiscale şi fraudei fiscale şi vamale au fost aplicate sancţiuni contravenţionale în valoarea totală de 201,4 mil. lei (echivalentul a 43,8 mil. EUR), reprezentând amenzi contravenţionale şi confiscări de bunuri, sume de bani în numerar şi venituri a căror provenienţă a fost considerată ilicită.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De asemenea, s-a dispus suspendarea activităţii unui număr de 588 operatori economici, din care 471 în principal pentru abateri de la prevederile OUG nr. 28/1999 privind obligaţia operatorilor economici de a utiliza aparate de marcat electronice fiscale (341 suspendări pentru nedotare aparate de marcat electronice fiscale, 130 suspendări pentru neutilizare aparate de marcat electronice fiscale) şi 117 pentru abateri de la prevederile Legii nr. 227/2015.</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lang w:val="ro-RO" w:eastAsia="zh-CN"/>
        </w:rPr>
      </w:pP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p>
    <w:p w:rsidR="0079170F" w:rsidRPr="0079170F" w:rsidRDefault="0079170F" w:rsidP="0079170F">
      <w:pPr>
        <w:tabs>
          <w:tab w:val="left" w:pos="180"/>
          <w:tab w:val="left" w:pos="360"/>
          <w:tab w:val="left" w:pos="540"/>
          <w:tab w:val="left" w:pos="720"/>
        </w:tabs>
        <w:suppressAutoHyphens/>
        <w:spacing w:after="120"/>
        <w:rPr>
          <w:rFonts w:ascii="Calibri" w:hAnsi="Calibri" w:cs="Calibri"/>
          <w:color w:val="000000"/>
          <w:lang w:val="ro-RO" w:eastAsia="zh-CN"/>
        </w:rPr>
      </w:pP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color w:val="000000"/>
          <w:lang w:val="ro-RO" w:eastAsia="zh-CN"/>
        </w:rPr>
        <w:tab/>
      </w:r>
      <w:r w:rsidRPr="0079170F">
        <w:rPr>
          <w:rFonts w:ascii="Calibri" w:hAnsi="Calibri" w:cs="Calibri"/>
          <w:b/>
          <w:i/>
          <w:iCs/>
          <w:color w:val="000000"/>
          <w:lang w:val="ro-RO" w:eastAsia="zh-CN"/>
        </w:rPr>
        <w:t>Activitatea în domeniul vamal</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anul 2018, au fost depuse şi prelucrate 659.157 declaraţii vamale de punere în liberă circulaţie a mărfurilor, comparativ cu 599.512 declaraţii în anul 2017,  fiind stabilite drepturi de import şi alte taxe (inclusiv TVA amânat) în cuantum de 18.968,6 mil. lei, comparativ cu 15.610,8 mil. lei în anul 2017.</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domeniul mişcărilor în regim suspensiv de accize, în anul 2018, au fost gestionate în aplicaţia EMCS-RO un număr total de 180.903 documente administrative electronice e-DA (86.807 e-DA iniţiate şi 94,096 e-DA primite) constatându-se o creştere faţă de anul 2017 când au fost înregistrate 181.875 e-DA (88.455 e-DA iniţiate şi 93.420 e-DA primite).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activitatea de supraveghere în domeniul vamal şi al produselor accizabile, în anul 2018 au fost constatate 3.114  fapte contravenţionale, sancţionate conform legislaţiei în vigoare cu amenzi, în cuantum de 12,3 mil. lei şi 432 fapte infracţionale pentru care au fost întocmite sesizări penale înaintate organelor de cercetare penală. Valoarea estimată a confiscărilor de bunuri, exceptând ţigaretele, este de 53,6 mil. lei.</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activitatea de control ulterior au fost derulate, în anul 2018, un număr de 105.177 acţiuni de control ulterior şi reverificări declaraţii vamale, suma totală constatată suplimentar fiind de 76,9 mil. lei.</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În domeniul combaterii traficului ilicit cu ţigarete şi produse din tutun, echipele de supraveghere şi control vamal de la nivel central, regional şi local, au confiscat în anul 2018 un număr de aprox. 45,3 mil. buc. ţigarete.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Întâlniri cu organizaţii şi practicieni în domeniul vamal</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Reprezentanţi ai Direcţiei Generale a Vămilor au participat în Bruxelles la întâlniri/reuniuni/grupuri de lucru la nivel internaţional pe domenii specifice, cum ar fi: legislaţie vamală generală, regimuri speciale, evaluarea în vamă a mărfurilor, vămuirea centralizată, statut vamal şi tranzit, vama electronică, , integrarea şi armonizarea datelor, datorie vamală, tehnologii de detecţie, criteriile de risc financiare, managementul riscurilor ş.a.. De asemenea, au participat la întâlniri/reuniuni/grupuri de lucru pe următoarele domenii: EMCS , AEO, CCWP, CIS+CUSTOMS, managementul riscurilor, combaterea  contrabandei/fraudelor vamale.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În  anul 2018 au avut loc întâlniri cu mediul de afaceri în vederea  identificării problemelor cu care se confruntă în aplicarea procedurilor simplificate de vămuire şi pentru a prezenta avantajele utilizării documentului electronic de transport ETD, cu valoare de declaraţie de tranzit ca urmare a schimbărilor legislative.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Alte subiecte de interes general, dezbătute în cadrul întâlnirilor cu marii operatori economici au avut în vedere reevaluarea autorizaţiilor emise anterior datei de 1 mai 2016, garanţiile globale şi utilizarea sistemului european de Decizii Vamale. </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De asemenea, a fost elaborat planul naţional de reevaluare a autorizaţiilor şi a fost demarat procesul de reevaluare, conform calendarului stabilit, pentru toate cele 9 tipuri de autorizaţii a căror valabilitate încetează la data de 1 mai 2019, pentru a se stabili dacă societăţile îndeplinesc noile condiţii prevăzute în legislaţia vamală unională. La nivel naţional continuă procesul de reevaluare pentru autorizaţiile acordate în temeiul regulamentului (CEE) 2.913/1992 al Consiliului sau a Regulamentului (CEE) 2.454/1993 al Comisiei. Rezultatul procesului de reevaluare constă în revocarea autorizaţiilor acordate în temeiul Codului vamal comunitar şi a dispoziţiilor de aplicare ale acestuia şi, după caz, acordarea de noi autorizaţii în conformitate cu criteriile prevăzute de Codul vamal al Uniunii.</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bCs/>
          <w:color w:val="000000"/>
          <w:lang w:val="ro-RO" w:eastAsia="zh-CN"/>
        </w:rPr>
      </w:pPr>
      <w:r w:rsidRPr="0079170F">
        <w:rPr>
          <w:rFonts w:ascii="Calibri" w:hAnsi="Calibri" w:cs="Calibri"/>
          <w:b/>
          <w:bCs/>
          <w:i/>
          <w:color w:val="000000"/>
          <w:lang w:val="ro-RO" w:eastAsia="zh-CN"/>
        </w:rPr>
        <w:tab/>
      </w:r>
      <w:r w:rsidRPr="0079170F">
        <w:rPr>
          <w:rFonts w:ascii="Calibri" w:hAnsi="Calibri" w:cs="Calibri"/>
          <w:b/>
          <w:bCs/>
          <w:i/>
          <w:color w:val="000000"/>
          <w:lang w:val="ro-RO" w:eastAsia="zh-CN"/>
        </w:rPr>
        <w:tab/>
      </w:r>
      <w:r w:rsidRPr="0079170F">
        <w:rPr>
          <w:rFonts w:ascii="Calibri" w:hAnsi="Calibri" w:cs="Calibri"/>
          <w:b/>
          <w:bCs/>
          <w:i/>
          <w:color w:val="000000"/>
          <w:lang w:val="ro-RO" w:eastAsia="zh-CN"/>
        </w:rPr>
        <w:tab/>
      </w:r>
      <w:r w:rsidRPr="0079170F">
        <w:rPr>
          <w:rFonts w:ascii="Calibri" w:hAnsi="Calibri" w:cs="Calibri"/>
          <w:b/>
          <w:bCs/>
          <w:i/>
          <w:color w:val="000000"/>
          <w:lang w:val="ro-RO" w:eastAsia="zh-CN"/>
        </w:rPr>
        <w:tab/>
        <w:t>Activitatea de control venituri persoane fizice</w:t>
      </w:r>
    </w:p>
    <w:p w:rsidR="0079170F" w:rsidRPr="0079170F" w:rsidRDefault="0079170F" w:rsidP="0079170F">
      <w:pPr>
        <w:suppressAutoHyphens/>
        <w:spacing w:after="120"/>
        <w:jc w:val="both"/>
        <w:rPr>
          <w:rFonts w:ascii="Calibri" w:hAnsi="Calibri" w:cs="Arial"/>
          <w:color w:val="000000"/>
          <w:lang w:val="ro-RO" w:eastAsia="zh-CN"/>
        </w:rPr>
      </w:pPr>
      <w:r w:rsidRPr="0079170F">
        <w:rPr>
          <w:rFonts w:ascii="Calibri" w:hAnsi="Calibri" w:cs="Arial"/>
          <w:color w:val="000000"/>
          <w:lang w:val="ro-RO" w:eastAsia="zh-CN"/>
        </w:rPr>
        <w:tab/>
        <w:t>În anul 2018 programele de îmbunătăţire a conformării fiscale voluntare a persoanelor fizice cu averi mari (PFAM) şi a persoanelor fizice cu risc fiscal (PFRF) au avut la bază următoarele obiective: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continuarea şi dezvoltarea programului de conformare a PFAM prin derularea unor proiecte specifice de îmbunătăţire a conformării fiscale voluntare (comunicare cu contribuabilii, programe de notificare privind declararea veniturilor şi comunicare publică) şi efectuarea de verificări a situaţiei fiscale personale pe baza analizei de risc;</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 continuarea şi dezvoltarea programului de verificare a situaţiei fiscale personale prin utilizarea metodelor indirecte de stabilire a veniturilor la nivel naţional pentru toate categoriile de persoane fizice care prezintă risc fiscal (PFRF).  </w:t>
      </w:r>
    </w:p>
    <w:p w:rsidR="0079170F" w:rsidRPr="003964D3" w:rsidRDefault="0079170F" w:rsidP="0079170F">
      <w:pPr>
        <w:spacing w:before="100" w:beforeAutospacing="1" w:after="119"/>
        <w:ind w:firstLine="720"/>
        <w:rPr>
          <w:color w:val="00000A"/>
          <w:lang w:val="fr-FR" w:eastAsia="ro-RO"/>
        </w:rPr>
      </w:pPr>
      <w:r w:rsidRPr="0079170F">
        <w:rPr>
          <w:rFonts w:ascii="Calibri" w:hAnsi="Calibri"/>
          <w:color w:val="000000"/>
          <w:lang w:val="ro-RO" w:eastAsia="ro-RO"/>
        </w:rPr>
        <w:t xml:space="preserve">Pentru atingerea acestor obiective, </w:t>
      </w:r>
      <w:r w:rsidRPr="0079170F">
        <w:rPr>
          <w:rFonts w:ascii="Calibri" w:hAnsi="Calibri"/>
          <w:color w:val="009900"/>
          <w:lang w:val="ro-RO" w:eastAsia="ro-RO"/>
        </w:rPr>
        <w:t>în</w:t>
      </w:r>
      <w:r w:rsidRPr="0079170F">
        <w:rPr>
          <w:rFonts w:ascii="Calibri" w:hAnsi="Calibri"/>
          <w:color w:val="000000"/>
          <w:lang w:val="ro-RO" w:eastAsia="ro-RO"/>
        </w:rPr>
        <w:t xml:space="preserve"> anul 2018, au fost întreprinse următoarele acţiuni:</w:t>
      </w:r>
    </w:p>
    <w:p w:rsidR="0079170F" w:rsidRPr="0079170F" w:rsidRDefault="0079170F" w:rsidP="0079170F">
      <w:pPr>
        <w:suppressAutoHyphens/>
        <w:spacing w:after="120"/>
        <w:ind w:firstLine="720"/>
        <w:jc w:val="both"/>
        <w:rPr>
          <w:rFonts w:ascii="Calibri" w:hAnsi="Calibri" w:cs="Arial"/>
          <w:b/>
          <w:i/>
          <w:color w:val="000000"/>
          <w:lang w:val="ro-RO" w:eastAsia="zh-CN"/>
        </w:rPr>
      </w:pPr>
      <w:r w:rsidRPr="0079170F">
        <w:rPr>
          <w:rFonts w:ascii="Calibri" w:hAnsi="Calibri" w:cs="Arial"/>
          <w:b/>
          <w:i/>
          <w:color w:val="000000"/>
          <w:lang w:val="ro-RO" w:eastAsia="zh-CN"/>
        </w:rPr>
        <w:t>Efectuarea verificărilor situaţiei fiscale personale cuprinse în programele de activitate ale serviciilor de verificări fiscale, precum şi a  verificărilor fiscale prealabile documentare aflate în curs</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În anul 2018 au fost finalizate 12 verificǎri fiscale prealabile documentare existente în planul de activitate la 01.01.2018, din care în 6 cazuri s-a dispus începerea verificării situaţiei fiscale personale, iar în 6 cazuri procedura a încetat, nefiind îndeplinite condiţiile pentru emiterea avizului de verificare şi începerea verificării situaţiei fiscale personale.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De asemenea, în această perioadă au fost finalizate 184 acţiuni de verificare a situaţiei fiscale personale şi inspecţii fiscale parţiale (pentru 118 dintre acestea fiind emise decizii de impunere, iar pentru 66 fiind încheiate decizii de încetare). Urmare acestor acţiuni de control au fost constatate venituri suplimentare/nedeclarate în valoare totală de 336,3 mil. lei (20,6 mil. lei – PFAM; 315,7 mil. lei – PFRF).</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 Prin deciziile de impunere emise în anul 2018 au fost stabilite creanţe fiscale în sumă totală de 87,1 mil. lei (impozit pe venit suplimentar - 53,6 mil. lei; accesorii: 33,5 mil.lei).</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La data de 31.12.2018, se aflau în curs de efectuare 284 acţiuni de verificare a situaţiei fiscale personale şi inspecţii fiscale parţiale.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În anul 2018 au fost încasate obligaţii fiscale în sumǎ de aproximativă de 19,4 mil. lei, aferente atât deciziilor de impunere emise în anul 2018, cât şi deciziilor de impunere emise anterior. </w:t>
      </w:r>
    </w:p>
    <w:p w:rsidR="0079170F" w:rsidRPr="0079170F" w:rsidRDefault="0079170F" w:rsidP="0079170F">
      <w:pPr>
        <w:suppressAutoHyphens/>
        <w:spacing w:after="120"/>
        <w:ind w:firstLine="720"/>
        <w:jc w:val="both"/>
        <w:rPr>
          <w:rFonts w:ascii="Calibri" w:hAnsi="Calibri" w:cs="Arial"/>
          <w:b/>
          <w:i/>
          <w:color w:val="000000"/>
          <w:lang w:val="ro-RO" w:eastAsia="zh-CN"/>
        </w:rPr>
      </w:pPr>
      <w:r w:rsidRPr="0079170F">
        <w:rPr>
          <w:rFonts w:ascii="Calibri" w:hAnsi="Calibri" w:cs="Arial"/>
          <w:b/>
          <w:i/>
          <w:color w:val="000000"/>
          <w:lang w:val="ro-RO" w:eastAsia="zh-CN"/>
        </w:rPr>
        <w:t>Reluarea Programului de notificare pentru veniturile obţinute din străinătate</w:t>
      </w:r>
    </w:p>
    <w:p w:rsidR="0079170F" w:rsidRPr="0079170F" w:rsidRDefault="0079170F" w:rsidP="0079170F">
      <w:pPr>
        <w:suppressAutoHyphens/>
        <w:spacing w:after="120"/>
        <w:ind w:firstLine="720"/>
        <w:jc w:val="both"/>
        <w:rPr>
          <w:rFonts w:ascii="Calibri" w:hAnsi="Calibri" w:cs="Arial"/>
          <w:color w:val="000000"/>
          <w:lang w:val="ro-RO" w:eastAsia="zh-CN"/>
        </w:rPr>
      </w:pPr>
      <w:r w:rsidRPr="0079170F">
        <w:rPr>
          <w:rFonts w:ascii="Calibri" w:hAnsi="Calibri" w:cs="Arial"/>
          <w:color w:val="000000"/>
          <w:lang w:val="ro-RO" w:eastAsia="zh-CN"/>
        </w:rPr>
        <w:t xml:space="preserve"> În luna iunie a fost finalizată lista persoanelor propuse pentru includerea în Programul de notificare amiabilă. În luna iulie 2018 au fost expediate un număr de 329 notificări către persoanele fizice cu averi mari, iar în luna noiembrie au fost expediate un număr de 309 renotificări, prin care  se aduce la cunoştinţa acestora obligaţiile fiscale pe care le au în situaţia obţinerii de venituri impozabile din străinătate.</w:t>
      </w:r>
    </w:p>
    <w:p w:rsidR="0079170F" w:rsidRDefault="0079170F" w:rsidP="0079170F">
      <w:pPr>
        <w:suppressAutoHyphens/>
        <w:spacing w:after="120"/>
        <w:ind w:firstLine="720"/>
        <w:jc w:val="both"/>
        <w:rPr>
          <w:rFonts w:ascii="Calibri" w:hAnsi="Calibri" w:cs="Arial"/>
          <w:color w:val="000000"/>
          <w:lang w:val="ro-RO" w:eastAsia="zh-CN"/>
        </w:rPr>
      </w:pPr>
    </w:p>
    <w:p w:rsidR="004631BC" w:rsidRPr="0079170F" w:rsidRDefault="004631BC" w:rsidP="0079170F">
      <w:pPr>
        <w:suppressAutoHyphens/>
        <w:spacing w:after="120"/>
        <w:ind w:firstLine="720"/>
        <w:jc w:val="both"/>
        <w:rPr>
          <w:rFonts w:ascii="Calibri" w:hAnsi="Calibri" w:cs="Arial"/>
          <w:color w:val="000000"/>
          <w:lang w:val="ro-RO" w:eastAsia="zh-CN"/>
        </w:rPr>
      </w:pPr>
    </w:p>
    <w:p w:rsidR="0079170F" w:rsidRPr="0079170F" w:rsidRDefault="0079170F" w:rsidP="0079170F">
      <w:pPr>
        <w:shd w:val="clear" w:color="auto" w:fill="DDEEFF"/>
        <w:suppressAutoHyphens/>
        <w:jc w:val="both"/>
        <w:rPr>
          <w:rFonts w:ascii="Calibri" w:hAnsi="Calibri" w:cs="Calibri"/>
          <w:b/>
          <w:color w:val="000000"/>
          <w:lang w:val="ro-RO" w:eastAsia="zh-CN"/>
        </w:rPr>
      </w:pPr>
      <w:r w:rsidRPr="0079170F">
        <w:rPr>
          <w:rFonts w:ascii="Calibri" w:hAnsi="Calibri" w:cs="Calibri"/>
          <w:b/>
          <w:color w:val="000000"/>
          <w:lang w:val="ro-RO" w:eastAsia="zh-CN"/>
        </w:rPr>
        <w:t>II. Obiective strategice ale ANAF pe termen scurt şi mediu – prezentare selectivă</w:t>
      </w:r>
    </w:p>
    <w:p w:rsidR="0079170F" w:rsidRPr="0079170F" w:rsidRDefault="0079170F" w:rsidP="0079170F">
      <w:pPr>
        <w:widowControl w:val="0"/>
        <w:suppressAutoHyphens/>
        <w:ind w:firstLine="360"/>
        <w:jc w:val="both"/>
        <w:rPr>
          <w:rFonts w:ascii="Calibri" w:hAnsi="Calibri" w:cs="Calibri"/>
          <w:b/>
          <w:color w:val="000000"/>
          <w:lang w:val="ro-RO" w:eastAsia="zh-CN"/>
        </w:rPr>
      </w:pPr>
    </w:p>
    <w:p w:rsidR="0079170F" w:rsidRPr="0079170F" w:rsidRDefault="0079170F" w:rsidP="0079170F">
      <w:pPr>
        <w:widowControl w:val="0"/>
        <w:numPr>
          <w:ilvl w:val="0"/>
          <w:numId w:val="85"/>
        </w:numPr>
        <w:shd w:val="clear" w:color="auto" w:fill="E5F2FF"/>
        <w:suppressAutoHyphens/>
        <w:spacing w:after="60" w:line="320" w:lineRule="exact"/>
        <w:jc w:val="both"/>
        <w:rPr>
          <w:rFonts w:ascii="Calibri" w:hAnsi="Calibri" w:cs="Calibri"/>
          <w:color w:val="000000"/>
          <w:lang w:eastAsia="zh-CN"/>
        </w:rPr>
      </w:pPr>
      <w:r w:rsidRPr="0079170F">
        <w:rPr>
          <w:rFonts w:ascii="Calibri" w:hAnsi="Calibri" w:cs="Calibri"/>
          <w:b/>
          <w:color w:val="000000"/>
          <w:lang w:val="ro-RO" w:eastAsia="zh-CN"/>
        </w:rPr>
        <w:t>Politica de administrare fiscală în anul 201</w:t>
      </w:r>
      <w:r w:rsidRPr="0079170F">
        <w:rPr>
          <w:rFonts w:ascii="Calibri" w:hAnsi="Calibri" w:cs="Calibri"/>
          <w:b/>
          <w:color w:val="000000"/>
          <w:lang w:eastAsia="zh-CN"/>
        </w:rPr>
        <w:t>9</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Creşterea conformării voluntare</w:t>
      </w:r>
    </w:p>
    <w:p w:rsidR="0079170F" w:rsidRPr="0079170F" w:rsidRDefault="0079170F" w:rsidP="0079170F">
      <w:pPr>
        <w:numPr>
          <w:ilvl w:val="0"/>
          <w:numId w:val="86"/>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Stimularea conformării voluntare la declarare și la plată</w:t>
      </w:r>
    </w:p>
    <w:p w:rsidR="0079170F" w:rsidRPr="0079170F" w:rsidRDefault="0079170F" w:rsidP="0079170F">
      <w:pPr>
        <w:numPr>
          <w:ilvl w:val="1"/>
          <w:numId w:val="86"/>
        </w:numPr>
        <w:suppressAutoHyphens/>
        <w:spacing w:before="62" w:after="119" w:line="259" w:lineRule="auto"/>
        <w:jc w:val="both"/>
        <w:rPr>
          <w:rFonts w:ascii="Calibri" w:hAnsi="Calibri"/>
          <w:color w:val="000000"/>
        </w:rPr>
      </w:pPr>
      <w:r w:rsidRPr="0079170F">
        <w:rPr>
          <w:rFonts w:ascii="Calibri" w:hAnsi="Calibri" w:cs="Arial"/>
          <w:color w:val="000000"/>
        </w:rPr>
        <w:t>elaborarea unui program de conformare şi monitorizare a implementării acţiunilor definite;</w:t>
      </w:r>
    </w:p>
    <w:p w:rsidR="0079170F" w:rsidRPr="0079170F" w:rsidRDefault="0079170F" w:rsidP="0079170F">
      <w:pPr>
        <w:numPr>
          <w:ilvl w:val="1"/>
          <w:numId w:val="86"/>
        </w:numPr>
        <w:suppressAutoHyphens/>
        <w:spacing w:before="62" w:after="119" w:line="259" w:lineRule="auto"/>
        <w:jc w:val="both"/>
        <w:rPr>
          <w:rFonts w:ascii="Calibri" w:hAnsi="Calibri" w:cs="Arial"/>
          <w:color w:val="000000"/>
        </w:rPr>
      </w:pPr>
      <w:r w:rsidRPr="0079170F">
        <w:rPr>
          <w:rFonts w:ascii="Calibri" w:hAnsi="Calibri" w:cs="Arial"/>
          <w:color w:val="000000"/>
        </w:rPr>
        <w:t>promovarea posibilităţilor de acordare a înlesnirilor la plată prin organizarea de întâlniri periodice cu contribuabilii și prin publicarea pe site a materialelor informative.</w:t>
      </w:r>
    </w:p>
    <w:p w:rsidR="0079170F" w:rsidRPr="0079170F" w:rsidRDefault="0079170F" w:rsidP="0079170F">
      <w:pPr>
        <w:numPr>
          <w:ilvl w:val="0"/>
          <w:numId w:val="86"/>
        </w:numPr>
        <w:suppressAutoHyphens/>
        <w:spacing w:before="62" w:after="119" w:line="259" w:lineRule="auto"/>
        <w:jc w:val="both"/>
        <w:rPr>
          <w:rFonts w:ascii="Calibri" w:hAnsi="Calibri"/>
          <w:color w:val="000000"/>
        </w:rPr>
      </w:pPr>
      <w:r w:rsidRPr="0079170F">
        <w:rPr>
          <w:rFonts w:ascii="Calibri" w:hAnsi="Calibri" w:cs="Arial"/>
          <w:color w:val="000000"/>
        </w:rPr>
        <w:t>Revizuirea procedurilor de administrare fiscală</w:t>
      </w:r>
    </w:p>
    <w:p w:rsidR="0079170F" w:rsidRPr="0079170F" w:rsidRDefault="0079170F" w:rsidP="0079170F">
      <w:pPr>
        <w:numPr>
          <w:ilvl w:val="1"/>
          <w:numId w:val="86"/>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crearea condițiilor tehnice și procedurale pentru plata obligațiilor fiscale prin instrumentele bancare</w:t>
      </w:r>
    </w:p>
    <w:p w:rsidR="0079170F" w:rsidRPr="0079170F" w:rsidRDefault="0079170F" w:rsidP="0079170F">
      <w:pPr>
        <w:numPr>
          <w:ilvl w:val="0"/>
          <w:numId w:val="86"/>
        </w:numPr>
        <w:suppressAutoHyphens/>
        <w:spacing w:before="62" w:after="119" w:line="259" w:lineRule="auto"/>
        <w:jc w:val="both"/>
        <w:rPr>
          <w:rFonts w:ascii="Calibri" w:hAnsi="Calibri"/>
          <w:color w:val="000000"/>
          <w:lang w:val="it-IT"/>
        </w:rPr>
      </w:pPr>
      <w:r w:rsidRPr="0079170F">
        <w:rPr>
          <w:rFonts w:ascii="Calibri" w:hAnsi="Calibri" w:cs="Arial"/>
          <w:i/>
          <w:iCs/>
          <w:color w:val="000000"/>
          <w:lang w:val="it-IT"/>
        </w:rPr>
        <w:t xml:space="preserve">Creșterea conformării voluntare prin prevenirea erodării bazei impozabile </w:t>
      </w:r>
    </w:p>
    <w:p w:rsidR="0079170F" w:rsidRPr="003964D3" w:rsidRDefault="0079170F" w:rsidP="0079170F">
      <w:pPr>
        <w:numPr>
          <w:ilvl w:val="1"/>
          <w:numId w:val="86"/>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 xml:space="preserve">promovarea posibilităților de emitere a acordurilor de preț în avans unilaterale/ bilaterale / multilaterale; </w:t>
      </w:r>
    </w:p>
    <w:p w:rsidR="0079170F" w:rsidRPr="003964D3" w:rsidRDefault="0079170F" w:rsidP="0079170F">
      <w:pPr>
        <w:numPr>
          <w:ilvl w:val="1"/>
          <w:numId w:val="86"/>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 xml:space="preserve">promovarea posibilităților de inițiere a procedurii amiabile în cazul tranzactiilor ajustate urmare actelor fiscale emise de autoritati fiscale din alte jurisdicții. </w:t>
      </w:r>
    </w:p>
    <w:p w:rsidR="0079170F" w:rsidRPr="0079170F" w:rsidRDefault="0079170F" w:rsidP="0079170F">
      <w:pPr>
        <w:spacing w:before="100" w:beforeAutospacing="1" w:after="119"/>
        <w:jc w:val="both"/>
        <w:rPr>
          <w:rFonts w:ascii="Calibri" w:hAnsi="Calibri"/>
          <w:color w:val="000000"/>
          <w:lang w:val="it-IT"/>
        </w:rPr>
      </w:pPr>
      <w:r w:rsidRPr="0079170F">
        <w:rPr>
          <w:rFonts w:ascii="Calibri" w:hAnsi="Calibri" w:cs="Arial"/>
          <w:b/>
          <w:bCs/>
          <w:color w:val="000000"/>
          <w:lang w:val="it-IT"/>
        </w:rPr>
        <w:t>Reducerea evaziunii fiscaleşi a fraudei fiscale</w:t>
      </w:r>
    </w:p>
    <w:p w:rsidR="0079170F" w:rsidRPr="003964D3" w:rsidRDefault="0079170F" w:rsidP="0079170F">
      <w:pPr>
        <w:numPr>
          <w:ilvl w:val="0"/>
          <w:numId w:val="87"/>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Definirea guvernanței implementării modelului european de management al riscurilor de neconformare</w:t>
      </w:r>
    </w:p>
    <w:p w:rsidR="0079170F" w:rsidRPr="0079170F" w:rsidRDefault="0079170F" w:rsidP="0079170F">
      <w:pPr>
        <w:numPr>
          <w:ilvl w:val="1"/>
          <w:numId w:val="87"/>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introducerea programului de testare aleatorie a conformării fiscale (prin controale fiscale);</w:t>
      </w:r>
    </w:p>
    <w:p w:rsidR="0079170F" w:rsidRPr="0079170F" w:rsidRDefault="0079170F" w:rsidP="0079170F">
      <w:pPr>
        <w:numPr>
          <w:ilvl w:val="0"/>
          <w:numId w:val="87"/>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Organizarea controlului antifraudă, în conformitate cu modelul european de management al riscurilor la neconformare</w:t>
      </w:r>
    </w:p>
    <w:p w:rsidR="0079170F" w:rsidRPr="0079170F" w:rsidRDefault="0079170F" w:rsidP="0079170F">
      <w:pPr>
        <w:numPr>
          <w:ilvl w:val="1"/>
          <w:numId w:val="87"/>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integrarea și îmbunătăţirea analizei de risc în domeniul fraudei fiscale;</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sidRPr="0079170F">
        <w:rPr>
          <w:rFonts w:ascii="Calibri" w:hAnsi="Calibri" w:cs="Arial"/>
          <w:color w:val="000000"/>
        </w:rPr>
        <w:t>reducerea nivelului şi frecvenţei sancţiunilor aplicate pentru fapte cu pericol social redus;</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sidRPr="0079170F">
        <w:rPr>
          <w:rFonts w:ascii="Calibri" w:hAnsi="Calibri" w:cs="Arial"/>
          <w:color w:val="000000"/>
        </w:rPr>
        <w:t>îmbunătăţirea colaborării cu Ministerul Public în vederea dezvoltării capacităţii de investigare şi trimitere în judecată, dezideratul fiind ca ANAF să contribuie semnificativ în ariile legate de evaziune şi fraudă fiscală/vamală.</w:t>
      </w:r>
    </w:p>
    <w:p w:rsidR="0079170F" w:rsidRPr="0079170F" w:rsidRDefault="0079170F" w:rsidP="0079170F">
      <w:pPr>
        <w:spacing w:before="62" w:after="119"/>
        <w:ind w:left="1080"/>
        <w:jc w:val="both"/>
        <w:rPr>
          <w:rFonts w:ascii="Calibri" w:hAnsi="Calibri"/>
          <w:color w:val="000000"/>
        </w:rPr>
      </w:pPr>
    </w:p>
    <w:p w:rsidR="0079170F" w:rsidRPr="0079170F" w:rsidRDefault="0079170F" w:rsidP="0079170F">
      <w:pPr>
        <w:numPr>
          <w:ilvl w:val="0"/>
          <w:numId w:val="87"/>
        </w:numPr>
        <w:suppressAutoHyphens/>
        <w:spacing w:before="62" w:after="119" w:line="259" w:lineRule="auto"/>
        <w:jc w:val="both"/>
        <w:rPr>
          <w:rFonts w:ascii="Calibri" w:hAnsi="Calibri"/>
          <w:color w:val="000000"/>
        </w:rPr>
      </w:pPr>
      <w:r w:rsidRPr="0079170F">
        <w:rPr>
          <w:rFonts w:ascii="Calibri" w:hAnsi="Calibri" w:cs="Arial"/>
          <w:color w:val="000000"/>
        </w:rPr>
        <w:t>Combaterea fraudelor vamale</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protejarea teritoriului vamal naţional şi comunitar prin activităţi de supraveghere şi control vamal în domeniul combaterii traficului ilicit;</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dezvoltarea structurilor de echipe mobile si echipelor canine şi implementarea unui management operaţional mai eficient;</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reoperaționalizarea și utilizarea la întreaga capacitate a echipamentelor de control nedistructiv;</w:t>
      </w:r>
    </w:p>
    <w:p w:rsidR="0079170F" w:rsidRPr="003964D3" w:rsidRDefault="0079170F" w:rsidP="0079170F">
      <w:pPr>
        <w:numPr>
          <w:ilvl w:val="1"/>
          <w:numId w:val="87"/>
        </w:numPr>
        <w:spacing w:before="62" w:after="119" w:line="259" w:lineRule="auto"/>
        <w:rPr>
          <w:lang w:val="fr-FR" w:eastAsia="ro-RO"/>
        </w:rPr>
      </w:pPr>
      <w:r w:rsidRPr="006A6895">
        <w:rPr>
          <w:rFonts w:ascii="Calibri" w:hAnsi="Calibri"/>
          <w:lang w:val="it-IT" w:eastAsia="ro-RO"/>
        </w:rPr>
        <w:t>completarea schemei de personal la nivelul birourilor vamale de frontieră prin organizarea cu celeritate a concursurilor de recrutare pentru posturile neocupate;</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eficientizarea cooperării cu alte autorități de aplicare a legii din România (IGPR, IGPF, DIICOT, DGAF), inclusiv efectuarea de acțiuni de control în comun la frontiera externă UE sau în trafic;</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operaționalizarea unității centrale de coordonare – Convenția Napoli II;</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lang w:val="it-IT"/>
        </w:rPr>
      </w:pPr>
      <w:r w:rsidRPr="0079170F">
        <w:rPr>
          <w:rFonts w:ascii="Calibri" w:hAnsi="Calibri" w:cs="Arial"/>
          <w:color w:val="000000"/>
          <w:lang w:val="it-IT"/>
        </w:rPr>
        <w:t>implementarea sistemului Track&amp;Trace - trasabilitatea produselor din tutun (20 mai 2019).</w:t>
      </w:r>
    </w:p>
    <w:p w:rsidR="0079170F" w:rsidRPr="0079170F" w:rsidRDefault="0079170F" w:rsidP="0079170F">
      <w:pPr>
        <w:numPr>
          <w:ilvl w:val="0"/>
          <w:numId w:val="87"/>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Îmbunătățirea cadrului metodologic și procedural necesar diminuării subdeclarării impozitelor, taxelor și contribuțiilor</w:t>
      </w:r>
    </w:p>
    <w:p w:rsidR="0079170F" w:rsidRPr="0079170F" w:rsidRDefault="0079170F" w:rsidP="0079170F">
      <w:pPr>
        <w:numPr>
          <w:ilvl w:val="1"/>
          <w:numId w:val="87"/>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dezvoltarea unui program de pregătire modular pentru inspecţia fiscală;</w:t>
      </w:r>
    </w:p>
    <w:p w:rsidR="0079170F" w:rsidRPr="003964D3" w:rsidRDefault="0079170F" w:rsidP="0079170F">
      <w:pPr>
        <w:numPr>
          <w:ilvl w:val="1"/>
          <w:numId w:val="87"/>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dezvoltarea, împreună cu MFP, a unui sistem de soluții individuale anticipate, pentru domenii fiscale complexe.</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 xml:space="preserve">Îmbunătăţirea relaţiei cu contribuabilii </w:t>
      </w:r>
    </w:p>
    <w:p w:rsidR="0079170F" w:rsidRPr="0079170F" w:rsidRDefault="0079170F" w:rsidP="0079170F">
      <w:pPr>
        <w:numPr>
          <w:ilvl w:val="0"/>
          <w:numId w:val="88"/>
        </w:numPr>
        <w:suppressAutoHyphens/>
        <w:spacing w:before="62" w:after="119" w:line="259" w:lineRule="auto"/>
        <w:jc w:val="both"/>
        <w:rPr>
          <w:rFonts w:ascii="Calibri" w:hAnsi="Calibri"/>
          <w:color w:val="000000"/>
        </w:rPr>
      </w:pPr>
      <w:r w:rsidRPr="0079170F">
        <w:rPr>
          <w:rFonts w:ascii="Calibri" w:hAnsi="Calibri" w:cs="Arial"/>
          <w:color w:val="000000"/>
        </w:rPr>
        <w:t>Creşterea calităţii serviciilor destinate contribuabililor</w:t>
      </w:r>
    </w:p>
    <w:p w:rsidR="0079170F" w:rsidRPr="003964D3" w:rsidRDefault="0079170F" w:rsidP="0079170F">
      <w:pPr>
        <w:numPr>
          <w:ilvl w:val="1"/>
          <w:numId w:val="88"/>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unui nou concept de servicii pentru contribuabili;</w:t>
      </w:r>
    </w:p>
    <w:p w:rsidR="0079170F" w:rsidRPr="003964D3" w:rsidRDefault="0079170F" w:rsidP="0079170F">
      <w:pPr>
        <w:numPr>
          <w:ilvl w:val="1"/>
          <w:numId w:val="88"/>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sistemului de gestionare a cozilor şi a conceptului de ghişeu unic;</w:t>
      </w:r>
    </w:p>
    <w:p w:rsidR="0079170F" w:rsidRPr="0079170F" w:rsidRDefault="0079170F" w:rsidP="0079170F">
      <w:pPr>
        <w:numPr>
          <w:ilvl w:val="1"/>
          <w:numId w:val="88"/>
        </w:numPr>
        <w:suppressAutoHyphens/>
        <w:spacing w:before="100" w:beforeAutospacing="1" w:after="119" w:line="259" w:lineRule="auto"/>
        <w:jc w:val="both"/>
        <w:rPr>
          <w:rFonts w:ascii="Calibri" w:hAnsi="Calibri"/>
          <w:color w:val="000000"/>
          <w:lang w:val="it-IT"/>
        </w:rPr>
      </w:pPr>
      <w:r w:rsidRPr="0079170F">
        <w:rPr>
          <w:rFonts w:ascii="Calibri" w:hAnsi="Calibri" w:cs="Arial"/>
          <w:color w:val="000000"/>
          <w:lang w:val="it-IT"/>
        </w:rPr>
        <w:t>introducerea unor noi servicii pentru contribuabili (Serviciul Seminare Web; serviciul Programări on-line);</w:t>
      </w:r>
    </w:p>
    <w:p w:rsidR="0079170F" w:rsidRPr="0079170F" w:rsidRDefault="0079170F" w:rsidP="0079170F">
      <w:pPr>
        <w:numPr>
          <w:ilvl w:val="0"/>
          <w:numId w:val="96"/>
        </w:numPr>
        <w:suppressAutoHyphens/>
        <w:spacing w:before="100" w:beforeAutospacing="1" w:after="119" w:line="259" w:lineRule="auto"/>
        <w:jc w:val="both"/>
        <w:rPr>
          <w:rFonts w:ascii="Calibri" w:hAnsi="Calibri" w:cs="Arial"/>
          <w:color w:val="000000"/>
          <w:lang w:val="it-IT"/>
        </w:rPr>
      </w:pPr>
      <w:r w:rsidRPr="0079170F">
        <w:rPr>
          <w:rFonts w:ascii="Calibri" w:hAnsi="Calibri" w:cs="Arial"/>
          <w:color w:val="000000"/>
          <w:lang w:val="it-IT"/>
        </w:rPr>
        <w:t xml:space="preserve">dezvolatarea etapizată a call-center-ului; </w:t>
      </w:r>
    </w:p>
    <w:p w:rsidR="0079170F" w:rsidRPr="0079170F" w:rsidRDefault="0079170F" w:rsidP="0079170F">
      <w:pPr>
        <w:numPr>
          <w:ilvl w:val="0"/>
          <w:numId w:val="96"/>
        </w:numPr>
        <w:suppressAutoHyphens/>
        <w:spacing w:before="100" w:beforeAutospacing="1" w:after="119" w:line="259" w:lineRule="auto"/>
        <w:jc w:val="both"/>
        <w:rPr>
          <w:rFonts w:ascii="Calibri" w:hAnsi="Calibri" w:cs="Arial"/>
          <w:color w:val="000000"/>
          <w:lang w:val="it-IT"/>
        </w:rPr>
      </w:pPr>
      <w:r w:rsidRPr="0079170F">
        <w:rPr>
          <w:rFonts w:ascii="Calibri" w:hAnsi="Calibri" w:cs="Arial"/>
          <w:color w:val="000000"/>
          <w:lang w:val="it-IT"/>
        </w:rPr>
        <w:t xml:space="preserve">introducerea standardului de oferire a serviciilor la sediile unităților fiscale la toate unitățile fiscale; </w:t>
      </w:r>
    </w:p>
    <w:p w:rsidR="0079170F" w:rsidRPr="0079170F" w:rsidRDefault="0079170F" w:rsidP="0079170F">
      <w:pPr>
        <w:numPr>
          <w:ilvl w:val="1"/>
          <w:numId w:val="88"/>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Îmbunătăţirea activităţii de soluţionare în termen legal a deconturilor TVA negative cu opţiune de rambursare;</w:t>
      </w:r>
    </w:p>
    <w:p w:rsidR="0079170F" w:rsidRPr="0079170F" w:rsidRDefault="0079170F" w:rsidP="0079170F">
      <w:pPr>
        <w:numPr>
          <w:ilvl w:val="1"/>
          <w:numId w:val="88"/>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elaborarea unei noi proceduri pentru soluționarea deconturilor cu sume negative de TVA, cu opțiune de rambursare (DNOR), care să asigure reducerea semnificativă a DNOR-urilor ce se soluționează cu control anticipat.</w:t>
      </w:r>
    </w:p>
    <w:p w:rsidR="0079170F" w:rsidRPr="0079170F" w:rsidRDefault="0079170F" w:rsidP="0079170F">
      <w:pPr>
        <w:numPr>
          <w:ilvl w:val="0"/>
          <w:numId w:val="88"/>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Creșterea transparenței instituției și a rolului de prevenție</w:t>
      </w:r>
    </w:p>
    <w:p w:rsidR="0079170F" w:rsidRPr="0079170F" w:rsidRDefault="0079170F" w:rsidP="0079170F">
      <w:pPr>
        <w:numPr>
          <w:ilvl w:val="1"/>
          <w:numId w:val="88"/>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efectuarea de campanii de dialog, îndrumare şi notificare a contribuabililor cu privire la obligaţia de declarare şi plată a obligaţiilor fiscale;</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sidRPr="0079170F">
        <w:rPr>
          <w:rFonts w:ascii="Calibri" w:hAnsi="Calibri" w:cs="Arial"/>
          <w:color w:val="000000"/>
        </w:rPr>
        <w:t>publicarea de comunicate privind noutăţile legislative din domeniul fiscal.</w:t>
      </w:r>
    </w:p>
    <w:p w:rsidR="0079170F" w:rsidRPr="0079170F" w:rsidRDefault="0079170F" w:rsidP="0079170F">
      <w:pPr>
        <w:numPr>
          <w:ilvl w:val="0"/>
          <w:numId w:val="88"/>
        </w:numPr>
        <w:suppressAutoHyphens/>
        <w:spacing w:before="62" w:after="119" w:line="259" w:lineRule="auto"/>
        <w:jc w:val="both"/>
        <w:rPr>
          <w:rFonts w:ascii="Calibri" w:hAnsi="Calibri"/>
          <w:color w:val="000000"/>
        </w:rPr>
      </w:pPr>
      <w:r w:rsidRPr="0079170F">
        <w:rPr>
          <w:rFonts w:ascii="Calibri" w:hAnsi="Calibri" w:cs="Arial"/>
          <w:color w:val="000000"/>
        </w:rPr>
        <w:t>Reducerea costurilor de conformare ale contribuabililor</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sidRPr="0079170F">
        <w:rPr>
          <w:rFonts w:ascii="Calibri" w:hAnsi="Calibri" w:cs="Arial"/>
          <w:color w:val="000000"/>
        </w:rPr>
        <w:t>diminuarea costurilor de conformare prin diminuarea complexităţii cadrului administrativ şi încurajarea declarării electronice;</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sidRPr="0079170F">
        <w:rPr>
          <w:rFonts w:ascii="Calibri" w:hAnsi="Calibri" w:cs="Arial"/>
          <w:color w:val="000000"/>
        </w:rPr>
        <w:t>dezvoltarea funcţionalităţilor Spaţiului Privat Virtual şi mediatizarea serviciului;</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sidRPr="0079170F">
        <w:rPr>
          <w:rFonts w:ascii="Calibri" w:hAnsi="Calibri" w:cs="Arial"/>
          <w:color w:val="000000"/>
        </w:rPr>
        <w:t>dezvoltarea serviciului Patrimven.</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Creşterea eficienţei colectării</w:t>
      </w:r>
    </w:p>
    <w:p w:rsidR="0079170F" w:rsidRPr="0079170F" w:rsidRDefault="0079170F" w:rsidP="0079170F">
      <w:pPr>
        <w:numPr>
          <w:ilvl w:val="0"/>
          <w:numId w:val="89"/>
        </w:numPr>
        <w:suppressAutoHyphens/>
        <w:spacing w:before="62" w:after="119" w:line="259" w:lineRule="auto"/>
        <w:jc w:val="both"/>
        <w:rPr>
          <w:rFonts w:ascii="Calibri" w:hAnsi="Calibri"/>
          <w:color w:val="000000"/>
        </w:rPr>
      </w:pPr>
      <w:r w:rsidRPr="0079170F">
        <w:rPr>
          <w:rFonts w:ascii="Calibri" w:hAnsi="Calibri" w:cs="Arial"/>
          <w:color w:val="000000"/>
        </w:rPr>
        <w:t>Reducerea arieratelor fiscale</w:t>
      </w:r>
    </w:p>
    <w:p w:rsidR="0079170F" w:rsidRPr="0079170F" w:rsidRDefault="0079170F" w:rsidP="0079170F">
      <w:pPr>
        <w:numPr>
          <w:ilvl w:val="1"/>
          <w:numId w:val="89"/>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elaborarea strategiei privind recuperarea arieratelor.</w:t>
      </w:r>
    </w:p>
    <w:p w:rsidR="0079170F" w:rsidRPr="003964D3" w:rsidRDefault="0079170F" w:rsidP="0079170F">
      <w:pPr>
        <w:numPr>
          <w:ilvl w:val="0"/>
          <w:numId w:val="89"/>
        </w:numPr>
        <w:suppressAutoHyphens/>
        <w:spacing w:before="62" w:after="119" w:line="259" w:lineRule="auto"/>
        <w:jc w:val="both"/>
        <w:rPr>
          <w:rFonts w:ascii="Calibri" w:hAnsi="Calibri"/>
          <w:color w:val="000000"/>
          <w:lang w:val="it-IT"/>
        </w:rPr>
      </w:pPr>
      <w:r w:rsidRPr="003964D3">
        <w:rPr>
          <w:rFonts w:ascii="Calibri" w:hAnsi="Calibri" w:cs="Arial"/>
          <w:color w:val="000000"/>
          <w:lang w:val="it-IT"/>
        </w:rPr>
        <w:t>Maximizarea implicării ANAF în stabilirea cadrului legal în vederea eficientizării activităţii de administrare</w:t>
      </w:r>
    </w:p>
    <w:p w:rsidR="0079170F" w:rsidRPr="003964D3" w:rsidRDefault="0079170F" w:rsidP="0079170F">
      <w:pPr>
        <w:numPr>
          <w:ilvl w:val="1"/>
          <w:numId w:val="89"/>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elaborarea unui plan de comunicare externă.</w:t>
      </w:r>
    </w:p>
    <w:p w:rsidR="0079170F" w:rsidRPr="0079170F" w:rsidRDefault="0079170F" w:rsidP="0079170F">
      <w:pPr>
        <w:numPr>
          <w:ilvl w:val="0"/>
          <w:numId w:val="89"/>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Îmbunătăţirea modalităţii de prognozare şi raportare a veniturilor fiscale</w:t>
      </w:r>
    </w:p>
    <w:p w:rsidR="0079170F" w:rsidRPr="003964D3" w:rsidRDefault="0079170F" w:rsidP="0079170F">
      <w:pPr>
        <w:numPr>
          <w:ilvl w:val="1"/>
          <w:numId w:val="89"/>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dezvoltarea sistemului de monitorizare şi raportare a progresului lunar.</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 xml:space="preserve">Modernizarea agenției </w:t>
      </w:r>
    </w:p>
    <w:p w:rsidR="0079170F" w:rsidRPr="0079170F" w:rsidRDefault="0079170F" w:rsidP="0079170F">
      <w:pPr>
        <w:numPr>
          <w:ilvl w:val="0"/>
          <w:numId w:val="90"/>
        </w:numPr>
        <w:suppressAutoHyphens/>
        <w:spacing w:before="62" w:after="119" w:line="259" w:lineRule="auto"/>
        <w:jc w:val="both"/>
        <w:rPr>
          <w:rFonts w:ascii="Calibri" w:hAnsi="Calibri"/>
          <w:color w:val="000000"/>
        </w:rPr>
      </w:pPr>
      <w:r w:rsidRPr="0079170F">
        <w:rPr>
          <w:rFonts w:ascii="Calibri" w:hAnsi="Calibri" w:cs="Arial"/>
          <w:color w:val="000000"/>
        </w:rPr>
        <w:t>Îmbunătățirea guvernanței agenției și întărirea cooperării internaționale</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sidRPr="0079170F">
        <w:rPr>
          <w:rFonts w:ascii="Calibri" w:hAnsi="Calibri" w:cs="Arial"/>
          <w:color w:val="000000"/>
        </w:rPr>
        <w:t>promovarea acţiunilor pentru demararea proiectelor și acțiunilor care vor duce la îndeplinirea obiectivelor strategice;</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sidRPr="0079170F">
        <w:rPr>
          <w:rFonts w:ascii="Calibri" w:hAnsi="Calibri" w:cs="Arial"/>
          <w:color w:val="000000"/>
        </w:rPr>
        <w:t xml:space="preserve">reducerea costului colectării; </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sidRPr="0079170F">
        <w:rPr>
          <w:rFonts w:ascii="Calibri" w:hAnsi="Calibri" w:cs="Arial"/>
          <w:color w:val="000000"/>
        </w:rPr>
        <w:t>promovarea acţiunilor necesare întăririi cooperării internaţionale şi a schimbului de informaţii cu alte state/structuri;</w:t>
      </w:r>
    </w:p>
    <w:p w:rsidR="0079170F" w:rsidRPr="0079170F" w:rsidRDefault="0079170F" w:rsidP="0079170F">
      <w:pPr>
        <w:numPr>
          <w:ilvl w:val="1"/>
          <w:numId w:val="90"/>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întărirea acţiunilor necesare creşterii integrităţii personalului ANAF;</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sidRPr="0079170F">
        <w:rPr>
          <w:rFonts w:ascii="Calibri" w:hAnsi="Calibri" w:cs="Arial"/>
          <w:color w:val="000000"/>
        </w:rPr>
        <w:t>derularea corespunzătoare a activităților necesare susținerii operaționale a Agenției.</w:t>
      </w:r>
    </w:p>
    <w:p w:rsidR="0079170F" w:rsidRPr="003964D3" w:rsidRDefault="0079170F" w:rsidP="0079170F">
      <w:pPr>
        <w:numPr>
          <w:ilvl w:val="0"/>
          <w:numId w:val="90"/>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Îmbunătăţirea managementului resurselor umane ale agenţiei</w:t>
      </w:r>
    </w:p>
    <w:p w:rsidR="0079170F" w:rsidRPr="0079170F" w:rsidRDefault="0079170F" w:rsidP="0079170F">
      <w:pPr>
        <w:numPr>
          <w:ilvl w:val="1"/>
          <w:numId w:val="90"/>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introducerea şi menţinerea unui sistem eficient de planificare a forţei de muncă necesară asigurării alocării optimului de angajaţi;</w:t>
      </w:r>
    </w:p>
    <w:p w:rsidR="0079170F" w:rsidRPr="0079170F" w:rsidRDefault="0079170F" w:rsidP="0079170F">
      <w:pPr>
        <w:numPr>
          <w:ilvl w:val="1"/>
          <w:numId w:val="90"/>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consolidarea politicilor şi practicilor de formare şi dezvoltare pentru a-i ajuta pe angajaţi să îşi dezvolte cunoştinţele, abilităţile şi competenţele;</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sidRPr="0079170F">
        <w:rPr>
          <w:rFonts w:ascii="Calibri" w:hAnsi="Calibri" w:cs="Arial"/>
          <w:color w:val="000000"/>
        </w:rPr>
        <w:t xml:space="preserve">elaborarea şi implementarea de programe de formare de leadership. </w:t>
      </w:r>
    </w:p>
    <w:p w:rsidR="0079170F" w:rsidRPr="0079170F" w:rsidRDefault="0079170F" w:rsidP="0079170F">
      <w:pPr>
        <w:numPr>
          <w:ilvl w:val="0"/>
          <w:numId w:val="90"/>
        </w:numPr>
        <w:suppressAutoHyphens/>
        <w:spacing w:before="62" w:after="119" w:line="259" w:lineRule="auto"/>
        <w:jc w:val="both"/>
        <w:rPr>
          <w:rFonts w:ascii="Calibri" w:hAnsi="Calibri" w:cs="Arial"/>
          <w:color w:val="000000"/>
        </w:rPr>
      </w:pPr>
      <w:r w:rsidRPr="0079170F">
        <w:rPr>
          <w:rFonts w:ascii="Calibri" w:hAnsi="Calibri" w:cs="Arial"/>
          <w:color w:val="000000"/>
        </w:rPr>
        <w:t>Modernizarea birourilor vamale</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modernizarea infrastructurii birourilor vamale de frontieră cu specific rutier;</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dotarea cu echipamente moderne de control vamal prin alocarea fondurilor bugetare necesare și achiziționarea de: scanner-e Xray și scanner-e portabile pentru echipele mobile, camere video de supraveghere a traficului, tablete pentru controalele vamale în fluxul de călători;</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dotarea cu uniforme și înlocuirea echipamentelor de calcul IT;</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dezvoltarea sistemelor IT în conformitate cu Strategia Comisiei Europene de implementare a Codului Vamal Unional.</w:t>
      </w:r>
    </w:p>
    <w:p w:rsidR="0079170F" w:rsidRPr="0079170F" w:rsidRDefault="0079170F" w:rsidP="0079170F">
      <w:pPr>
        <w:tabs>
          <w:tab w:val="left" w:pos="567"/>
          <w:tab w:val="left" w:pos="905"/>
        </w:tabs>
        <w:suppressAutoHyphens/>
        <w:spacing w:before="60" w:after="120"/>
        <w:ind w:left="993"/>
        <w:jc w:val="both"/>
        <w:rPr>
          <w:rFonts w:ascii="Calibri" w:hAnsi="Calibri" w:cs="Calibri"/>
          <w:color w:val="000000"/>
          <w:lang w:val="ro-RO" w:eastAsia="zh-CN"/>
        </w:rPr>
      </w:pPr>
    </w:p>
    <w:p w:rsidR="0079170F" w:rsidRPr="0079170F" w:rsidRDefault="0079170F" w:rsidP="0079170F">
      <w:pPr>
        <w:widowControl w:val="0"/>
        <w:numPr>
          <w:ilvl w:val="0"/>
          <w:numId w:val="85"/>
        </w:numPr>
        <w:shd w:val="clear" w:color="auto" w:fill="E5F2FF"/>
        <w:suppressAutoHyphens/>
        <w:spacing w:after="120" w:line="320" w:lineRule="exact"/>
        <w:jc w:val="both"/>
        <w:rPr>
          <w:rFonts w:ascii="Calibri" w:hAnsi="Calibri" w:cs="Calibri"/>
          <w:color w:val="000000"/>
          <w:lang w:val="fr-FR" w:eastAsia="zh-CN"/>
        </w:rPr>
      </w:pPr>
      <w:r w:rsidRPr="0079170F">
        <w:rPr>
          <w:rFonts w:ascii="Calibri" w:hAnsi="Calibri" w:cs="Calibri"/>
          <w:b/>
          <w:color w:val="000000"/>
          <w:lang w:val="ro-RO" w:eastAsia="zh-CN"/>
        </w:rPr>
        <w:t>Obiective în perioada 20</w:t>
      </w:r>
      <w:r w:rsidRPr="0079170F">
        <w:rPr>
          <w:rFonts w:ascii="Calibri" w:hAnsi="Calibri" w:cs="Calibri"/>
          <w:b/>
          <w:color w:val="000000"/>
          <w:lang w:eastAsia="zh-CN"/>
        </w:rPr>
        <w:t>20</w:t>
      </w:r>
      <w:r w:rsidRPr="0079170F">
        <w:rPr>
          <w:rFonts w:ascii="Calibri" w:hAnsi="Calibri" w:cs="Calibri"/>
          <w:b/>
          <w:color w:val="000000"/>
          <w:lang w:val="ro-RO" w:eastAsia="zh-CN"/>
        </w:rPr>
        <w:t xml:space="preserve"> - 2021</w:t>
      </w:r>
    </w:p>
    <w:p w:rsidR="0079170F" w:rsidRPr="0079170F" w:rsidRDefault="0079170F" w:rsidP="0079170F">
      <w:pPr>
        <w:spacing w:before="100" w:beforeAutospacing="1" w:after="119"/>
        <w:jc w:val="both"/>
        <w:rPr>
          <w:rFonts w:ascii="Calibri" w:hAnsi="Calibri"/>
          <w:color w:val="000000"/>
          <w:lang w:val="it-IT"/>
        </w:rPr>
      </w:pPr>
      <w:r w:rsidRPr="0079170F">
        <w:rPr>
          <w:rFonts w:ascii="Calibri" w:hAnsi="Calibri" w:cs="Arial"/>
          <w:b/>
          <w:bCs/>
          <w:color w:val="000000"/>
          <w:lang w:val="it-IT"/>
        </w:rPr>
        <w:t>Creşterea conformării voluntare</w:t>
      </w:r>
    </w:p>
    <w:p w:rsidR="0079170F" w:rsidRPr="0079170F" w:rsidRDefault="0079170F" w:rsidP="0079170F">
      <w:pPr>
        <w:numPr>
          <w:ilvl w:val="0"/>
          <w:numId w:val="91"/>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Stimularea conformării voluntare la declarare și la plată</w:t>
      </w:r>
    </w:p>
    <w:p w:rsidR="0079170F" w:rsidRPr="0079170F" w:rsidRDefault="0079170F" w:rsidP="0079170F">
      <w:pPr>
        <w:numPr>
          <w:ilvl w:val="1"/>
          <w:numId w:val="91"/>
        </w:numPr>
        <w:suppressAutoHyphens/>
        <w:spacing w:before="62" w:after="119" w:line="259" w:lineRule="auto"/>
        <w:jc w:val="both"/>
        <w:rPr>
          <w:rFonts w:ascii="Calibri" w:hAnsi="Calibri"/>
          <w:color w:val="000000"/>
        </w:rPr>
      </w:pPr>
      <w:r w:rsidRPr="0079170F">
        <w:rPr>
          <w:rFonts w:ascii="Calibri" w:hAnsi="Calibri" w:cs="Arial"/>
          <w:color w:val="000000"/>
        </w:rPr>
        <w:t>elaborarea unui program de conformare şi monitorizare a implementării acţiunilor definite;</w:t>
      </w:r>
    </w:p>
    <w:p w:rsidR="0079170F" w:rsidRPr="0079170F" w:rsidRDefault="0079170F" w:rsidP="0079170F">
      <w:pPr>
        <w:numPr>
          <w:ilvl w:val="1"/>
          <w:numId w:val="91"/>
        </w:numPr>
        <w:suppressAutoHyphens/>
        <w:spacing w:before="62" w:after="119" w:line="259" w:lineRule="auto"/>
        <w:jc w:val="both"/>
        <w:rPr>
          <w:rFonts w:ascii="Calibri" w:hAnsi="Calibri"/>
          <w:color w:val="000000"/>
        </w:rPr>
      </w:pPr>
      <w:r w:rsidRPr="0079170F">
        <w:rPr>
          <w:rFonts w:ascii="Calibri" w:hAnsi="Calibri" w:cs="Arial"/>
          <w:color w:val="000000"/>
        </w:rPr>
        <w:t xml:space="preserve">promovarea posibilităţilor de acordare a înlesnirilor la plată prin organizarea de întâlniri periodice cu contribuabilii și prin publicare pe site a materialelor informative. </w:t>
      </w:r>
    </w:p>
    <w:p w:rsidR="0079170F" w:rsidRPr="0079170F" w:rsidRDefault="0079170F" w:rsidP="0079170F">
      <w:pPr>
        <w:numPr>
          <w:ilvl w:val="0"/>
          <w:numId w:val="91"/>
        </w:numPr>
        <w:suppressAutoHyphens/>
        <w:spacing w:before="62" w:after="119" w:line="259" w:lineRule="auto"/>
        <w:jc w:val="both"/>
        <w:rPr>
          <w:rFonts w:ascii="Calibri" w:hAnsi="Calibri"/>
          <w:color w:val="000000"/>
        </w:rPr>
      </w:pPr>
      <w:r w:rsidRPr="0079170F">
        <w:rPr>
          <w:rFonts w:ascii="Calibri" w:hAnsi="Calibri" w:cs="Arial"/>
          <w:color w:val="000000"/>
        </w:rPr>
        <w:t>Revizuirea procedurilor de administrare fiscală</w:t>
      </w:r>
    </w:p>
    <w:p w:rsidR="0079170F" w:rsidRPr="0079170F" w:rsidRDefault="0079170F" w:rsidP="0079170F">
      <w:pPr>
        <w:numPr>
          <w:ilvl w:val="1"/>
          <w:numId w:val="91"/>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crearea condițiilor tehnice și procedurale pentru plata obligațiilor fiscale prin instrumentele bancare</w:t>
      </w:r>
    </w:p>
    <w:p w:rsidR="0079170F" w:rsidRPr="0079170F" w:rsidRDefault="0079170F" w:rsidP="0079170F">
      <w:pPr>
        <w:numPr>
          <w:ilvl w:val="1"/>
          <w:numId w:val="91"/>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 xml:space="preserve">îmbunătăţirea procedurilor de înfiinţare şi ridicare a popririlor, în scopul diminuării timpilor de procesare a actelor de executare. </w:t>
      </w:r>
    </w:p>
    <w:p w:rsidR="0079170F" w:rsidRPr="0079170F" w:rsidRDefault="0079170F" w:rsidP="0079170F">
      <w:pPr>
        <w:numPr>
          <w:ilvl w:val="0"/>
          <w:numId w:val="91"/>
        </w:numPr>
        <w:suppressAutoHyphens/>
        <w:spacing w:before="62" w:after="119" w:line="259" w:lineRule="auto"/>
        <w:jc w:val="both"/>
        <w:rPr>
          <w:rFonts w:ascii="Calibri" w:hAnsi="Calibri"/>
          <w:color w:val="000000"/>
          <w:lang w:val="it-IT"/>
        </w:rPr>
      </w:pPr>
      <w:r w:rsidRPr="0079170F">
        <w:rPr>
          <w:rFonts w:ascii="Calibri" w:hAnsi="Calibri" w:cs="Arial"/>
          <w:i/>
          <w:iCs/>
          <w:color w:val="000000"/>
          <w:lang w:val="it-IT"/>
        </w:rPr>
        <w:t xml:space="preserve">Creșterea conformării voluntare prin prevenirea erodarii bazei impozabile </w:t>
      </w:r>
    </w:p>
    <w:p w:rsidR="0079170F" w:rsidRPr="003964D3" w:rsidRDefault="0079170F" w:rsidP="0079170F">
      <w:pPr>
        <w:numPr>
          <w:ilvl w:val="1"/>
          <w:numId w:val="91"/>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promovarea posibilităților de emitere a acordurilor de preț în avans unilaterale/bilaterale/ multilaterale;</w:t>
      </w:r>
    </w:p>
    <w:p w:rsidR="0079170F" w:rsidRPr="003964D3" w:rsidRDefault="0079170F" w:rsidP="0079170F">
      <w:pPr>
        <w:numPr>
          <w:ilvl w:val="1"/>
          <w:numId w:val="91"/>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 xml:space="preserve">promovarea posibilităților de inițiere a procedurii amiabile în cazul tranzacțiilor ajustate urmare actelor fiscale emise de autorități fiscale din alte jurisdicții; </w:t>
      </w:r>
    </w:p>
    <w:p w:rsidR="0079170F" w:rsidRPr="003964D3" w:rsidRDefault="0079170F" w:rsidP="0079170F">
      <w:pPr>
        <w:numPr>
          <w:ilvl w:val="1"/>
          <w:numId w:val="91"/>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posibilității de "audit settlement" (stabilire amiabilă a deciziei finale de impunere) în vederea scăderii numărului de contestații și dosare în instanță în vederea verificării rapoartelor de inspecție fiscală și creșterii gradului de încasare a sumelor suplimentar stabilite, blocate în procedurile judiciare aflate în desfășurare;</w:t>
      </w:r>
    </w:p>
    <w:p w:rsidR="0079170F" w:rsidRPr="003964D3" w:rsidRDefault="0079170F" w:rsidP="0079170F">
      <w:pPr>
        <w:numPr>
          <w:ilvl w:val="1"/>
          <w:numId w:val="91"/>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posibilitătii de ajustare voluntară a prețurilor de transfer în cazul erodării bazei impozabile a contribuabililor din România în cadrul tranzacțiilor cu entitățile afiliate.</w:t>
      </w:r>
    </w:p>
    <w:p w:rsidR="0079170F" w:rsidRPr="0079170F" w:rsidRDefault="0079170F" w:rsidP="0079170F">
      <w:pPr>
        <w:spacing w:before="100" w:beforeAutospacing="1" w:after="119"/>
        <w:jc w:val="both"/>
        <w:rPr>
          <w:rFonts w:ascii="Calibri" w:hAnsi="Calibri"/>
          <w:color w:val="000000"/>
          <w:lang w:val="it-IT"/>
        </w:rPr>
      </w:pPr>
      <w:r w:rsidRPr="0079170F">
        <w:rPr>
          <w:rFonts w:ascii="Calibri" w:hAnsi="Calibri" w:cs="Arial"/>
          <w:b/>
          <w:bCs/>
          <w:color w:val="000000"/>
          <w:lang w:val="it-IT"/>
        </w:rPr>
        <w:t>Reducerea evaziunii fiscaleşi a fraudei fiscale</w:t>
      </w:r>
    </w:p>
    <w:p w:rsidR="0079170F" w:rsidRPr="003964D3" w:rsidRDefault="0079170F" w:rsidP="0079170F">
      <w:pPr>
        <w:numPr>
          <w:ilvl w:val="0"/>
          <w:numId w:val="92"/>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Definirea guvernanței implementării modelului european de management al riscurilor de neconformare</w:t>
      </w:r>
    </w:p>
    <w:p w:rsidR="0079170F" w:rsidRPr="0079170F" w:rsidRDefault="0079170F" w:rsidP="0079170F">
      <w:pPr>
        <w:numPr>
          <w:ilvl w:val="1"/>
          <w:numId w:val="92"/>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introducerea programului de testare aleatorie a conformării fiscale (prin controale fiscale);</w:t>
      </w:r>
    </w:p>
    <w:p w:rsidR="0079170F" w:rsidRPr="0079170F" w:rsidRDefault="0079170F" w:rsidP="0079170F">
      <w:pPr>
        <w:numPr>
          <w:ilvl w:val="0"/>
          <w:numId w:val="92"/>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Dezvoltarea activității de analiză a decalajului fiscal</w:t>
      </w:r>
    </w:p>
    <w:p w:rsidR="0079170F" w:rsidRPr="0079170F" w:rsidRDefault="0079170F" w:rsidP="0079170F">
      <w:pPr>
        <w:numPr>
          <w:ilvl w:val="1"/>
          <w:numId w:val="92"/>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realizarea anuală a studiilor de estimare a decalajului fiscal pe domenii de activitate.</w:t>
      </w:r>
    </w:p>
    <w:p w:rsidR="0079170F" w:rsidRPr="0079170F" w:rsidRDefault="0079170F" w:rsidP="0079170F">
      <w:pPr>
        <w:numPr>
          <w:ilvl w:val="0"/>
          <w:numId w:val="92"/>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Organizarea controlului antifraudă, în conformitate cu modelul european de management al riscurilor la neconformare</w:t>
      </w:r>
    </w:p>
    <w:p w:rsidR="0079170F" w:rsidRPr="0079170F" w:rsidRDefault="0079170F" w:rsidP="0079170F">
      <w:pPr>
        <w:numPr>
          <w:ilvl w:val="1"/>
          <w:numId w:val="92"/>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integrarea şi îmbunătăţirea analizei de risc în domeniul fraudei fiscale;</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sidRPr="0079170F">
        <w:rPr>
          <w:rFonts w:ascii="Calibri" w:hAnsi="Calibri" w:cs="Arial"/>
          <w:color w:val="000000"/>
        </w:rPr>
        <w:t>reducerea nivelului şi frecvenţei sancţiunilor aplicate pentru fapte cu pericol social redus;</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sidRPr="0079170F">
        <w:rPr>
          <w:rFonts w:ascii="Calibri" w:hAnsi="Calibri" w:cs="Arial"/>
          <w:color w:val="000000"/>
        </w:rPr>
        <w:t>îmbunătăţirea colaborării cu Ministerul Public în vederea dezvoltării capacităţii de investigare şi trimitere în judecată, dezideratul fiind ca ANAF să contribuie semnificativ în ariile legate de evaziune şi fraudă fiscală/vamală.</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sidRPr="0079170F">
        <w:rPr>
          <w:rFonts w:ascii="Calibri" w:hAnsi="Calibri" w:cs="Arial"/>
          <w:color w:val="000000"/>
        </w:rPr>
        <w:t>Combaterea fraudelor vamale</w:t>
      </w:r>
    </w:p>
    <w:p w:rsidR="0079170F" w:rsidRPr="003964D3" w:rsidRDefault="0079170F" w:rsidP="0079170F">
      <w:pPr>
        <w:numPr>
          <w:ilvl w:val="1"/>
          <w:numId w:val="92"/>
        </w:numPr>
        <w:suppressAutoHyphens/>
        <w:spacing w:before="62" w:after="119" w:line="259" w:lineRule="auto"/>
        <w:jc w:val="both"/>
        <w:rPr>
          <w:rFonts w:ascii="Calibri" w:hAnsi="Calibri" w:cs="Arial"/>
          <w:color w:val="000000"/>
          <w:lang w:val="fr-FR"/>
        </w:rPr>
      </w:pPr>
      <w:r w:rsidRPr="003964D3">
        <w:rPr>
          <w:rFonts w:ascii="Calibri" w:hAnsi="Calibri" w:cs="Arial"/>
          <w:color w:val="000000"/>
          <w:lang w:val="fr-FR"/>
        </w:rPr>
        <w:t>protejarea teritoriului vamal naţional şi comunitar prin activităţi de supraveghere şi control vamal în domeniul combaterii traficului ilicit;</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sidRPr="0079170F">
        <w:rPr>
          <w:rFonts w:ascii="Calibri" w:hAnsi="Calibri" w:cs="Arial"/>
          <w:color w:val="000000"/>
        </w:rPr>
        <w:t>dezvoltarea structurilor de echipe mobile şi implementarea unui management operaţional mai eficient;</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sidRPr="0079170F">
        <w:rPr>
          <w:rFonts w:ascii="Calibri" w:hAnsi="Calibri" w:cs="Arial"/>
          <w:color w:val="000000"/>
        </w:rPr>
        <w:t>utilizarea la întreaga capacitate a echipamentelor de control nedistructiv;</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sidRPr="0079170F">
        <w:rPr>
          <w:rFonts w:ascii="Calibri" w:hAnsi="Calibri" w:cs="Arial"/>
          <w:color w:val="000000"/>
        </w:rPr>
        <w:t>eficientizarea cooperării cu alte autorități de aplicare a legii din România (IGPR, IGPF, DIICOT, DGAF), inclusiv efectuarea de acțiuni de control în comun la frontiera externă UE sau în trafic.</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sidRPr="0079170F">
        <w:rPr>
          <w:rFonts w:ascii="Calibri" w:hAnsi="Calibri" w:cs="Arial"/>
          <w:color w:val="000000"/>
        </w:rPr>
        <w:t>Îmbunătățirea cadrului metodologic și procedural necesar diminuării subdeclarării impozitelor, taxelor și contribuțiilor</w:t>
      </w:r>
    </w:p>
    <w:p w:rsidR="0079170F" w:rsidRPr="0079170F" w:rsidRDefault="0079170F" w:rsidP="0079170F">
      <w:pPr>
        <w:numPr>
          <w:ilvl w:val="1"/>
          <w:numId w:val="92"/>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dezvoltarea unui program de pregătire modular pentru inspecţia fiscală;</w:t>
      </w:r>
    </w:p>
    <w:p w:rsidR="0079170F" w:rsidRPr="003964D3" w:rsidRDefault="0079170F" w:rsidP="0079170F">
      <w:pPr>
        <w:numPr>
          <w:ilvl w:val="1"/>
          <w:numId w:val="92"/>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dezvoltarea, împreună cu MFP, a unui sistem de soluții individuale anticipate, pentru domenii fiscale complexe.</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 xml:space="preserve">Îmbunătăţirea relaţiei cu contribuabilii </w:t>
      </w:r>
    </w:p>
    <w:p w:rsidR="0079170F" w:rsidRPr="0079170F" w:rsidRDefault="0079170F" w:rsidP="0079170F">
      <w:pPr>
        <w:numPr>
          <w:ilvl w:val="0"/>
          <w:numId w:val="93"/>
        </w:numPr>
        <w:suppressAutoHyphens/>
        <w:spacing w:before="62" w:after="119" w:line="259" w:lineRule="auto"/>
        <w:jc w:val="both"/>
        <w:rPr>
          <w:rFonts w:ascii="Calibri" w:hAnsi="Calibri"/>
          <w:color w:val="000000"/>
        </w:rPr>
      </w:pPr>
      <w:r w:rsidRPr="0079170F">
        <w:rPr>
          <w:rFonts w:ascii="Calibri" w:hAnsi="Calibri" w:cs="Arial"/>
          <w:color w:val="000000"/>
        </w:rPr>
        <w:t>Creşterea calităţii serviciilor destinate contribuabililor</w:t>
      </w:r>
    </w:p>
    <w:p w:rsidR="0079170F" w:rsidRPr="003964D3" w:rsidRDefault="0079170F" w:rsidP="0079170F">
      <w:pPr>
        <w:numPr>
          <w:ilvl w:val="1"/>
          <w:numId w:val="93"/>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unui nou concept de servicii pentru contribuabili;</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dezvoltarea etapizată a call-center-ului;</w:t>
      </w:r>
    </w:p>
    <w:p w:rsidR="0079170F" w:rsidRPr="003964D3" w:rsidRDefault="0079170F" w:rsidP="0079170F">
      <w:pPr>
        <w:numPr>
          <w:ilvl w:val="1"/>
          <w:numId w:val="93"/>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sistemului de gestionare a cozilor şi a conceptului de ghişeu unic;</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dezvoltarea unor iniţiative comune cu partenerii guvernamentali şi sociali pentru introducerea standardelor de calitate în administraţia publică;</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îmbunătăţirea activităţii de soluţionare în termen legal a deconturilor TVA negative cu opţiune de rambursare;</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elaborarea unei noi proceduri pentru soluționarea deconturilor cu sume negative de TVA, cu opțiune de rambursare (DNOR), care să asigure reducerea semnificativă a DNOR-urilor ce se soluționează cu control anticipat.</w:t>
      </w:r>
    </w:p>
    <w:p w:rsidR="0079170F" w:rsidRPr="0079170F" w:rsidRDefault="0079170F" w:rsidP="0079170F">
      <w:pPr>
        <w:numPr>
          <w:ilvl w:val="0"/>
          <w:numId w:val="93"/>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Creșterea transparenței instituției și a rolului de prevenție</w:t>
      </w:r>
    </w:p>
    <w:p w:rsidR="0079170F" w:rsidRPr="0079170F" w:rsidRDefault="0079170F" w:rsidP="0079170F">
      <w:pPr>
        <w:numPr>
          <w:ilvl w:val="1"/>
          <w:numId w:val="93"/>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efectuarea de campanii de dialog, îndrumare şi notificare a contribuabililor cu privire la obligaţia de declarare şi plată a obligaţiilor fiscale;</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publicarea de comunicate privind noutăţile legislative din domeniul fiscal.</w:t>
      </w:r>
    </w:p>
    <w:p w:rsidR="0079170F" w:rsidRPr="0079170F" w:rsidRDefault="0079170F" w:rsidP="0079170F">
      <w:pPr>
        <w:numPr>
          <w:ilvl w:val="0"/>
          <w:numId w:val="93"/>
        </w:numPr>
        <w:suppressAutoHyphens/>
        <w:spacing w:before="62" w:after="119" w:line="259" w:lineRule="auto"/>
        <w:jc w:val="both"/>
        <w:rPr>
          <w:rFonts w:ascii="Calibri" w:hAnsi="Calibri"/>
          <w:color w:val="000000"/>
        </w:rPr>
      </w:pPr>
      <w:r w:rsidRPr="0079170F">
        <w:rPr>
          <w:rFonts w:ascii="Calibri" w:hAnsi="Calibri" w:cs="Arial"/>
          <w:color w:val="000000"/>
        </w:rPr>
        <w:t>Reducerea costurilor de conformare ale contribuabililor</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diminuarea costurilor de conformare prin diminuarea complexităţii cadrului administrativ şi încurajarea declarării electronice;</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sidRPr="0079170F">
        <w:rPr>
          <w:rFonts w:ascii="Calibri" w:hAnsi="Calibri" w:cs="Arial"/>
          <w:color w:val="000000"/>
        </w:rPr>
        <w:t>dezvoltarea funcţionalităţilor Spaţiului Privat Virtual şi mediatizarea serviciului.</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Creşterea eficienţei colectării</w:t>
      </w:r>
    </w:p>
    <w:p w:rsidR="0079170F" w:rsidRPr="0079170F" w:rsidRDefault="0079170F" w:rsidP="0079170F">
      <w:pPr>
        <w:numPr>
          <w:ilvl w:val="0"/>
          <w:numId w:val="94"/>
        </w:numPr>
        <w:suppressAutoHyphens/>
        <w:spacing w:before="62" w:after="119" w:line="259" w:lineRule="auto"/>
        <w:jc w:val="both"/>
        <w:rPr>
          <w:rFonts w:ascii="Calibri" w:hAnsi="Calibri"/>
          <w:color w:val="000000"/>
        </w:rPr>
      </w:pPr>
      <w:r w:rsidRPr="0079170F">
        <w:rPr>
          <w:rFonts w:ascii="Calibri" w:hAnsi="Calibri" w:cs="Arial"/>
          <w:color w:val="000000"/>
        </w:rPr>
        <w:t>Maximizarea implicării ANAF în stabilirea cadrului legal în vederea eficientizării activităţii de administrare</w:t>
      </w:r>
    </w:p>
    <w:p w:rsidR="0079170F" w:rsidRPr="003964D3" w:rsidRDefault="0079170F" w:rsidP="0079170F">
      <w:pPr>
        <w:numPr>
          <w:ilvl w:val="1"/>
          <w:numId w:val="94"/>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implementarea unui plan de comunicare externă.</w:t>
      </w:r>
    </w:p>
    <w:p w:rsidR="0079170F" w:rsidRPr="0079170F" w:rsidRDefault="0079170F" w:rsidP="0079170F">
      <w:pPr>
        <w:numPr>
          <w:ilvl w:val="0"/>
          <w:numId w:val="94"/>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Îmbunătăţirea modalităţii de prognozare şi raportare a veniturilor fiscale</w:t>
      </w:r>
    </w:p>
    <w:p w:rsidR="0079170F" w:rsidRPr="0079170F" w:rsidRDefault="0079170F" w:rsidP="0079170F">
      <w:pPr>
        <w:numPr>
          <w:ilvl w:val="1"/>
          <w:numId w:val="94"/>
        </w:numPr>
        <w:suppressAutoHyphens/>
        <w:spacing w:before="62" w:after="119" w:line="259" w:lineRule="auto"/>
        <w:jc w:val="both"/>
        <w:rPr>
          <w:rFonts w:ascii="Calibri" w:hAnsi="Calibri"/>
          <w:color w:val="000000"/>
        </w:rPr>
      </w:pPr>
      <w:r w:rsidRPr="0079170F">
        <w:rPr>
          <w:rFonts w:ascii="Calibri" w:hAnsi="Calibri" w:cs="Arial"/>
          <w:color w:val="000000"/>
        </w:rPr>
        <w:t>dezvoltarea metodologiilor de prognoză pentru estimarea veniturilor fiscale;</w:t>
      </w:r>
    </w:p>
    <w:p w:rsidR="0079170F" w:rsidRPr="003964D3" w:rsidRDefault="0079170F" w:rsidP="0079170F">
      <w:pPr>
        <w:numPr>
          <w:ilvl w:val="1"/>
          <w:numId w:val="94"/>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dezvoltarea sistemului de monitorizare şi raportare a progresului lunar.</w:t>
      </w:r>
    </w:p>
    <w:p w:rsidR="0079170F" w:rsidRPr="0079170F" w:rsidRDefault="0079170F" w:rsidP="0079170F">
      <w:pPr>
        <w:spacing w:before="100" w:beforeAutospacing="1" w:after="119"/>
        <w:jc w:val="both"/>
        <w:rPr>
          <w:rFonts w:ascii="Calibri" w:hAnsi="Calibri"/>
          <w:color w:val="000000"/>
        </w:rPr>
      </w:pPr>
      <w:r w:rsidRPr="0079170F">
        <w:rPr>
          <w:rFonts w:ascii="Calibri" w:hAnsi="Calibri" w:cs="Arial"/>
          <w:b/>
          <w:bCs/>
          <w:color w:val="000000"/>
        </w:rPr>
        <w:t xml:space="preserve">Modernizarea agenției </w:t>
      </w:r>
    </w:p>
    <w:p w:rsidR="0079170F" w:rsidRPr="0079170F" w:rsidRDefault="0079170F" w:rsidP="0079170F">
      <w:pPr>
        <w:numPr>
          <w:ilvl w:val="0"/>
          <w:numId w:val="95"/>
        </w:numPr>
        <w:suppressAutoHyphens/>
        <w:spacing w:before="62" w:after="119" w:line="259" w:lineRule="auto"/>
        <w:jc w:val="both"/>
        <w:rPr>
          <w:rFonts w:ascii="Calibri" w:hAnsi="Calibri"/>
          <w:color w:val="000000"/>
        </w:rPr>
      </w:pPr>
      <w:r w:rsidRPr="0079170F">
        <w:rPr>
          <w:rFonts w:ascii="Calibri" w:hAnsi="Calibri" w:cs="Arial"/>
          <w:color w:val="000000"/>
        </w:rPr>
        <w:t>Îmbunătățirea guvernanței agenției și întărirea cooperării internaționale</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sidRPr="0079170F">
        <w:rPr>
          <w:rFonts w:ascii="Calibri" w:hAnsi="Calibri" w:cs="Arial"/>
          <w:color w:val="000000"/>
        </w:rPr>
        <w:t>promovarea acţiunilor pentru demararea proiectelor și acțiunilor care vor duce la îndeplinirea obiectivelor strategice;</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sidRPr="0079170F">
        <w:rPr>
          <w:rFonts w:ascii="Calibri" w:hAnsi="Calibri" w:cs="Arial"/>
          <w:color w:val="000000"/>
        </w:rPr>
        <w:t xml:space="preserve">reducerea costului colectării; </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sidRPr="0079170F">
        <w:rPr>
          <w:rFonts w:ascii="Calibri" w:hAnsi="Calibri" w:cs="Arial"/>
          <w:color w:val="000000"/>
        </w:rPr>
        <w:t>promovarea acţiunilor necesare întăririi cooperării internaţionale şi a schimbului de informaţii cu alte state/structuri;</w:t>
      </w:r>
    </w:p>
    <w:p w:rsidR="0079170F" w:rsidRPr="0079170F" w:rsidRDefault="0079170F" w:rsidP="0079170F">
      <w:pPr>
        <w:numPr>
          <w:ilvl w:val="1"/>
          <w:numId w:val="95"/>
        </w:numPr>
        <w:suppressAutoHyphens/>
        <w:spacing w:before="62" w:after="119" w:line="259" w:lineRule="auto"/>
        <w:jc w:val="both"/>
        <w:rPr>
          <w:rFonts w:ascii="Calibri" w:hAnsi="Calibri"/>
          <w:color w:val="000000"/>
          <w:lang w:val="it-IT"/>
        </w:rPr>
      </w:pPr>
      <w:r w:rsidRPr="0079170F">
        <w:rPr>
          <w:rFonts w:ascii="Calibri" w:hAnsi="Calibri" w:cs="Arial"/>
          <w:color w:val="000000"/>
          <w:lang w:val="it-IT"/>
        </w:rPr>
        <w:t>întărirea acţiunilor necesare creşterii integrităţii personalului ANAF.</w:t>
      </w:r>
    </w:p>
    <w:p w:rsidR="0079170F" w:rsidRPr="003964D3" w:rsidRDefault="0079170F" w:rsidP="0079170F">
      <w:pPr>
        <w:numPr>
          <w:ilvl w:val="0"/>
          <w:numId w:val="95"/>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Îmbunătăţirea managementului resurselor umane ale agenţiei</w:t>
      </w:r>
    </w:p>
    <w:p w:rsidR="0079170F" w:rsidRPr="0079170F" w:rsidRDefault="0079170F" w:rsidP="0079170F">
      <w:pPr>
        <w:numPr>
          <w:ilvl w:val="1"/>
          <w:numId w:val="95"/>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menţinerea unui sistem eficient de planificare a forţei de muncă necesară asigurării alocării optimului de angajaţi;</w:t>
      </w:r>
    </w:p>
    <w:p w:rsidR="0079170F" w:rsidRPr="0079170F" w:rsidRDefault="0079170F" w:rsidP="0079170F">
      <w:pPr>
        <w:numPr>
          <w:ilvl w:val="1"/>
          <w:numId w:val="95"/>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consolidarea politicilor şi practicilor de formare şi dezvoltare pentru a-i ajuta pe angajaţi să îşi dezvolte cunoştinţele, abilităţile şi competenţele;</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sidRPr="0079170F">
        <w:rPr>
          <w:rFonts w:ascii="Calibri" w:hAnsi="Calibri" w:cs="Arial"/>
          <w:color w:val="000000"/>
        </w:rPr>
        <w:t>elaborarea şi implementarea de programe de formare de leadership</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sidRPr="0079170F">
        <w:rPr>
          <w:rFonts w:ascii="Calibri" w:hAnsi="Calibri" w:cs="Arial"/>
          <w:color w:val="000000"/>
        </w:rPr>
        <w:t>colaborarea cu MFP şi acordarea suportului de specialitate pentru dezvoltarea/implementarea în cadrul Sistemului Informatic Integrat Vamal din România a tuturor sistemelor IT prevazute în Noul Cod Vamal al Uniunii, la termenele stabilite prin Decizia Comisiei nr. 578/2016, de stabilire a programului de lucru referitor la dezvoltarea şi instalarea sistemelor electronice prevăzute în Codul Vamal al Uniunii, conform obligaţiilor asumate în calitate de Stat Membru;</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sidRPr="0079170F">
        <w:rPr>
          <w:rFonts w:ascii="Calibri" w:hAnsi="Calibri" w:cs="Arial"/>
          <w:color w:val="000000"/>
        </w:rPr>
        <w:t>asigurarea activităților de mentenanță (repararea, punerea în funcțiune și obținerea autorizației de utilizare) pentru Unitatea Nucleară a ANAF-DGV;</w:t>
      </w:r>
    </w:p>
    <w:p w:rsidR="0079170F" w:rsidRPr="0079170F" w:rsidRDefault="0079170F" w:rsidP="0079170F">
      <w:pPr>
        <w:numPr>
          <w:ilvl w:val="1"/>
          <w:numId w:val="95"/>
        </w:numPr>
        <w:suppressAutoHyphens/>
        <w:spacing w:before="62" w:after="119" w:line="259" w:lineRule="auto"/>
        <w:jc w:val="both"/>
        <w:rPr>
          <w:rFonts w:ascii="Calibri" w:hAnsi="Calibri"/>
          <w:color w:val="000000"/>
          <w:lang w:val="pt-BR"/>
        </w:rPr>
      </w:pPr>
      <w:r w:rsidRPr="0079170F">
        <w:rPr>
          <w:rFonts w:ascii="Calibri" w:hAnsi="Calibri" w:cs="Arial"/>
          <w:color w:val="000000"/>
          <w:lang w:val="pt-BR"/>
        </w:rPr>
        <w:t>asigurarea activităților de mentenanță pentru componenta de IT a SIVSF (soft&amp;hard sisteme de monitorizare, supraveghere, aplicații dedicate, baze de date, etc.);</w:t>
      </w:r>
    </w:p>
    <w:p w:rsidR="0079170F" w:rsidRPr="003964D3" w:rsidRDefault="0079170F" w:rsidP="0079170F">
      <w:pPr>
        <w:numPr>
          <w:ilvl w:val="1"/>
          <w:numId w:val="95"/>
        </w:numPr>
        <w:suppressAutoHyphens/>
        <w:spacing w:before="62" w:after="119" w:line="259" w:lineRule="auto"/>
        <w:jc w:val="both"/>
        <w:rPr>
          <w:rFonts w:ascii="Calibri" w:hAnsi="Calibri"/>
          <w:color w:val="000000"/>
          <w:lang w:val="fr-FR"/>
        </w:rPr>
      </w:pPr>
      <w:r w:rsidRPr="003964D3">
        <w:rPr>
          <w:rFonts w:ascii="Calibri" w:hAnsi="Calibri" w:cs="Arial"/>
          <w:color w:val="000000"/>
          <w:lang w:val="fr-FR"/>
        </w:rPr>
        <w:t>protejarea teritoriului vamal național și comunitar prin activități de supraveghere și control vamal în domeniul combaterii traficului ilicit.</w:t>
      </w:r>
    </w:p>
    <w:p w:rsidR="0079170F" w:rsidRPr="0079170F" w:rsidRDefault="0079170F" w:rsidP="0079170F">
      <w:pPr>
        <w:numPr>
          <w:ilvl w:val="0"/>
          <w:numId w:val="95"/>
        </w:numPr>
        <w:suppressAutoHyphens/>
        <w:spacing w:before="62" w:after="119" w:line="259" w:lineRule="auto"/>
        <w:jc w:val="both"/>
        <w:rPr>
          <w:rFonts w:ascii="Calibri" w:hAnsi="Calibri" w:cs="Arial"/>
          <w:color w:val="000000"/>
        </w:rPr>
      </w:pPr>
      <w:r w:rsidRPr="0079170F">
        <w:rPr>
          <w:rFonts w:ascii="Calibri" w:hAnsi="Calibri" w:cs="Arial"/>
          <w:color w:val="000000"/>
        </w:rPr>
        <w:t>Modernizarea birourilor vamale</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sidRPr="0079170F">
        <w:rPr>
          <w:rFonts w:ascii="Calibri" w:hAnsi="Calibri" w:cs="Arial"/>
          <w:color w:val="000000"/>
        </w:rPr>
        <w:t>modernizarea infrastructurii birourilor vamale de frontieră cu specific rutier;</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sidRPr="0079170F">
        <w:rPr>
          <w:rFonts w:ascii="Calibri" w:hAnsi="Calibri" w:cs="Arial"/>
          <w:color w:val="000000"/>
        </w:rPr>
        <w:t>dotarea cu echipamente moderne de control vamal prin alocarea fondurilor bugetare necesare și achiziționarea de: scanner-e Xray și scanner-e portabile pentru echipele mobile, camere video de supraveghere a traficului, tablete pentru controalele vamale în fluxul de călători;</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lang w:val="pt-BR"/>
        </w:rPr>
      </w:pPr>
      <w:r w:rsidRPr="0079170F">
        <w:rPr>
          <w:rFonts w:ascii="Calibri" w:hAnsi="Calibri" w:cs="Arial"/>
          <w:color w:val="000000"/>
          <w:lang w:val="pt-BR"/>
        </w:rPr>
        <w:t>dotarea cu uniforme și înlocuirea echipamentelor de calcul IT;</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sidRPr="0079170F">
        <w:rPr>
          <w:rFonts w:ascii="Calibri" w:hAnsi="Calibri" w:cs="Arial"/>
          <w:color w:val="000000"/>
        </w:rPr>
        <w:t>dezvoltarea sistemelor IT, în colaborare cu MFP, în conformitate cu Strategia Comisiei Europene de implementare a Codului Vamal Unional.</w:t>
      </w:r>
    </w:p>
    <w:p w:rsidR="00CB19C5" w:rsidRDefault="00CB19C5"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FD5488" w:rsidRDefault="00FD5488" w:rsidP="007F5C19">
      <w:pPr>
        <w:suppressAutoHyphens/>
        <w:spacing w:before="62" w:after="119" w:line="259" w:lineRule="auto"/>
        <w:jc w:val="both"/>
        <w:rPr>
          <w:rFonts w:ascii="Calibri" w:hAnsi="Calibri" w:cs="Arial"/>
          <w:color w:val="000000"/>
        </w:rPr>
      </w:pPr>
    </w:p>
    <w:p w:rsidR="007641E4" w:rsidRDefault="007641E4" w:rsidP="007F5C19">
      <w:pPr>
        <w:suppressAutoHyphens/>
        <w:spacing w:before="62" w:after="119" w:line="259" w:lineRule="auto"/>
        <w:jc w:val="both"/>
        <w:rPr>
          <w:rFonts w:ascii="Calibri" w:hAnsi="Calibri" w:cs="Arial"/>
          <w:color w:val="000000"/>
        </w:rPr>
      </w:pPr>
    </w:p>
    <w:p w:rsidR="003A2538" w:rsidRPr="00C86702" w:rsidRDefault="00CB19C5" w:rsidP="00533D05">
      <w:pPr>
        <w:widowControl w:val="0"/>
        <w:shd w:val="clear" w:color="auto" w:fill="9CC2E5" w:themeFill="accent1" w:themeFillTint="99"/>
        <w:spacing w:line="320" w:lineRule="exact"/>
        <w:rPr>
          <w:rFonts w:ascii="Calibri" w:hAnsi="Calibri"/>
          <w:b/>
          <w:color w:val="000080"/>
          <w:lang w:val="ro-RO"/>
        </w:rPr>
      </w:pPr>
      <w:r>
        <w:rPr>
          <w:rFonts w:ascii="Calibri" w:hAnsi="Calibri"/>
          <w:b/>
          <w:color w:val="000080"/>
          <w:lang w:val="ro-RO"/>
        </w:rPr>
        <w:t>4.5</w:t>
      </w:r>
      <w:r w:rsidR="00717ADB">
        <w:rPr>
          <w:rFonts w:ascii="Calibri" w:hAnsi="Calibri"/>
          <w:b/>
          <w:color w:val="000080"/>
          <w:lang w:val="ro-RO"/>
        </w:rPr>
        <w:t xml:space="preserve"> </w:t>
      </w:r>
      <w:r w:rsidR="001F7825" w:rsidRPr="00C86702">
        <w:rPr>
          <w:rFonts w:ascii="Calibri" w:hAnsi="Calibri"/>
          <w:b/>
          <w:color w:val="000080"/>
          <w:lang w:val="ro-RO"/>
        </w:rPr>
        <w:t xml:space="preserve">Bugetul General Consolidat </w:t>
      </w:r>
    </w:p>
    <w:p w:rsidR="00D810B0" w:rsidRPr="00715536" w:rsidRDefault="00D810B0" w:rsidP="007641E4">
      <w:pPr>
        <w:widowControl w:val="0"/>
        <w:spacing w:before="51"/>
        <w:ind w:right="139"/>
        <w:jc w:val="both"/>
        <w:rPr>
          <w:rFonts w:ascii="Calibri" w:eastAsia="Calibri" w:hAnsi="Calibri"/>
          <w:lang w:val="ro-RO"/>
        </w:rPr>
      </w:pPr>
      <w:r w:rsidRPr="00715536">
        <w:rPr>
          <w:rFonts w:ascii="Calibri" w:eastAsia="Calibri" w:hAnsi="Calibri"/>
          <w:lang w:val="ro-RO"/>
        </w:rPr>
        <w:t>După</w:t>
      </w:r>
      <w:r w:rsidRPr="00715536">
        <w:rPr>
          <w:rFonts w:ascii="Calibri" w:eastAsia="Calibri" w:hAnsi="Calibri"/>
          <w:spacing w:val="-1"/>
          <w:lang w:val="ro-RO"/>
        </w:rPr>
        <w:t xml:space="preserve"> ce</w:t>
      </w:r>
      <w:r w:rsidR="00717ADB">
        <w:rPr>
          <w:rFonts w:ascii="Calibri" w:eastAsia="Calibri" w:hAnsi="Calibri"/>
          <w:spacing w:val="-1"/>
          <w:lang w:val="ro-RO"/>
        </w:rPr>
        <w:t xml:space="preserve"> </w:t>
      </w:r>
      <w:r w:rsidRPr="00715536">
        <w:rPr>
          <w:rFonts w:ascii="Calibri" w:eastAsia="Calibri" w:hAnsi="Calibri"/>
          <w:spacing w:val="-2"/>
          <w:lang w:val="ro-RO"/>
        </w:rPr>
        <w:t>în</w:t>
      </w:r>
      <w:r w:rsidR="001F636D">
        <w:rPr>
          <w:rFonts w:ascii="Calibri" w:eastAsia="Calibri" w:hAnsi="Calibri"/>
          <w:spacing w:val="-2"/>
          <w:lang w:val="ro-RO"/>
        </w:rPr>
        <w:t xml:space="preserve"> </w:t>
      </w:r>
      <w:r w:rsidRPr="00715536">
        <w:rPr>
          <w:rFonts w:ascii="Calibri" w:eastAsia="Calibri" w:hAnsi="Calibri"/>
          <w:spacing w:val="-1"/>
          <w:lang w:val="ro-RO"/>
        </w:rPr>
        <w:t>perioada 2016-2018</w:t>
      </w:r>
      <w:r w:rsidRPr="00715536">
        <w:rPr>
          <w:rFonts w:ascii="Calibri" w:eastAsia="Calibri" w:hAnsi="Calibri"/>
          <w:lang w:val="ro-RO"/>
        </w:rPr>
        <w:t xml:space="preserve"> deficitul </w:t>
      </w:r>
      <w:r w:rsidRPr="00715536">
        <w:rPr>
          <w:rFonts w:ascii="Calibri" w:eastAsia="Calibri" w:hAnsi="Calibri"/>
          <w:spacing w:val="-1"/>
          <w:lang w:val="ro-RO"/>
        </w:rPr>
        <w:t>bugetar</w:t>
      </w:r>
      <w:r w:rsidR="00DD37B0">
        <w:rPr>
          <w:rFonts w:ascii="Calibri" w:eastAsia="Calibri" w:hAnsi="Calibri"/>
          <w:spacing w:val="-1"/>
          <w:lang w:val="ro-RO"/>
        </w:rPr>
        <w:t xml:space="preserve"> ESA a</w:t>
      </w:r>
      <w:r w:rsidR="00717ADB">
        <w:rPr>
          <w:rFonts w:ascii="Calibri" w:eastAsia="Calibri" w:hAnsi="Calibri"/>
          <w:spacing w:val="-1"/>
          <w:lang w:val="ro-RO"/>
        </w:rPr>
        <w:t xml:space="preserve"> i</w:t>
      </w:r>
      <w:r w:rsidRPr="00715536">
        <w:rPr>
          <w:rFonts w:ascii="Calibri" w:eastAsia="Calibri" w:hAnsi="Calibri"/>
          <w:spacing w:val="-1"/>
          <w:lang w:val="ro-RO"/>
        </w:rPr>
        <w:t>mpulsionat</w:t>
      </w:r>
      <w:r w:rsidR="00717ADB">
        <w:rPr>
          <w:rFonts w:ascii="Calibri" w:eastAsia="Calibri" w:hAnsi="Calibri"/>
          <w:spacing w:val="-1"/>
          <w:lang w:val="ro-RO"/>
        </w:rPr>
        <w:t xml:space="preserve"> </w:t>
      </w:r>
      <w:r w:rsidRPr="00715536">
        <w:rPr>
          <w:rFonts w:ascii="Calibri" w:eastAsia="Calibri" w:hAnsi="Calibri"/>
          <w:spacing w:val="-2"/>
          <w:lang w:val="ro-RO"/>
        </w:rPr>
        <w:t>în</w:t>
      </w:r>
      <w:r w:rsidR="00717ADB">
        <w:rPr>
          <w:rFonts w:ascii="Calibri" w:eastAsia="Calibri" w:hAnsi="Calibri"/>
          <w:spacing w:val="-2"/>
          <w:lang w:val="ro-RO"/>
        </w:rPr>
        <w:t xml:space="preserve"> </w:t>
      </w:r>
      <w:r w:rsidRPr="00715536">
        <w:rPr>
          <w:rFonts w:ascii="Calibri" w:eastAsia="Calibri" w:hAnsi="Calibri"/>
          <w:spacing w:val="-1"/>
          <w:lang w:val="ro-RO"/>
        </w:rPr>
        <w:t>mod</w:t>
      </w:r>
      <w:r w:rsidR="00717ADB">
        <w:rPr>
          <w:rFonts w:ascii="Calibri" w:eastAsia="Calibri" w:hAnsi="Calibri"/>
          <w:spacing w:val="-1"/>
          <w:lang w:val="ro-RO"/>
        </w:rPr>
        <w:t xml:space="preserve"> </w:t>
      </w:r>
      <w:r w:rsidRPr="00715536">
        <w:rPr>
          <w:rFonts w:ascii="Calibri" w:eastAsia="Calibri" w:hAnsi="Calibri"/>
          <w:spacing w:val="-1"/>
          <w:lang w:val="ro-RO"/>
        </w:rPr>
        <w:t>susţinut</w:t>
      </w:r>
      <w:r w:rsidR="00717ADB">
        <w:rPr>
          <w:rFonts w:ascii="Calibri" w:eastAsia="Calibri" w:hAnsi="Calibri"/>
          <w:spacing w:val="-1"/>
          <w:lang w:val="ro-RO"/>
        </w:rPr>
        <w:t xml:space="preserve"> </w:t>
      </w:r>
      <w:r w:rsidRPr="00715536">
        <w:rPr>
          <w:rFonts w:ascii="Calibri" w:eastAsia="Calibri" w:hAnsi="Calibri"/>
          <w:spacing w:val="-1"/>
          <w:lang w:val="ro-RO"/>
        </w:rPr>
        <w:t>creșterea</w:t>
      </w:r>
      <w:r w:rsidR="00717ADB">
        <w:rPr>
          <w:rFonts w:ascii="Calibri" w:eastAsia="Calibri" w:hAnsi="Calibri"/>
          <w:spacing w:val="-1"/>
          <w:lang w:val="ro-RO"/>
        </w:rPr>
        <w:t xml:space="preserve"> </w:t>
      </w:r>
      <w:r w:rsidRPr="00715536">
        <w:rPr>
          <w:rFonts w:ascii="Calibri" w:eastAsia="Calibri" w:hAnsi="Calibri"/>
          <w:spacing w:val="-1"/>
          <w:lang w:val="ro-RO"/>
        </w:rPr>
        <w:t>economică,</w:t>
      </w:r>
      <w:r w:rsidR="00717ADB">
        <w:rPr>
          <w:rFonts w:ascii="Calibri" w:eastAsia="Calibri" w:hAnsi="Calibri"/>
          <w:spacing w:val="-1"/>
          <w:lang w:val="ro-RO"/>
        </w:rPr>
        <w:t xml:space="preserve"> </w:t>
      </w:r>
      <w:r w:rsidRPr="00715536">
        <w:rPr>
          <w:rFonts w:ascii="Calibri" w:eastAsia="Calibri" w:hAnsi="Calibri"/>
          <w:lang w:val="ro-RO"/>
        </w:rPr>
        <w:t>în</w:t>
      </w:r>
      <w:r w:rsidR="00717ADB">
        <w:rPr>
          <w:rFonts w:ascii="Calibri" w:eastAsia="Calibri" w:hAnsi="Calibri"/>
          <w:lang w:val="ro-RO"/>
        </w:rPr>
        <w:t xml:space="preserve"> </w:t>
      </w:r>
      <w:r w:rsidRPr="00715536">
        <w:rPr>
          <w:rFonts w:ascii="Calibri" w:eastAsia="Calibri" w:hAnsi="Calibri"/>
          <w:spacing w:val="-1"/>
          <w:lang w:val="ro-RO"/>
        </w:rPr>
        <w:t>marja</w:t>
      </w:r>
      <w:r w:rsidR="00717ADB">
        <w:rPr>
          <w:rFonts w:ascii="Calibri" w:eastAsia="Calibri" w:hAnsi="Calibri"/>
          <w:spacing w:val="-1"/>
          <w:lang w:val="ro-RO"/>
        </w:rPr>
        <w:t xml:space="preserve"> </w:t>
      </w:r>
      <w:r w:rsidRPr="00715536">
        <w:rPr>
          <w:rFonts w:ascii="Calibri" w:eastAsia="Calibri" w:hAnsi="Calibri"/>
          <w:spacing w:val="-1"/>
          <w:lang w:val="ro-RO"/>
        </w:rPr>
        <w:t>maximă</w:t>
      </w:r>
      <w:r w:rsidR="00717ADB">
        <w:rPr>
          <w:rFonts w:ascii="Calibri" w:eastAsia="Calibri" w:hAnsi="Calibri"/>
          <w:spacing w:val="-1"/>
          <w:lang w:val="ro-RO"/>
        </w:rPr>
        <w:t xml:space="preserve"> </w:t>
      </w:r>
      <w:r w:rsidRPr="00715536">
        <w:rPr>
          <w:rFonts w:ascii="Calibri" w:eastAsia="Calibri" w:hAnsi="Calibri"/>
          <w:spacing w:val="-1"/>
          <w:lang w:val="ro-RO"/>
        </w:rPr>
        <w:t>permisă</w:t>
      </w:r>
      <w:r w:rsidR="00717ADB">
        <w:rPr>
          <w:rFonts w:ascii="Calibri" w:eastAsia="Calibri" w:hAnsi="Calibri"/>
          <w:spacing w:val="-1"/>
          <w:lang w:val="ro-RO"/>
        </w:rPr>
        <w:t xml:space="preserve"> </w:t>
      </w:r>
      <w:r w:rsidRPr="00715536">
        <w:rPr>
          <w:rFonts w:ascii="Calibri" w:eastAsia="Calibri" w:hAnsi="Calibri"/>
          <w:lang w:val="ro-RO"/>
        </w:rPr>
        <w:t>de</w:t>
      </w:r>
      <w:r w:rsidR="00717ADB">
        <w:rPr>
          <w:rFonts w:ascii="Calibri" w:eastAsia="Calibri" w:hAnsi="Calibri"/>
          <w:lang w:val="ro-RO"/>
        </w:rPr>
        <w:t xml:space="preserve"> </w:t>
      </w:r>
      <w:r w:rsidRPr="00715536">
        <w:rPr>
          <w:rFonts w:ascii="Calibri" w:eastAsia="Calibri" w:hAnsi="Calibri"/>
          <w:spacing w:val="-1"/>
          <w:lang w:val="ro-RO"/>
        </w:rPr>
        <w:t>Tratatul</w:t>
      </w:r>
      <w:r w:rsidR="00717ADB">
        <w:rPr>
          <w:rFonts w:ascii="Calibri" w:eastAsia="Calibri" w:hAnsi="Calibri"/>
          <w:spacing w:val="-1"/>
          <w:lang w:val="ro-RO"/>
        </w:rPr>
        <w:t xml:space="preserve"> </w:t>
      </w:r>
      <w:r w:rsidRPr="00715536">
        <w:rPr>
          <w:rFonts w:ascii="Calibri" w:eastAsia="Calibri" w:hAnsi="Calibri"/>
          <w:spacing w:val="-1"/>
          <w:lang w:val="ro-RO"/>
        </w:rPr>
        <w:t>privind</w:t>
      </w:r>
      <w:r w:rsidR="00717ADB">
        <w:rPr>
          <w:rFonts w:ascii="Calibri" w:eastAsia="Calibri" w:hAnsi="Calibri"/>
          <w:spacing w:val="-1"/>
          <w:lang w:val="ro-RO"/>
        </w:rPr>
        <w:t xml:space="preserve"> </w:t>
      </w:r>
      <w:r w:rsidRPr="00715536">
        <w:rPr>
          <w:rFonts w:ascii="Calibri" w:eastAsia="Calibri" w:hAnsi="Calibri"/>
          <w:spacing w:val="-1"/>
          <w:lang w:val="ro-RO"/>
        </w:rPr>
        <w:t>funcţionarea</w:t>
      </w:r>
      <w:r w:rsidR="00717ADB">
        <w:rPr>
          <w:rFonts w:ascii="Calibri" w:eastAsia="Calibri" w:hAnsi="Calibri"/>
          <w:spacing w:val="-1"/>
          <w:lang w:val="ro-RO"/>
        </w:rPr>
        <w:t xml:space="preserve"> </w:t>
      </w:r>
      <w:r w:rsidRPr="00715536">
        <w:rPr>
          <w:rFonts w:ascii="Calibri" w:eastAsia="Calibri" w:hAnsi="Calibri"/>
          <w:spacing w:val="-1"/>
          <w:lang w:val="ro-RO"/>
        </w:rPr>
        <w:t>Uniuni</w:t>
      </w:r>
      <w:r w:rsidR="00717ADB">
        <w:rPr>
          <w:rFonts w:ascii="Calibri" w:eastAsia="Calibri" w:hAnsi="Calibri"/>
          <w:spacing w:val="-1"/>
          <w:lang w:val="ro-RO"/>
        </w:rPr>
        <w:t xml:space="preserve"> </w:t>
      </w:r>
      <w:r w:rsidRPr="00715536">
        <w:rPr>
          <w:rFonts w:ascii="Calibri" w:eastAsia="Calibri" w:hAnsi="Calibri"/>
          <w:spacing w:val="-1"/>
          <w:lang w:val="ro-RO"/>
        </w:rPr>
        <w:t>iEuropene</w:t>
      </w:r>
      <w:r w:rsidR="00717ADB">
        <w:rPr>
          <w:rFonts w:ascii="Calibri" w:eastAsia="Calibri" w:hAnsi="Calibri"/>
          <w:spacing w:val="-1"/>
          <w:lang w:val="ro-RO"/>
        </w:rPr>
        <w:t xml:space="preserve"> </w:t>
      </w:r>
      <w:r w:rsidRPr="00715536">
        <w:rPr>
          <w:rFonts w:ascii="Calibri" w:eastAsia="Calibri" w:hAnsi="Calibri"/>
          <w:spacing w:val="-1"/>
          <w:lang w:val="ro-RO"/>
        </w:rPr>
        <w:t>(TFUE),</w:t>
      </w:r>
      <w:r w:rsidR="00717ADB">
        <w:rPr>
          <w:rFonts w:ascii="Calibri" w:eastAsia="Calibri" w:hAnsi="Calibri"/>
          <w:spacing w:val="-1"/>
          <w:lang w:val="ro-RO"/>
        </w:rPr>
        <w:t xml:space="preserve"> </w:t>
      </w:r>
      <w:r w:rsidRPr="00715536">
        <w:rPr>
          <w:rFonts w:ascii="Calibri" w:eastAsia="Calibri" w:hAnsi="Calibri"/>
          <w:spacing w:val="-1"/>
          <w:lang w:val="ro-RO"/>
        </w:rPr>
        <w:t>respectiv</w:t>
      </w:r>
      <w:r w:rsidR="00717ADB">
        <w:rPr>
          <w:rFonts w:ascii="Calibri" w:eastAsia="Calibri" w:hAnsi="Calibri"/>
          <w:spacing w:val="-1"/>
          <w:lang w:val="ro-RO"/>
        </w:rPr>
        <w:t xml:space="preserve"> </w:t>
      </w:r>
      <w:r w:rsidRPr="00715536">
        <w:rPr>
          <w:rFonts w:ascii="Calibri" w:eastAsia="Calibri" w:hAnsi="Calibri"/>
          <w:spacing w:val="-1"/>
          <w:lang w:val="ro-RO"/>
        </w:rPr>
        <w:t>un</w:t>
      </w:r>
      <w:r w:rsidR="00717ADB">
        <w:rPr>
          <w:rFonts w:ascii="Calibri" w:eastAsia="Calibri" w:hAnsi="Calibri"/>
          <w:spacing w:val="-1"/>
          <w:lang w:val="ro-RO"/>
        </w:rPr>
        <w:t xml:space="preserve"> </w:t>
      </w:r>
      <w:r w:rsidRPr="00715536">
        <w:rPr>
          <w:rFonts w:ascii="Calibri" w:eastAsia="Calibri" w:hAnsi="Calibri"/>
          <w:lang w:val="ro-RO"/>
        </w:rPr>
        <w:t>deficit</w:t>
      </w:r>
      <w:r w:rsidR="00717ADB">
        <w:rPr>
          <w:rFonts w:ascii="Calibri" w:eastAsia="Calibri" w:hAnsi="Calibri"/>
          <w:lang w:val="ro-RO"/>
        </w:rPr>
        <w:t xml:space="preserve"> </w:t>
      </w:r>
      <w:r w:rsidRPr="00715536">
        <w:rPr>
          <w:rFonts w:ascii="Calibri" w:eastAsia="Calibri" w:hAnsi="Calibri"/>
          <w:lang w:val="ro-RO"/>
        </w:rPr>
        <w:t>bugetar</w:t>
      </w:r>
      <w:r w:rsidR="00717ADB">
        <w:rPr>
          <w:rFonts w:ascii="Calibri" w:eastAsia="Calibri" w:hAnsi="Calibri"/>
          <w:lang w:val="ro-RO"/>
        </w:rPr>
        <w:t xml:space="preserve"> </w:t>
      </w:r>
      <w:r w:rsidRPr="00715536">
        <w:rPr>
          <w:rFonts w:ascii="Calibri" w:eastAsia="Calibri" w:hAnsi="Calibri"/>
          <w:spacing w:val="-1"/>
          <w:lang w:val="ro-RO"/>
        </w:rPr>
        <w:t>ESA</w:t>
      </w:r>
      <w:r w:rsidR="00717ADB">
        <w:rPr>
          <w:rFonts w:ascii="Calibri" w:eastAsia="Calibri" w:hAnsi="Calibri"/>
          <w:spacing w:val="-1"/>
          <w:lang w:val="ro-RO"/>
        </w:rPr>
        <w:t xml:space="preserve"> </w:t>
      </w:r>
      <w:r w:rsidRPr="00715536">
        <w:rPr>
          <w:rFonts w:ascii="Calibri" w:eastAsia="Calibri" w:hAnsi="Calibri"/>
          <w:spacing w:val="-1"/>
          <w:lang w:val="ro-RO"/>
        </w:rPr>
        <w:t>marginal</w:t>
      </w:r>
      <w:r w:rsidR="00717ADB">
        <w:rPr>
          <w:rFonts w:ascii="Calibri" w:eastAsia="Calibri" w:hAnsi="Calibri"/>
          <w:spacing w:val="-1"/>
          <w:lang w:val="ro-RO"/>
        </w:rPr>
        <w:t xml:space="preserve"> </w:t>
      </w:r>
      <w:r w:rsidRPr="00715536">
        <w:rPr>
          <w:rFonts w:ascii="Calibri" w:eastAsia="Calibri" w:hAnsi="Calibri"/>
          <w:lang w:val="ro-RO"/>
        </w:rPr>
        <w:t>sub</w:t>
      </w:r>
      <w:r w:rsidR="00717ADB">
        <w:rPr>
          <w:rFonts w:ascii="Calibri" w:eastAsia="Calibri" w:hAnsi="Calibri"/>
          <w:lang w:val="ro-RO"/>
        </w:rPr>
        <w:t xml:space="preserve"> </w:t>
      </w:r>
      <w:r w:rsidRPr="00715536">
        <w:rPr>
          <w:rFonts w:ascii="Calibri" w:eastAsia="Calibri" w:hAnsi="Calibri"/>
          <w:lang w:val="ro-RO"/>
        </w:rPr>
        <w:t>3%</w:t>
      </w:r>
      <w:r w:rsidR="00717ADB">
        <w:rPr>
          <w:rFonts w:ascii="Calibri" w:eastAsia="Calibri" w:hAnsi="Calibri"/>
          <w:lang w:val="ro-RO"/>
        </w:rPr>
        <w:t xml:space="preserve"> </w:t>
      </w:r>
      <w:r w:rsidRPr="00715536">
        <w:rPr>
          <w:rFonts w:ascii="Calibri" w:eastAsia="Calibri" w:hAnsi="Calibri"/>
          <w:lang w:val="ro-RO"/>
        </w:rPr>
        <w:t>din</w:t>
      </w:r>
      <w:r w:rsidR="00717ADB">
        <w:rPr>
          <w:rFonts w:ascii="Calibri" w:eastAsia="Calibri" w:hAnsi="Calibri"/>
          <w:lang w:val="ro-RO"/>
        </w:rPr>
        <w:t xml:space="preserve"> </w:t>
      </w:r>
      <w:r w:rsidRPr="00715536">
        <w:rPr>
          <w:rFonts w:ascii="Calibri" w:eastAsia="Calibri" w:hAnsi="Calibri"/>
          <w:spacing w:val="-1"/>
          <w:lang w:val="ro-RO"/>
        </w:rPr>
        <w:t>PIB</w:t>
      </w:r>
      <w:r w:rsidR="0059374E">
        <w:rPr>
          <w:rFonts w:ascii="Calibri" w:eastAsia="Calibri" w:hAnsi="Calibri"/>
          <w:spacing w:val="-1"/>
          <w:lang w:val="ro-RO"/>
        </w:rPr>
        <w:t xml:space="preserve">, </w:t>
      </w:r>
      <w:r w:rsidR="001806AC">
        <w:rPr>
          <w:rFonts w:ascii="Calibri" w:eastAsia="Calibri" w:hAnsi="Calibri"/>
          <w:spacing w:val="-1"/>
          <w:lang w:val="ro-RO"/>
        </w:rPr>
        <w:t>anul 2019 marchează intrarea pe o traiectorie de ajustare graduală a acestuia.</w:t>
      </w:r>
    </w:p>
    <w:p w:rsidR="00D810B0" w:rsidRPr="00715536" w:rsidRDefault="00D810B0" w:rsidP="007641E4">
      <w:pPr>
        <w:widowControl w:val="0"/>
        <w:spacing w:before="120"/>
        <w:ind w:right="138"/>
        <w:jc w:val="both"/>
        <w:rPr>
          <w:rFonts w:ascii="Calibri" w:eastAsia="Calibri" w:hAnsi="Calibri"/>
          <w:lang w:val="ro-RO"/>
        </w:rPr>
      </w:pPr>
      <w:r w:rsidRPr="00715536">
        <w:rPr>
          <w:rFonts w:ascii="Calibri" w:eastAsia="Calibri" w:hAnsi="Calibri"/>
          <w:spacing w:val="-1"/>
          <w:lang w:val="ro-RO"/>
        </w:rPr>
        <w:t>În</w:t>
      </w:r>
      <w:r w:rsidR="00717ADB">
        <w:rPr>
          <w:rFonts w:ascii="Calibri" w:eastAsia="Calibri" w:hAnsi="Calibri"/>
          <w:spacing w:val="-1"/>
          <w:lang w:val="ro-RO"/>
        </w:rPr>
        <w:t xml:space="preserve"> </w:t>
      </w:r>
      <w:r w:rsidRPr="00715536">
        <w:rPr>
          <w:rFonts w:ascii="Calibri" w:eastAsia="Calibri" w:hAnsi="Calibri"/>
          <w:spacing w:val="-1"/>
          <w:lang w:val="ro-RO"/>
        </w:rPr>
        <w:t>termeni</w:t>
      </w:r>
      <w:r w:rsidR="00717ADB">
        <w:rPr>
          <w:rFonts w:ascii="Calibri" w:eastAsia="Calibri" w:hAnsi="Calibri"/>
          <w:spacing w:val="-1"/>
          <w:lang w:val="ro-RO"/>
        </w:rPr>
        <w:t xml:space="preserve"> </w:t>
      </w:r>
      <w:r w:rsidRPr="00715536">
        <w:rPr>
          <w:rFonts w:ascii="Calibri" w:eastAsia="Calibri" w:hAnsi="Calibri"/>
          <w:spacing w:val="-1"/>
          <w:lang w:val="ro-RO"/>
        </w:rPr>
        <w:t>structurali</w:t>
      </w:r>
      <w:r w:rsidR="00717ADB">
        <w:rPr>
          <w:rFonts w:ascii="Calibri" w:eastAsia="Calibri" w:hAnsi="Calibri"/>
          <w:spacing w:val="-1"/>
          <w:lang w:val="ro-RO"/>
        </w:rPr>
        <w:t xml:space="preserve"> </w:t>
      </w:r>
      <w:r w:rsidRPr="00715536">
        <w:rPr>
          <w:rFonts w:ascii="Calibri" w:eastAsia="Calibri" w:hAnsi="Calibri"/>
          <w:spacing w:val="-1"/>
          <w:lang w:val="ro-RO"/>
        </w:rPr>
        <w:t>se</w:t>
      </w:r>
      <w:r w:rsidR="00717ADB">
        <w:rPr>
          <w:rFonts w:ascii="Calibri" w:eastAsia="Calibri" w:hAnsi="Calibri"/>
          <w:spacing w:val="-1"/>
          <w:lang w:val="ro-RO"/>
        </w:rPr>
        <w:t xml:space="preserve"> </w:t>
      </w:r>
      <w:r w:rsidRPr="00715536">
        <w:rPr>
          <w:rFonts w:ascii="Calibri" w:eastAsia="Calibri" w:hAnsi="Calibri"/>
          <w:lang w:val="ro-RO"/>
        </w:rPr>
        <w:t>manifestă</w:t>
      </w:r>
      <w:r w:rsidR="00717ADB">
        <w:rPr>
          <w:rFonts w:ascii="Calibri" w:eastAsia="Calibri" w:hAnsi="Calibri"/>
          <w:lang w:val="ro-RO"/>
        </w:rPr>
        <w:t xml:space="preserve"> </w:t>
      </w:r>
      <w:r w:rsidRPr="00715536">
        <w:rPr>
          <w:rFonts w:ascii="Calibri" w:eastAsia="Calibri" w:hAnsi="Calibri"/>
          <w:lang w:val="ro-RO"/>
        </w:rPr>
        <w:t>o</w:t>
      </w:r>
      <w:r w:rsidR="00717ADB">
        <w:rPr>
          <w:rFonts w:ascii="Calibri" w:eastAsia="Calibri" w:hAnsi="Calibri"/>
          <w:lang w:val="ro-RO"/>
        </w:rPr>
        <w:t xml:space="preserve"> </w:t>
      </w:r>
      <w:r w:rsidRPr="00715536">
        <w:rPr>
          <w:rFonts w:ascii="Calibri" w:eastAsia="Calibri" w:hAnsi="Calibri"/>
          <w:spacing w:val="-1"/>
          <w:lang w:val="ro-RO"/>
        </w:rPr>
        <w:t>abatere</w:t>
      </w:r>
      <w:r w:rsidR="00717ADB">
        <w:rPr>
          <w:rFonts w:ascii="Calibri" w:eastAsia="Calibri" w:hAnsi="Calibri"/>
          <w:spacing w:val="-1"/>
          <w:lang w:val="ro-RO"/>
        </w:rPr>
        <w:t xml:space="preserve"> </w:t>
      </w:r>
      <w:r w:rsidRPr="00715536">
        <w:rPr>
          <w:rFonts w:ascii="Calibri" w:eastAsia="Calibri" w:hAnsi="Calibri"/>
          <w:spacing w:val="-1"/>
          <w:lang w:val="ro-RO"/>
        </w:rPr>
        <w:t>de</w:t>
      </w:r>
      <w:r w:rsidR="00717ADB">
        <w:rPr>
          <w:rFonts w:ascii="Calibri" w:eastAsia="Calibri" w:hAnsi="Calibri"/>
          <w:spacing w:val="-1"/>
          <w:lang w:val="ro-RO"/>
        </w:rPr>
        <w:t xml:space="preserve"> </w:t>
      </w:r>
      <w:r w:rsidRPr="00715536">
        <w:rPr>
          <w:rFonts w:ascii="Calibri" w:eastAsia="Calibri" w:hAnsi="Calibri"/>
          <w:spacing w:val="-2"/>
          <w:lang w:val="ro-RO"/>
        </w:rPr>
        <w:t>la</w:t>
      </w:r>
      <w:r w:rsidR="00717ADB">
        <w:rPr>
          <w:rFonts w:ascii="Calibri" w:eastAsia="Calibri" w:hAnsi="Calibri"/>
          <w:spacing w:val="-2"/>
          <w:lang w:val="ro-RO"/>
        </w:rPr>
        <w:t xml:space="preserve"> </w:t>
      </w:r>
      <w:r w:rsidRPr="00715536">
        <w:rPr>
          <w:rFonts w:ascii="Calibri" w:eastAsia="Calibri" w:hAnsi="Calibri"/>
          <w:spacing w:val="-1"/>
          <w:lang w:val="ro-RO"/>
        </w:rPr>
        <w:t>Obiectivul</w:t>
      </w:r>
      <w:r w:rsidR="00717ADB">
        <w:rPr>
          <w:rFonts w:ascii="Calibri" w:eastAsia="Calibri" w:hAnsi="Calibri"/>
          <w:spacing w:val="-1"/>
          <w:lang w:val="ro-RO"/>
        </w:rPr>
        <w:t xml:space="preserve"> </w:t>
      </w:r>
      <w:r w:rsidRPr="00715536">
        <w:rPr>
          <w:rFonts w:ascii="Calibri" w:eastAsia="Calibri" w:hAnsi="Calibri"/>
          <w:spacing w:val="-1"/>
          <w:lang w:val="ro-RO"/>
        </w:rPr>
        <w:t>Bugetar</w:t>
      </w:r>
      <w:r w:rsidR="00717ADB">
        <w:rPr>
          <w:rFonts w:ascii="Calibri" w:eastAsia="Calibri" w:hAnsi="Calibri"/>
          <w:spacing w:val="-1"/>
          <w:lang w:val="ro-RO"/>
        </w:rPr>
        <w:t xml:space="preserve"> </w:t>
      </w:r>
      <w:r w:rsidRPr="00715536">
        <w:rPr>
          <w:rFonts w:ascii="Calibri" w:eastAsia="Calibri" w:hAnsi="Calibri"/>
          <w:lang w:val="ro-RO"/>
        </w:rPr>
        <w:t>pe</w:t>
      </w:r>
      <w:r w:rsidR="00717ADB">
        <w:rPr>
          <w:rFonts w:ascii="Calibri" w:eastAsia="Calibri" w:hAnsi="Calibri"/>
          <w:lang w:val="ro-RO"/>
        </w:rPr>
        <w:t xml:space="preserve"> </w:t>
      </w:r>
      <w:r w:rsidRPr="00715536">
        <w:rPr>
          <w:rFonts w:ascii="Calibri" w:eastAsia="Calibri" w:hAnsi="Calibri"/>
          <w:lang w:val="ro-RO"/>
        </w:rPr>
        <w:t>Termen</w:t>
      </w:r>
      <w:r w:rsidR="00717ADB">
        <w:rPr>
          <w:rFonts w:ascii="Calibri" w:eastAsia="Calibri" w:hAnsi="Calibri"/>
          <w:lang w:val="ro-RO"/>
        </w:rPr>
        <w:t xml:space="preserve"> </w:t>
      </w:r>
      <w:r w:rsidRPr="00715536">
        <w:rPr>
          <w:rFonts w:ascii="Calibri" w:eastAsia="Calibri" w:hAnsi="Calibri"/>
          <w:spacing w:val="-1"/>
          <w:lang w:val="ro-RO"/>
        </w:rPr>
        <w:t>Mediu</w:t>
      </w:r>
      <w:r w:rsidR="00717ADB">
        <w:rPr>
          <w:rFonts w:ascii="Calibri" w:eastAsia="Calibri" w:hAnsi="Calibri"/>
          <w:spacing w:val="-1"/>
          <w:lang w:val="ro-RO"/>
        </w:rPr>
        <w:t xml:space="preserve"> </w:t>
      </w:r>
      <w:r w:rsidRPr="00715536">
        <w:rPr>
          <w:rFonts w:ascii="Calibri" w:eastAsia="Calibri" w:hAnsi="Calibri"/>
          <w:spacing w:val="-1"/>
          <w:lang w:val="ro-RO"/>
        </w:rPr>
        <w:t>(în</w:t>
      </w:r>
      <w:r w:rsidR="00717ADB">
        <w:rPr>
          <w:rFonts w:ascii="Calibri" w:eastAsia="Calibri" w:hAnsi="Calibri"/>
          <w:spacing w:val="-1"/>
          <w:lang w:val="ro-RO"/>
        </w:rPr>
        <w:t xml:space="preserve"> </w:t>
      </w:r>
      <w:r w:rsidRPr="00715536">
        <w:rPr>
          <w:rFonts w:ascii="Calibri" w:eastAsia="Calibri" w:hAnsi="Calibri"/>
          <w:spacing w:val="-1"/>
          <w:lang w:val="ro-RO"/>
        </w:rPr>
        <w:t>engleză</w:t>
      </w:r>
      <w:r w:rsidR="001806AC">
        <w:rPr>
          <w:rFonts w:ascii="Calibri" w:eastAsia="Calibri" w:hAnsi="Calibri"/>
          <w:spacing w:val="-1"/>
          <w:lang w:val="ro-RO"/>
        </w:rPr>
        <w:t>,</w:t>
      </w:r>
      <w:r w:rsidR="00717ADB">
        <w:rPr>
          <w:rFonts w:ascii="Calibri" w:eastAsia="Calibri" w:hAnsi="Calibri"/>
          <w:spacing w:val="-1"/>
          <w:lang w:val="ro-RO"/>
        </w:rPr>
        <w:t xml:space="preserve"> </w:t>
      </w:r>
      <w:r w:rsidRPr="00715536">
        <w:rPr>
          <w:rFonts w:ascii="Calibri" w:eastAsia="Calibri" w:hAnsi="Calibri"/>
          <w:spacing w:val="-1"/>
          <w:lang w:val="ro-RO"/>
        </w:rPr>
        <w:t>prescurtat:</w:t>
      </w:r>
      <w:r w:rsidR="001806AC">
        <w:rPr>
          <w:rFonts w:ascii="Calibri" w:eastAsia="Calibri" w:hAnsi="Calibri"/>
          <w:spacing w:val="-1"/>
          <w:lang w:val="ro-RO"/>
        </w:rPr>
        <w:t xml:space="preserve"> </w:t>
      </w:r>
      <w:r w:rsidRPr="00715536">
        <w:rPr>
          <w:rFonts w:ascii="Calibri" w:eastAsia="Calibri" w:hAnsi="Calibri"/>
          <w:lang w:val="ro-RO"/>
        </w:rPr>
        <w:t>MTO)</w:t>
      </w:r>
      <w:r w:rsidR="00717ADB">
        <w:rPr>
          <w:rFonts w:ascii="Calibri" w:eastAsia="Calibri" w:hAnsi="Calibri"/>
          <w:lang w:val="ro-RO"/>
        </w:rPr>
        <w:t xml:space="preserve"> </w:t>
      </w:r>
      <w:r w:rsidRPr="00715536">
        <w:rPr>
          <w:rFonts w:ascii="Calibri" w:eastAsia="Calibri" w:hAnsi="Calibri"/>
          <w:spacing w:val="-1"/>
          <w:lang w:val="ro-RO"/>
        </w:rPr>
        <w:t>stabilit</w:t>
      </w:r>
      <w:r w:rsidR="00717ADB">
        <w:rPr>
          <w:rFonts w:ascii="Calibri" w:eastAsia="Calibri" w:hAnsi="Calibri"/>
          <w:spacing w:val="-1"/>
          <w:lang w:val="ro-RO"/>
        </w:rPr>
        <w:t xml:space="preserve"> </w:t>
      </w:r>
      <w:r w:rsidRPr="00715536">
        <w:rPr>
          <w:rFonts w:ascii="Calibri" w:eastAsia="Calibri" w:hAnsi="Calibri"/>
          <w:spacing w:val="-1"/>
          <w:lang w:val="ro-RO"/>
        </w:rPr>
        <w:t>pentru</w:t>
      </w:r>
      <w:r w:rsidR="00717ADB">
        <w:rPr>
          <w:rFonts w:ascii="Calibri" w:eastAsia="Calibri" w:hAnsi="Calibri"/>
          <w:spacing w:val="-1"/>
          <w:lang w:val="ro-RO"/>
        </w:rPr>
        <w:t xml:space="preserve"> </w:t>
      </w:r>
      <w:r w:rsidRPr="00715536">
        <w:rPr>
          <w:rFonts w:ascii="Calibri" w:eastAsia="Calibri" w:hAnsi="Calibri"/>
          <w:spacing w:val="-1"/>
          <w:lang w:val="ro-RO"/>
        </w:rPr>
        <w:t>România,</w:t>
      </w:r>
      <w:r w:rsidR="00717ADB">
        <w:rPr>
          <w:rFonts w:ascii="Calibri" w:eastAsia="Calibri" w:hAnsi="Calibri"/>
          <w:spacing w:val="-1"/>
          <w:lang w:val="ro-RO"/>
        </w:rPr>
        <w:t xml:space="preserve"> </w:t>
      </w:r>
      <w:r w:rsidRPr="00715536">
        <w:rPr>
          <w:rFonts w:ascii="Calibri" w:eastAsia="Calibri" w:hAnsi="Calibri"/>
          <w:spacing w:val="-1"/>
          <w:lang w:val="ro-RO"/>
        </w:rPr>
        <w:t>iar</w:t>
      </w:r>
      <w:r w:rsidR="00717ADB">
        <w:rPr>
          <w:rFonts w:ascii="Calibri" w:eastAsia="Calibri" w:hAnsi="Calibri"/>
          <w:spacing w:val="-1"/>
          <w:lang w:val="ro-RO"/>
        </w:rPr>
        <w:t xml:space="preserve"> </w:t>
      </w:r>
      <w:r w:rsidRPr="00715536">
        <w:rPr>
          <w:rFonts w:ascii="Calibri" w:eastAsia="Calibri" w:hAnsi="Calibri"/>
          <w:spacing w:val="-1"/>
          <w:lang w:val="ro-RO"/>
        </w:rPr>
        <w:t>ajustarea</w:t>
      </w:r>
      <w:r w:rsidR="00717ADB">
        <w:rPr>
          <w:rFonts w:ascii="Calibri" w:eastAsia="Calibri" w:hAnsi="Calibri"/>
          <w:spacing w:val="-1"/>
          <w:lang w:val="ro-RO"/>
        </w:rPr>
        <w:t xml:space="preserve"> </w:t>
      </w:r>
      <w:r w:rsidRPr="00715536">
        <w:rPr>
          <w:rFonts w:ascii="Calibri" w:eastAsia="Calibri" w:hAnsi="Calibri"/>
          <w:lang w:val="ro-RO"/>
        </w:rPr>
        <w:t>către</w:t>
      </w:r>
      <w:r w:rsidR="00717ADB">
        <w:rPr>
          <w:rFonts w:ascii="Calibri" w:eastAsia="Calibri" w:hAnsi="Calibri"/>
          <w:lang w:val="ro-RO"/>
        </w:rPr>
        <w:t xml:space="preserve"> </w:t>
      </w:r>
      <w:r w:rsidRPr="00715536">
        <w:rPr>
          <w:rFonts w:ascii="Calibri" w:eastAsia="Calibri" w:hAnsi="Calibri"/>
          <w:spacing w:val="-1"/>
          <w:lang w:val="ro-RO"/>
        </w:rPr>
        <w:t>acesta</w:t>
      </w:r>
      <w:r w:rsidR="00717ADB">
        <w:rPr>
          <w:rFonts w:ascii="Calibri" w:eastAsia="Calibri" w:hAnsi="Calibri"/>
          <w:spacing w:val="-1"/>
          <w:lang w:val="ro-RO"/>
        </w:rPr>
        <w:t xml:space="preserve"> </w:t>
      </w:r>
      <w:r w:rsidRPr="00715536">
        <w:rPr>
          <w:rFonts w:ascii="Calibri" w:eastAsia="Calibri" w:hAnsi="Calibri"/>
          <w:lang w:val="ro-RO"/>
        </w:rPr>
        <w:t>este</w:t>
      </w:r>
      <w:r w:rsidR="00717ADB">
        <w:rPr>
          <w:rFonts w:ascii="Calibri" w:eastAsia="Calibri" w:hAnsi="Calibri"/>
          <w:lang w:val="ro-RO"/>
        </w:rPr>
        <w:t xml:space="preserve"> </w:t>
      </w:r>
      <w:r w:rsidRPr="00715536">
        <w:rPr>
          <w:rFonts w:ascii="Calibri" w:eastAsia="Calibri" w:hAnsi="Calibri"/>
          <w:spacing w:val="-1"/>
          <w:lang w:val="ro-RO"/>
        </w:rPr>
        <w:t>programată</w:t>
      </w:r>
      <w:r w:rsidR="00717ADB">
        <w:rPr>
          <w:rFonts w:ascii="Calibri" w:eastAsia="Calibri" w:hAnsi="Calibri"/>
          <w:spacing w:val="-1"/>
          <w:lang w:val="ro-RO"/>
        </w:rPr>
        <w:t xml:space="preserve"> </w:t>
      </w:r>
      <w:r w:rsidR="00612641">
        <w:rPr>
          <w:rFonts w:ascii="Calibri" w:eastAsia="Calibri" w:hAnsi="Calibri"/>
          <w:spacing w:val="-1"/>
          <w:lang w:val="ro-RO"/>
        </w:rPr>
        <w:t xml:space="preserve">să înceapă </w:t>
      </w:r>
      <w:r w:rsidRPr="00715536">
        <w:rPr>
          <w:rFonts w:ascii="Calibri" w:eastAsia="Calibri" w:hAnsi="Calibri"/>
          <w:lang w:val="ro-RO"/>
        </w:rPr>
        <w:t>către</w:t>
      </w:r>
      <w:r w:rsidR="00717ADB">
        <w:rPr>
          <w:rFonts w:ascii="Calibri" w:eastAsia="Calibri" w:hAnsi="Calibri"/>
          <w:lang w:val="ro-RO"/>
        </w:rPr>
        <w:t xml:space="preserve"> </w:t>
      </w:r>
      <w:r w:rsidRPr="00715536">
        <w:rPr>
          <w:rFonts w:ascii="Calibri" w:eastAsia="Calibri" w:hAnsi="Calibri"/>
          <w:spacing w:val="-1"/>
          <w:lang w:val="ro-RO"/>
        </w:rPr>
        <w:t>sfârşitul</w:t>
      </w:r>
      <w:r w:rsidR="00717ADB">
        <w:rPr>
          <w:rFonts w:ascii="Calibri" w:eastAsia="Calibri" w:hAnsi="Calibri"/>
          <w:spacing w:val="-1"/>
          <w:lang w:val="ro-RO"/>
        </w:rPr>
        <w:t xml:space="preserve"> </w:t>
      </w:r>
      <w:r w:rsidRPr="00715536">
        <w:rPr>
          <w:rFonts w:ascii="Calibri" w:eastAsia="Calibri" w:hAnsi="Calibri"/>
          <w:lang w:val="ro-RO"/>
        </w:rPr>
        <w:t>orizontului</w:t>
      </w:r>
      <w:r w:rsidR="00717ADB">
        <w:rPr>
          <w:rFonts w:ascii="Calibri" w:eastAsia="Calibri" w:hAnsi="Calibri"/>
          <w:lang w:val="ro-RO"/>
        </w:rPr>
        <w:t xml:space="preserve"> </w:t>
      </w:r>
      <w:r w:rsidRPr="00715536">
        <w:rPr>
          <w:rFonts w:ascii="Calibri" w:eastAsia="Calibri" w:hAnsi="Calibri"/>
          <w:lang w:val="ro-RO"/>
        </w:rPr>
        <w:t>de</w:t>
      </w:r>
      <w:r w:rsidR="00717ADB">
        <w:rPr>
          <w:rFonts w:ascii="Calibri" w:eastAsia="Calibri" w:hAnsi="Calibri"/>
          <w:lang w:val="ro-RO"/>
        </w:rPr>
        <w:t xml:space="preserve"> </w:t>
      </w:r>
      <w:r w:rsidRPr="00715536">
        <w:rPr>
          <w:rFonts w:ascii="Calibri" w:eastAsia="Calibri" w:hAnsi="Calibri"/>
          <w:spacing w:val="-1"/>
          <w:lang w:val="ro-RO"/>
        </w:rPr>
        <w:t>prognoză.</w:t>
      </w:r>
    </w:p>
    <w:p w:rsidR="00D810B0" w:rsidRPr="00715536" w:rsidRDefault="00D810B0" w:rsidP="007641E4">
      <w:pPr>
        <w:widowControl w:val="0"/>
        <w:spacing w:before="120"/>
        <w:ind w:right="139"/>
        <w:jc w:val="both"/>
        <w:outlineLvl w:val="1"/>
        <w:rPr>
          <w:rFonts w:ascii="Calibri" w:eastAsia="Calibri" w:hAnsi="Calibri"/>
          <w:b/>
          <w:bCs/>
          <w:spacing w:val="-1"/>
          <w:lang w:val="ro-RO"/>
        </w:rPr>
      </w:pPr>
      <w:r w:rsidRPr="00715536">
        <w:rPr>
          <w:rFonts w:ascii="Calibri" w:eastAsia="Calibri" w:hAnsi="Calibri"/>
          <w:bCs/>
          <w:lang w:val="ro-RO"/>
        </w:rPr>
        <w:t>Devierea</w:t>
      </w:r>
      <w:r w:rsidR="00717ADB">
        <w:rPr>
          <w:rFonts w:ascii="Calibri" w:eastAsia="Calibri" w:hAnsi="Calibri"/>
          <w:bCs/>
          <w:lang w:val="ro-RO"/>
        </w:rPr>
        <w:t xml:space="preserve"> </w:t>
      </w:r>
      <w:r w:rsidRPr="00715536">
        <w:rPr>
          <w:rFonts w:ascii="Calibri" w:eastAsia="Calibri" w:hAnsi="Calibri"/>
          <w:bCs/>
          <w:spacing w:val="-1"/>
          <w:lang w:val="ro-RO"/>
        </w:rPr>
        <w:t>de</w:t>
      </w:r>
      <w:r w:rsidR="00717ADB">
        <w:rPr>
          <w:rFonts w:ascii="Calibri" w:eastAsia="Calibri" w:hAnsi="Calibri"/>
          <w:bCs/>
          <w:spacing w:val="-1"/>
          <w:lang w:val="ro-RO"/>
        </w:rPr>
        <w:t xml:space="preserve"> </w:t>
      </w:r>
      <w:r w:rsidRPr="00715536">
        <w:rPr>
          <w:rFonts w:ascii="Calibri" w:eastAsia="Calibri" w:hAnsi="Calibri"/>
          <w:bCs/>
          <w:lang w:val="ro-RO"/>
        </w:rPr>
        <w:t>la</w:t>
      </w:r>
      <w:r w:rsidR="00717ADB">
        <w:rPr>
          <w:rFonts w:ascii="Calibri" w:eastAsia="Calibri" w:hAnsi="Calibri"/>
          <w:bCs/>
          <w:lang w:val="ro-RO"/>
        </w:rPr>
        <w:t xml:space="preserve"> </w:t>
      </w:r>
      <w:r w:rsidRPr="00715536">
        <w:rPr>
          <w:rFonts w:ascii="Calibri" w:eastAsia="Calibri" w:hAnsi="Calibri"/>
          <w:bCs/>
          <w:lang w:val="ro-RO"/>
        </w:rPr>
        <w:t>MTO</w:t>
      </w:r>
      <w:r w:rsidR="00717ADB">
        <w:rPr>
          <w:rFonts w:ascii="Calibri" w:eastAsia="Calibri" w:hAnsi="Calibri"/>
          <w:bCs/>
          <w:lang w:val="ro-RO"/>
        </w:rPr>
        <w:t xml:space="preserve"> </w:t>
      </w:r>
      <w:r w:rsidRPr="00715536">
        <w:rPr>
          <w:rFonts w:ascii="Calibri" w:eastAsia="Calibri" w:hAnsi="Calibri"/>
          <w:bCs/>
          <w:spacing w:val="-1"/>
          <w:lang w:val="ro-RO"/>
        </w:rPr>
        <w:t>se</w:t>
      </w:r>
      <w:r w:rsidR="00717ADB">
        <w:rPr>
          <w:rFonts w:ascii="Calibri" w:eastAsia="Calibri" w:hAnsi="Calibri"/>
          <w:bCs/>
          <w:spacing w:val="-1"/>
          <w:lang w:val="ro-RO"/>
        </w:rPr>
        <w:t xml:space="preserve"> </w:t>
      </w:r>
      <w:r w:rsidRPr="00715536">
        <w:rPr>
          <w:rFonts w:ascii="Calibri" w:eastAsia="Calibri" w:hAnsi="Calibri"/>
          <w:bCs/>
          <w:spacing w:val="-1"/>
          <w:lang w:val="ro-RO"/>
        </w:rPr>
        <w:t>produce</w:t>
      </w:r>
      <w:r w:rsidR="00717ADB">
        <w:rPr>
          <w:rFonts w:ascii="Calibri" w:eastAsia="Calibri" w:hAnsi="Calibri"/>
          <w:bCs/>
          <w:spacing w:val="-1"/>
          <w:lang w:val="ro-RO"/>
        </w:rPr>
        <w:t xml:space="preserve"> </w:t>
      </w:r>
      <w:r w:rsidRPr="00715536">
        <w:rPr>
          <w:rFonts w:ascii="Calibri" w:eastAsia="Calibri" w:hAnsi="Calibri"/>
          <w:bCs/>
          <w:lang w:val="ro-RO"/>
        </w:rPr>
        <w:t>însă</w:t>
      </w:r>
      <w:r w:rsidR="00717ADB">
        <w:rPr>
          <w:rFonts w:ascii="Calibri" w:eastAsia="Calibri" w:hAnsi="Calibri"/>
          <w:bCs/>
          <w:lang w:val="ro-RO"/>
        </w:rPr>
        <w:t xml:space="preserve"> </w:t>
      </w:r>
      <w:r w:rsidRPr="00715536">
        <w:rPr>
          <w:rFonts w:ascii="Calibri" w:eastAsia="Calibri" w:hAnsi="Calibri"/>
          <w:bCs/>
          <w:spacing w:val="-1"/>
          <w:lang w:val="ro-RO"/>
        </w:rPr>
        <w:t>cu</w:t>
      </w:r>
      <w:r w:rsidR="00717ADB">
        <w:rPr>
          <w:rFonts w:ascii="Calibri" w:eastAsia="Calibri" w:hAnsi="Calibri"/>
          <w:bCs/>
          <w:spacing w:val="-1"/>
          <w:lang w:val="ro-RO"/>
        </w:rPr>
        <w:t xml:space="preserve"> </w:t>
      </w:r>
      <w:r w:rsidRPr="00715536">
        <w:rPr>
          <w:rFonts w:ascii="Calibri" w:eastAsia="Calibri" w:hAnsi="Calibri"/>
          <w:b/>
          <w:bCs/>
          <w:spacing w:val="-1"/>
          <w:lang w:val="ro-RO"/>
        </w:rPr>
        <w:t>menținerea,</w:t>
      </w:r>
      <w:r w:rsidR="00717ADB">
        <w:rPr>
          <w:rFonts w:ascii="Calibri" w:eastAsia="Calibri" w:hAnsi="Calibri"/>
          <w:b/>
          <w:bCs/>
          <w:spacing w:val="-1"/>
          <w:lang w:val="ro-RO"/>
        </w:rPr>
        <w:t xml:space="preserve"> </w:t>
      </w:r>
      <w:r w:rsidRPr="00715536">
        <w:rPr>
          <w:rFonts w:ascii="Calibri" w:eastAsia="Calibri" w:hAnsi="Calibri"/>
          <w:b/>
          <w:bCs/>
          <w:lang w:val="ro-RO"/>
        </w:rPr>
        <w:t>pe</w:t>
      </w:r>
      <w:r w:rsidR="00717ADB">
        <w:rPr>
          <w:rFonts w:ascii="Calibri" w:eastAsia="Calibri" w:hAnsi="Calibri"/>
          <w:b/>
          <w:bCs/>
          <w:lang w:val="ro-RO"/>
        </w:rPr>
        <w:t xml:space="preserve"> </w:t>
      </w:r>
      <w:r w:rsidRPr="00715536">
        <w:rPr>
          <w:rFonts w:ascii="Calibri" w:eastAsia="Calibri" w:hAnsi="Calibri"/>
          <w:b/>
          <w:bCs/>
          <w:spacing w:val="-1"/>
          <w:lang w:val="ro-RO"/>
        </w:rPr>
        <w:t>întreg</w:t>
      </w:r>
      <w:r w:rsidR="00717ADB">
        <w:rPr>
          <w:rFonts w:ascii="Calibri" w:eastAsia="Calibri" w:hAnsi="Calibri"/>
          <w:b/>
          <w:bCs/>
          <w:spacing w:val="-1"/>
          <w:lang w:val="ro-RO"/>
        </w:rPr>
        <w:t xml:space="preserve"> </w:t>
      </w:r>
      <w:r w:rsidRPr="00715536">
        <w:rPr>
          <w:rFonts w:ascii="Calibri" w:eastAsia="Calibri" w:hAnsi="Calibri"/>
          <w:b/>
          <w:bCs/>
          <w:spacing w:val="-1"/>
          <w:lang w:val="ro-RO"/>
        </w:rPr>
        <w:t>orizontul</w:t>
      </w:r>
      <w:r w:rsidR="00717ADB">
        <w:rPr>
          <w:rFonts w:ascii="Calibri" w:eastAsia="Calibri" w:hAnsi="Calibri"/>
          <w:b/>
          <w:bCs/>
          <w:spacing w:val="-1"/>
          <w:lang w:val="ro-RO"/>
        </w:rPr>
        <w:t xml:space="preserve"> </w:t>
      </w:r>
      <w:r w:rsidRPr="00715536">
        <w:rPr>
          <w:rFonts w:ascii="Calibri" w:eastAsia="Calibri" w:hAnsi="Calibri"/>
          <w:b/>
          <w:bCs/>
          <w:spacing w:val="-1"/>
          <w:lang w:val="ro-RO"/>
        </w:rPr>
        <w:t>de</w:t>
      </w:r>
      <w:r w:rsidR="00717ADB">
        <w:rPr>
          <w:rFonts w:ascii="Calibri" w:eastAsia="Calibri" w:hAnsi="Calibri"/>
          <w:b/>
          <w:bCs/>
          <w:spacing w:val="-1"/>
          <w:lang w:val="ro-RO"/>
        </w:rPr>
        <w:t xml:space="preserve"> </w:t>
      </w:r>
      <w:r w:rsidRPr="00715536">
        <w:rPr>
          <w:rFonts w:ascii="Calibri" w:eastAsia="Calibri" w:hAnsi="Calibri"/>
          <w:b/>
          <w:bCs/>
          <w:spacing w:val="-1"/>
          <w:lang w:val="ro-RO"/>
        </w:rPr>
        <w:t>planificare,</w:t>
      </w:r>
      <w:r w:rsidR="00717ADB">
        <w:rPr>
          <w:rFonts w:ascii="Calibri" w:eastAsia="Calibri" w:hAnsi="Calibri"/>
          <w:b/>
          <w:bCs/>
          <w:spacing w:val="-1"/>
          <w:lang w:val="ro-RO"/>
        </w:rPr>
        <w:t xml:space="preserve"> </w:t>
      </w:r>
      <w:r w:rsidRPr="00715536">
        <w:rPr>
          <w:rFonts w:ascii="Calibri" w:eastAsia="Calibri" w:hAnsi="Calibri"/>
          <w:b/>
          <w:bCs/>
          <w:lang w:val="ro-RO"/>
        </w:rPr>
        <w:t>a</w:t>
      </w:r>
      <w:r w:rsidR="00717ADB">
        <w:rPr>
          <w:rFonts w:ascii="Calibri" w:eastAsia="Calibri" w:hAnsi="Calibri"/>
          <w:b/>
          <w:bCs/>
          <w:lang w:val="ro-RO"/>
        </w:rPr>
        <w:t xml:space="preserve"> </w:t>
      </w:r>
      <w:r w:rsidRPr="00715536">
        <w:rPr>
          <w:rFonts w:ascii="Calibri" w:eastAsia="Calibri" w:hAnsi="Calibri"/>
          <w:b/>
          <w:bCs/>
          <w:spacing w:val="-1"/>
          <w:lang w:val="ro-RO"/>
        </w:rPr>
        <w:t>unui</w:t>
      </w:r>
      <w:r w:rsidR="00717ADB">
        <w:rPr>
          <w:rFonts w:ascii="Calibri" w:eastAsia="Calibri" w:hAnsi="Calibri"/>
          <w:b/>
          <w:bCs/>
          <w:spacing w:val="-1"/>
          <w:lang w:val="ro-RO"/>
        </w:rPr>
        <w:t xml:space="preserve"> </w:t>
      </w:r>
      <w:r w:rsidRPr="00715536">
        <w:rPr>
          <w:rFonts w:ascii="Calibri" w:eastAsia="Calibri" w:hAnsi="Calibri"/>
          <w:b/>
          <w:bCs/>
          <w:spacing w:val="-1"/>
          <w:lang w:val="ro-RO"/>
        </w:rPr>
        <w:t>nivel</w:t>
      </w:r>
      <w:r w:rsidR="00717ADB">
        <w:rPr>
          <w:rFonts w:ascii="Calibri" w:eastAsia="Calibri" w:hAnsi="Calibri"/>
          <w:b/>
          <w:bCs/>
          <w:spacing w:val="-1"/>
          <w:lang w:val="ro-RO"/>
        </w:rPr>
        <w:t xml:space="preserve"> </w:t>
      </w:r>
      <w:r w:rsidRPr="00715536">
        <w:rPr>
          <w:rFonts w:ascii="Calibri" w:eastAsia="Calibri" w:hAnsi="Calibri"/>
          <w:b/>
          <w:bCs/>
          <w:spacing w:val="-1"/>
          <w:lang w:val="ro-RO"/>
        </w:rPr>
        <w:t>sustenabil</w:t>
      </w:r>
      <w:r w:rsidR="00717ADB">
        <w:rPr>
          <w:rFonts w:ascii="Calibri" w:eastAsia="Calibri" w:hAnsi="Calibri"/>
          <w:b/>
          <w:bCs/>
          <w:spacing w:val="-1"/>
          <w:lang w:val="ro-RO"/>
        </w:rPr>
        <w:t xml:space="preserve"> </w:t>
      </w:r>
      <w:r w:rsidRPr="00715536">
        <w:rPr>
          <w:rFonts w:ascii="Calibri" w:eastAsia="Calibri" w:hAnsi="Calibri"/>
          <w:b/>
          <w:bCs/>
          <w:spacing w:val="-1"/>
          <w:lang w:val="ro-RO"/>
        </w:rPr>
        <w:t>al</w:t>
      </w:r>
      <w:r w:rsidR="00717ADB">
        <w:rPr>
          <w:rFonts w:ascii="Calibri" w:eastAsia="Calibri" w:hAnsi="Calibri"/>
          <w:b/>
          <w:bCs/>
          <w:spacing w:val="-1"/>
          <w:lang w:val="ro-RO"/>
        </w:rPr>
        <w:t xml:space="preserve"> </w:t>
      </w:r>
      <w:r w:rsidRPr="00715536">
        <w:rPr>
          <w:rFonts w:ascii="Calibri" w:eastAsia="Calibri" w:hAnsi="Calibri"/>
          <w:b/>
          <w:bCs/>
          <w:spacing w:val="-1"/>
          <w:lang w:val="ro-RO"/>
        </w:rPr>
        <w:t>datoriei</w:t>
      </w:r>
      <w:r w:rsidR="00717ADB">
        <w:rPr>
          <w:rFonts w:ascii="Calibri" w:eastAsia="Calibri" w:hAnsi="Calibri"/>
          <w:b/>
          <w:bCs/>
          <w:spacing w:val="-1"/>
          <w:lang w:val="ro-RO"/>
        </w:rPr>
        <w:t xml:space="preserve"> </w:t>
      </w:r>
      <w:r w:rsidRPr="00715536">
        <w:rPr>
          <w:rFonts w:ascii="Calibri" w:eastAsia="Calibri" w:hAnsi="Calibri"/>
          <w:b/>
          <w:bCs/>
          <w:lang w:val="ro-RO"/>
        </w:rPr>
        <w:t>publice</w:t>
      </w:r>
      <w:r w:rsidR="00717ADB">
        <w:rPr>
          <w:rFonts w:ascii="Calibri" w:eastAsia="Calibri" w:hAnsi="Calibri"/>
          <w:b/>
          <w:bCs/>
          <w:lang w:val="ro-RO"/>
        </w:rPr>
        <w:t xml:space="preserve"> </w:t>
      </w:r>
      <w:r w:rsidRPr="00715536">
        <w:rPr>
          <w:rFonts w:ascii="Calibri" w:eastAsia="Calibri" w:hAnsi="Calibri"/>
          <w:b/>
          <w:bCs/>
          <w:lang w:val="ro-RO"/>
        </w:rPr>
        <w:t>de</w:t>
      </w:r>
      <w:r w:rsidR="00717ADB">
        <w:rPr>
          <w:rFonts w:ascii="Calibri" w:eastAsia="Calibri" w:hAnsi="Calibri"/>
          <w:b/>
          <w:bCs/>
          <w:lang w:val="ro-RO"/>
        </w:rPr>
        <w:t xml:space="preserve"> </w:t>
      </w:r>
      <w:r w:rsidRPr="00715536">
        <w:rPr>
          <w:rFonts w:ascii="Calibri" w:eastAsia="Calibri" w:hAnsi="Calibri"/>
          <w:b/>
          <w:bCs/>
          <w:spacing w:val="-1"/>
          <w:lang w:val="ro-RO"/>
        </w:rPr>
        <w:t>sub</w:t>
      </w:r>
      <w:r w:rsidR="00717ADB">
        <w:rPr>
          <w:rFonts w:ascii="Calibri" w:eastAsia="Calibri" w:hAnsi="Calibri"/>
          <w:b/>
          <w:bCs/>
          <w:spacing w:val="-1"/>
          <w:lang w:val="ro-RO"/>
        </w:rPr>
        <w:t xml:space="preserve"> </w:t>
      </w:r>
      <w:r w:rsidRPr="00715536">
        <w:rPr>
          <w:rFonts w:ascii="Calibri" w:eastAsia="Calibri" w:hAnsi="Calibri"/>
          <w:b/>
          <w:bCs/>
          <w:spacing w:val="-1"/>
          <w:lang w:val="ro-RO"/>
        </w:rPr>
        <w:t>40%</w:t>
      </w:r>
      <w:r w:rsidR="00717ADB">
        <w:rPr>
          <w:rFonts w:ascii="Calibri" w:eastAsia="Calibri" w:hAnsi="Calibri"/>
          <w:b/>
          <w:bCs/>
          <w:spacing w:val="-1"/>
          <w:lang w:val="ro-RO"/>
        </w:rPr>
        <w:t xml:space="preserve"> </w:t>
      </w:r>
      <w:r w:rsidRPr="00715536">
        <w:rPr>
          <w:rFonts w:ascii="Calibri" w:eastAsia="Calibri" w:hAnsi="Calibri"/>
          <w:b/>
          <w:bCs/>
          <w:lang w:val="ro-RO"/>
        </w:rPr>
        <w:t>din</w:t>
      </w:r>
      <w:r w:rsidR="00717ADB">
        <w:rPr>
          <w:rFonts w:ascii="Calibri" w:eastAsia="Calibri" w:hAnsi="Calibri"/>
          <w:b/>
          <w:bCs/>
          <w:lang w:val="ro-RO"/>
        </w:rPr>
        <w:t xml:space="preserve"> </w:t>
      </w:r>
      <w:r w:rsidRPr="00715536">
        <w:rPr>
          <w:rFonts w:ascii="Calibri" w:eastAsia="Calibri" w:hAnsi="Calibri"/>
          <w:b/>
          <w:bCs/>
          <w:spacing w:val="-1"/>
          <w:lang w:val="ro-RO"/>
        </w:rPr>
        <w:t>PIB,</w:t>
      </w:r>
      <w:r w:rsidR="00717ADB">
        <w:rPr>
          <w:rFonts w:ascii="Calibri" w:eastAsia="Calibri" w:hAnsi="Calibri"/>
          <w:b/>
          <w:bCs/>
          <w:spacing w:val="-1"/>
          <w:lang w:val="ro-RO"/>
        </w:rPr>
        <w:t xml:space="preserve"> </w:t>
      </w:r>
      <w:r w:rsidRPr="00715536">
        <w:rPr>
          <w:rFonts w:ascii="Calibri" w:eastAsia="Calibri" w:hAnsi="Calibri"/>
          <w:b/>
          <w:bCs/>
          <w:spacing w:val="-1"/>
          <w:lang w:val="ro-RO"/>
        </w:rPr>
        <w:t>obiectivul</w:t>
      </w:r>
      <w:r w:rsidR="00717ADB">
        <w:rPr>
          <w:rFonts w:ascii="Calibri" w:eastAsia="Calibri" w:hAnsi="Calibri"/>
          <w:b/>
          <w:bCs/>
          <w:spacing w:val="-1"/>
          <w:lang w:val="ro-RO"/>
        </w:rPr>
        <w:t xml:space="preserve"> </w:t>
      </w:r>
      <w:r w:rsidRPr="00715536">
        <w:rPr>
          <w:rFonts w:ascii="Calibri" w:eastAsia="Calibri" w:hAnsi="Calibri"/>
          <w:b/>
          <w:bCs/>
          <w:spacing w:val="-1"/>
          <w:lang w:val="ro-RO"/>
        </w:rPr>
        <w:t>final</w:t>
      </w:r>
      <w:r w:rsidR="00717ADB">
        <w:rPr>
          <w:rFonts w:ascii="Calibri" w:eastAsia="Calibri" w:hAnsi="Calibri"/>
          <w:b/>
          <w:bCs/>
          <w:spacing w:val="-1"/>
          <w:lang w:val="ro-RO"/>
        </w:rPr>
        <w:t xml:space="preserve"> </w:t>
      </w:r>
      <w:r w:rsidRPr="00715536">
        <w:rPr>
          <w:rFonts w:ascii="Calibri" w:eastAsia="Calibri" w:hAnsi="Calibri"/>
          <w:b/>
          <w:bCs/>
          <w:spacing w:val="-1"/>
          <w:lang w:val="ro-RO"/>
        </w:rPr>
        <w:t>al</w:t>
      </w:r>
      <w:r w:rsidR="00717ADB">
        <w:rPr>
          <w:rFonts w:ascii="Calibri" w:eastAsia="Calibri" w:hAnsi="Calibri"/>
          <w:b/>
          <w:bCs/>
          <w:spacing w:val="-1"/>
          <w:lang w:val="ro-RO"/>
        </w:rPr>
        <w:t xml:space="preserve"> </w:t>
      </w:r>
      <w:r w:rsidRPr="00715536">
        <w:rPr>
          <w:rFonts w:ascii="Calibri" w:eastAsia="Calibri" w:hAnsi="Calibri"/>
          <w:b/>
          <w:bCs/>
          <w:spacing w:val="-1"/>
          <w:lang w:val="ro-RO"/>
        </w:rPr>
        <w:t>regulilor</w:t>
      </w:r>
      <w:r w:rsidR="00717ADB">
        <w:rPr>
          <w:rFonts w:ascii="Calibri" w:eastAsia="Calibri" w:hAnsi="Calibri"/>
          <w:b/>
          <w:bCs/>
          <w:spacing w:val="-1"/>
          <w:lang w:val="ro-RO"/>
        </w:rPr>
        <w:t xml:space="preserve"> </w:t>
      </w:r>
      <w:r w:rsidRPr="00715536">
        <w:rPr>
          <w:rFonts w:ascii="Calibri" w:eastAsia="Calibri" w:hAnsi="Calibri"/>
          <w:b/>
          <w:bCs/>
          <w:spacing w:val="-1"/>
          <w:lang w:val="ro-RO"/>
        </w:rPr>
        <w:t>europene</w:t>
      </w:r>
      <w:r w:rsidR="00717ADB">
        <w:rPr>
          <w:rFonts w:ascii="Calibri" w:eastAsia="Calibri" w:hAnsi="Calibri"/>
          <w:b/>
          <w:bCs/>
          <w:spacing w:val="-1"/>
          <w:lang w:val="ro-RO"/>
        </w:rPr>
        <w:t xml:space="preserve"> </w:t>
      </w:r>
      <w:r w:rsidRPr="00715536">
        <w:rPr>
          <w:rFonts w:ascii="Calibri" w:eastAsia="Calibri" w:hAnsi="Calibri"/>
          <w:b/>
          <w:bCs/>
          <w:spacing w:val="-1"/>
          <w:lang w:val="ro-RO"/>
        </w:rPr>
        <w:t>în</w:t>
      </w:r>
      <w:r w:rsidR="00717ADB">
        <w:rPr>
          <w:rFonts w:ascii="Calibri" w:eastAsia="Calibri" w:hAnsi="Calibri"/>
          <w:b/>
          <w:bCs/>
          <w:spacing w:val="-1"/>
          <w:lang w:val="ro-RO"/>
        </w:rPr>
        <w:t xml:space="preserve">  </w:t>
      </w:r>
      <w:r w:rsidRPr="00715536">
        <w:rPr>
          <w:rFonts w:ascii="Calibri" w:eastAsia="Calibri" w:hAnsi="Calibri"/>
          <w:b/>
          <w:bCs/>
          <w:spacing w:val="-1"/>
          <w:lang w:val="ro-RO"/>
        </w:rPr>
        <w:t>materia</w:t>
      </w:r>
      <w:r w:rsidR="00717ADB">
        <w:rPr>
          <w:rFonts w:ascii="Calibri" w:eastAsia="Calibri" w:hAnsi="Calibri"/>
          <w:b/>
          <w:bCs/>
          <w:spacing w:val="-1"/>
          <w:lang w:val="ro-RO"/>
        </w:rPr>
        <w:t xml:space="preserve"> </w:t>
      </w:r>
      <w:r w:rsidRPr="00715536">
        <w:rPr>
          <w:rFonts w:ascii="Calibri" w:eastAsia="Calibri" w:hAnsi="Calibri"/>
          <w:b/>
          <w:bCs/>
          <w:spacing w:val="-1"/>
          <w:lang w:val="ro-RO"/>
        </w:rPr>
        <w:t>deficitului</w:t>
      </w:r>
      <w:r w:rsidR="00717ADB">
        <w:rPr>
          <w:rFonts w:ascii="Calibri" w:eastAsia="Calibri" w:hAnsi="Calibri"/>
          <w:b/>
          <w:bCs/>
          <w:spacing w:val="-1"/>
          <w:lang w:val="ro-RO"/>
        </w:rPr>
        <w:t xml:space="preserve"> </w:t>
      </w:r>
      <w:r w:rsidRPr="00715536">
        <w:rPr>
          <w:rFonts w:ascii="Calibri" w:eastAsia="Calibri" w:hAnsi="Calibri"/>
          <w:b/>
          <w:bCs/>
          <w:spacing w:val="-1"/>
          <w:lang w:val="ro-RO"/>
        </w:rPr>
        <w:t>bugetar</w:t>
      </w:r>
      <w:r w:rsidR="00717ADB">
        <w:rPr>
          <w:rFonts w:ascii="Calibri" w:eastAsia="Calibri" w:hAnsi="Calibri"/>
          <w:b/>
          <w:bCs/>
          <w:spacing w:val="-1"/>
          <w:lang w:val="ro-RO"/>
        </w:rPr>
        <w:t xml:space="preserve"> </w:t>
      </w:r>
      <w:r w:rsidRPr="00715536">
        <w:rPr>
          <w:rFonts w:ascii="Calibri" w:eastAsia="Calibri" w:hAnsi="Calibri"/>
          <w:b/>
          <w:bCs/>
          <w:spacing w:val="-1"/>
          <w:lang w:val="ro-RO"/>
        </w:rPr>
        <w:t>fiind</w:t>
      </w:r>
      <w:r w:rsidR="00717ADB">
        <w:rPr>
          <w:rFonts w:ascii="Calibri" w:eastAsia="Calibri" w:hAnsi="Calibri"/>
          <w:b/>
          <w:bCs/>
          <w:spacing w:val="-1"/>
          <w:lang w:val="ro-RO"/>
        </w:rPr>
        <w:t xml:space="preserve"> </w:t>
      </w:r>
      <w:r w:rsidRPr="00715536">
        <w:rPr>
          <w:rFonts w:ascii="Calibri" w:eastAsia="Calibri" w:hAnsi="Calibri"/>
          <w:b/>
          <w:bCs/>
          <w:spacing w:val="-1"/>
          <w:lang w:val="ro-RO"/>
        </w:rPr>
        <w:t>astfel</w:t>
      </w:r>
      <w:r w:rsidR="00717ADB">
        <w:rPr>
          <w:rFonts w:ascii="Calibri" w:eastAsia="Calibri" w:hAnsi="Calibri"/>
          <w:b/>
          <w:bCs/>
          <w:spacing w:val="-1"/>
          <w:lang w:val="ro-RO"/>
        </w:rPr>
        <w:t xml:space="preserve"> </w:t>
      </w:r>
      <w:r w:rsidRPr="00715536">
        <w:rPr>
          <w:rFonts w:ascii="Calibri" w:eastAsia="Calibri" w:hAnsi="Calibri"/>
          <w:b/>
          <w:bCs/>
          <w:spacing w:val="-1"/>
          <w:lang w:val="ro-RO"/>
        </w:rPr>
        <w:t>asigurat.</w:t>
      </w:r>
    </w:p>
    <w:p w:rsidR="005D253B" w:rsidRPr="00AC4302" w:rsidRDefault="005D253B" w:rsidP="005D253B">
      <w:pPr>
        <w:widowControl w:val="0"/>
        <w:spacing w:before="120"/>
        <w:ind w:left="132" w:right="139"/>
        <w:jc w:val="center"/>
        <w:outlineLvl w:val="1"/>
        <w:rPr>
          <w:rFonts w:ascii="Calibri" w:eastAsia="Calibri" w:hAnsi="Calibri"/>
          <w:lang w:val="ro-RO"/>
        </w:rPr>
      </w:pPr>
    </w:p>
    <w:p w:rsidR="008B4C78" w:rsidRDefault="007641E4" w:rsidP="007641E4">
      <w:pPr>
        <w:spacing w:after="120"/>
        <w:jc w:val="center"/>
        <w:rPr>
          <w:rFonts w:ascii="Calibri" w:eastAsia="SimSun" w:hAnsi="Calibri"/>
          <w:lang w:val="ro-RO"/>
        </w:rPr>
      </w:pPr>
      <w:r w:rsidRPr="007641E4">
        <w:rPr>
          <w:rFonts w:eastAsia="SimSun"/>
          <w:noProof/>
          <w:lang w:val="ro-RO" w:eastAsia="ro-RO"/>
        </w:rPr>
        <w:drawing>
          <wp:inline distT="0" distB="0" distL="0" distR="0">
            <wp:extent cx="5509260" cy="30791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6061" cy="3088584"/>
                    </a:xfrm>
                    <a:prstGeom prst="rect">
                      <a:avLst/>
                    </a:prstGeom>
                    <a:noFill/>
                    <a:ln>
                      <a:noFill/>
                    </a:ln>
                  </pic:spPr>
                </pic:pic>
              </a:graphicData>
            </a:graphic>
          </wp:inline>
        </w:drawing>
      </w:r>
    </w:p>
    <w:p w:rsidR="007641E4" w:rsidRPr="00A36697" w:rsidRDefault="007641E4" w:rsidP="007641E4">
      <w:pPr>
        <w:spacing w:after="120"/>
        <w:jc w:val="center"/>
        <w:rPr>
          <w:rFonts w:ascii="Calibri" w:eastAsia="SimSun" w:hAnsi="Calibri"/>
          <w:lang w:val="ro-RO"/>
        </w:rPr>
      </w:pPr>
    </w:p>
    <w:p w:rsidR="001F7825" w:rsidRPr="00C86702" w:rsidRDefault="00CB19C5" w:rsidP="001F7825">
      <w:pPr>
        <w:widowControl w:val="0"/>
        <w:shd w:val="clear" w:color="auto" w:fill="99CCFF"/>
        <w:spacing w:line="320" w:lineRule="exact"/>
        <w:rPr>
          <w:rFonts w:ascii="Calibri" w:hAnsi="Calibri"/>
          <w:b/>
          <w:color w:val="000080"/>
          <w:lang w:val="ro-RO"/>
        </w:rPr>
      </w:pPr>
      <w:r>
        <w:rPr>
          <w:rFonts w:ascii="Calibri" w:hAnsi="Calibri"/>
          <w:b/>
          <w:color w:val="000080"/>
          <w:lang w:val="ro-RO"/>
        </w:rPr>
        <w:t>4.5</w:t>
      </w:r>
      <w:r w:rsidR="001F7825" w:rsidRPr="00C86702">
        <w:rPr>
          <w:rFonts w:ascii="Calibri" w:hAnsi="Calibri"/>
          <w:b/>
          <w:color w:val="000080"/>
          <w:lang w:val="ro-RO"/>
        </w:rPr>
        <w:t>.</w:t>
      </w:r>
      <w:r w:rsidR="00936410" w:rsidRPr="00C86702">
        <w:rPr>
          <w:rFonts w:ascii="Calibri" w:hAnsi="Calibri"/>
          <w:b/>
          <w:color w:val="000080"/>
          <w:lang w:val="ro-RO"/>
        </w:rPr>
        <w:t>1</w:t>
      </w:r>
      <w:r w:rsidR="001F7825" w:rsidRPr="00C86702">
        <w:rPr>
          <w:rFonts w:ascii="Calibri" w:hAnsi="Calibri"/>
          <w:b/>
          <w:color w:val="000080"/>
          <w:lang w:val="ro-RO"/>
        </w:rPr>
        <w:t xml:space="preserve"> Evolu</w:t>
      </w:r>
      <w:r w:rsidR="0071513D" w:rsidRPr="00C86702">
        <w:rPr>
          <w:rFonts w:ascii="Calibri" w:hAnsi="Calibri"/>
          <w:b/>
          <w:color w:val="000080"/>
          <w:lang w:val="ro-RO"/>
        </w:rPr>
        <w:t>ţ</w:t>
      </w:r>
      <w:r w:rsidR="001F7825" w:rsidRPr="00C86702">
        <w:rPr>
          <w:rFonts w:ascii="Calibri" w:hAnsi="Calibri"/>
          <w:b/>
          <w:color w:val="000080"/>
          <w:lang w:val="ro-RO"/>
        </w:rPr>
        <w:t>ii recente şi tendin</w:t>
      </w:r>
      <w:r w:rsidR="0071513D" w:rsidRPr="00C86702">
        <w:rPr>
          <w:rFonts w:ascii="Calibri" w:hAnsi="Calibri"/>
          <w:b/>
          <w:color w:val="000080"/>
          <w:lang w:val="ro-RO"/>
        </w:rPr>
        <w:t>ţ</w:t>
      </w:r>
      <w:r w:rsidR="001F7825" w:rsidRPr="00C86702">
        <w:rPr>
          <w:rFonts w:ascii="Calibri" w:hAnsi="Calibri"/>
          <w:b/>
          <w:color w:val="000080"/>
          <w:lang w:val="ro-RO"/>
        </w:rPr>
        <w:t>e ale veniturilor bugetare</w:t>
      </w:r>
      <w:r w:rsidR="00CF2F72" w:rsidRPr="00C86702">
        <w:rPr>
          <w:rStyle w:val="FootnoteReference"/>
          <w:rFonts w:ascii="Calibri" w:hAnsi="Calibri"/>
          <w:b/>
          <w:color w:val="000080"/>
          <w:lang w:val="ro-RO"/>
        </w:rPr>
        <w:footnoteReference w:id="18"/>
      </w:r>
    </w:p>
    <w:p w:rsidR="00FD5488" w:rsidRPr="00FD5488" w:rsidRDefault="00FD5488" w:rsidP="00FD5488">
      <w:pPr>
        <w:widowControl w:val="0"/>
        <w:spacing w:before="120" w:after="120"/>
        <w:jc w:val="both"/>
        <w:rPr>
          <w:rFonts w:ascii="Calibri" w:hAnsi="Calibri" w:cs="Arial"/>
          <w:lang w:val="ro-RO"/>
        </w:rPr>
      </w:pPr>
      <w:r w:rsidRPr="00FD5488">
        <w:rPr>
          <w:rFonts w:ascii="Calibri" w:hAnsi="Calibri"/>
          <w:lang w:val="ro-RO"/>
        </w:rPr>
        <w:t>Estimarea evoluţiei principalelor categorii de impozite şi taxe pe perioada 2019-2021 are la bază cea mai recentă proiecţie a indicatorilor macroeconomici,</w:t>
      </w:r>
      <w:r w:rsidR="004A46C1">
        <w:rPr>
          <w:rFonts w:ascii="Calibri" w:hAnsi="Calibri"/>
          <w:lang w:val="ro-RO"/>
        </w:rPr>
        <w:t xml:space="preserve"> </w:t>
      </w:r>
      <w:r w:rsidRPr="00FD5488">
        <w:rPr>
          <w:rFonts w:ascii="Calibri" w:hAnsi="Calibri" w:cs="Arial"/>
          <w:lang w:val="ro-RO"/>
        </w:rPr>
        <w:t>corelată cu evoluția încasărilor, prevederile legislative în vigoare dar și angajamentul ANAF de a colecta venituri suplimentare prin intensificarea acțiunilor de îmbunătățire a colectării și reducerea evaziunii fiscale (7,5 mld lei).</w:t>
      </w:r>
    </w:p>
    <w:p w:rsidR="00FD5488" w:rsidRPr="00FD5488" w:rsidRDefault="00FD5488" w:rsidP="00FD5488">
      <w:pPr>
        <w:widowControl w:val="0"/>
        <w:spacing w:before="120" w:after="120"/>
        <w:jc w:val="both"/>
        <w:rPr>
          <w:rFonts w:ascii="Calibri" w:hAnsi="Calibri" w:cs="Arial"/>
          <w:lang w:val="ro-RO"/>
        </w:rPr>
      </w:pPr>
      <w:r w:rsidRPr="00FD5488">
        <w:rPr>
          <w:rFonts w:ascii="Calibri" w:hAnsi="Calibri" w:cs="Arial"/>
          <w:lang w:val="ro-RO"/>
        </w:rPr>
        <w:t>Veniturile bugetare totale sunt proiectate să crească  ușor de la nivelul de 31,</w:t>
      </w:r>
      <w:r w:rsidR="00722ECC" w:rsidRPr="008F4785">
        <w:rPr>
          <w:rFonts w:ascii="Calibri" w:hAnsi="Calibri" w:cs="Arial"/>
          <w:lang w:val="ro-RO"/>
        </w:rPr>
        <w:t>4</w:t>
      </w:r>
      <w:r w:rsidRPr="00FD5488">
        <w:rPr>
          <w:rFonts w:ascii="Calibri" w:hAnsi="Calibri" w:cs="Arial"/>
          <w:lang w:val="ro-RO"/>
        </w:rPr>
        <w:t>% din PIB în anul 2018 la un nivel de 32% din PIB în anul 2021, în special pe baza cresterii ponderii în PIB a contribuțiilor sociale.</w:t>
      </w:r>
    </w:p>
    <w:p w:rsidR="00FD5488" w:rsidRPr="00FD5488" w:rsidRDefault="00FD5488" w:rsidP="00FD5488">
      <w:pPr>
        <w:widowControl w:val="0"/>
        <w:spacing w:after="120"/>
        <w:jc w:val="both"/>
        <w:rPr>
          <w:rFonts w:ascii="Calibri" w:hAnsi="Calibri" w:cs="Arial"/>
          <w:lang w:val="ro-RO"/>
        </w:rPr>
      </w:pPr>
      <w:r w:rsidRPr="00FD5488">
        <w:rPr>
          <w:rFonts w:ascii="Calibri" w:hAnsi="Calibri"/>
          <w:lang w:val="ro-RO"/>
        </w:rPr>
        <w:t>În structura veniturilor fiscale, veniturile din impozit pe profit sunt prognozate la un nivel de 1,7% din PIB în 2019, urmând să se mențină la un nivel de 1,6% din PIB în perioada 2020-2021. Evoluția în anul 2019 este influențată în principal de angajamentul ANAF de a colecta venituri suplimentare de 0,5 mld lei dar și</w:t>
      </w:r>
      <w:r w:rsidRPr="00FD5488">
        <w:rPr>
          <w:rFonts w:ascii="Calibri" w:hAnsi="Calibri" w:cs="Arial"/>
          <w:lang w:val="ro-RO"/>
        </w:rPr>
        <w:t xml:space="preserve"> de impactul negativ generat de posibilitatea persoanelor juridice cu venituri realizate de până în 1 milion euro de a opta între plata impozitului pe profit sau a încadrării  în categoria microîntreprinderilor. </w:t>
      </w:r>
    </w:p>
    <w:p w:rsidR="00FD5488" w:rsidRPr="00FD5488" w:rsidRDefault="00FD5488" w:rsidP="00FD5488">
      <w:pPr>
        <w:widowControl w:val="0"/>
        <w:spacing w:after="120"/>
        <w:jc w:val="both"/>
        <w:rPr>
          <w:rFonts w:ascii="Calibri" w:hAnsi="Calibri"/>
          <w:lang w:val="ro-RO"/>
        </w:rPr>
      </w:pPr>
      <w:r w:rsidRPr="00FD5488">
        <w:rPr>
          <w:rFonts w:ascii="Calibri" w:hAnsi="Calibri"/>
          <w:lang w:val="ro-RO"/>
        </w:rPr>
        <w:t>Încasările din impozitul pe venit sunt prognozate să se reducă la 2,3% din PIB în anul 2019, fiind influențate de impactul negativ  generat de scutirea acordată salariaților din sectorul de construcții, conform OUG nr.114/2018. Pe termen mediu, dinamica prognozată a fondului de salarii din economie (câștig salarial mediu brut și numărul mediu de salariați din economie) va conduce la creșterea ușoară a veniturilor din această sursă până la 2,4% în anul 2021.</w:t>
      </w:r>
    </w:p>
    <w:p w:rsidR="00FD5488" w:rsidRPr="00FD5488" w:rsidRDefault="00FD5488" w:rsidP="00FD5488">
      <w:pPr>
        <w:widowControl w:val="0"/>
        <w:spacing w:after="120"/>
        <w:jc w:val="both"/>
        <w:rPr>
          <w:rFonts w:ascii="Calibri" w:hAnsi="Calibri"/>
          <w:lang w:val="ro-RO"/>
        </w:rPr>
      </w:pPr>
      <w:r w:rsidRPr="00FD5488">
        <w:rPr>
          <w:rFonts w:ascii="Calibri" w:hAnsi="Calibri"/>
          <w:lang w:val="ro-RO"/>
        </w:rPr>
        <w:t xml:space="preserve">Se estimează că veniturile din impozite și taxe pe bunuri și servicii </w:t>
      </w:r>
      <w:r w:rsidR="00A40124">
        <w:rPr>
          <w:rFonts w:ascii="Calibri" w:hAnsi="Calibri"/>
          <w:lang w:val="ro-RO"/>
        </w:rPr>
        <w:t>vor înregistra o creștere de 0,8</w:t>
      </w:r>
      <w:r w:rsidRPr="00FD5488">
        <w:rPr>
          <w:rFonts w:ascii="Calibri" w:hAnsi="Calibri"/>
          <w:lang w:val="ro-RO"/>
        </w:rPr>
        <w:t xml:space="preserve"> puncte procentuale față de anul anterior</w:t>
      </w:r>
      <w:r w:rsidR="00B32E4D">
        <w:rPr>
          <w:rFonts w:ascii="Calibri" w:hAnsi="Calibri"/>
          <w:lang w:val="ro-RO"/>
        </w:rPr>
        <w:t>,</w:t>
      </w:r>
      <w:r w:rsidRPr="00FD5488">
        <w:rPr>
          <w:rFonts w:ascii="Calibri" w:hAnsi="Calibri"/>
          <w:lang w:val="ro-RO"/>
        </w:rPr>
        <w:t xml:space="preserve"> la 10,8% în PIB în 2019. Acest lucru se datorează în principal angajamentului ANAF de a colecta venituri suplimentare de 6 mld lei la TVA și de 1 mld lei la accize ca urmare a măsurilor privind îmbunătățirea colectării și combaterea evaziunii.</w:t>
      </w:r>
    </w:p>
    <w:p w:rsidR="00FD5488" w:rsidRPr="00FD5488" w:rsidRDefault="00FD5488" w:rsidP="00FD5488">
      <w:pPr>
        <w:widowControl w:val="0"/>
        <w:spacing w:after="120"/>
        <w:jc w:val="both"/>
        <w:rPr>
          <w:rFonts w:ascii="Calibri" w:hAnsi="Calibri" w:cs="Arial"/>
          <w:lang w:val="ro-RO"/>
        </w:rPr>
      </w:pPr>
      <w:r w:rsidRPr="00FD5488">
        <w:rPr>
          <w:rFonts w:ascii="Calibri" w:hAnsi="Calibri" w:cs="Arial"/>
          <w:lang w:val="ro-RO"/>
        </w:rPr>
        <w:t>Încasările din taxa pe valoarea adăugată în anul 2019 înregistrează o creștere de 0,5 puncte procentuale față de realizările anului 2018, ajungând la 6,8% in PIB in anul 2019. Estimările pentru anul 2019 și pe termen mediu au ținut cont atât de veniturile asumate de ANAF a fi încasate suplimentar din îmbunătățirea colectării, cât și de modificările legislative aprobate în cursul anului 2018 (extinderea aplicării cotei reduse de TVA de 9% pentru serviciile de alimentare cu apă şi de canalizare și extinderea aplicării cotei reduse de TVA de 5% pentru activităţi sportive şi recreative, servicii de cazare, restaurant şi catering). Veniturile din TVA sunt prognozate să ajungă la un nivel de 6,5% din PIB in anul 2020 și un nivel de 6,2% din PIB în anul 2021.</w:t>
      </w:r>
    </w:p>
    <w:p w:rsidR="00FD5488" w:rsidRPr="00FD5488" w:rsidRDefault="00FD5488" w:rsidP="00FD5488">
      <w:pPr>
        <w:suppressAutoHyphens/>
        <w:spacing w:after="120"/>
        <w:jc w:val="both"/>
        <w:rPr>
          <w:rFonts w:ascii="Calibri" w:hAnsi="Calibri"/>
          <w:lang w:val="ro-RO" w:eastAsia="zh-CN"/>
        </w:rPr>
      </w:pPr>
      <w:r w:rsidRPr="00FD5488">
        <w:rPr>
          <w:rFonts w:ascii="Calibri" w:hAnsi="Calibri"/>
          <w:lang w:val="ro-RO" w:eastAsia="zh-CN"/>
        </w:rPr>
        <w:t xml:space="preserve">Veniturile din accize se vor situa în anul 2019 la un nivel de 3% din PIB, similar cu ponderea în PIB din anul anterior. Accizele sunt influențate de veniturile </w:t>
      </w:r>
      <w:r w:rsidRPr="00FD5488">
        <w:rPr>
          <w:rFonts w:ascii="Calibri" w:hAnsi="Calibri" w:cs="Arial"/>
          <w:lang w:val="ro-RO"/>
        </w:rPr>
        <w:t>asumate de ANAF a fi încasate suplimentar din îmbunătățirea colectării dar</w:t>
      </w:r>
      <w:r w:rsidRPr="00FD5488">
        <w:rPr>
          <w:rFonts w:ascii="Calibri" w:hAnsi="Calibri"/>
          <w:lang w:val="ro-RO" w:eastAsia="zh-CN"/>
        </w:rPr>
        <w:t xml:space="preserve"> și de creșterea nivelului de accize pentru produse tutun</w:t>
      </w:r>
      <w:r w:rsidRPr="00FD5488">
        <w:rPr>
          <w:rFonts w:ascii="Calibri" w:hAnsi="Calibri" w:cs="Arial"/>
          <w:bCs/>
          <w:lang w:val="ro-RO"/>
        </w:rPr>
        <w:t xml:space="preserve"> prin respectarea condițiilor referitoare la nivelul minim al accizei totale aplicabil pentru țigarete, pe care toate statele membre trebuie să îl respecte, condiții ce se regăsesc la art. 10 alin. (2) din Directiva 2011/64/UE a Consiliului privind structura și ratele accizelor aplicate tutunului prelucrat</w:t>
      </w:r>
      <w:r w:rsidRPr="00FD5488">
        <w:rPr>
          <w:rFonts w:ascii="Calibri" w:hAnsi="Calibri"/>
          <w:lang w:val="ro-RO" w:eastAsia="zh-CN"/>
        </w:rPr>
        <w:t>. În perioada 2020-2021 dinamica veniturilor din accize este prognozată să reflecte ritmul de creștere reală a consumului privat iar ponderea acestora să se mențină la 2,9% din PIB.</w:t>
      </w:r>
    </w:p>
    <w:p w:rsidR="00FD5488" w:rsidRPr="00FD5488" w:rsidRDefault="00FD5488" w:rsidP="00FD5488">
      <w:pPr>
        <w:widowControl w:val="0"/>
        <w:spacing w:after="120"/>
        <w:jc w:val="both"/>
        <w:rPr>
          <w:rFonts w:ascii="Arial" w:hAnsi="Arial" w:cs="Arial"/>
          <w:sz w:val="28"/>
          <w:szCs w:val="28"/>
          <w:lang w:val="ro-RO" w:eastAsia="ro-RO"/>
        </w:rPr>
      </w:pPr>
      <w:r w:rsidRPr="00FD5488">
        <w:rPr>
          <w:rFonts w:asciiTheme="minorHAnsi" w:hAnsiTheme="minorHAnsi"/>
          <w:lang w:val="ro-RO" w:eastAsia="zh-CN"/>
        </w:rPr>
        <w:t>Încasările din contribuții de asigurări sociale în anul 2019 sunt estimate să ajungă la 1</w:t>
      </w:r>
      <w:r w:rsidR="00D92EA3">
        <w:rPr>
          <w:rFonts w:asciiTheme="minorHAnsi" w:hAnsiTheme="minorHAnsi"/>
          <w:lang w:val="ro-RO" w:eastAsia="zh-CN"/>
        </w:rPr>
        <w:t>1,5% din PIB, în creștere cu 1,1</w:t>
      </w:r>
      <w:r w:rsidRPr="00FD5488">
        <w:rPr>
          <w:rFonts w:asciiTheme="minorHAnsi" w:hAnsiTheme="minorHAnsi"/>
          <w:lang w:val="ro-RO" w:eastAsia="zh-CN"/>
        </w:rPr>
        <w:t xml:space="preserve"> pp din PIB față de anul 2018, fiind influențate în principal de creșterea semnificativă a fondului de salarii din economie (18,6%), de aplicarea la nivelul întregului an a condițiilor noi  legislative comparativ cu 11 luni de aplicare în anul 2018</w:t>
      </w:r>
      <w:r w:rsidRPr="00FD5488">
        <w:rPr>
          <w:rFonts w:asciiTheme="minorHAnsi" w:hAnsiTheme="minorHAnsi"/>
          <w:vertAlign w:val="superscript"/>
          <w:lang w:eastAsia="zh-CN"/>
        </w:rPr>
        <w:footnoteReference w:id="19"/>
      </w:r>
      <w:r w:rsidRPr="00FD5488">
        <w:rPr>
          <w:rFonts w:asciiTheme="minorHAnsi" w:hAnsiTheme="minorHAnsi"/>
          <w:lang w:val="ro-RO" w:eastAsia="zh-CN"/>
        </w:rPr>
        <w:t xml:space="preserve"> și de prevederile OUG nr. 114/2018 prin care se crează premisele pentru majorări salariale diferențiate pe domenii de activitate în cazul salariaților din sectorul construcții, concomitent cu scutirea de la plata contribuţiei datorată la fondul de pensii administrat privat (Pilonul II) în limita a 3,75%, în perioada 2019 -2028 inclusiv</w:t>
      </w:r>
      <w:r w:rsidRPr="00FD5488">
        <w:rPr>
          <w:rFonts w:asciiTheme="minorHAnsi" w:hAnsiTheme="minorHAnsi" w:cs="Arial"/>
          <w:lang w:val="ro-RO" w:eastAsia="ro-RO"/>
        </w:rPr>
        <w:t>.</w:t>
      </w:r>
    </w:p>
    <w:p w:rsidR="00FD5488" w:rsidRPr="00FD5488" w:rsidRDefault="00FD5488" w:rsidP="00FD5488">
      <w:pPr>
        <w:widowControl w:val="0"/>
        <w:spacing w:after="120"/>
        <w:jc w:val="both"/>
        <w:rPr>
          <w:rFonts w:ascii="Calibri" w:hAnsi="Calibri" w:cs="Arial"/>
          <w:lang w:val="ro-RO"/>
        </w:rPr>
      </w:pPr>
      <w:r w:rsidRPr="00FD5488">
        <w:rPr>
          <w:rFonts w:ascii="Calibri" w:hAnsi="Calibri" w:cs="Arial"/>
          <w:lang w:val="ro-RO"/>
        </w:rPr>
        <w:t>Suplimentar, veniturile din contribuții sunt influențate în anul 2019 de efectuarea de plăți reprezentând sume prevăzute prin hotărâri judecătoreşti având ca obiect acordarea unor drepturi de natură salarială stabilite în favoarea personalului din instituţiile şi autorităţile publice, devenite executorii (0,9 mld lei) și de acordarea indemnizației de hrană pentru personalul bugetar, potrivit prevederilor Legii-cadru nr. 153/2017 privind salarizarea personalului plătit din fonduri publice, cu modificările şi completările ulterioare.</w:t>
      </w:r>
    </w:p>
    <w:p w:rsidR="00FD5488" w:rsidRPr="00FD5488" w:rsidRDefault="00FD5488" w:rsidP="00FD5488">
      <w:pPr>
        <w:widowControl w:val="0"/>
        <w:spacing w:after="120"/>
        <w:jc w:val="both"/>
        <w:rPr>
          <w:rFonts w:ascii="Calibri" w:hAnsi="Calibri" w:cs="Arial"/>
          <w:lang w:val="ro-RO"/>
        </w:rPr>
      </w:pPr>
      <w:r w:rsidRPr="00FD5488">
        <w:rPr>
          <w:rFonts w:ascii="Calibri" w:hAnsi="Calibri" w:cs="Arial"/>
          <w:lang w:val="ro-RO"/>
        </w:rPr>
        <w:t xml:space="preserve">Estimările privind transferurile către Pilonul II de pensii evidențiază o ușoară creștere de 0,1 pp în PIB în perioada 2019 -2021, respectiv de la 0,8% în PIB în anul 2019 la 0,9% în PIB pe termen mediu. </w:t>
      </w:r>
    </w:p>
    <w:p w:rsidR="00FD5488" w:rsidRPr="00FD5488" w:rsidRDefault="00FD5488" w:rsidP="00FD5488">
      <w:pPr>
        <w:widowControl w:val="0"/>
        <w:spacing w:after="120"/>
        <w:jc w:val="both"/>
        <w:rPr>
          <w:rFonts w:ascii="Calibri" w:hAnsi="Calibri" w:cs="Arial"/>
          <w:lang w:val="ro-RO"/>
        </w:rPr>
      </w:pPr>
      <w:r w:rsidRPr="00FD5488">
        <w:rPr>
          <w:rFonts w:ascii="Calibri" w:hAnsi="Calibri" w:cs="Arial"/>
          <w:lang w:val="ro-RO"/>
        </w:rPr>
        <w:t>Pe termen mediu, evoluția încasărilor din contribuții de asigurări sociale este determinată de majorarea prognozată a câștigului salarial mediu și a numărului de salariați, ponderea veniturilor din contribuții de asigurări sociale fiind prognozată să ajungă la 12,2% din PIB în anul 2021.</w:t>
      </w:r>
    </w:p>
    <w:p w:rsidR="00FD5488" w:rsidRDefault="00FD5488" w:rsidP="00FD5488">
      <w:pPr>
        <w:widowControl w:val="0"/>
        <w:spacing w:after="120"/>
        <w:jc w:val="both"/>
        <w:rPr>
          <w:rFonts w:ascii="Calibri" w:hAnsi="Calibri" w:cs="Arial"/>
          <w:lang w:val="ro-RO"/>
        </w:rPr>
      </w:pPr>
      <w:r w:rsidRPr="00FD5488">
        <w:rPr>
          <w:rFonts w:ascii="Calibri" w:hAnsi="Calibri" w:cs="Arial"/>
          <w:lang w:val="ro-RO"/>
        </w:rPr>
        <w:t xml:space="preserve">Proiecția veniturilor bugetare include veniturile estimate a fi încasate în urma vânzării licențelor de telecomunicații de tip 5G de către ANCOM (2,1 mld lei)  darși impactul generat de OUG 114/2018 prin (i) creșterea taxării în domeniul jocurilor de noroc (0,5 mld lei); (ii) virarea la bugetul de stat a 35% din sumele repartizate la alte rezerve conform art.43 (1,5 mld lei). </w:t>
      </w:r>
    </w:p>
    <w:p w:rsidR="00A51352" w:rsidRDefault="00612641" w:rsidP="00612641">
      <w:pPr>
        <w:widowControl w:val="0"/>
        <w:spacing w:after="120"/>
        <w:jc w:val="center"/>
        <w:rPr>
          <w:rFonts w:ascii="Calibri" w:hAnsi="Calibri" w:cs="Arial"/>
          <w:lang w:val="ro-RO"/>
        </w:rPr>
      </w:pPr>
      <w:r w:rsidRPr="00612641">
        <w:rPr>
          <w:noProof/>
          <w:lang w:val="ro-RO" w:eastAsia="ro-RO"/>
        </w:rPr>
        <w:drawing>
          <wp:inline distT="0" distB="0" distL="0" distR="0">
            <wp:extent cx="4351570" cy="3406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2057" cy="3422176"/>
                    </a:xfrm>
                    <a:prstGeom prst="rect">
                      <a:avLst/>
                    </a:prstGeom>
                    <a:noFill/>
                    <a:ln>
                      <a:noFill/>
                    </a:ln>
                  </pic:spPr>
                </pic:pic>
              </a:graphicData>
            </a:graphic>
          </wp:inline>
        </w:drawing>
      </w:r>
    </w:p>
    <w:p w:rsidR="001406A8" w:rsidRDefault="00612641" w:rsidP="001406A8">
      <w:pPr>
        <w:widowControl w:val="0"/>
        <w:spacing w:after="120"/>
        <w:jc w:val="center"/>
        <w:rPr>
          <w:rFonts w:ascii="Calibri" w:hAnsi="Calibri" w:cs="Arial"/>
          <w:lang w:val="ro-RO"/>
        </w:rPr>
      </w:pPr>
      <w:r w:rsidRPr="00612641">
        <w:rPr>
          <w:noProof/>
          <w:lang w:val="ro-RO" w:eastAsia="ro-RO"/>
        </w:rPr>
        <w:drawing>
          <wp:inline distT="0" distB="0" distL="0" distR="0">
            <wp:extent cx="4389120" cy="3568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393" cy="3577445"/>
                    </a:xfrm>
                    <a:prstGeom prst="rect">
                      <a:avLst/>
                    </a:prstGeom>
                    <a:noFill/>
                    <a:ln>
                      <a:noFill/>
                    </a:ln>
                  </pic:spPr>
                </pic:pic>
              </a:graphicData>
            </a:graphic>
          </wp:inline>
        </w:drawing>
      </w:r>
    </w:p>
    <w:p w:rsidR="001406A8" w:rsidRPr="00FD5488" w:rsidRDefault="00612641" w:rsidP="001406A8">
      <w:pPr>
        <w:widowControl w:val="0"/>
        <w:spacing w:after="120"/>
        <w:jc w:val="center"/>
        <w:rPr>
          <w:rFonts w:ascii="Calibri" w:hAnsi="Calibri" w:cs="Arial"/>
          <w:lang w:val="ro-RO"/>
        </w:rPr>
      </w:pPr>
      <w:r w:rsidRPr="00612641">
        <w:rPr>
          <w:noProof/>
          <w:lang w:val="ro-RO" w:eastAsia="ro-RO"/>
        </w:rPr>
        <w:drawing>
          <wp:inline distT="0" distB="0" distL="0" distR="0" wp14:anchorId="22228AF8" wp14:editId="223A22CA">
            <wp:extent cx="6264275" cy="29456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4275" cy="2945663"/>
                    </a:xfrm>
                    <a:prstGeom prst="rect">
                      <a:avLst/>
                    </a:prstGeom>
                    <a:noFill/>
                    <a:ln>
                      <a:noFill/>
                    </a:ln>
                  </pic:spPr>
                </pic:pic>
              </a:graphicData>
            </a:graphic>
          </wp:inline>
        </w:drawing>
      </w:r>
    </w:p>
    <w:p w:rsidR="00F7182D" w:rsidRPr="00C86702" w:rsidRDefault="00F7182D" w:rsidP="00F7182D">
      <w:pPr>
        <w:widowControl w:val="0"/>
        <w:tabs>
          <w:tab w:val="left" w:pos="2112"/>
        </w:tabs>
        <w:spacing w:line="320" w:lineRule="exact"/>
        <w:jc w:val="both"/>
        <w:rPr>
          <w:rFonts w:ascii="Calibri" w:hAnsi="Calibri"/>
          <w:b/>
          <w:lang w:val="ro-RO"/>
        </w:rPr>
      </w:pPr>
      <w:r w:rsidRPr="00C86702">
        <w:rPr>
          <w:rFonts w:ascii="Calibri" w:hAnsi="Calibri"/>
          <w:lang w:val="ro-RO"/>
        </w:rPr>
        <w:t>Cea mai mare pondere în veniturile bugetului general consolidat o deţine Bugetul de stat, urmat de Bugetele locale şi Buget</w:t>
      </w:r>
      <w:r>
        <w:rPr>
          <w:rFonts w:ascii="Calibri" w:hAnsi="Calibri"/>
          <w:lang w:val="ro-RO"/>
        </w:rPr>
        <w:t>ul asigurărilor sociale de stat, acestea două din urmă efectuând o rocadă în anul 2020 în clasamentul efectuat în funcţie de nivelul sumelor.</w:t>
      </w:r>
    </w:p>
    <w:p w:rsidR="00816145" w:rsidRPr="00816145" w:rsidRDefault="00F7182D" w:rsidP="00F7182D">
      <w:pPr>
        <w:widowControl w:val="0"/>
        <w:spacing w:after="120" w:line="320" w:lineRule="exact"/>
        <w:rPr>
          <w:rFonts w:ascii="Calibri" w:hAnsi="Calibri"/>
          <w:lang w:val="ro-RO"/>
        </w:rPr>
      </w:pPr>
      <w:r w:rsidRPr="00C86702">
        <w:rPr>
          <w:rFonts w:ascii="Calibri" w:hAnsi="Calibri"/>
          <w:lang w:val="ro-RO"/>
        </w:rPr>
        <w:t>Cele mai mari subvenţii d</w:t>
      </w:r>
      <w:r>
        <w:rPr>
          <w:rFonts w:ascii="Calibri" w:hAnsi="Calibri"/>
          <w:lang w:val="ro-RO"/>
        </w:rPr>
        <w:t>e la Bugetul de stat le primesc Bugetele Locale şi</w:t>
      </w:r>
      <w:r w:rsidRPr="00C86702">
        <w:rPr>
          <w:rFonts w:ascii="Calibri" w:hAnsi="Calibri"/>
          <w:lang w:val="ro-RO"/>
        </w:rPr>
        <w:t xml:space="preserve"> Bugetul asigurărilor sociale de stat.</w:t>
      </w:r>
    </w:p>
    <w:p w:rsidR="00847FE5" w:rsidRDefault="0071213A" w:rsidP="00F7182D">
      <w:pPr>
        <w:widowControl w:val="0"/>
        <w:spacing w:after="120" w:line="320" w:lineRule="exact"/>
        <w:rPr>
          <w:rFonts w:ascii="Calibri" w:hAnsi="Calibri"/>
          <w:b/>
          <w:color w:val="000080"/>
          <w:lang w:val="ro-RO"/>
        </w:rPr>
      </w:pPr>
      <w:r w:rsidRPr="0071213A">
        <w:rPr>
          <w:noProof/>
          <w:lang w:val="ro-RO" w:eastAsia="ro-RO"/>
        </w:rPr>
        <w:drawing>
          <wp:anchor distT="0" distB="0" distL="114300" distR="114300" simplePos="0" relativeHeight="251650560" behindDoc="0" locked="0" layoutInCell="1" allowOverlap="1" wp14:anchorId="7D1E3276" wp14:editId="0A82CD16">
            <wp:simplePos x="0" y="0"/>
            <wp:positionH relativeFrom="page">
              <wp:posOffset>1332865</wp:posOffset>
            </wp:positionH>
            <wp:positionV relativeFrom="paragraph">
              <wp:posOffset>102235</wp:posOffset>
            </wp:positionV>
            <wp:extent cx="5172710" cy="43738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710"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4A46C1" w:rsidRDefault="004A46C1" w:rsidP="0071213A">
      <w:pPr>
        <w:widowControl w:val="0"/>
        <w:shd w:val="clear" w:color="auto" w:fill="FFFFFF" w:themeFill="background1"/>
        <w:spacing w:after="120" w:line="320" w:lineRule="exact"/>
        <w:rPr>
          <w:rFonts w:ascii="Calibri" w:hAnsi="Calibri"/>
          <w:b/>
          <w:color w:val="000080"/>
          <w:lang w:val="ro-RO"/>
        </w:rPr>
      </w:pPr>
    </w:p>
    <w:p w:rsidR="0038187A" w:rsidRDefault="00CB19C5" w:rsidP="0038187A">
      <w:pPr>
        <w:widowControl w:val="0"/>
        <w:shd w:val="clear" w:color="auto" w:fill="99CCFF"/>
        <w:spacing w:after="120" w:line="320" w:lineRule="exact"/>
        <w:rPr>
          <w:rFonts w:ascii="Calibri" w:hAnsi="Calibri"/>
          <w:b/>
          <w:color w:val="000080"/>
          <w:lang w:val="ro-RO"/>
        </w:rPr>
      </w:pPr>
      <w:r>
        <w:rPr>
          <w:rFonts w:ascii="Calibri" w:hAnsi="Calibri"/>
          <w:b/>
          <w:color w:val="000080"/>
          <w:lang w:val="ro-RO"/>
        </w:rPr>
        <w:t>4.5</w:t>
      </w:r>
      <w:r w:rsidR="001F7825" w:rsidRPr="00C86702">
        <w:rPr>
          <w:rFonts w:ascii="Calibri" w:hAnsi="Calibri"/>
          <w:b/>
          <w:color w:val="000080"/>
          <w:lang w:val="ro-RO"/>
        </w:rPr>
        <w:t>.2 Evolu</w:t>
      </w:r>
      <w:r w:rsidR="00CF0FD2" w:rsidRPr="00C86702">
        <w:rPr>
          <w:rFonts w:ascii="Calibri" w:hAnsi="Calibri"/>
          <w:b/>
          <w:color w:val="000080"/>
          <w:lang w:val="ro-RO"/>
        </w:rPr>
        <w:t>ţ</w:t>
      </w:r>
      <w:r w:rsidR="001F7825" w:rsidRPr="00C86702">
        <w:rPr>
          <w:rFonts w:ascii="Calibri" w:hAnsi="Calibri"/>
          <w:b/>
          <w:color w:val="000080"/>
          <w:lang w:val="ro-RO"/>
        </w:rPr>
        <w:t>ii recente şi tendin</w:t>
      </w:r>
      <w:r w:rsidR="00CF0FD2" w:rsidRPr="00C86702">
        <w:rPr>
          <w:rFonts w:ascii="Calibri" w:hAnsi="Calibri"/>
          <w:b/>
          <w:color w:val="000080"/>
          <w:lang w:val="ro-RO"/>
        </w:rPr>
        <w:t>ţ</w:t>
      </w:r>
      <w:r w:rsidR="001F7825" w:rsidRPr="00C86702">
        <w:rPr>
          <w:rFonts w:ascii="Calibri" w:hAnsi="Calibri"/>
          <w:b/>
          <w:color w:val="000080"/>
          <w:lang w:val="ro-RO"/>
        </w:rPr>
        <w:t>e ale cheltuielilor bugetare</w:t>
      </w:r>
      <w:r w:rsidR="00CF2F72" w:rsidRPr="00C86702">
        <w:rPr>
          <w:rStyle w:val="FootnoteReference"/>
          <w:rFonts w:ascii="Calibri" w:hAnsi="Calibri"/>
          <w:b/>
          <w:color w:val="000080"/>
          <w:lang w:val="ro-RO"/>
        </w:rPr>
        <w:footnoteReference w:id="20"/>
      </w:r>
    </w:p>
    <w:p w:rsidR="007A2259" w:rsidRDefault="00AD5D67" w:rsidP="00E47D5A">
      <w:pPr>
        <w:widowControl w:val="0"/>
        <w:spacing w:after="120" w:line="320" w:lineRule="exact"/>
        <w:jc w:val="both"/>
        <w:rPr>
          <w:rFonts w:asciiTheme="minorHAnsi" w:hAnsiTheme="minorHAnsi"/>
          <w:lang w:val="ro-RO"/>
        </w:rPr>
      </w:pPr>
      <w:r>
        <w:rPr>
          <w:rFonts w:asciiTheme="minorHAnsi" w:hAnsiTheme="minorHAnsi"/>
          <w:lang w:val="ro-RO"/>
        </w:rPr>
        <w:t>Pentru anul 2019 se constată o majorare semnificativă a cheltuielilor totale</w:t>
      </w:r>
      <w:r w:rsidR="007A2259">
        <w:rPr>
          <w:rFonts w:asciiTheme="minorHAnsi" w:hAnsiTheme="minorHAnsi"/>
          <w:lang w:val="ro-RO"/>
        </w:rPr>
        <w:t xml:space="preserve"> datorată</w:t>
      </w:r>
      <w:r w:rsidR="00224D08">
        <w:rPr>
          <w:rFonts w:asciiTheme="minorHAnsi" w:hAnsiTheme="minorHAnsi"/>
          <w:lang w:val="ro-RO"/>
        </w:rPr>
        <w:t>, în principal, creşterii alocărilor pentru cheltuieli de pe</w:t>
      </w:r>
      <w:r w:rsidR="00FA4472">
        <w:rPr>
          <w:rFonts w:asciiTheme="minorHAnsi" w:hAnsiTheme="minorHAnsi"/>
          <w:lang w:val="ro-RO"/>
        </w:rPr>
        <w:t>r</w:t>
      </w:r>
      <w:r w:rsidR="00224D08">
        <w:rPr>
          <w:rFonts w:asciiTheme="minorHAnsi" w:hAnsiTheme="minorHAnsi"/>
          <w:lang w:val="ro-RO"/>
        </w:rPr>
        <w:t>sonal</w:t>
      </w:r>
      <w:r w:rsidR="004F6A99">
        <w:rPr>
          <w:rFonts w:asciiTheme="minorHAnsi" w:hAnsiTheme="minorHAnsi"/>
          <w:lang w:val="ro-RO"/>
        </w:rPr>
        <w:t>,</w:t>
      </w:r>
      <w:r w:rsidR="00FA4472">
        <w:rPr>
          <w:rFonts w:asciiTheme="minorHAnsi" w:hAnsiTheme="minorHAnsi"/>
          <w:lang w:val="ro-RO"/>
        </w:rPr>
        <w:t xml:space="preserve"> dar mai cu seamă </w:t>
      </w:r>
      <w:r w:rsidR="00557550">
        <w:rPr>
          <w:rFonts w:asciiTheme="minorHAnsi" w:hAnsiTheme="minorHAnsi"/>
          <w:lang w:val="ro-RO"/>
        </w:rPr>
        <w:t xml:space="preserve">creşterii cu aproximativ 1,3 puncte procentuale </w:t>
      </w:r>
      <w:r w:rsidR="009D0228">
        <w:rPr>
          <w:rFonts w:asciiTheme="minorHAnsi" w:hAnsiTheme="minorHAnsi"/>
          <w:lang w:val="ro-RO"/>
        </w:rPr>
        <w:t xml:space="preserve">raportat la PIB </w:t>
      </w:r>
      <w:r w:rsidR="00557550">
        <w:rPr>
          <w:rFonts w:asciiTheme="minorHAnsi" w:hAnsiTheme="minorHAnsi"/>
          <w:lang w:val="ro-RO"/>
        </w:rPr>
        <w:t>a alocărilor pentru investiţii.</w:t>
      </w:r>
    </w:p>
    <w:p w:rsidR="00224D08" w:rsidRDefault="007A2259" w:rsidP="00E47D5A">
      <w:pPr>
        <w:widowControl w:val="0"/>
        <w:spacing w:after="120" w:line="320" w:lineRule="exact"/>
        <w:jc w:val="both"/>
        <w:rPr>
          <w:rFonts w:asciiTheme="minorHAnsi" w:hAnsiTheme="minorHAnsi"/>
          <w:lang w:val="ro-RO"/>
        </w:rPr>
      </w:pPr>
      <w:r>
        <w:rPr>
          <w:rFonts w:asciiTheme="minorHAnsi" w:hAnsiTheme="minorHAnsi"/>
          <w:lang w:val="ro-RO"/>
        </w:rPr>
        <w:t>După majorarea din anul 2019, p</w:t>
      </w:r>
      <w:r w:rsidRPr="00C86702">
        <w:rPr>
          <w:rFonts w:asciiTheme="minorHAnsi" w:hAnsiTheme="minorHAnsi"/>
          <w:lang w:val="ro-RO"/>
        </w:rPr>
        <w:t xml:space="preserve">onderea în PIB a cheltuielilor bugetare totale </w:t>
      </w:r>
      <w:r>
        <w:rPr>
          <w:rFonts w:asciiTheme="minorHAnsi" w:hAnsiTheme="minorHAnsi"/>
          <w:lang w:val="ro-RO"/>
        </w:rPr>
        <w:t>se înscrie</w:t>
      </w:r>
      <w:r w:rsidRPr="00C86702">
        <w:rPr>
          <w:rFonts w:asciiTheme="minorHAnsi" w:hAnsiTheme="minorHAnsi"/>
          <w:lang w:val="ro-RO"/>
        </w:rPr>
        <w:t xml:space="preserve"> pe un trend </w:t>
      </w:r>
      <w:r>
        <w:rPr>
          <w:rFonts w:ascii="Calibri" w:hAnsi="Calibri"/>
          <w:lang w:val="ro-RO"/>
        </w:rPr>
        <w:t>descendent pe termen mediu pentru a permite ajustarea deficitului bugetar</w:t>
      </w:r>
      <w:r>
        <w:rPr>
          <w:rFonts w:asciiTheme="minorHAnsi" w:hAnsiTheme="minorHAnsi"/>
          <w:lang w:val="ro-RO"/>
        </w:rPr>
        <w:t>.</w:t>
      </w:r>
    </w:p>
    <w:p w:rsidR="00DB168D" w:rsidRDefault="00DB168D" w:rsidP="00E47D5A">
      <w:pPr>
        <w:widowControl w:val="0"/>
        <w:spacing w:after="120" w:line="320" w:lineRule="exact"/>
        <w:jc w:val="both"/>
        <w:rPr>
          <w:rFonts w:asciiTheme="minorHAnsi" w:hAnsiTheme="minorHAnsi"/>
          <w:lang w:val="ro-RO"/>
        </w:rPr>
      </w:pPr>
      <w:r>
        <w:rPr>
          <w:rFonts w:asciiTheme="minorHAnsi" w:hAnsiTheme="minorHAnsi"/>
          <w:lang w:val="ro-RO"/>
        </w:rPr>
        <w:t>În pofida acestei ajustări, în termeni nominali majoritatea ch</w:t>
      </w:r>
      <w:r w:rsidR="00A93B6F">
        <w:rPr>
          <w:rFonts w:asciiTheme="minorHAnsi" w:hAnsiTheme="minorHAnsi"/>
          <w:lang w:val="ro-RO"/>
        </w:rPr>
        <w:t>eltuielilor este programată cu</w:t>
      </w:r>
      <w:r>
        <w:rPr>
          <w:rFonts w:asciiTheme="minorHAnsi" w:hAnsiTheme="minorHAnsi"/>
          <w:lang w:val="ro-RO"/>
        </w:rPr>
        <w:t xml:space="preserve"> dinamică nominală pozitivă</w:t>
      </w:r>
      <w:r w:rsidR="00B50222">
        <w:rPr>
          <w:rFonts w:asciiTheme="minorHAnsi" w:hAnsiTheme="minorHAnsi"/>
          <w:lang w:val="ro-RO"/>
        </w:rPr>
        <w:t xml:space="preserve"> faţă de anul 20</w:t>
      </w:r>
      <w:r w:rsidR="004A4F6C">
        <w:rPr>
          <w:rFonts w:asciiTheme="minorHAnsi" w:hAnsiTheme="minorHAnsi"/>
          <w:lang w:val="ro-RO"/>
        </w:rPr>
        <w:t xml:space="preserve">18, cele mai mari creşteri înregistrându-se în cazul cheltuielilor de personal, cheltuielilor de investiţii şi </w:t>
      </w:r>
      <w:r w:rsidR="00082B5F">
        <w:rPr>
          <w:rFonts w:asciiTheme="minorHAnsi" w:hAnsiTheme="minorHAnsi"/>
          <w:lang w:val="ro-RO"/>
        </w:rPr>
        <w:t>celor cu asistenţa socială, toate acestea având o dinamică nominală superioară celei a</w:t>
      </w:r>
      <w:r w:rsidR="002C3567">
        <w:rPr>
          <w:rFonts w:asciiTheme="minorHAnsi" w:hAnsiTheme="minorHAnsi"/>
          <w:lang w:val="ro-RO"/>
        </w:rPr>
        <w:t xml:space="preserve"> PIB-ului pe intervalul de prognoză.</w:t>
      </w:r>
    </w:p>
    <w:p w:rsidR="003C3CBB" w:rsidRDefault="003C624E" w:rsidP="00E47D5A">
      <w:pPr>
        <w:widowControl w:val="0"/>
        <w:spacing w:after="120" w:line="320" w:lineRule="exact"/>
        <w:jc w:val="both"/>
        <w:rPr>
          <w:rFonts w:asciiTheme="minorHAnsi" w:hAnsiTheme="minorHAnsi"/>
          <w:lang w:val="ro-RO"/>
        </w:rPr>
      </w:pPr>
      <w:r w:rsidRPr="003C624E">
        <w:rPr>
          <w:noProof/>
          <w:lang w:val="ro-RO" w:eastAsia="ro-RO"/>
        </w:rPr>
        <w:drawing>
          <wp:anchor distT="0" distB="0" distL="114300" distR="114300" simplePos="0" relativeHeight="251653632" behindDoc="0" locked="0" layoutInCell="1" allowOverlap="1" wp14:anchorId="4AAE791D" wp14:editId="22693CA8">
            <wp:simplePos x="0" y="0"/>
            <wp:positionH relativeFrom="page">
              <wp:align>center</wp:align>
            </wp:positionH>
            <wp:positionV relativeFrom="paragraph">
              <wp:posOffset>78105</wp:posOffset>
            </wp:positionV>
            <wp:extent cx="4899600" cy="244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96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CBB" w:rsidRDefault="003C3CBB" w:rsidP="00E47D5A">
      <w:pPr>
        <w:widowControl w:val="0"/>
        <w:spacing w:after="120" w:line="320" w:lineRule="exact"/>
        <w:jc w:val="both"/>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D31E85" w:rsidRDefault="00D31E85" w:rsidP="003C3CBB">
      <w:pPr>
        <w:rPr>
          <w:rFonts w:asciiTheme="minorHAnsi" w:hAnsiTheme="minorHAnsi"/>
          <w:lang w:val="ro-RO"/>
        </w:rPr>
      </w:pPr>
    </w:p>
    <w:p w:rsid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D43F4D" w:rsidRDefault="003C624E" w:rsidP="006E365C">
      <w:pPr>
        <w:pStyle w:val="Style35001908"/>
        <w:jc w:val="center"/>
        <w:rPr>
          <w:rFonts w:ascii="Calibri" w:hAnsi="Calibri"/>
          <w:lang w:val="ro-RO" w:eastAsia="ro-RO"/>
        </w:rPr>
      </w:pPr>
      <w:r w:rsidRPr="003C624E">
        <w:rPr>
          <w:noProof/>
          <w:lang w:val="ro-RO" w:eastAsia="ro-RO"/>
        </w:rPr>
        <w:drawing>
          <wp:inline distT="0" distB="0" distL="0" distR="0">
            <wp:extent cx="4926579" cy="2522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9940" cy="2523941"/>
                    </a:xfrm>
                    <a:prstGeom prst="rect">
                      <a:avLst/>
                    </a:prstGeom>
                    <a:noFill/>
                    <a:ln>
                      <a:noFill/>
                    </a:ln>
                  </pic:spPr>
                </pic:pic>
              </a:graphicData>
            </a:graphic>
          </wp:inline>
        </w:drawing>
      </w:r>
    </w:p>
    <w:p w:rsidR="00AC2FB0" w:rsidRDefault="00AC2FB0" w:rsidP="006E365C">
      <w:pPr>
        <w:pStyle w:val="Style35001908"/>
        <w:jc w:val="center"/>
        <w:rPr>
          <w:rFonts w:ascii="Calibri" w:hAnsi="Calibri"/>
          <w:lang w:val="ro-RO" w:eastAsia="ro-RO"/>
        </w:rPr>
      </w:pPr>
    </w:p>
    <w:p w:rsidR="00AC2FB0" w:rsidRDefault="00AC2FB0" w:rsidP="00723F54">
      <w:pPr>
        <w:pStyle w:val="Style35001908"/>
        <w:jc w:val="both"/>
        <w:rPr>
          <w:rFonts w:ascii="Calibri" w:hAnsi="Calibri"/>
          <w:lang w:val="ro-RO" w:eastAsia="ro-RO"/>
        </w:rPr>
      </w:pPr>
    </w:p>
    <w:p w:rsidR="00A51352" w:rsidRDefault="0040622C" w:rsidP="00BC79C0">
      <w:pPr>
        <w:pStyle w:val="Style35001908"/>
        <w:spacing w:after="120"/>
        <w:jc w:val="both"/>
        <w:rPr>
          <w:rFonts w:ascii="Calibri" w:hAnsi="Calibri"/>
          <w:lang w:val="ro-RO"/>
        </w:rPr>
      </w:pPr>
      <w:r w:rsidRPr="0040622C">
        <w:rPr>
          <w:noProof/>
          <w:lang w:val="ro-RO" w:eastAsia="ro-RO"/>
        </w:rPr>
        <w:drawing>
          <wp:inline distT="0" distB="0" distL="0" distR="0">
            <wp:extent cx="6264275" cy="23434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4275" cy="2343437"/>
                    </a:xfrm>
                    <a:prstGeom prst="rect">
                      <a:avLst/>
                    </a:prstGeom>
                    <a:noFill/>
                    <a:ln>
                      <a:noFill/>
                    </a:ln>
                  </pic:spPr>
                </pic:pic>
              </a:graphicData>
            </a:graphic>
          </wp:inline>
        </w:drawing>
      </w:r>
    </w:p>
    <w:p w:rsidR="00A51352" w:rsidRDefault="00A51352" w:rsidP="00BC79C0">
      <w:pPr>
        <w:pStyle w:val="Style35001908"/>
        <w:spacing w:after="120"/>
        <w:jc w:val="both"/>
        <w:rPr>
          <w:rFonts w:ascii="Calibri" w:hAnsi="Calibri"/>
          <w:lang w:val="ro-RO"/>
        </w:rPr>
      </w:pPr>
    </w:p>
    <w:p w:rsidR="00723F54" w:rsidRPr="00C86702" w:rsidRDefault="00723F54" w:rsidP="00BC79C0">
      <w:pPr>
        <w:pStyle w:val="Style35001908"/>
        <w:spacing w:after="120"/>
        <w:jc w:val="both"/>
        <w:rPr>
          <w:rFonts w:ascii="Calibri" w:hAnsi="Calibri"/>
          <w:lang w:val="ro-RO"/>
        </w:rPr>
      </w:pPr>
      <w:r w:rsidRPr="00C86702">
        <w:rPr>
          <w:rFonts w:ascii="Calibri" w:hAnsi="Calibri"/>
          <w:lang w:val="ro-RO"/>
        </w:rPr>
        <w:t>Cea mai importantă componentă a bugetului general consolidat o reprezintă bugetul de stat care deţine ponderea cea mai mare din totalul cheltuielilor bugetare. Următoarea componentă, ca pondere, este bugetul centralizat al unităţilor administrativ-teritoriale, urmat îndeaproape</w:t>
      </w:r>
      <w:r w:rsidR="003E722B">
        <w:rPr>
          <w:rFonts w:ascii="Calibri" w:hAnsi="Calibri"/>
          <w:lang w:val="ro-RO"/>
        </w:rPr>
        <w:t>, până inclusiv în anul 2019,</w:t>
      </w:r>
      <w:r w:rsidRPr="00C86702">
        <w:rPr>
          <w:rFonts w:ascii="Calibri" w:hAnsi="Calibri"/>
          <w:lang w:val="ro-RO"/>
        </w:rPr>
        <w:t xml:space="preserve"> de bugetul asigurărilor sociale de stat.</w:t>
      </w:r>
      <w:r w:rsidR="003C5513">
        <w:rPr>
          <w:rFonts w:ascii="Calibri" w:hAnsi="Calibri"/>
          <w:lang w:val="ro-RO"/>
        </w:rPr>
        <w:t xml:space="preserve"> </w:t>
      </w:r>
      <w:r w:rsidR="00AF099F">
        <w:rPr>
          <w:rFonts w:ascii="Calibri" w:hAnsi="Calibri"/>
          <w:lang w:val="ro-RO"/>
        </w:rPr>
        <w:t>Însă, î</w:t>
      </w:r>
      <w:r w:rsidR="003E722B">
        <w:rPr>
          <w:rFonts w:ascii="Calibri" w:hAnsi="Calibri"/>
          <w:lang w:val="ro-RO"/>
        </w:rPr>
        <w:t>ncepând cu anul 2020</w:t>
      </w:r>
      <w:r w:rsidR="003B21B1">
        <w:rPr>
          <w:rFonts w:ascii="Calibri" w:hAnsi="Calibri"/>
          <w:lang w:val="ro-RO"/>
        </w:rPr>
        <w:t xml:space="preserve"> </w:t>
      </w:r>
      <w:r w:rsidR="00AF099F" w:rsidRPr="00C86702">
        <w:rPr>
          <w:rFonts w:ascii="Calibri" w:hAnsi="Calibri"/>
          <w:lang w:val="ro-RO"/>
        </w:rPr>
        <w:t>bugetul asigurărilor sociale de stat</w:t>
      </w:r>
      <w:r w:rsidR="003B21B1">
        <w:rPr>
          <w:rFonts w:ascii="Calibri" w:hAnsi="Calibri"/>
          <w:lang w:val="ro-RO"/>
        </w:rPr>
        <w:t xml:space="preserve"> </w:t>
      </w:r>
      <w:r w:rsidR="0026614D">
        <w:rPr>
          <w:rFonts w:ascii="Calibri" w:hAnsi="Calibri"/>
          <w:lang w:val="ro-RO"/>
        </w:rPr>
        <w:t>urcă pe locul doi în clasamentul bugetelor componente a</w:t>
      </w:r>
      <w:r w:rsidR="00D74BCF">
        <w:rPr>
          <w:rFonts w:ascii="Calibri" w:hAnsi="Calibri"/>
          <w:lang w:val="ro-RO"/>
        </w:rPr>
        <w:t xml:space="preserve">le bugetului general consolidat, având loc o rocadă între acesta şi </w:t>
      </w:r>
      <w:r w:rsidR="00D74BCF" w:rsidRPr="00C86702">
        <w:rPr>
          <w:rFonts w:ascii="Calibri" w:hAnsi="Calibri"/>
          <w:lang w:val="ro-RO"/>
        </w:rPr>
        <w:t>bugetul centralizat al unităţilor administrativ-teritoriale</w:t>
      </w:r>
      <w:r w:rsidR="00D74BCF">
        <w:rPr>
          <w:rFonts w:ascii="Calibri" w:hAnsi="Calibri"/>
          <w:lang w:val="ro-RO"/>
        </w:rPr>
        <w:t>.</w:t>
      </w:r>
    </w:p>
    <w:p w:rsidR="00723F54" w:rsidRPr="00C86702" w:rsidRDefault="00723F54" w:rsidP="00723F54">
      <w:pPr>
        <w:jc w:val="both"/>
        <w:rPr>
          <w:rFonts w:ascii="Calibri" w:hAnsi="Calibri"/>
          <w:lang w:val="ro-RO"/>
        </w:rPr>
      </w:pPr>
      <w:r w:rsidRPr="00C86702">
        <w:rPr>
          <w:rFonts w:ascii="Calibri" w:hAnsi="Calibri"/>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rsidR="00723F54" w:rsidRDefault="00723F54" w:rsidP="003C4D8A">
      <w:pPr>
        <w:pStyle w:val="Style35001908"/>
        <w:spacing w:after="120"/>
        <w:rPr>
          <w:rFonts w:ascii="Calibri" w:hAnsi="Calibri"/>
          <w:lang w:val="ro-RO"/>
        </w:rPr>
      </w:pPr>
      <w:r w:rsidRPr="00C86702">
        <w:rPr>
          <w:rFonts w:ascii="Calibri" w:hAnsi="Calibri"/>
          <w:lang w:val="ro-RO"/>
        </w:rPr>
        <w:t>Toate transferurile care se acordă din bugetul de stat către alte bugete sunt eliminate la agregarea bugetului general consolidat pentru a evit</w:t>
      </w:r>
      <w:r w:rsidR="000A160D">
        <w:rPr>
          <w:rFonts w:ascii="Calibri" w:hAnsi="Calibri"/>
          <w:lang w:val="ro-RO"/>
        </w:rPr>
        <w:t>a dubla înregistrare a acestora.</w:t>
      </w:r>
    </w:p>
    <w:p w:rsidR="00BC79C0" w:rsidRDefault="00BC79C0" w:rsidP="006E365C">
      <w:pPr>
        <w:pStyle w:val="Style35001908"/>
        <w:jc w:val="center"/>
        <w:rPr>
          <w:rFonts w:ascii="Calibri" w:hAnsi="Calibri"/>
          <w:lang w:val="ro-RO"/>
        </w:rPr>
      </w:pPr>
    </w:p>
    <w:p w:rsidR="003C4D8A" w:rsidRDefault="0040622C" w:rsidP="003B21B1">
      <w:pPr>
        <w:pStyle w:val="Style35001908"/>
        <w:jc w:val="center"/>
        <w:rPr>
          <w:rFonts w:ascii="Calibri" w:hAnsi="Calibri"/>
          <w:lang w:val="ro-RO"/>
        </w:rPr>
      </w:pPr>
      <w:r w:rsidRPr="0040622C">
        <w:rPr>
          <w:noProof/>
          <w:lang w:val="ro-RO" w:eastAsia="ro-RO"/>
        </w:rPr>
        <w:drawing>
          <wp:inline distT="0" distB="0" distL="0" distR="0">
            <wp:extent cx="4361815" cy="3680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4443" cy="3699418"/>
                    </a:xfrm>
                    <a:prstGeom prst="rect">
                      <a:avLst/>
                    </a:prstGeom>
                    <a:noFill/>
                    <a:ln>
                      <a:noFill/>
                    </a:ln>
                  </pic:spPr>
                </pic:pic>
              </a:graphicData>
            </a:graphic>
          </wp:inline>
        </w:drawing>
      </w:r>
    </w:p>
    <w:p w:rsidR="002A124A" w:rsidRPr="00C86702" w:rsidRDefault="00CB19C5" w:rsidP="001C7118">
      <w:pPr>
        <w:widowControl w:val="0"/>
        <w:shd w:val="clear" w:color="auto" w:fill="9CC2E5" w:themeFill="accent1" w:themeFillTint="99"/>
        <w:spacing w:line="320" w:lineRule="exact"/>
        <w:rPr>
          <w:rFonts w:ascii="Calibri" w:hAnsi="Calibri"/>
          <w:b/>
          <w:color w:val="000080"/>
          <w:lang w:val="ro-RO"/>
        </w:rPr>
      </w:pPr>
      <w:r>
        <w:rPr>
          <w:rFonts w:ascii="Calibri" w:hAnsi="Calibri"/>
          <w:b/>
          <w:color w:val="000080"/>
          <w:lang w:val="ro-RO"/>
        </w:rPr>
        <w:t>4.5</w:t>
      </w:r>
      <w:r w:rsidR="00F34399" w:rsidRPr="00C86702">
        <w:rPr>
          <w:rFonts w:ascii="Calibri" w:hAnsi="Calibri"/>
          <w:b/>
          <w:color w:val="000080"/>
          <w:lang w:val="ro-RO"/>
        </w:rPr>
        <w:t>.3 Difer</w:t>
      </w:r>
      <w:r w:rsidR="00FD6F08" w:rsidRPr="00C86702">
        <w:rPr>
          <w:rFonts w:ascii="Calibri" w:hAnsi="Calibri"/>
          <w:b/>
          <w:color w:val="000080"/>
          <w:lang w:val="ro-RO"/>
        </w:rPr>
        <w:t>enţe faţă de strategia anterioară</w:t>
      </w:r>
    </w:p>
    <w:p w:rsidR="00871CCF" w:rsidRPr="003964D3" w:rsidRDefault="00871CCF" w:rsidP="00552882">
      <w:pPr>
        <w:tabs>
          <w:tab w:val="left" w:pos="2977"/>
        </w:tabs>
        <w:jc w:val="both"/>
        <w:rPr>
          <w:rFonts w:ascii="Calibri" w:hAnsi="Calibri"/>
          <w:sz w:val="22"/>
          <w:lang w:val="ro-RO"/>
        </w:rPr>
      </w:pPr>
      <w:r w:rsidRPr="003964D3">
        <w:rPr>
          <w:rFonts w:ascii="Calibri" w:hAnsi="Calibri"/>
          <w:sz w:val="22"/>
          <w:lang w:val="ro-RO"/>
        </w:rPr>
        <w:t>Scenariul de prognoză din Strategia fiscal-bugetară 2019-2021 diferă de cel din varianta anterioară, în general, pe termen scurt (anul 2017</w:t>
      </w:r>
      <w:r w:rsidR="00552882">
        <w:rPr>
          <w:rFonts w:ascii="Calibri" w:hAnsi="Calibri"/>
          <w:color w:val="FF0000"/>
          <w:sz w:val="22"/>
          <w:lang w:val="ro-RO"/>
        </w:rPr>
        <w:t xml:space="preserve"> </w:t>
      </w:r>
      <w:r w:rsidR="00552882" w:rsidRPr="00201684">
        <w:rPr>
          <w:rFonts w:ascii="Calibri" w:hAnsi="Calibri"/>
          <w:sz w:val="22"/>
          <w:lang w:val="ro-RO"/>
        </w:rPr>
        <w:t>şi 2018</w:t>
      </w:r>
      <w:r w:rsidRPr="003964D3">
        <w:rPr>
          <w:rFonts w:ascii="Calibri" w:hAnsi="Calibri"/>
          <w:sz w:val="22"/>
          <w:lang w:val="ro-RO"/>
        </w:rPr>
        <w:t>) având în vedere datele statistice disponibile.</w:t>
      </w:r>
    </w:p>
    <w:p w:rsidR="00871CCF" w:rsidRPr="003964D3" w:rsidRDefault="00871CCF" w:rsidP="00871CCF">
      <w:pPr>
        <w:jc w:val="both"/>
        <w:rPr>
          <w:rFonts w:ascii="Calibri" w:hAnsi="Calibri"/>
          <w:sz w:val="4"/>
          <w:szCs w:val="4"/>
          <w:lang w:val="ro-RO"/>
        </w:rPr>
      </w:pPr>
    </w:p>
    <w:p w:rsidR="00871CCF" w:rsidRPr="003964D3" w:rsidRDefault="00871CCF" w:rsidP="00871CCF">
      <w:pPr>
        <w:jc w:val="both"/>
        <w:rPr>
          <w:rFonts w:ascii="Calibri" w:hAnsi="Calibri"/>
          <w:sz w:val="22"/>
          <w:lang w:val="ro-RO"/>
        </w:rPr>
      </w:pPr>
      <w:r w:rsidRPr="003964D3">
        <w:rPr>
          <w:rFonts w:ascii="Calibri" w:hAnsi="Calibri"/>
          <w:b/>
          <w:i/>
          <w:color w:val="365F91"/>
          <w:sz w:val="22"/>
          <w:lang w:val="ro-RO"/>
        </w:rPr>
        <w:t xml:space="preserve">În ceea </w:t>
      </w:r>
      <w:r w:rsidR="00681D40">
        <w:rPr>
          <w:rFonts w:ascii="Calibri" w:hAnsi="Calibri"/>
          <w:b/>
          <w:i/>
          <w:color w:val="365F91"/>
          <w:sz w:val="22"/>
          <w:lang w:val="ro-RO"/>
        </w:rPr>
        <w:t>ce privește creșterea economică</w:t>
      </w:r>
      <w:r w:rsidRPr="003964D3">
        <w:rPr>
          <w:rFonts w:ascii="Calibri" w:hAnsi="Calibri"/>
          <w:b/>
          <w:i/>
          <w:color w:val="365F91"/>
          <w:sz w:val="22"/>
          <w:lang w:val="ro-RO"/>
        </w:rPr>
        <w:t xml:space="preserve"> </w:t>
      </w:r>
      <w:r w:rsidR="00552882" w:rsidRPr="00201684">
        <w:rPr>
          <w:rFonts w:ascii="Calibri" w:hAnsi="Calibri"/>
          <w:b/>
          <w:i/>
          <w:color w:val="365F91"/>
          <w:sz w:val="22"/>
          <w:lang w:val="ro-RO"/>
        </w:rPr>
        <w:t>din</w:t>
      </w:r>
      <w:r w:rsidRPr="00201684">
        <w:rPr>
          <w:rFonts w:ascii="Calibri" w:hAnsi="Calibri"/>
          <w:b/>
          <w:i/>
          <w:color w:val="365F91"/>
          <w:sz w:val="22"/>
          <w:lang w:val="ro-RO"/>
        </w:rPr>
        <w:t xml:space="preserve"> anul 2018 </w:t>
      </w:r>
      <w:r w:rsidR="00552882" w:rsidRPr="00201684">
        <w:rPr>
          <w:rFonts w:ascii="Calibri" w:hAnsi="Calibri"/>
          <w:b/>
          <w:i/>
          <w:color w:val="365F91"/>
          <w:sz w:val="22"/>
          <w:lang w:val="ro-RO"/>
        </w:rPr>
        <w:t>publicată de INS</w:t>
      </w:r>
      <w:r w:rsidR="00681D40" w:rsidRPr="00201684">
        <w:rPr>
          <w:rFonts w:ascii="Calibri" w:hAnsi="Calibri"/>
          <w:b/>
          <w:i/>
          <w:color w:val="365F91"/>
          <w:sz w:val="22"/>
          <w:lang w:val="ro-RO"/>
        </w:rPr>
        <w:t>, aceasta</w:t>
      </w:r>
      <w:r w:rsidR="00552882" w:rsidRPr="00201684">
        <w:rPr>
          <w:rFonts w:ascii="Calibri" w:hAnsi="Calibri"/>
          <w:b/>
          <w:i/>
          <w:color w:val="365F91"/>
          <w:sz w:val="22"/>
          <w:lang w:val="ro-RO"/>
        </w:rPr>
        <w:t xml:space="preserve"> </w:t>
      </w:r>
      <w:r w:rsidRPr="00201684">
        <w:rPr>
          <w:rFonts w:ascii="Calibri" w:hAnsi="Calibri"/>
          <w:b/>
          <w:i/>
          <w:color w:val="365F91"/>
          <w:sz w:val="22"/>
          <w:lang w:val="ro-RO"/>
        </w:rPr>
        <w:t>diferă față de scenariul din varianta anterioară a strategiei</w:t>
      </w:r>
      <w:r w:rsidRPr="00201684">
        <w:rPr>
          <w:rFonts w:ascii="Calibri" w:hAnsi="Calibri"/>
          <w:sz w:val="22"/>
          <w:lang w:val="ro-RO"/>
        </w:rPr>
        <w:t>, în sensul unei încetiniri cu 1</w:t>
      </w:r>
      <w:r w:rsidR="00552882" w:rsidRPr="00201684">
        <w:rPr>
          <w:rFonts w:ascii="Calibri" w:hAnsi="Calibri"/>
          <w:sz w:val="22"/>
          <w:lang w:val="ro-RO"/>
        </w:rPr>
        <w:t>,4</w:t>
      </w:r>
      <w:r w:rsidRPr="00201684">
        <w:rPr>
          <w:rFonts w:ascii="Calibri" w:hAnsi="Calibri"/>
          <w:sz w:val="22"/>
          <w:lang w:val="ro-RO"/>
        </w:rPr>
        <w:t xml:space="preserve"> punct</w:t>
      </w:r>
      <w:r w:rsidR="00552882" w:rsidRPr="00201684">
        <w:rPr>
          <w:rFonts w:ascii="Calibri" w:hAnsi="Calibri"/>
          <w:sz w:val="22"/>
          <w:lang w:val="ro-RO"/>
        </w:rPr>
        <w:t>e</w:t>
      </w:r>
      <w:r w:rsidRPr="00201684">
        <w:rPr>
          <w:rFonts w:ascii="Calibri" w:hAnsi="Calibri"/>
          <w:sz w:val="22"/>
          <w:lang w:val="ro-RO"/>
        </w:rPr>
        <w:t xml:space="preserve"> procentual</w:t>
      </w:r>
      <w:r w:rsidR="00552882" w:rsidRPr="00201684">
        <w:rPr>
          <w:rFonts w:ascii="Calibri" w:hAnsi="Calibri"/>
          <w:sz w:val="22"/>
          <w:lang w:val="ro-RO"/>
        </w:rPr>
        <w:t>e</w:t>
      </w:r>
      <w:r w:rsidRPr="00201684">
        <w:rPr>
          <w:rFonts w:ascii="Calibri" w:hAnsi="Calibri"/>
          <w:sz w:val="22"/>
          <w:lang w:val="ro-RO"/>
        </w:rPr>
        <w:t>, ca urmare</w:t>
      </w:r>
      <w:r w:rsidRPr="003964D3">
        <w:rPr>
          <w:rFonts w:ascii="Calibri" w:hAnsi="Calibri"/>
          <w:sz w:val="22"/>
          <w:lang w:val="ro-RO"/>
        </w:rPr>
        <w:t xml:space="preserve"> a acțiunii unor factori conjuncturali (creșterea prețului petrolului, a prețurilor energiei, o politică monetară mai restrictivă), pentru anii 2019 și 2020 diferențele de creștere economică fiind nesemnificative sau chiar zero.</w:t>
      </w:r>
    </w:p>
    <w:p w:rsidR="00871CCF" w:rsidRPr="003964D3" w:rsidRDefault="00871CCF" w:rsidP="00871CCF">
      <w:pPr>
        <w:jc w:val="both"/>
        <w:rPr>
          <w:rFonts w:ascii="Calibri" w:hAnsi="Calibri"/>
          <w:sz w:val="4"/>
          <w:szCs w:val="4"/>
          <w:lang w:val="ro-RO"/>
        </w:rPr>
      </w:pPr>
    </w:p>
    <w:p w:rsidR="00871CCF" w:rsidRPr="00201684" w:rsidRDefault="00681D40" w:rsidP="00871CCF">
      <w:pPr>
        <w:jc w:val="both"/>
        <w:rPr>
          <w:rFonts w:ascii="Calibri" w:hAnsi="Calibri"/>
          <w:sz w:val="22"/>
          <w:lang w:val="ro-RO"/>
        </w:rPr>
      </w:pPr>
      <w:r w:rsidRPr="00201684">
        <w:rPr>
          <w:rFonts w:ascii="Calibri" w:hAnsi="Calibri"/>
          <w:b/>
          <w:i/>
          <w:color w:val="365F91"/>
          <w:sz w:val="22"/>
          <w:lang w:val="ro-RO"/>
        </w:rPr>
        <w:t>Dinamica exportului de bunuri</w:t>
      </w:r>
      <w:r w:rsidRPr="00715536">
        <w:rPr>
          <w:rFonts w:ascii="Calibri" w:hAnsi="Calibri"/>
          <w:color w:val="FF0000"/>
          <w:sz w:val="22"/>
          <w:lang w:val="ro-RO"/>
        </w:rPr>
        <w:t xml:space="preserve"> </w:t>
      </w:r>
      <w:r w:rsidR="00871CCF" w:rsidRPr="00201684">
        <w:rPr>
          <w:rFonts w:ascii="Calibri" w:hAnsi="Calibri"/>
          <w:sz w:val="22"/>
          <w:lang w:val="ro-RO"/>
        </w:rPr>
        <w:t xml:space="preserve">din anul 2018 </w:t>
      </w:r>
      <w:r w:rsidRPr="00201684">
        <w:rPr>
          <w:rFonts w:ascii="Calibri" w:hAnsi="Calibri"/>
          <w:sz w:val="22"/>
          <w:lang w:val="ro-RO"/>
        </w:rPr>
        <w:t>a fost superioară celei din varianta precedentă a strategiei, ceea ce a</w:t>
      </w:r>
      <w:r w:rsidR="00871CCF" w:rsidRPr="00201684">
        <w:rPr>
          <w:rFonts w:ascii="Calibri" w:hAnsi="Calibri"/>
          <w:sz w:val="22"/>
          <w:lang w:val="ro-RO"/>
        </w:rPr>
        <w:t xml:space="preserve"> determinat</w:t>
      </w:r>
      <w:r w:rsidR="00871CCF" w:rsidRPr="00715536">
        <w:rPr>
          <w:rFonts w:ascii="Calibri" w:hAnsi="Calibri"/>
          <w:b/>
          <w:i/>
          <w:color w:val="FF0000"/>
          <w:sz w:val="22"/>
          <w:lang w:val="ro-RO"/>
        </w:rPr>
        <w:t xml:space="preserve"> </w:t>
      </w:r>
      <w:r w:rsidR="00871CCF" w:rsidRPr="00201684">
        <w:rPr>
          <w:rFonts w:ascii="Calibri" w:hAnsi="Calibri"/>
          <w:b/>
          <w:i/>
          <w:color w:val="365F91"/>
          <w:sz w:val="22"/>
          <w:lang w:val="ro-RO"/>
        </w:rPr>
        <w:t xml:space="preserve">o revizuire </w:t>
      </w:r>
      <w:r w:rsidRPr="00201684">
        <w:rPr>
          <w:rFonts w:ascii="Calibri" w:hAnsi="Calibri"/>
          <w:b/>
          <w:i/>
          <w:color w:val="365F91"/>
          <w:sz w:val="22"/>
          <w:lang w:val="ro-RO"/>
        </w:rPr>
        <w:t>a dinamicii exporturilor</w:t>
      </w:r>
      <w:r w:rsidR="00871CCF" w:rsidRPr="00201684">
        <w:rPr>
          <w:rFonts w:ascii="Calibri" w:hAnsi="Calibri"/>
          <w:b/>
          <w:i/>
          <w:color w:val="365F91"/>
          <w:sz w:val="22"/>
          <w:lang w:val="ro-RO"/>
        </w:rPr>
        <w:t xml:space="preserve"> pentru anii următori</w:t>
      </w:r>
      <w:r w:rsidR="00871CCF" w:rsidRPr="00201684">
        <w:rPr>
          <w:rFonts w:ascii="Calibri" w:hAnsi="Calibri"/>
          <w:color w:val="365F91"/>
          <w:sz w:val="22"/>
          <w:lang w:val="ro-RO"/>
        </w:rPr>
        <w:t>.</w:t>
      </w:r>
      <w:r w:rsidR="00871CCF" w:rsidRPr="00715536">
        <w:rPr>
          <w:rFonts w:ascii="Calibri" w:hAnsi="Calibri"/>
          <w:color w:val="FF0000"/>
          <w:sz w:val="22"/>
          <w:lang w:val="ro-RO"/>
        </w:rPr>
        <w:t xml:space="preserve"> </w:t>
      </w:r>
      <w:r w:rsidR="00871CCF" w:rsidRPr="00201684">
        <w:rPr>
          <w:rFonts w:ascii="Calibri" w:hAnsi="Calibri"/>
          <w:sz w:val="22"/>
          <w:lang w:val="ro-RO"/>
        </w:rPr>
        <w:t>Aceste evoluții confirmă sustenabilitatea creșterii economice, precum și competitivitatea produselor românești pe piețele externe.</w:t>
      </w:r>
    </w:p>
    <w:p w:rsidR="00871CCF" w:rsidRPr="00201684" w:rsidRDefault="00FA6905" w:rsidP="00871CCF">
      <w:pPr>
        <w:jc w:val="both"/>
        <w:rPr>
          <w:rFonts w:ascii="Calibri" w:hAnsi="Calibri"/>
          <w:sz w:val="22"/>
          <w:lang w:val="ro-RO"/>
        </w:rPr>
      </w:pPr>
      <w:r w:rsidRPr="00201684">
        <w:rPr>
          <w:rFonts w:ascii="Calibri" w:hAnsi="Calibri"/>
          <w:sz w:val="22"/>
          <w:lang w:val="ro-RO"/>
        </w:rPr>
        <w:t xml:space="preserve">Publicarea de căre Institutul Național de Statistică a datelor definitive pentru anul 2017, precum și evoluțiile </w:t>
      </w:r>
      <w:r w:rsidR="00681D40" w:rsidRPr="00201684">
        <w:rPr>
          <w:rFonts w:ascii="Calibri" w:hAnsi="Calibri"/>
          <w:sz w:val="22"/>
          <w:lang w:val="ro-RO"/>
        </w:rPr>
        <w:t>datelor lunare în anul</w:t>
      </w:r>
      <w:r w:rsidRPr="00201684">
        <w:rPr>
          <w:rFonts w:ascii="Calibri" w:hAnsi="Calibri"/>
          <w:sz w:val="22"/>
          <w:lang w:val="ro-RO"/>
        </w:rPr>
        <w:t xml:space="preserve"> 2018 au determinat o</w:t>
      </w:r>
      <w:r w:rsidRPr="00715536">
        <w:rPr>
          <w:rFonts w:ascii="Calibri" w:hAnsi="Calibri"/>
          <w:color w:val="FF0000"/>
          <w:sz w:val="22"/>
          <w:lang w:val="ro-RO"/>
        </w:rPr>
        <w:t xml:space="preserve"> </w:t>
      </w:r>
      <w:r w:rsidRPr="00201684">
        <w:rPr>
          <w:rFonts w:ascii="Calibri" w:hAnsi="Calibri"/>
          <w:b/>
          <w:i/>
          <w:color w:val="365F91"/>
          <w:sz w:val="22"/>
          <w:lang w:val="ro-RO"/>
        </w:rPr>
        <w:t xml:space="preserve">revizuire </w:t>
      </w:r>
      <w:r w:rsidR="00681D40" w:rsidRPr="00201684">
        <w:rPr>
          <w:rFonts w:ascii="Calibri" w:hAnsi="Calibri"/>
          <w:b/>
          <w:i/>
          <w:color w:val="365F91"/>
          <w:sz w:val="22"/>
          <w:lang w:val="ro-RO"/>
        </w:rPr>
        <w:t>în scădere</w:t>
      </w:r>
      <w:r w:rsidRPr="00201684">
        <w:rPr>
          <w:rFonts w:ascii="Calibri" w:hAnsi="Calibri"/>
          <w:b/>
          <w:i/>
          <w:color w:val="365F91"/>
          <w:sz w:val="22"/>
          <w:lang w:val="ro-RO"/>
        </w:rPr>
        <w:t xml:space="preserve"> a dinamicii numărului de salariați pentru următorii ani.</w:t>
      </w:r>
      <w:r w:rsidRPr="00201684">
        <w:rPr>
          <w:rFonts w:ascii="Calibri" w:hAnsi="Calibri"/>
          <w:color w:val="365F91"/>
          <w:sz w:val="22"/>
          <w:lang w:val="ro-RO"/>
        </w:rPr>
        <w:t xml:space="preserve"> </w:t>
      </w:r>
      <w:r w:rsidRPr="00201684">
        <w:rPr>
          <w:rFonts w:ascii="Calibri" w:hAnsi="Calibri"/>
          <w:sz w:val="22"/>
          <w:lang w:val="ro-RO"/>
        </w:rPr>
        <w:t>Realizările din anul 2018 au determinat revizuirea în jos a ratei șomajului înregistrat pentru următorii ani.</w:t>
      </w:r>
    </w:p>
    <w:p w:rsidR="00871CCF" w:rsidRPr="00201684" w:rsidRDefault="00871CCF" w:rsidP="00871CCF">
      <w:pPr>
        <w:jc w:val="both"/>
        <w:rPr>
          <w:rFonts w:ascii="Calibri" w:hAnsi="Calibri"/>
          <w:color w:val="365F91"/>
          <w:sz w:val="22"/>
          <w:lang w:val="ro-RO"/>
        </w:rPr>
      </w:pPr>
      <w:r w:rsidRPr="00201684">
        <w:rPr>
          <w:rFonts w:ascii="Calibri" w:hAnsi="Calibri"/>
          <w:sz w:val="22"/>
          <w:lang w:val="ro-RO"/>
        </w:rPr>
        <w:t>Pe seama datelor publicate de INS pentru anul 2018 referitoare la</w:t>
      </w:r>
      <w:r w:rsidRPr="00715536">
        <w:rPr>
          <w:rFonts w:ascii="Calibri" w:hAnsi="Calibri"/>
          <w:color w:val="FF0000"/>
          <w:sz w:val="22"/>
          <w:lang w:val="ro-RO"/>
        </w:rPr>
        <w:t xml:space="preserve"> </w:t>
      </w:r>
      <w:r w:rsidR="00681D40" w:rsidRPr="00201684">
        <w:rPr>
          <w:rFonts w:ascii="Calibri" w:hAnsi="Calibri"/>
          <w:b/>
          <w:i/>
          <w:color w:val="365F91"/>
          <w:sz w:val="22"/>
          <w:lang w:val="ro-RO"/>
        </w:rPr>
        <w:t>deficitul comercial</w:t>
      </w:r>
      <w:r w:rsidRPr="00715536">
        <w:rPr>
          <w:rFonts w:ascii="Calibri" w:hAnsi="Calibri"/>
          <w:b/>
          <w:i/>
          <w:color w:val="FF0000"/>
          <w:sz w:val="22"/>
          <w:lang w:val="ro-RO"/>
        </w:rPr>
        <w:t xml:space="preserve"> </w:t>
      </w:r>
      <w:r w:rsidR="00681D40" w:rsidRPr="00201684">
        <w:rPr>
          <w:rFonts w:ascii="Calibri" w:hAnsi="Calibri"/>
          <w:b/>
          <w:i/>
          <w:color w:val="365F91"/>
          <w:sz w:val="22"/>
          <w:lang w:val="ro-RO"/>
        </w:rPr>
        <w:t>şi la</w:t>
      </w:r>
      <w:r w:rsidRPr="00201684">
        <w:rPr>
          <w:rFonts w:ascii="Calibri" w:hAnsi="Calibri"/>
          <w:b/>
          <w:i/>
          <w:color w:val="365F91"/>
          <w:sz w:val="22"/>
          <w:lang w:val="ro-RO"/>
        </w:rPr>
        <w:t xml:space="preserve"> </w:t>
      </w:r>
      <w:r w:rsidR="00681D40" w:rsidRPr="00201684">
        <w:rPr>
          <w:rFonts w:ascii="Calibri" w:hAnsi="Calibri"/>
          <w:b/>
          <w:i/>
          <w:color w:val="365F91"/>
          <w:sz w:val="22"/>
          <w:lang w:val="ro-RO"/>
        </w:rPr>
        <w:t>deficitul</w:t>
      </w:r>
      <w:r w:rsidRPr="00201684">
        <w:rPr>
          <w:rFonts w:ascii="Calibri" w:hAnsi="Calibri"/>
          <w:b/>
          <w:i/>
          <w:color w:val="365F91"/>
          <w:sz w:val="22"/>
          <w:lang w:val="ro-RO"/>
        </w:rPr>
        <w:t xml:space="preserve"> contului curent</w:t>
      </w:r>
      <w:r w:rsidR="00681D40" w:rsidRPr="00201684">
        <w:rPr>
          <w:rFonts w:ascii="Calibri" w:hAnsi="Calibri"/>
          <w:b/>
          <w:i/>
          <w:color w:val="365F91"/>
          <w:sz w:val="22"/>
          <w:lang w:val="ro-RO"/>
        </w:rPr>
        <w:t xml:space="preserve"> care au arătat o înrăutăţire a acestora</w:t>
      </w:r>
      <w:r w:rsidRPr="00201684">
        <w:rPr>
          <w:rFonts w:ascii="Calibri" w:hAnsi="Calibri"/>
          <w:b/>
          <w:i/>
          <w:color w:val="365F91"/>
          <w:sz w:val="22"/>
          <w:lang w:val="ro-RO"/>
        </w:rPr>
        <w:t>, pentru perioada 201</w:t>
      </w:r>
      <w:r w:rsidR="00681D40" w:rsidRPr="00201684">
        <w:rPr>
          <w:rFonts w:ascii="Calibri" w:hAnsi="Calibri"/>
          <w:b/>
          <w:i/>
          <w:color w:val="365F91"/>
          <w:sz w:val="22"/>
          <w:lang w:val="ro-RO"/>
        </w:rPr>
        <w:t>9</w:t>
      </w:r>
      <w:r w:rsidRPr="00201684">
        <w:rPr>
          <w:rFonts w:ascii="Calibri" w:hAnsi="Calibri"/>
          <w:b/>
          <w:i/>
          <w:color w:val="365F91"/>
          <w:sz w:val="22"/>
          <w:lang w:val="ro-RO"/>
        </w:rPr>
        <w:t>-2020</w:t>
      </w:r>
      <w:r w:rsidR="00681D40" w:rsidRPr="00201684">
        <w:rPr>
          <w:rFonts w:ascii="Calibri" w:hAnsi="Calibri"/>
          <w:b/>
          <w:i/>
          <w:color w:val="365F91"/>
          <w:sz w:val="22"/>
          <w:lang w:val="ro-RO"/>
        </w:rPr>
        <w:t xml:space="preserve"> s-a revizuit deficitul contului curent în sens de creştere a ponderii în PIB </w:t>
      </w:r>
      <w:r w:rsidR="005077C3" w:rsidRPr="00201684">
        <w:rPr>
          <w:rFonts w:ascii="Calibri" w:hAnsi="Calibri"/>
          <w:b/>
          <w:i/>
          <w:color w:val="365F91"/>
          <w:sz w:val="22"/>
          <w:lang w:val="ro-RO"/>
        </w:rPr>
        <w:t>a acestuia</w:t>
      </w:r>
      <w:r w:rsidRPr="00201684">
        <w:rPr>
          <w:rFonts w:ascii="Calibri" w:hAnsi="Calibri"/>
          <w:color w:val="365F91"/>
          <w:sz w:val="22"/>
          <w:lang w:val="ro-RO"/>
        </w:rPr>
        <w:t>.</w:t>
      </w:r>
    </w:p>
    <w:p w:rsidR="00871CCF" w:rsidRPr="003964D3" w:rsidRDefault="006412FA" w:rsidP="00871CCF">
      <w:pPr>
        <w:jc w:val="both"/>
        <w:rPr>
          <w:rFonts w:ascii="Calibri" w:hAnsi="Calibri"/>
          <w:sz w:val="22"/>
          <w:lang w:val="fr-FR"/>
        </w:rPr>
      </w:pPr>
      <w:r w:rsidRPr="00715536">
        <w:rPr>
          <w:rFonts w:ascii="Calibri" w:hAnsi="Calibri"/>
          <w:b/>
          <w:i/>
          <w:color w:val="365F91"/>
          <w:sz w:val="22"/>
          <w:lang w:val="ro-RO"/>
        </w:rPr>
        <w:t>Diferenţa în cazul inflaţiei medii anuale pentru anul 2018 între cele două strategii</w:t>
      </w:r>
      <w:r w:rsidRPr="00715536">
        <w:rPr>
          <w:rFonts w:ascii="Calibri" w:hAnsi="Calibri"/>
          <w:sz w:val="22"/>
          <w:lang w:val="ro-RO"/>
        </w:rPr>
        <w:t xml:space="preserve"> s-a datorat în principal creșterilor mai accentuate de prețuri din ultima parte a anului 2017 (majorarea tarifelor la energia electrică și gaze, majorarea prețurilor la unt și ouă, deprecierea accentuată a monedei naționale și creșterea accizelor la combustibili în două etape) dar și majorărilor de preț peste estimări de la începutul anului 2018. </w:t>
      </w:r>
      <w:r w:rsidRPr="003964D3">
        <w:rPr>
          <w:rFonts w:ascii="Calibri" w:hAnsi="Calibri"/>
          <w:sz w:val="22"/>
          <w:lang w:val="fr-FR"/>
        </w:rPr>
        <w:t>Creșterile de preț de la începutul anului 2018 au influențat și modificarea inflației la sfârșitul anului cu 0,7 puncte procentuale față de varianta precedentă a strategiei. Dintre acestea amintim: majorarea tarifelor la gaze (+16,6% în decembrie față de decembrie 2017), dar și o majorare mai pronunțată la unele produse cu prețuri volatile ca de exemplu legume (21,50%).</w:t>
      </w:r>
    </w:p>
    <w:p w:rsidR="00871CCF" w:rsidRPr="003964D3" w:rsidRDefault="00871CCF" w:rsidP="00871CCF">
      <w:pPr>
        <w:jc w:val="both"/>
        <w:rPr>
          <w:rFonts w:ascii="Calibri" w:hAnsi="Calibri"/>
          <w:sz w:val="4"/>
          <w:szCs w:val="4"/>
          <w:lang w:val="fr-FR"/>
        </w:rPr>
      </w:pPr>
    </w:p>
    <w:p w:rsidR="00871CCF" w:rsidRPr="003964D3" w:rsidRDefault="00871CCF" w:rsidP="00871CCF">
      <w:pPr>
        <w:jc w:val="both"/>
        <w:rPr>
          <w:rFonts w:ascii="Calibri" w:hAnsi="Calibri"/>
          <w:sz w:val="8"/>
          <w:lang w:val="fr-FR"/>
        </w:rPr>
      </w:pPr>
    </w:p>
    <w:tbl>
      <w:tblPr>
        <w:tblW w:w="500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4320"/>
        <w:gridCol w:w="713"/>
        <w:gridCol w:w="736"/>
        <w:gridCol w:w="722"/>
        <w:gridCol w:w="724"/>
        <w:gridCol w:w="722"/>
        <w:gridCol w:w="722"/>
        <w:gridCol w:w="722"/>
        <w:gridCol w:w="700"/>
      </w:tblGrid>
      <w:tr w:rsidR="00871CCF" w:rsidRPr="00EE1C68" w:rsidTr="00871CCF">
        <w:trPr>
          <w:trHeight w:val="191"/>
          <w:jc w:val="center"/>
        </w:trPr>
        <w:tc>
          <w:tcPr>
            <w:tcW w:w="2143" w:type="pct"/>
            <w:tcBorders>
              <w:bottom w:val="single" w:sz="2" w:space="0" w:color="1F497D"/>
              <w:right w:val="single" w:sz="2" w:space="0" w:color="1F497D"/>
            </w:tcBorders>
            <w:shd w:val="clear" w:color="auto" w:fill="auto"/>
            <w:vAlign w:val="center"/>
          </w:tcPr>
          <w:p w:rsidR="00871CCF" w:rsidRPr="00EE1C68" w:rsidRDefault="00871CCF" w:rsidP="00871CCF">
            <w:pPr>
              <w:keepNext/>
              <w:tabs>
                <w:tab w:val="left" w:pos="1301"/>
              </w:tabs>
              <w:spacing w:before="120"/>
              <w:jc w:val="center"/>
              <w:rPr>
                <w:rFonts w:ascii="Calibri" w:hAnsi="Calibri"/>
                <w:b/>
                <w:sz w:val="18"/>
                <w:szCs w:val="18"/>
                <w:lang w:val="ro-RO"/>
              </w:rPr>
            </w:pPr>
          </w:p>
        </w:tc>
        <w:tc>
          <w:tcPr>
            <w:tcW w:w="719" w:type="pct"/>
            <w:gridSpan w:val="2"/>
            <w:tcBorders>
              <w:top w:val="single" w:sz="4" w:space="0" w:color="1F497D"/>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2017</w:t>
            </w:r>
          </w:p>
        </w:tc>
        <w:tc>
          <w:tcPr>
            <w:tcW w:w="716" w:type="pct"/>
            <w:gridSpan w:val="2"/>
            <w:tcBorders>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2018</w:t>
            </w:r>
          </w:p>
        </w:tc>
        <w:tc>
          <w:tcPr>
            <w:tcW w:w="715" w:type="pct"/>
            <w:gridSpan w:val="2"/>
            <w:tcBorders>
              <w:top w:val="single" w:sz="4" w:space="0" w:color="1F497D"/>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2019</w:t>
            </w:r>
          </w:p>
        </w:tc>
        <w:tc>
          <w:tcPr>
            <w:tcW w:w="707" w:type="pct"/>
            <w:gridSpan w:val="2"/>
            <w:tcBorders>
              <w:left w:val="single" w:sz="2" w:space="0" w:color="1F497D"/>
              <w:bottom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2020</w:t>
            </w:r>
          </w:p>
        </w:tc>
      </w:tr>
      <w:tr w:rsidR="00871CCF" w:rsidRPr="00EE1C68" w:rsidTr="00871CCF">
        <w:trPr>
          <w:jc w:val="center"/>
        </w:trPr>
        <w:tc>
          <w:tcPr>
            <w:tcW w:w="2143" w:type="pct"/>
            <w:tcBorders>
              <w:top w:val="single" w:sz="2" w:space="0" w:color="1F497D"/>
              <w:bottom w:val="single" w:sz="2" w:space="0" w:color="1F497D"/>
              <w:right w:val="single" w:sz="2" w:space="0" w:color="1F497D"/>
            </w:tcBorders>
            <w:shd w:val="clear" w:color="auto" w:fill="auto"/>
          </w:tcPr>
          <w:p w:rsidR="00871CCF" w:rsidRPr="00EE1C68" w:rsidRDefault="00871CCF" w:rsidP="00871CCF">
            <w:pPr>
              <w:keepNext/>
              <w:spacing w:before="120"/>
              <w:jc w:val="both"/>
              <w:rPr>
                <w:rFonts w:ascii="Calibri" w:hAnsi="Calibri"/>
                <w:b/>
                <w:sz w:val="18"/>
                <w:szCs w:val="18"/>
              </w:rPr>
            </w:pPr>
          </w:p>
        </w:tc>
        <w:tc>
          <w:tcPr>
            <w:tcW w:w="354"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2018-2020</w:t>
            </w:r>
          </w:p>
        </w:tc>
        <w:tc>
          <w:tcPr>
            <w:tcW w:w="365"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2018-2020</w:t>
            </w:r>
          </w:p>
        </w:tc>
        <w:tc>
          <w:tcPr>
            <w:tcW w:w="359"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2018-2020</w:t>
            </w:r>
          </w:p>
        </w:tc>
        <w:tc>
          <w:tcPr>
            <w:tcW w:w="358"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2018-2020</w:t>
            </w:r>
          </w:p>
        </w:tc>
        <w:tc>
          <w:tcPr>
            <w:tcW w:w="349" w:type="pct"/>
            <w:tcBorders>
              <w:top w:val="single" w:sz="2" w:space="0" w:color="1F497D"/>
              <w:bottom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SFB 2019-2021</w:t>
            </w:r>
          </w:p>
        </w:tc>
      </w:tr>
      <w:tr w:rsidR="00871CCF" w:rsidRPr="00EE1C68" w:rsidTr="00871CCF">
        <w:trPr>
          <w:trHeight w:val="294"/>
          <w:jc w:val="center"/>
        </w:trPr>
        <w:tc>
          <w:tcPr>
            <w:tcW w:w="2143" w:type="pct"/>
            <w:tcBorders>
              <w:top w:val="single" w:sz="2" w:space="0" w:color="1F497D"/>
              <w:right w:val="single" w:sz="2" w:space="0" w:color="1F497D"/>
            </w:tcBorders>
            <w:shd w:val="clear" w:color="auto" w:fill="auto"/>
            <w:vAlign w:val="bottom"/>
          </w:tcPr>
          <w:p w:rsidR="00871CCF" w:rsidRPr="00EE1C68" w:rsidRDefault="00871CCF" w:rsidP="00871CCF">
            <w:pPr>
              <w:keepNext/>
              <w:spacing w:before="120"/>
              <w:rPr>
                <w:rFonts w:ascii="Calibri" w:hAnsi="Calibri"/>
                <w:b/>
                <w:i/>
                <w:color w:val="365F91"/>
                <w:sz w:val="18"/>
                <w:szCs w:val="18"/>
                <w:lang w:val="it-IT"/>
              </w:rPr>
            </w:pPr>
            <w:r w:rsidRPr="00EE1C68">
              <w:rPr>
                <w:rFonts w:ascii="Calibri" w:hAnsi="Calibri"/>
                <w:b/>
                <w:color w:val="365F91"/>
                <w:sz w:val="18"/>
                <w:szCs w:val="18"/>
                <w:lang w:val="it-IT"/>
              </w:rPr>
              <w:t>PIB – creștere reală, %</w:t>
            </w:r>
          </w:p>
        </w:tc>
        <w:tc>
          <w:tcPr>
            <w:tcW w:w="354" w:type="pct"/>
            <w:tcBorders>
              <w:top w:val="single" w:sz="2" w:space="0" w:color="1F497D"/>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6,1</w:t>
            </w:r>
          </w:p>
        </w:tc>
        <w:tc>
          <w:tcPr>
            <w:tcW w:w="365" w:type="pct"/>
            <w:tcBorders>
              <w:top w:val="single" w:sz="2" w:space="0" w:color="1F497D"/>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7</w:t>
            </w:r>
            <w:r w:rsidRPr="00EE1C68">
              <w:rPr>
                <w:rFonts w:ascii="Calibri" w:hAnsi="Calibri"/>
                <w:b/>
                <w:color w:val="365F91"/>
                <w:sz w:val="18"/>
                <w:szCs w:val="18"/>
              </w:rPr>
              <w:t>,</w:t>
            </w:r>
            <w:r>
              <w:rPr>
                <w:rFonts w:ascii="Calibri" w:hAnsi="Calibri"/>
                <w:b/>
                <w:color w:val="365F91"/>
                <w:sz w:val="18"/>
                <w:szCs w:val="18"/>
              </w:rPr>
              <w:t>0</w:t>
            </w:r>
          </w:p>
        </w:tc>
        <w:tc>
          <w:tcPr>
            <w:tcW w:w="358" w:type="pct"/>
            <w:tcBorders>
              <w:top w:val="single" w:sz="2" w:space="0" w:color="1F497D"/>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5,5</w:t>
            </w:r>
          </w:p>
        </w:tc>
        <w:tc>
          <w:tcPr>
            <w:tcW w:w="359" w:type="pct"/>
            <w:tcBorders>
              <w:top w:val="single" w:sz="2" w:space="0" w:color="1F497D"/>
              <w:right w:val="single" w:sz="2" w:space="0" w:color="1F497D"/>
            </w:tcBorders>
            <w:shd w:val="clear" w:color="auto" w:fill="DBE5F1"/>
            <w:vAlign w:val="bottom"/>
          </w:tcPr>
          <w:p w:rsidR="00871CCF" w:rsidRPr="00201684" w:rsidRDefault="00871CCF" w:rsidP="00552882">
            <w:pPr>
              <w:keepNext/>
              <w:spacing w:before="120"/>
              <w:jc w:val="center"/>
              <w:rPr>
                <w:rFonts w:ascii="Calibri" w:hAnsi="Calibri"/>
                <w:b/>
                <w:color w:val="365F91"/>
                <w:sz w:val="18"/>
                <w:szCs w:val="18"/>
              </w:rPr>
            </w:pPr>
            <w:r w:rsidRPr="00201684">
              <w:rPr>
                <w:rFonts w:ascii="Calibri" w:hAnsi="Calibri"/>
                <w:b/>
                <w:color w:val="365F91"/>
                <w:sz w:val="18"/>
                <w:szCs w:val="18"/>
              </w:rPr>
              <w:t>4,</w:t>
            </w:r>
            <w:r w:rsidR="00552882" w:rsidRPr="00201684">
              <w:rPr>
                <w:rFonts w:ascii="Calibri" w:hAnsi="Calibri"/>
                <w:b/>
                <w:color w:val="365F91"/>
                <w:sz w:val="18"/>
                <w:szCs w:val="18"/>
              </w:rPr>
              <w:t>1*</w:t>
            </w:r>
          </w:p>
        </w:tc>
        <w:tc>
          <w:tcPr>
            <w:tcW w:w="358" w:type="pct"/>
            <w:tcBorders>
              <w:top w:val="single" w:sz="2" w:space="0" w:color="1F497D"/>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5,7</w:t>
            </w:r>
          </w:p>
        </w:tc>
        <w:tc>
          <w:tcPr>
            <w:tcW w:w="358" w:type="pct"/>
            <w:tcBorders>
              <w:top w:val="single" w:sz="2" w:space="0" w:color="1F497D"/>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5,5</w:t>
            </w:r>
          </w:p>
        </w:tc>
        <w:tc>
          <w:tcPr>
            <w:tcW w:w="358" w:type="pct"/>
            <w:tcBorders>
              <w:top w:val="single" w:sz="2" w:space="0" w:color="1F497D"/>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5,7</w:t>
            </w:r>
          </w:p>
        </w:tc>
        <w:tc>
          <w:tcPr>
            <w:tcW w:w="349" w:type="pct"/>
            <w:tcBorders>
              <w:top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5,7</w:t>
            </w:r>
          </w:p>
        </w:tc>
      </w:tr>
      <w:tr w:rsidR="00871CCF" w:rsidRPr="00EE1C68" w:rsidTr="00871CCF">
        <w:trPr>
          <w:trHeight w:val="269"/>
          <w:jc w:val="center"/>
        </w:trPr>
        <w:tc>
          <w:tcPr>
            <w:tcW w:w="2143" w:type="pct"/>
            <w:tcBorders>
              <w:right w:val="single" w:sz="2" w:space="0" w:color="1F497D"/>
            </w:tcBorders>
            <w:shd w:val="clear" w:color="auto" w:fill="auto"/>
            <w:vAlign w:val="bottom"/>
          </w:tcPr>
          <w:p w:rsidR="00871CCF" w:rsidRPr="00EE1C68" w:rsidRDefault="00CD62C4" w:rsidP="00871CCF">
            <w:pPr>
              <w:keepNext/>
              <w:spacing w:before="120"/>
              <w:rPr>
                <w:rFonts w:ascii="Calibri" w:hAnsi="Calibri"/>
                <w:b/>
                <w:color w:val="365F91"/>
                <w:sz w:val="18"/>
                <w:szCs w:val="18"/>
              </w:rPr>
            </w:pPr>
            <w:r>
              <w:rPr>
                <w:rFonts w:ascii="Calibri" w:hAnsi="Calibri"/>
                <w:b/>
                <w:color w:val="365F91"/>
                <w:sz w:val="18"/>
                <w:szCs w:val="18"/>
              </w:rPr>
              <w:t>Exportul de bunuri,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9,0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9,2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7,6</w:t>
            </w:r>
          </w:p>
        </w:tc>
        <w:tc>
          <w:tcPr>
            <w:tcW w:w="359" w:type="pct"/>
            <w:tcBorders>
              <w:right w:val="single" w:sz="2" w:space="0" w:color="1F497D"/>
            </w:tcBorders>
            <w:shd w:val="clear" w:color="auto" w:fill="DBE5F1"/>
            <w:vAlign w:val="bottom"/>
          </w:tcPr>
          <w:p w:rsidR="00871CCF" w:rsidRPr="00201684" w:rsidRDefault="00CD62C4" w:rsidP="00552882">
            <w:pPr>
              <w:keepNext/>
              <w:spacing w:before="120"/>
              <w:jc w:val="center"/>
              <w:rPr>
                <w:rFonts w:ascii="Calibri" w:hAnsi="Calibri"/>
                <w:b/>
                <w:color w:val="365F91"/>
                <w:sz w:val="18"/>
                <w:szCs w:val="18"/>
              </w:rPr>
            </w:pPr>
            <w:r w:rsidRPr="00201684">
              <w:rPr>
                <w:rFonts w:ascii="Calibri" w:hAnsi="Calibri"/>
                <w:b/>
                <w:color w:val="365F91"/>
                <w:sz w:val="18"/>
                <w:szCs w:val="18"/>
              </w:rPr>
              <w:t>8,</w:t>
            </w:r>
            <w:r w:rsidR="00552882" w:rsidRPr="00201684">
              <w:rPr>
                <w:rFonts w:ascii="Calibri" w:hAnsi="Calibri"/>
                <w:b/>
                <w:color w:val="365F91"/>
                <w:sz w:val="18"/>
                <w:szCs w:val="18"/>
              </w:rPr>
              <w:t>1*</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7,7</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8,6</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7,8</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8,4</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sidRPr="00EE1C68">
              <w:rPr>
                <w:rFonts w:ascii="Calibri" w:hAnsi="Calibri"/>
                <w:b/>
                <w:color w:val="365F91"/>
                <w:sz w:val="18"/>
                <w:szCs w:val="18"/>
              </w:rPr>
              <w:t>IPC - sfârşitul anului,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2,2</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3,32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2,6</w:t>
            </w:r>
          </w:p>
        </w:tc>
        <w:tc>
          <w:tcPr>
            <w:tcW w:w="359" w:type="pct"/>
            <w:tcBorders>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color w:val="365F91"/>
                <w:sz w:val="18"/>
                <w:szCs w:val="18"/>
              </w:rPr>
            </w:pPr>
            <w:r w:rsidRPr="00201684">
              <w:rPr>
                <w:rFonts w:ascii="Calibri" w:hAnsi="Calibri"/>
                <w:b/>
                <w:color w:val="365F91"/>
                <w:sz w:val="18"/>
                <w:szCs w:val="18"/>
              </w:rPr>
              <w:t>3,</w:t>
            </w:r>
            <w:r w:rsidR="00C96321" w:rsidRPr="00201684">
              <w:rPr>
                <w:rFonts w:ascii="Calibri" w:hAnsi="Calibri"/>
                <w:b/>
                <w:color w:val="365F91"/>
                <w:sz w:val="18"/>
                <w:szCs w:val="18"/>
              </w:rPr>
              <w:t>27*</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2,2</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2,0</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2,5</w:t>
            </w:r>
          </w:p>
        </w:tc>
      </w:tr>
      <w:tr w:rsidR="00871CCF" w:rsidRPr="00EE1C68" w:rsidTr="00871CCF">
        <w:trPr>
          <w:trHeight w:val="252"/>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sidRPr="00EE1C68">
              <w:rPr>
                <w:rFonts w:ascii="Calibri" w:hAnsi="Calibri"/>
                <w:b/>
                <w:color w:val="365F91"/>
                <w:sz w:val="18"/>
                <w:szCs w:val="18"/>
              </w:rPr>
              <w:t xml:space="preserve">       - media anuală,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1,1</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1,34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3,1</w:t>
            </w:r>
          </w:p>
        </w:tc>
        <w:tc>
          <w:tcPr>
            <w:tcW w:w="359" w:type="pct"/>
            <w:tcBorders>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color w:val="365F91"/>
                <w:sz w:val="18"/>
                <w:szCs w:val="18"/>
              </w:rPr>
            </w:pPr>
            <w:r w:rsidRPr="00201684">
              <w:rPr>
                <w:rFonts w:ascii="Calibri" w:hAnsi="Calibri"/>
                <w:b/>
                <w:color w:val="365F91"/>
                <w:sz w:val="18"/>
                <w:szCs w:val="18"/>
              </w:rPr>
              <w:t>4,</w:t>
            </w:r>
            <w:r w:rsidR="00C96321" w:rsidRPr="00201684">
              <w:rPr>
                <w:rFonts w:ascii="Calibri" w:hAnsi="Calibri"/>
                <w:b/>
                <w:color w:val="365F91"/>
                <w:sz w:val="18"/>
                <w:szCs w:val="18"/>
              </w:rPr>
              <w:t>63*</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2,3</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2,2</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2,6</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444708" w:rsidRDefault="00871CCF" w:rsidP="00871CCF">
            <w:pPr>
              <w:keepNext/>
              <w:spacing w:before="120"/>
              <w:rPr>
                <w:rFonts w:ascii="Calibri" w:hAnsi="Calibri"/>
                <w:b/>
                <w:color w:val="365F91"/>
                <w:sz w:val="18"/>
                <w:szCs w:val="18"/>
              </w:rPr>
            </w:pPr>
            <w:r w:rsidRPr="00444708">
              <w:rPr>
                <w:rFonts w:ascii="Calibri" w:hAnsi="Calibri"/>
                <w:b/>
                <w:color w:val="365F91"/>
                <w:sz w:val="18"/>
                <w:szCs w:val="18"/>
              </w:rPr>
              <w:t>Număr mediu de salariaţi %</w:t>
            </w:r>
          </w:p>
        </w:tc>
        <w:tc>
          <w:tcPr>
            <w:tcW w:w="354" w:type="pct"/>
            <w:tcBorders>
              <w:top w:val="nil"/>
              <w:left w:val="single" w:sz="2" w:space="0" w:color="1F497D"/>
              <w:bottom w:val="nil"/>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3,6</w:t>
            </w:r>
          </w:p>
        </w:tc>
        <w:tc>
          <w:tcPr>
            <w:tcW w:w="365" w:type="pct"/>
            <w:tcBorders>
              <w:top w:val="nil"/>
              <w:bottom w:val="nil"/>
              <w:right w:val="single" w:sz="2" w:space="0" w:color="1F497D"/>
            </w:tcBorders>
            <w:shd w:val="clear" w:color="auto" w:fill="DBE5F1"/>
            <w:vAlign w:val="bottom"/>
          </w:tcPr>
          <w:p w:rsidR="00871CCF" w:rsidRPr="00444708" w:rsidRDefault="00871CCF" w:rsidP="00871CCF">
            <w:pPr>
              <w:keepNext/>
              <w:spacing w:before="120"/>
              <w:jc w:val="center"/>
              <w:rPr>
                <w:rFonts w:ascii="Calibri" w:hAnsi="Calibri"/>
                <w:b/>
                <w:bCs/>
                <w:color w:val="365F91"/>
                <w:sz w:val="18"/>
                <w:szCs w:val="18"/>
              </w:rPr>
            </w:pPr>
            <w:r w:rsidRPr="00444708">
              <w:rPr>
                <w:rFonts w:ascii="Calibri" w:hAnsi="Calibri"/>
                <w:b/>
                <w:bCs/>
                <w:color w:val="365F91"/>
                <w:sz w:val="18"/>
                <w:szCs w:val="18"/>
              </w:rPr>
              <w:t>3,9</w:t>
            </w:r>
          </w:p>
        </w:tc>
        <w:tc>
          <w:tcPr>
            <w:tcW w:w="358" w:type="pct"/>
            <w:tcBorders>
              <w:left w:val="single" w:sz="2" w:space="0" w:color="1F497D"/>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4,2</w:t>
            </w:r>
          </w:p>
        </w:tc>
        <w:tc>
          <w:tcPr>
            <w:tcW w:w="359" w:type="pct"/>
            <w:tcBorders>
              <w:right w:val="single" w:sz="2" w:space="0" w:color="1F497D"/>
            </w:tcBorders>
            <w:shd w:val="clear" w:color="auto" w:fill="DBE5F1"/>
            <w:vAlign w:val="bottom"/>
          </w:tcPr>
          <w:p w:rsidR="00871CCF" w:rsidRPr="00201684" w:rsidRDefault="00EF42CD" w:rsidP="00552882">
            <w:pPr>
              <w:keepNext/>
              <w:spacing w:before="120"/>
              <w:jc w:val="center"/>
              <w:rPr>
                <w:rFonts w:ascii="Calibri" w:hAnsi="Calibri"/>
                <w:b/>
                <w:color w:val="365F91"/>
                <w:sz w:val="18"/>
                <w:szCs w:val="18"/>
              </w:rPr>
            </w:pPr>
            <w:r w:rsidRPr="00201684">
              <w:rPr>
                <w:rFonts w:ascii="Calibri" w:hAnsi="Calibri"/>
                <w:b/>
                <w:bCs/>
                <w:color w:val="365F91"/>
                <w:sz w:val="18"/>
                <w:szCs w:val="18"/>
              </w:rPr>
              <w:t>3,3</w:t>
            </w:r>
          </w:p>
        </w:tc>
        <w:tc>
          <w:tcPr>
            <w:tcW w:w="358" w:type="pct"/>
            <w:tcBorders>
              <w:top w:val="nil"/>
              <w:left w:val="single" w:sz="2" w:space="0" w:color="1F497D"/>
              <w:bottom w:val="nil"/>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3,8</w:t>
            </w:r>
          </w:p>
        </w:tc>
        <w:tc>
          <w:tcPr>
            <w:tcW w:w="358" w:type="pct"/>
            <w:tcBorders>
              <w:top w:val="nil"/>
              <w:bottom w:val="nil"/>
              <w:right w:val="single" w:sz="2" w:space="0" w:color="1F497D"/>
            </w:tcBorders>
            <w:shd w:val="clear" w:color="auto" w:fill="DBE5F1"/>
            <w:vAlign w:val="bottom"/>
          </w:tcPr>
          <w:p w:rsidR="00871CCF" w:rsidRPr="0044470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3,</w:t>
            </w:r>
            <w:r w:rsidR="00B676F0">
              <w:rPr>
                <w:rFonts w:ascii="Calibri" w:hAnsi="Calibri"/>
                <w:b/>
                <w:color w:val="365F91"/>
                <w:sz w:val="18"/>
                <w:szCs w:val="18"/>
              </w:rPr>
              <w:t>4</w:t>
            </w:r>
          </w:p>
        </w:tc>
        <w:tc>
          <w:tcPr>
            <w:tcW w:w="358" w:type="pct"/>
            <w:tcBorders>
              <w:left w:val="single" w:sz="2" w:space="0" w:color="1F497D"/>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3,7</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444708">
              <w:rPr>
                <w:rFonts w:ascii="Calibri" w:hAnsi="Calibri"/>
                <w:b/>
                <w:color w:val="365F91"/>
                <w:sz w:val="18"/>
                <w:szCs w:val="18"/>
              </w:rPr>
              <w:t>3,</w:t>
            </w:r>
            <w:r w:rsidR="00B676F0">
              <w:rPr>
                <w:rFonts w:ascii="Calibri" w:hAnsi="Calibri"/>
                <w:b/>
                <w:color w:val="365F91"/>
                <w:sz w:val="18"/>
                <w:szCs w:val="18"/>
              </w:rPr>
              <w:t>3</w:t>
            </w:r>
          </w:p>
        </w:tc>
      </w:tr>
      <w:tr w:rsidR="00871CCF" w:rsidRPr="00EE1C68" w:rsidTr="00871CCF">
        <w:trPr>
          <w:jc w:val="center"/>
        </w:trPr>
        <w:tc>
          <w:tcPr>
            <w:tcW w:w="2143" w:type="pct"/>
            <w:tcBorders>
              <w:bottom w:val="nil"/>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lang w:val="fr-FR"/>
              </w:rPr>
            </w:pPr>
            <w:r w:rsidRPr="00EE1C68">
              <w:rPr>
                <w:rFonts w:ascii="Calibri" w:hAnsi="Calibri"/>
                <w:b/>
                <w:color w:val="365F91"/>
                <w:sz w:val="18"/>
                <w:szCs w:val="18"/>
                <w:lang w:val="fr-FR"/>
              </w:rPr>
              <w:t>Rata şomajului înregistrat la sfârşitul anului,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4,2</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4,0</w:t>
            </w:r>
          </w:p>
        </w:tc>
        <w:tc>
          <w:tcPr>
            <w:tcW w:w="358" w:type="pct"/>
            <w:tcBorders>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3,9</w:t>
            </w:r>
          </w:p>
        </w:tc>
        <w:tc>
          <w:tcPr>
            <w:tcW w:w="359" w:type="pct"/>
            <w:tcBorders>
              <w:bottom w:val="nil"/>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bCs/>
                <w:color w:val="365F91"/>
                <w:sz w:val="18"/>
                <w:szCs w:val="18"/>
              </w:rPr>
            </w:pPr>
            <w:r w:rsidRPr="00201684">
              <w:rPr>
                <w:rFonts w:ascii="Calibri" w:hAnsi="Calibri"/>
                <w:b/>
                <w:bCs/>
                <w:color w:val="365F91"/>
                <w:sz w:val="18"/>
                <w:szCs w:val="18"/>
              </w:rPr>
              <w:t>3,</w:t>
            </w:r>
            <w:r w:rsidR="00B676F0" w:rsidRPr="00201684">
              <w:rPr>
                <w:rFonts w:ascii="Calibri" w:hAnsi="Calibri"/>
                <w:b/>
                <w:bCs/>
                <w:color w:val="365F91"/>
                <w:sz w:val="18"/>
                <w:szCs w:val="18"/>
              </w:rPr>
              <w:t>3*</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3,7</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w:t>
            </w:r>
            <w:r w:rsidR="00B676F0">
              <w:rPr>
                <w:rFonts w:ascii="Calibri" w:hAnsi="Calibri"/>
                <w:b/>
                <w:color w:val="365F91"/>
                <w:sz w:val="18"/>
                <w:szCs w:val="18"/>
              </w:rPr>
              <w:t>2</w:t>
            </w:r>
          </w:p>
        </w:tc>
        <w:tc>
          <w:tcPr>
            <w:tcW w:w="358" w:type="pct"/>
            <w:tcBorders>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3,4</w:t>
            </w:r>
          </w:p>
        </w:tc>
        <w:tc>
          <w:tcPr>
            <w:tcW w:w="349" w:type="pct"/>
            <w:tcBorders>
              <w:bottom w:val="nil"/>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3,0</w:t>
            </w:r>
          </w:p>
        </w:tc>
      </w:tr>
      <w:tr w:rsidR="00871CCF" w:rsidRPr="00EE1C68" w:rsidTr="00871CCF">
        <w:trPr>
          <w:trHeight w:val="327"/>
          <w:jc w:val="center"/>
        </w:trPr>
        <w:tc>
          <w:tcPr>
            <w:tcW w:w="2143" w:type="pct"/>
            <w:tcBorders>
              <w:top w:val="nil"/>
              <w:bottom w:val="single" w:sz="4" w:space="0" w:color="1F497D"/>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lang w:val="fr-FR"/>
              </w:rPr>
            </w:pPr>
            <w:r>
              <w:rPr>
                <w:rFonts w:ascii="Calibri" w:hAnsi="Calibri"/>
                <w:b/>
                <w:color w:val="365F91"/>
                <w:sz w:val="18"/>
                <w:szCs w:val="18"/>
                <w:lang w:val="fr-FR"/>
              </w:rPr>
              <w:t xml:space="preserve">Soldul contului curent, </w:t>
            </w:r>
            <w:r w:rsidRPr="00EE1C68">
              <w:rPr>
                <w:rFonts w:ascii="Calibri" w:hAnsi="Calibri"/>
                <w:b/>
                <w:color w:val="365F91"/>
                <w:sz w:val="18"/>
                <w:szCs w:val="18"/>
                <w:lang w:val="fr-FR"/>
              </w:rPr>
              <w:t>% din PIB</w:t>
            </w:r>
          </w:p>
        </w:tc>
        <w:tc>
          <w:tcPr>
            <w:tcW w:w="354"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-2,8</w:t>
            </w:r>
          </w:p>
        </w:tc>
        <w:tc>
          <w:tcPr>
            <w:tcW w:w="365"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-3,2</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-2,6</w:t>
            </w:r>
          </w:p>
        </w:tc>
        <w:tc>
          <w:tcPr>
            <w:tcW w:w="359" w:type="pct"/>
            <w:tcBorders>
              <w:top w:val="nil"/>
              <w:bottom w:val="single" w:sz="4" w:space="0" w:color="1F497D"/>
              <w:right w:val="single" w:sz="2" w:space="0" w:color="1F497D"/>
            </w:tcBorders>
            <w:shd w:val="clear" w:color="auto" w:fill="DBE5F1"/>
            <w:vAlign w:val="bottom"/>
          </w:tcPr>
          <w:p w:rsidR="00871CCF" w:rsidRPr="00201684" w:rsidRDefault="00FC0E0A" w:rsidP="00871CCF">
            <w:pPr>
              <w:keepNext/>
              <w:spacing w:before="120"/>
              <w:jc w:val="center"/>
              <w:rPr>
                <w:rFonts w:ascii="Calibri" w:hAnsi="Calibri"/>
                <w:b/>
                <w:bCs/>
                <w:color w:val="365F91"/>
                <w:sz w:val="18"/>
                <w:szCs w:val="18"/>
              </w:rPr>
            </w:pPr>
            <w:r w:rsidRPr="00201684">
              <w:rPr>
                <w:rFonts w:ascii="Calibri" w:hAnsi="Calibri"/>
                <w:b/>
                <w:bCs/>
                <w:color w:val="365F91"/>
                <w:sz w:val="18"/>
                <w:szCs w:val="18"/>
              </w:rPr>
              <w:t>-4</w:t>
            </w:r>
            <w:r w:rsidR="00871CCF" w:rsidRPr="00201684">
              <w:rPr>
                <w:rFonts w:ascii="Calibri" w:hAnsi="Calibri"/>
                <w:b/>
                <w:bCs/>
                <w:color w:val="365F91"/>
                <w:sz w:val="18"/>
                <w:szCs w:val="18"/>
              </w:rPr>
              <w:t>,</w:t>
            </w:r>
            <w:r w:rsidR="00552882" w:rsidRPr="00201684">
              <w:rPr>
                <w:rFonts w:ascii="Calibri" w:hAnsi="Calibri"/>
                <w:b/>
                <w:bCs/>
                <w:color w:val="365F91"/>
                <w:sz w:val="18"/>
                <w:szCs w:val="18"/>
              </w:rPr>
              <w:t>7*</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-2,3</w:t>
            </w:r>
          </w:p>
        </w:tc>
        <w:tc>
          <w:tcPr>
            <w:tcW w:w="358"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sidRPr="00EE1C68">
              <w:rPr>
                <w:rFonts w:ascii="Calibri" w:hAnsi="Calibri"/>
                <w:b/>
                <w:bCs/>
                <w:color w:val="365F91"/>
                <w:sz w:val="18"/>
                <w:szCs w:val="18"/>
              </w:rPr>
              <w:t>-3,</w:t>
            </w:r>
            <w:r w:rsidR="00FC0E0A">
              <w:rPr>
                <w:rFonts w:ascii="Calibri" w:hAnsi="Calibri"/>
                <w:b/>
                <w:bCs/>
                <w:color w:val="365F91"/>
                <w:sz w:val="18"/>
                <w:szCs w:val="18"/>
              </w:rPr>
              <w:t>3</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-2,1</w:t>
            </w:r>
          </w:p>
        </w:tc>
        <w:tc>
          <w:tcPr>
            <w:tcW w:w="349" w:type="pct"/>
            <w:tcBorders>
              <w:top w:val="nil"/>
              <w:bottom w:val="single" w:sz="4"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w:t>
            </w:r>
          </w:p>
        </w:tc>
      </w:tr>
      <w:tr w:rsidR="00871CCF" w:rsidRPr="00EE1C68" w:rsidTr="00871CCF">
        <w:trPr>
          <w:trHeight w:val="252"/>
          <w:jc w:val="center"/>
        </w:trPr>
        <w:tc>
          <w:tcPr>
            <w:tcW w:w="2143" w:type="pct"/>
            <w:tcBorders>
              <w:top w:val="single" w:sz="4" w:space="0" w:color="1F497D"/>
              <w:right w:val="single" w:sz="4" w:space="0" w:color="1F497D"/>
            </w:tcBorders>
            <w:shd w:val="clear" w:color="auto" w:fill="auto"/>
            <w:vAlign w:val="bottom"/>
          </w:tcPr>
          <w:p w:rsidR="00871CCF" w:rsidRPr="00EE1C68" w:rsidRDefault="00871CCF" w:rsidP="00871CCF">
            <w:pPr>
              <w:keepNext/>
              <w:rPr>
                <w:rFonts w:ascii="Calibri" w:hAnsi="Calibri"/>
                <w:b/>
                <w:color w:val="365F91"/>
                <w:sz w:val="18"/>
                <w:szCs w:val="18"/>
                <w:lang w:val="it-IT"/>
              </w:rPr>
            </w:pPr>
          </w:p>
        </w:tc>
        <w:tc>
          <w:tcPr>
            <w:tcW w:w="2857" w:type="pct"/>
            <w:gridSpan w:val="8"/>
            <w:tcBorders>
              <w:top w:val="single" w:sz="4" w:space="0" w:color="1F497D"/>
              <w:left w:val="single" w:sz="4" w:space="0" w:color="1F497D"/>
              <w:bottom w:val="nil"/>
            </w:tcBorders>
            <w:shd w:val="clear" w:color="auto" w:fill="auto"/>
            <w:vAlign w:val="bottom"/>
          </w:tcPr>
          <w:p w:rsidR="00871CCF" w:rsidRPr="00201684" w:rsidRDefault="00871CCF" w:rsidP="00871CCF">
            <w:pPr>
              <w:keepNext/>
              <w:jc w:val="center"/>
              <w:rPr>
                <w:rFonts w:ascii="Calibri" w:hAnsi="Calibri"/>
                <w:b/>
                <w:color w:val="365F91"/>
                <w:sz w:val="18"/>
                <w:szCs w:val="18"/>
              </w:rPr>
            </w:pPr>
            <w:r w:rsidRPr="00201684">
              <w:rPr>
                <w:rFonts w:ascii="Calibri" w:hAnsi="Calibri"/>
                <w:b/>
                <w:color w:val="365F91"/>
                <w:sz w:val="18"/>
                <w:szCs w:val="18"/>
                <w:lang w:val="it-IT"/>
              </w:rPr>
              <w:t>(% din PIB)</w:t>
            </w:r>
          </w:p>
        </w:tc>
      </w:tr>
      <w:tr w:rsidR="00871CCF" w:rsidRPr="00EE1C68" w:rsidTr="00871CCF">
        <w:trPr>
          <w:trHeight w:val="269"/>
          <w:jc w:val="center"/>
        </w:trPr>
        <w:tc>
          <w:tcPr>
            <w:tcW w:w="2143" w:type="pct"/>
            <w:tcBorders>
              <w:top w:val="single" w:sz="4" w:space="0" w:color="1F497D"/>
              <w:right w:val="single" w:sz="2" w:space="0" w:color="1F497D"/>
            </w:tcBorders>
            <w:shd w:val="clear" w:color="auto" w:fill="auto"/>
            <w:vAlign w:val="center"/>
          </w:tcPr>
          <w:p w:rsidR="00871CCF" w:rsidRPr="00EE1C68" w:rsidRDefault="00871CCF" w:rsidP="00871CCF">
            <w:pPr>
              <w:keepNext/>
              <w:spacing w:before="120"/>
              <w:rPr>
                <w:rFonts w:ascii="Calibri" w:hAnsi="Calibri"/>
                <w:b/>
                <w:color w:val="365F91"/>
                <w:sz w:val="18"/>
                <w:szCs w:val="18"/>
                <w:lang w:val="it-IT"/>
              </w:rPr>
            </w:pPr>
            <w:r w:rsidRPr="00EE1C68">
              <w:rPr>
                <w:rFonts w:ascii="Calibri" w:hAnsi="Calibri"/>
                <w:b/>
                <w:color w:val="365F91"/>
                <w:sz w:val="18"/>
                <w:szCs w:val="18"/>
                <w:lang w:val="it-IT"/>
              </w:rPr>
              <w:t>Venituri (metodologie cash)</w:t>
            </w:r>
          </w:p>
        </w:tc>
        <w:tc>
          <w:tcPr>
            <w:tcW w:w="354" w:type="pct"/>
            <w:tcBorders>
              <w:top w:val="single" w:sz="4" w:space="0" w:color="1F497D"/>
              <w:left w:val="single" w:sz="2" w:space="0" w:color="1F497D"/>
              <w:bottom w:val="nil"/>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29,4</w:t>
            </w:r>
          </w:p>
        </w:tc>
        <w:tc>
          <w:tcPr>
            <w:tcW w:w="365" w:type="pct"/>
            <w:tcBorders>
              <w:top w:val="single" w:sz="4" w:space="0" w:color="1F497D"/>
              <w:bottom w:val="nil"/>
              <w:right w:val="single" w:sz="2" w:space="0" w:color="1F497D"/>
            </w:tcBorders>
            <w:shd w:val="clear" w:color="auto" w:fill="DBE5F1"/>
            <w:vAlign w:val="center"/>
          </w:tcPr>
          <w:p w:rsidR="00871CCF" w:rsidRPr="00EE1C68" w:rsidRDefault="00054C65" w:rsidP="00871CCF">
            <w:pPr>
              <w:keepNext/>
              <w:spacing w:before="120"/>
              <w:jc w:val="center"/>
              <w:rPr>
                <w:rFonts w:ascii="Calibri" w:hAnsi="Calibri"/>
                <w:b/>
                <w:color w:val="365F91"/>
                <w:sz w:val="18"/>
                <w:szCs w:val="18"/>
              </w:rPr>
            </w:pPr>
            <w:r>
              <w:rPr>
                <w:rFonts w:ascii="Calibri" w:hAnsi="Calibri"/>
                <w:b/>
                <w:color w:val="365F91"/>
                <w:sz w:val="18"/>
                <w:szCs w:val="18"/>
              </w:rPr>
              <w:t>29,40</w:t>
            </w:r>
          </w:p>
        </w:tc>
        <w:tc>
          <w:tcPr>
            <w:tcW w:w="358" w:type="pct"/>
            <w:tcBorders>
              <w:top w:val="single" w:sz="4" w:space="0" w:color="1F497D"/>
              <w:lef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30,48</w:t>
            </w:r>
          </w:p>
        </w:tc>
        <w:tc>
          <w:tcPr>
            <w:tcW w:w="359" w:type="pct"/>
            <w:tcBorders>
              <w:top w:val="single" w:sz="4" w:space="0" w:color="1F497D"/>
              <w:right w:val="single" w:sz="2" w:space="0" w:color="1F497D"/>
            </w:tcBorders>
            <w:shd w:val="clear" w:color="auto" w:fill="DBE5F1"/>
            <w:vAlign w:val="center"/>
          </w:tcPr>
          <w:p w:rsidR="00871CCF" w:rsidRPr="00201684" w:rsidRDefault="00871CCF" w:rsidP="00717ADB">
            <w:pPr>
              <w:keepNext/>
              <w:spacing w:before="120"/>
              <w:jc w:val="center"/>
              <w:rPr>
                <w:rFonts w:ascii="Calibri" w:hAnsi="Calibri"/>
                <w:b/>
                <w:color w:val="365F91"/>
                <w:sz w:val="18"/>
                <w:szCs w:val="18"/>
              </w:rPr>
            </w:pPr>
            <w:r w:rsidRPr="00201684">
              <w:rPr>
                <w:rFonts w:ascii="Calibri" w:hAnsi="Calibri"/>
                <w:b/>
                <w:color w:val="365F91"/>
                <w:sz w:val="18"/>
                <w:szCs w:val="18"/>
              </w:rPr>
              <w:t>31,</w:t>
            </w:r>
            <w:r w:rsidR="00717ADB" w:rsidRPr="00201684">
              <w:rPr>
                <w:rFonts w:ascii="Calibri" w:hAnsi="Calibri"/>
                <w:b/>
                <w:color w:val="365F91"/>
                <w:sz w:val="18"/>
                <w:szCs w:val="18"/>
              </w:rPr>
              <w:t>38</w:t>
            </w:r>
          </w:p>
        </w:tc>
        <w:tc>
          <w:tcPr>
            <w:tcW w:w="358" w:type="pct"/>
            <w:tcBorders>
              <w:top w:val="single" w:sz="4" w:space="0" w:color="1F497D"/>
              <w:left w:val="single" w:sz="2" w:space="0" w:color="1F497D"/>
              <w:bottom w:val="nil"/>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31,67</w:t>
            </w:r>
          </w:p>
        </w:tc>
        <w:tc>
          <w:tcPr>
            <w:tcW w:w="358" w:type="pct"/>
            <w:tcBorders>
              <w:top w:val="single" w:sz="4" w:space="0" w:color="1F497D"/>
              <w:bottom w:val="nil"/>
              <w:right w:val="single" w:sz="2" w:space="0" w:color="1F497D"/>
            </w:tcBorders>
            <w:shd w:val="clear" w:color="auto" w:fill="DBE5F1"/>
            <w:vAlign w:val="center"/>
          </w:tcPr>
          <w:p w:rsidR="00871CCF" w:rsidRPr="00EE1C68" w:rsidRDefault="00FB4D0D" w:rsidP="00871CCF">
            <w:pPr>
              <w:keepNext/>
              <w:spacing w:before="120"/>
              <w:jc w:val="center"/>
              <w:rPr>
                <w:rFonts w:ascii="Calibri" w:hAnsi="Calibri"/>
                <w:b/>
                <w:color w:val="365F91"/>
                <w:sz w:val="18"/>
                <w:szCs w:val="18"/>
              </w:rPr>
            </w:pPr>
            <w:r>
              <w:rPr>
                <w:rFonts w:ascii="Calibri" w:hAnsi="Calibri"/>
                <w:b/>
                <w:color w:val="365F91"/>
                <w:sz w:val="18"/>
                <w:szCs w:val="18"/>
              </w:rPr>
              <w:t>33,51</w:t>
            </w:r>
          </w:p>
        </w:tc>
        <w:tc>
          <w:tcPr>
            <w:tcW w:w="358" w:type="pct"/>
            <w:tcBorders>
              <w:top w:val="single" w:sz="4" w:space="0" w:color="1F497D"/>
              <w:lef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31,86</w:t>
            </w:r>
          </w:p>
        </w:tc>
        <w:tc>
          <w:tcPr>
            <w:tcW w:w="349" w:type="pct"/>
            <w:tcBorders>
              <w:top w:val="single" w:sz="4" w:space="0" w:color="1F497D"/>
            </w:tcBorders>
            <w:shd w:val="clear" w:color="auto" w:fill="DBE5F1"/>
            <w:vAlign w:val="center"/>
          </w:tcPr>
          <w:p w:rsidR="00871CCF" w:rsidRPr="00EE1C68" w:rsidRDefault="00054C65" w:rsidP="00871CCF">
            <w:pPr>
              <w:keepNext/>
              <w:spacing w:before="120"/>
              <w:jc w:val="center"/>
              <w:rPr>
                <w:rFonts w:ascii="Calibri" w:hAnsi="Calibri"/>
                <w:b/>
                <w:color w:val="365F91"/>
                <w:sz w:val="18"/>
                <w:szCs w:val="18"/>
              </w:rPr>
            </w:pPr>
            <w:r>
              <w:rPr>
                <w:rFonts w:ascii="Calibri" w:hAnsi="Calibri"/>
                <w:b/>
                <w:color w:val="365F91"/>
                <w:sz w:val="18"/>
                <w:szCs w:val="18"/>
              </w:rPr>
              <w:t>32,23</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lang w:val="it-IT"/>
              </w:rPr>
            </w:pPr>
            <w:r w:rsidRPr="00EE1C68">
              <w:rPr>
                <w:rFonts w:ascii="Calibri" w:hAnsi="Calibri"/>
                <w:b/>
                <w:color w:val="365F91"/>
                <w:sz w:val="18"/>
                <w:szCs w:val="18"/>
                <w:lang w:val="it-IT"/>
              </w:rPr>
              <w:t>Cheltuieli (metodologie cash)</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31,8</w:t>
            </w:r>
          </w:p>
        </w:tc>
        <w:tc>
          <w:tcPr>
            <w:tcW w:w="365" w:type="pct"/>
            <w:tcBorders>
              <w:top w:val="nil"/>
              <w:bottom w:val="nil"/>
              <w:right w:val="single" w:sz="2" w:space="0" w:color="1F497D"/>
            </w:tcBorders>
            <w:shd w:val="clear" w:color="auto" w:fill="DBE5F1"/>
            <w:vAlign w:val="bottom"/>
          </w:tcPr>
          <w:p w:rsidR="00871CCF" w:rsidRPr="00EE1C68" w:rsidRDefault="00E46A5A" w:rsidP="00871CCF">
            <w:pPr>
              <w:keepNext/>
              <w:spacing w:before="120"/>
              <w:jc w:val="center"/>
              <w:rPr>
                <w:rFonts w:ascii="Calibri" w:hAnsi="Calibri"/>
                <w:b/>
                <w:color w:val="365F91"/>
                <w:sz w:val="18"/>
                <w:szCs w:val="18"/>
              </w:rPr>
            </w:pPr>
            <w:r>
              <w:rPr>
                <w:rFonts w:ascii="Calibri" w:hAnsi="Calibri"/>
                <w:b/>
                <w:color w:val="365F91"/>
                <w:sz w:val="18"/>
                <w:szCs w:val="18"/>
              </w:rPr>
              <w:t>32,24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33,44</w:t>
            </w:r>
          </w:p>
        </w:tc>
        <w:tc>
          <w:tcPr>
            <w:tcW w:w="359" w:type="pct"/>
            <w:tcBorders>
              <w:right w:val="single" w:sz="2" w:space="0" w:color="1F497D"/>
            </w:tcBorders>
            <w:shd w:val="clear" w:color="auto" w:fill="DBE5F1"/>
            <w:vAlign w:val="bottom"/>
          </w:tcPr>
          <w:p w:rsidR="00871CCF" w:rsidRPr="00201684" w:rsidRDefault="00871CCF" w:rsidP="00717ADB">
            <w:pPr>
              <w:keepNext/>
              <w:spacing w:before="120"/>
              <w:jc w:val="center"/>
              <w:rPr>
                <w:rFonts w:ascii="Calibri" w:hAnsi="Calibri"/>
                <w:b/>
                <w:color w:val="365F91"/>
                <w:sz w:val="18"/>
                <w:szCs w:val="18"/>
              </w:rPr>
            </w:pPr>
            <w:r w:rsidRPr="00201684">
              <w:rPr>
                <w:rFonts w:ascii="Calibri" w:hAnsi="Calibri"/>
                <w:b/>
                <w:color w:val="365F91"/>
                <w:sz w:val="18"/>
                <w:szCs w:val="18"/>
              </w:rPr>
              <w:t>3</w:t>
            </w:r>
            <w:r w:rsidR="00717ADB" w:rsidRPr="00201684">
              <w:rPr>
                <w:rFonts w:ascii="Calibri" w:hAnsi="Calibri"/>
                <w:b/>
                <w:color w:val="365F91"/>
                <w:sz w:val="18"/>
                <w:szCs w:val="18"/>
              </w:rPr>
              <w:t>4</w:t>
            </w:r>
            <w:r w:rsidRPr="00201684">
              <w:rPr>
                <w:rFonts w:ascii="Calibri" w:hAnsi="Calibri"/>
                <w:b/>
                <w:color w:val="365F91"/>
                <w:sz w:val="18"/>
                <w:szCs w:val="18"/>
              </w:rPr>
              <w:t>,</w:t>
            </w:r>
            <w:r w:rsidR="00717ADB" w:rsidRPr="00201684">
              <w:rPr>
                <w:rFonts w:ascii="Calibri" w:hAnsi="Calibri"/>
                <w:b/>
                <w:color w:val="365F91"/>
                <w:sz w:val="18"/>
                <w:szCs w:val="18"/>
              </w:rPr>
              <w:t>29</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34,64</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36,28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34,44</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34,55</w:t>
            </w:r>
          </w:p>
        </w:tc>
      </w:tr>
      <w:tr w:rsidR="00871CCF" w:rsidRPr="00EE1C68" w:rsidTr="00871CCF">
        <w:trPr>
          <w:trHeight w:val="247"/>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lang w:val="en-GB"/>
              </w:rPr>
            </w:pPr>
            <w:r w:rsidRPr="00EE1C68">
              <w:rPr>
                <w:rFonts w:ascii="Calibri" w:hAnsi="Calibri"/>
                <w:b/>
                <w:color w:val="365F91"/>
                <w:sz w:val="18"/>
                <w:szCs w:val="18"/>
              </w:rPr>
              <w:t xml:space="preserve">Sold </w:t>
            </w:r>
            <w:r w:rsidRPr="00EE1C68">
              <w:rPr>
                <w:rFonts w:ascii="Calibri" w:hAnsi="Calibri"/>
                <w:b/>
                <w:color w:val="365F91"/>
                <w:sz w:val="18"/>
                <w:szCs w:val="18"/>
                <w:lang w:val="en-GB"/>
              </w:rPr>
              <w:t>(metodologie cash)</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-2,40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-2,8</w:t>
            </w:r>
            <w:r w:rsidR="00732FA7">
              <w:rPr>
                <w:rFonts w:ascii="Calibri" w:hAnsi="Calibri"/>
                <w:b/>
                <w:color w:val="365F91"/>
                <w:sz w:val="18"/>
                <w:szCs w:val="18"/>
              </w:rPr>
              <w:t>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-2,96</w:t>
            </w:r>
          </w:p>
        </w:tc>
        <w:tc>
          <w:tcPr>
            <w:tcW w:w="359" w:type="pct"/>
            <w:tcBorders>
              <w:right w:val="single" w:sz="2" w:space="0" w:color="1F497D"/>
            </w:tcBorders>
            <w:shd w:val="clear" w:color="auto" w:fill="DBE5F1"/>
            <w:vAlign w:val="bottom"/>
          </w:tcPr>
          <w:p w:rsidR="00871CCF" w:rsidRPr="00201684" w:rsidRDefault="00871CCF" w:rsidP="00717ADB">
            <w:pPr>
              <w:keepNext/>
              <w:spacing w:before="120"/>
              <w:jc w:val="center"/>
              <w:rPr>
                <w:rFonts w:ascii="Calibri" w:hAnsi="Calibri"/>
                <w:b/>
                <w:color w:val="365F91"/>
                <w:sz w:val="18"/>
                <w:szCs w:val="18"/>
              </w:rPr>
            </w:pPr>
            <w:r w:rsidRPr="00201684">
              <w:rPr>
                <w:rFonts w:ascii="Calibri" w:hAnsi="Calibri"/>
                <w:b/>
                <w:color w:val="365F91"/>
                <w:sz w:val="18"/>
                <w:szCs w:val="18"/>
              </w:rPr>
              <w:t>-2,</w:t>
            </w:r>
            <w:r w:rsidR="00717ADB" w:rsidRPr="00201684">
              <w:rPr>
                <w:rFonts w:ascii="Calibri" w:hAnsi="Calibri"/>
                <w:b/>
                <w:color w:val="365F91"/>
                <w:sz w:val="18"/>
                <w:szCs w:val="18"/>
              </w:rPr>
              <w:t>91</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-2,97</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-2,76</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-2,58</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-2,33</w:t>
            </w:r>
          </w:p>
        </w:tc>
      </w:tr>
      <w:tr w:rsidR="00871CCF" w:rsidRPr="00EE1C68" w:rsidTr="00871CCF">
        <w:trPr>
          <w:trHeight w:val="309"/>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sidRPr="00EE1C68">
              <w:rPr>
                <w:rFonts w:ascii="Calibri" w:hAnsi="Calibri"/>
                <w:b/>
                <w:color w:val="365F91"/>
                <w:sz w:val="18"/>
                <w:szCs w:val="18"/>
              </w:rPr>
              <w:t>Sold  ESA</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-3,00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w:t>
            </w:r>
            <w:r w:rsidR="00B338CF">
              <w:rPr>
                <w:rFonts w:ascii="Calibri" w:hAnsi="Calibri"/>
                <w:b/>
                <w:color w:val="365F91"/>
                <w:sz w:val="18"/>
                <w:szCs w:val="18"/>
              </w:rPr>
              <w:t>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-2,96</w:t>
            </w:r>
          </w:p>
        </w:tc>
        <w:tc>
          <w:tcPr>
            <w:tcW w:w="359" w:type="pct"/>
            <w:tcBorders>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-2,96</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-2,96</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-2,78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-2,38</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-2,68</w:t>
            </w:r>
          </w:p>
        </w:tc>
      </w:tr>
      <w:tr w:rsidR="00871CCF" w:rsidRPr="00EE1C68" w:rsidTr="00871CCF">
        <w:trPr>
          <w:trHeight w:val="230"/>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sidRPr="00EE1C68">
              <w:rPr>
                <w:rFonts w:ascii="Calibri" w:hAnsi="Calibri"/>
                <w:b/>
                <w:color w:val="365F91"/>
                <w:sz w:val="18"/>
                <w:szCs w:val="18"/>
              </w:rPr>
              <w:t>Sold structural</w:t>
            </w:r>
          </w:p>
        </w:tc>
        <w:tc>
          <w:tcPr>
            <w:tcW w:w="354"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-2,2</w:t>
            </w:r>
          </w:p>
        </w:tc>
        <w:tc>
          <w:tcPr>
            <w:tcW w:w="365"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-3,06</w:t>
            </w:r>
          </w:p>
        </w:tc>
        <w:tc>
          <w:tcPr>
            <w:tcW w:w="359" w:type="pct"/>
            <w:tcBorders>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-3,0</w:t>
            </w:r>
            <w:r w:rsidR="00FC0E0A">
              <w:rPr>
                <w:rFonts w:ascii="Calibri" w:hAnsi="Calibri"/>
                <w:b/>
                <w:color w:val="365F91"/>
                <w:sz w:val="18"/>
                <w:szCs w:val="18"/>
              </w:rPr>
              <w:t>3</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-3,17</w:t>
            </w:r>
          </w:p>
        </w:tc>
        <w:tc>
          <w:tcPr>
            <w:tcW w:w="358" w:type="pct"/>
            <w:tcBorders>
              <w:top w:val="nil"/>
              <w:bottom w:val="single" w:sz="4" w:space="0" w:color="1F497D"/>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-2,97</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sidRPr="00EE1C68">
              <w:rPr>
                <w:rFonts w:ascii="Calibri" w:hAnsi="Calibri"/>
                <w:b/>
                <w:color w:val="365F91"/>
                <w:sz w:val="18"/>
                <w:szCs w:val="18"/>
              </w:rPr>
              <w:t>-2,71</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w:t>
            </w:r>
            <w:r w:rsidR="00591549">
              <w:rPr>
                <w:rFonts w:ascii="Calibri" w:hAnsi="Calibri"/>
                <w:b/>
                <w:color w:val="365F91"/>
                <w:sz w:val="18"/>
                <w:szCs w:val="18"/>
              </w:rPr>
              <w:t>0</w:t>
            </w:r>
            <w:r>
              <w:rPr>
                <w:rFonts w:ascii="Calibri" w:hAnsi="Calibri"/>
                <w:b/>
                <w:color w:val="365F91"/>
                <w:sz w:val="18"/>
                <w:szCs w:val="18"/>
              </w:rPr>
              <w:t>3</w:t>
            </w:r>
          </w:p>
        </w:tc>
      </w:tr>
    </w:tbl>
    <w:p w:rsidR="00916735" w:rsidRDefault="00916735" w:rsidP="00871CCF">
      <w:pPr>
        <w:jc w:val="both"/>
        <w:rPr>
          <w:rFonts w:ascii="Arial Narrow" w:hAnsi="Arial Narrow"/>
          <w:i/>
          <w:color w:val="365F91"/>
          <w:sz w:val="16"/>
          <w:szCs w:val="16"/>
        </w:rPr>
      </w:pPr>
      <w:r>
        <w:rPr>
          <w:rFonts w:ascii="Arial Narrow" w:hAnsi="Arial Narrow"/>
          <w:i/>
          <w:color w:val="365F91"/>
          <w:sz w:val="16"/>
          <w:szCs w:val="16"/>
        </w:rPr>
        <w:t>*</w:t>
      </w:r>
      <w:r w:rsidR="00C06FD3">
        <w:rPr>
          <w:rFonts w:ascii="Arial Narrow" w:hAnsi="Arial Narrow"/>
          <w:i/>
          <w:color w:val="365F91"/>
          <w:sz w:val="16"/>
          <w:szCs w:val="16"/>
        </w:rPr>
        <w:t>Realizări</w:t>
      </w:r>
    </w:p>
    <w:p w:rsidR="00871CCF" w:rsidRPr="00386F4B" w:rsidRDefault="00871CCF" w:rsidP="00871CCF">
      <w:pPr>
        <w:jc w:val="both"/>
        <w:rPr>
          <w:rFonts w:ascii="Arial Narrow" w:hAnsi="Arial Narrow"/>
          <w:i/>
          <w:color w:val="365F91"/>
          <w:sz w:val="16"/>
          <w:szCs w:val="16"/>
        </w:rPr>
      </w:pPr>
      <w:r w:rsidRPr="00386F4B">
        <w:rPr>
          <w:rFonts w:ascii="Arial Narrow" w:hAnsi="Arial Narrow"/>
          <w:i/>
          <w:color w:val="365F91"/>
          <w:sz w:val="16"/>
          <w:szCs w:val="16"/>
        </w:rPr>
        <w:t>Sursa: CNSP, MFP</w:t>
      </w:r>
    </w:p>
    <w:p w:rsidR="00871CCF" w:rsidRPr="00BC7810" w:rsidRDefault="00871CCF" w:rsidP="00871CCF">
      <w:pPr>
        <w:pStyle w:val="Style35001908"/>
        <w:keepNext/>
        <w:widowControl/>
        <w:rPr>
          <w:rFonts w:ascii="Calibri" w:hAnsi="Calibri"/>
          <w:sz w:val="12"/>
          <w:lang w:val="ro-RO"/>
        </w:rPr>
      </w:pPr>
    </w:p>
    <w:p w:rsidR="00871CCF" w:rsidRDefault="00871CCF" w:rsidP="00871CCF">
      <w:pPr>
        <w:pStyle w:val="Style35001908"/>
        <w:keepNext/>
        <w:widowControl/>
        <w:rPr>
          <w:rFonts w:ascii="Calibri" w:hAnsi="Calibri"/>
          <w:sz w:val="22"/>
          <w:lang w:val="ro-RO"/>
        </w:rPr>
      </w:pPr>
      <w:r w:rsidRPr="000415E8">
        <w:rPr>
          <w:rFonts w:ascii="Calibri" w:hAnsi="Calibri"/>
          <w:sz w:val="22"/>
          <w:lang w:val="ro-RO"/>
        </w:rPr>
        <w:t xml:space="preserve">Totodată, este prezentată </w:t>
      </w:r>
      <w:r w:rsidRPr="000415E8">
        <w:rPr>
          <w:rFonts w:ascii="Calibri" w:hAnsi="Calibri"/>
          <w:b/>
          <w:i/>
          <w:color w:val="365F91"/>
          <w:sz w:val="22"/>
          <w:lang w:val="ro-RO"/>
        </w:rPr>
        <w:t>situaţia consolidată comparativă a veniturilor, cheltuielilor şi deficitului bugetului general consolidat</w:t>
      </w:r>
      <w:r w:rsidRPr="000415E8">
        <w:rPr>
          <w:rFonts w:ascii="Calibri" w:hAnsi="Calibri"/>
          <w:color w:val="365F91"/>
          <w:sz w:val="22"/>
          <w:lang w:val="ro-RO"/>
        </w:rPr>
        <w:t>,</w:t>
      </w:r>
      <w:r w:rsidRPr="000415E8">
        <w:rPr>
          <w:rFonts w:ascii="Calibri" w:hAnsi="Calibri"/>
          <w:color w:val="000000"/>
          <w:sz w:val="22"/>
          <w:lang w:val="ro-RO"/>
        </w:rPr>
        <w:t xml:space="preserve"> aferente </w:t>
      </w:r>
      <w:r w:rsidRPr="000415E8">
        <w:rPr>
          <w:rFonts w:ascii="Calibri" w:hAnsi="Calibri" w:cs="Arial Narrow"/>
          <w:b/>
          <w:i/>
          <w:color w:val="365F91"/>
          <w:sz w:val="22"/>
          <w:lang w:val="ro-RO"/>
        </w:rPr>
        <w:t xml:space="preserve">Strategiei fiscal-bugetare 2018-2020 </w:t>
      </w:r>
      <w:r w:rsidRPr="000415E8">
        <w:rPr>
          <w:rFonts w:ascii="Calibri" w:hAnsi="Calibri" w:cs="Arial Narrow"/>
          <w:sz w:val="22"/>
          <w:lang w:val="ro-RO"/>
        </w:rPr>
        <w:t xml:space="preserve">şi </w:t>
      </w:r>
      <w:r w:rsidRPr="000415E8">
        <w:rPr>
          <w:rFonts w:ascii="Calibri" w:hAnsi="Calibri" w:cs="Arial Narrow"/>
          <w:b/>
          <w:i/>
          <w:color w:val="365F91"/>
          <w:sz w:val="22"/>
          <w:lang w:val="ro-RO"/>
        </w:rPr>
        <w:t>Strategiei fiscal-bugetare 2019-2021</w:t>
      </w:r>
      <w:r w:rsidRPr="000415E8">
        <w:rPr>
          <w:rFonts w:ascii="Calibri" w:hAnsi="Calibri"/>
          <w:sz w:val="22"/>
          <w:lang w:val="ro-RO"/>
        </w:rPr>
        <w:t>.</w:t>
      </w:r>
    </w:p>
    <w:p w:rsidR="00CE6447" w:rsidRDefault="00CE6447" w:rsidP="004040C6">
      <w:pPr>
        <w:pStyle w:val="Style35001908"/>
        <w:rPr>
          <w:rFonts w:ascii="Calibri" w:hAnsi="Calibri" w:cs="Arial"/>
          <w:b/>
          <w:color w:val="000080"/>
          <w:shd w:val="clear" w:color="auto" w:fill="99CCFF"/>
          <w:lang w:val="ro-RO"/>
        </w:rPr>
      </w:pPr>
    </w:p>
    <w:p w:rsidR="000058BD" w:rsidRPr="00C86702" w:rsidRDefault="00CB19C5" w:rsidP="004040C6">
      <w:pPr>
        <w:pStyle w:val="Style35001908"/>
        <w:rPr>
          <w:rFonts w:ascii="Calibri" w:hAnsi="Calibri" w:cs="Arial"/>
          <w:b/>
          <w:color w:val="000080"/>
          <w:shd w:val="clear" w:color="auto" w:fill="99CCFF"/>
          <w:lang w:val="ro-RO"/>
        </w:rPr>
      </w:pPr>
      <w:r>
        <w:rPr>
          <w:rFonts w:ascii="Calibri" w:hAnsi="Calibri" w:cs="Arial"/>
          <w:b/>
          <w:color w:val="000080"/>
          <w:shd w:val="clear" w:color="auto" w:fill="99CCFF"/>
          <w:lang w:val="ro-RO"/>
        </w:rPr>
        <w:t>4.6</w:t>
      </w:r>
      <w:r w:rsidR="000058BD" w:rsidRPr="00C86702">
        <w:rPr>
          <w:rFonts w:ascii="Calibri" w:hAnsi="Calibri" w:cs="Arial"/>
          <w:b/>
          <w:color w:val="000080"/>
          <w:shd w:val="clear" w:color="auto" w:fill="99CCFF"/>
          <w:lang w:val="ro-RO"/>
        </w:rPr>
        <w:t xml:space="preserve"> Politici publice</w:t>
      </w:r>
    </w:p>
    <w:p w:rsidR="000058BD" w:rsidRPr="00C86702" w:rsidRDefault="000058BD" w:rsidP="000058BD">
      <w:pPr>
        <w:ind w:left="1080"/>
        <w:jc w:val="both"/>
        <w:rPr>
          <w:rFonts w:ascii="Calibri" w:hAnsi="Calibri" w:cs="Arial"/>
          <w:color w:val="003366"/>
          <w:lang w:val="ro-RO"/>
        </w:rPr>
      </w:pPr>
    </w:p>
    <w:p w:rsidR="000058BD" w:rsidRPr="00C86702" w:rsidRDefault="000058BD" w:rsidP="000058BD">
      <w:pPr>
        <w:shd w:val="clear" w:color="auto" w:fill="99CCFF"/>
        <w:ind w:right="-2"/>
        <w:rPr>
          <w:rFonts w:ascii="Calibri" w:hAnsi="Calibri" w:cs="Arial Narrow"/>
          <w:b/>
          <w:color w:val="000080"/>
          <w:lang w:val="ro-RO"/>
        </w:rPr>
      </w:pPr>
      <w:r w:rsidRPr="00C86702">
        <w:rPr>
          <w:rFonts w:ascii="Calibri" w:hAnsi="Calibri" w:cs="Arial Narrow"/>
          <w:b/>
          <w:color w:val="000080"/>
          <w:lang w:val="ro-RO"/>
        </w:rPr>
        <w:t>Politica salarială</w:t>
      </w:r>
    </w:p>
    <w:p w:rsidR="008374DD" w:rsidRPr="008374DD" w:rsidRDefault="008374DD" w:rsidP="008374DD">
      <w:pPr>
        <w:ind w:firstLine="708"/>
        <w:jc w:val="both"/>
        <w:rPr>
          <w:rFonts w:ascii="Calibri" w:eastAsia="Calibri" w:hAnsi="Calibri" w:cs="Arial"/>
          <w:lang w:val="ro-RO"/>
        </w:rPr>
      </w:pPr>
      <w:r w:rsidRPr="008374DD">
        <w:rPr>
          <w:rFonts w:ascii="Calibri" w:eastAsia="Calibri" w:hAnsi="Calibri" w:cs="Arial"/>
          <w:b/>
          <w:lang w:val="ro-RO"/>
        </w:rPr>
        <w:t>Pentru anul 2019</w:t>
      </w:r>
      <w:r w:rsidRPr="008374DD">
        <w:rPr>
          <w:rFonts w:ascii="Calibri" w:eastAsia="Calibri" w:hAnsi="Calibri" w:cs="Arial"/>
          <w:lang w:val="ro-RO"/>
        </w:rPr>
        <w:t xml:space="preserve"> se are în vedere continuarea aplicării etapizate a Legii-cadru nr. 153/2017 privind salarizarea personalului plătit din fonduri publice, respectiv majorarea de la 1 ianuarie 2019 a salariilor de bază cu 1/4 din diferenţa dintre salariul de bază prevăzut de lege pentru anul 2022 şi cel din luna decembrie 2018.</w:t>
      </w:r>
    </w:p>
    <w:p w:rsidR="008374DD" w:rsidRPr="008374DD" w:rsidRDefault="008374DD" w:rsidP="008374DD">
      <w:pPr>
        <w:ind w:firstLine="708"/>
        <w:jc w:val="both"/>
        <w:rPr>
          <w:rFonts w:ascii="Calibri" w:eastAsia="Calibri" w:hAnsi="Calibri" w:cs="Arial"/>
          <w:lang w:val="ro-RO"/>
        </w:rPr>
      </w:pPr>
      <w:r w:rsidRPr="008374DD">
        <w:rPr>
          <w:rFonts w:ascii="Calibri" w:eastAsia="Calibri" w:hAnsi="Calibri" w:cs="Arial"/>
          <w:lang w:val="ro-RO"/>
        </w:rPr>
        <w:t xml:space="preserve">De asemenea, începând cu data de 1 ianuarie 2019, </w:t>
      </w:r>
      <w:r w:rsidRPr="008374DD">
        <w:rPr>
          <w:rFonts w:ascii="Calibri" w:eastAsia="Calibri" w:hAnsi="Calibri" w:cs="Arial"/>
          <w:b/>
          <w:lang w:val="ro-RO"/>
        </w:rPr>
        <w:t>salariul de bază minim brut pe țară garantat în plată</w:t>
      </w:r>
      <w:r w:rsidRPr="008374DD">
        <w:rPr>
          <w:rFonts w:ascii="Calibri" w:eastAsia="Calibri" w:hAnsi="Calibri" w:cs="Arial"/>
          <w:lang w:val="ro-RO"/>
        </w:rPr>
        <w:t xml:space="preserve"> este de 2.080 lei lunar, pentru un program normal de lucru în medie de 167,333 ore pe lună, reprezentând 12,43 lei/oră. Pentru personalul încadrat pe funcții pentru care se prevede nivelul de studii superioare, cu vechime în muncă de cel puțin un an în domeniul studiilor superioare, salariul de bază minim brut pe ţară garantat în plată, este de  2.350 lei lunar.</w:t>
      </w:r>
    </w:p>
    <w:p w:rsidR="008374DD" w:rsidRPr="008374DD" w:rsidRDefault="008374DD" w:rsidP="008374DD">
      <w:pPr>
        <w:ind w:firstLine="708"/>
        <w:jc w:val="both"/>
        <w:rPr>
          <w:rFonts w:ascii="Calibri" w:eastAsia="Calibri" w:hAnsi="Calibri" w:cs="Arial"/>
          <w:lang w:val="ro-RO"/>
        </w:rPr>
      </w:pPr>
      <w:r w:rsidRPr="008374DD">
        <w:rPr>
          <w:rFonts w:ascii="Calibri" w:eastAsia="Calibri" w:hAnsi="Calibri" w:cs="Arial"/>
          <w:lang w:val="ro-RO"/>
        </w:rPr>
        <w:t>Începând cu luna ianuarie 2019, personalul din sectorul bugetar beneficiază de indemnizația de hrană, astfel cum este aceasta reglementată de art. 18 din Legea-cadru nr. 153/2017 privind salarizarea personalului plătit din fonduri publice, cu modificările și completările ulterioare.</w:t>
      </w:r>
    </w:p>
    <w:p w:rsidR="008374DD" w:rsidRPr="008374DD" w:rsidRDefault="008374DD" w:rsidP="008374DD">
      <w:pPr>
        <w:ind w:firstLine="708"/>
        <w:jc w:val="both"/>
        <w:rPr>
          <w:rFonts w:ascii="Calibri" w:eastAsia="Calibri" w:hAnsi="Calibri" w:cs="Arial"/>
          <w:lang w:val="ro-RO"/>
        </w:rPr>
      </w:pPr>
      <w:r w:rsidRPr="008374DD">
        <w:rPr>
          <w:rFonts w:ascii="Calibri" w:eastAsia="Calibri" w:hAnsi="Calibri" w:cs="Arial"/>
          <w:lang w:val="ro-RO"/>
        </w:rPr>
        <w:t>În ce privește sporurile, indemnizaţiile, compensaţiile, precum şi celelalte elemente ale sistemului de salarizare care fac parte, potrivit legii, din salariul brut lunar, cuantumul acestora se va menține cel mult la nivelul acordat pentru luna decembrie 2018, în măsura în care personalul ocupă aceeaşi funcţie şi îşi desfăşoară activitatea în aceleaşi condiţii.</w:t>
      </w:r>
    </w:p>
    <w:p w:rsidR="008374DD" w:rsidRPr="008374DD" w:rsidRDefault="008374DD" w:rsidP="008374DD">
      <w:pPr>
        <w:ind w:firstLine="708"/>
        <w:jc w:val="both"/>
        <w:rPr>
          <w:rFonts w:ascii="Calibri" w:eastAsia="Calibri" w:hAnsi="Calibri" w:cs="Arial"/>
          <w:lang w:val="ro-RO"/>
        </w:rPr>
      </w:pPr>
      <w:r w:rsidRPr="008374DD">
        <w:rPr>
          <w:rFonts w:ascii="Calibri" w:eastAsia="Calibri" w:hAnsi="Calibri" w:cs="Arial"/>
          <w:lang w:val="ro-RO"/>
        </w:rPr>
        <w:t>La stabilirea cheltuielilor de personal pe anul 2019 s-a avut în vedere continuarea aplicării unora dintre măsurile aprobate în anii anteriori, astfel:</w:t>
      </w:r>
    </w:p>
    <w:p w:rsidR="008374DD" w:rsidRPr="008374DD" w:rsidRDefault="008374DD" w:rsidP="00021698">
      <w:pPr>
        <w:numPr>
          <w:ilvl w:val="0"/>
          <w:numId w:val="101"/>
        </w:numPr>
        <w:jc w:val="both"/>
        <w:rPr>
          <w:rFonts w:ascii="Calibri" w:eastAsia="Calibri" w:hAnsi="Calibri" w:cs="Arial"/>
          <w:lang w:val="ro-RO"/>
        </w:rPr>
      </w:pPr>
      <w:r w:rsidRPr="008374DD">
        <w:rPr>
          <w:rFonts w:ascii="Calibri" w:eastAsia="Calibri" w:hAnsi="Calibri" w:cs="Arial"/>
          <w:lang w:val="ro-RO"/>
        </w:rPr>
        <w:t>acordarea de vouchere de vacanță în limita a 1450 lei/angajat;</w:t>
      </w:r>
    </w:p>
    <w:p w:rsidR="008374DD" w:rsidRPr="008374DD" w:rsidRDefault="008374DD" w:rsidP="00021698">
      <w:pPr>
        <w:numPr>
          <w:ilvl w:val="0"/>
          <w:numId w:val="101"/>
        </w:numPr>
        <w:jc w:val="both"/>
        <w:rPr>
          <w:rFonts w:ascii="Calibri" w:eastAsia="Calibri" w:hAnsi="Calibri" w:cs="Arial"/>
          <w:lang w:val="ro-RO"/>
        </w:rPr>
      </w:pPr>
      <w:r w:rsidRPr="008374DD">
        <w:rPr>
          <w:rFonts w:ascii="Calibri" w:eastAsia="Calibri" w:hAnsi="Calibri" w:cs="Arial"/>
          <w:lang w:val="ro-RO"/>
        </w:rPr>
        <w:t>munca suplimentară efectuată peste durata normală a timpului de lucru de către personalul din sectorul bugetar, precum şi munca prestată în zilele de repaus săptămânal, de sărbători legale şi în celelalte zile în care, în conformitate cu reglementările în vigoare, nu se lucrează, în cadrul schimbului normal de lucru, se va compensa numai cu timp liber corespunzător;</w:t>
      </w:r>
    </w:p>
    <w:p w:rsidR="008374DD" w:rsidRPr="008374DD" w:rsidRDefault="008374DD" w:rsidP="00021698">
      <w:pPr>
        <w:numPr>
          <w:ilvl w:val="0"/>
          <w:numId w:val="101"/>
        </w:numPr>
        <w:jc w:val="both"/>
        <w:rPr>
          <w:rFonts w:ascii="Calibri" w:eastAsia="Calibri" w:hAnsi="Calibri" w:cs="Arial"/>
          <w:lang w:val="ro-RO"/>
        </w:rPr>
      </w:pPr>
      <w:r w:rsidRPr="008374DD">
        <w:rPr>
          <w:rFonts w:ascii="Calibri" w:eastAsia="Calibri" w:hAnsi="Calibri" w:cs="Arial"/>
          <w:lang w:val="ro-RO"/>
        </w:rPr>
        <w:t>neacordarea de bilete de valoare (cu excepția tichetelor de creșă) și premii.</w:t>
      </w:r>
    </w:p>
    <w:p w:rsidR="008374DD" w:rsidRPr="008374DD" w:rsidRDefault="008374DD" w:rsidP="008374DD">
      <w:pPr>
        <w:ind w:left="1068"/>
        <w:jc w:val="both"/>
        <w:rPr>
          <w:rFonts w:ascii="Calibri" w:eastAsia="Calibri" w:hAnsi="Calibri" w:cs="Arial"/>
          <w:lang w:val="ro-RO"/>
        </w:rPr>
      </w:pPr>
    </w:p>
    <w:p w:rsidR="008374DD" w:rsidRPr="008374DD" w:rsidRDefault="008374DD" w:rsidP="008374DD">
      <w:pPr>
        <w:jc w:val="both"/>
        <w:rPr>
          <w:rFonts w:ascii="Calibri" w:eastAsia="Calibri" w:hAnsi="Calibri" w:cs="Arial"/>
          <w:lang w:val="ro-RO"/>
        </w:rPr>
      </w:pPr>
      <w:r w:rsidRPr="008374DD">
        <w:rPr>
          <w:rFonts w:ascii="Calibri" w:eastAsia="Calibri" w:hAnsi="Calibri" w:cs="Arial"/>
          <w:lang w:val="ro-RO"/>
        </w:rPr>
        <w:t>În aceste condiții cheltuielile de personal ale bugetului general consolidat pe anul 2019 sunt de 102,</w:t>
      </w:r>
      <w:r w:rsidR="009B5256">
        <w:rPr>
          <w:rFonts w:ascii="Calibri" w:eastAsia="Calibri" w:hAnsi="Calibri" w:cs="Arial"/>
          <w:lang w:val="ro-RO"/>
        </w:rPr>
        <w:t>1</w:t>
      </w:r>
      <w:r w:rsidRPr="008374DD">
        <w:rPr>
          <w:rFonts w:ascii="Calibri" w:eastAsia="Calibri" w:hAnsi="Calibri" w:cs="Arial"/>
          <w:lang w:val="ro-RO"/>
        </w:rPr>
        <w:t xml:space="preserve"> miliarde lei (10% din PIB), cu 16,</w:t>
      </w:r>
      <w:r w:rsidR="009B5256">
        <w:rPr>
          <w:rFonts w:ascii="Calibri" w:eastAsia="Calibri" w:hAnsi="Calibri" w:cs="Arial"/>
          <w:lang w:val="ro-RO"/>
        </w:rPr>
        <w:t>0</w:t>
      </w:r>
      <w:r w:rsidRPr="008374DD">
        <w:rPr>
          <w:rFonts w:ascii="Calibri" w:eastAsia="Calibri" w:hAnsi="Calibri" w:cs="Arial"/>
          <w:lang w:val="ro-RO"/>
        </w:rPr>
        <w:t xml:space="preserve"> miliarde lei mai mult decât cheltuielile de personal din anul 2018.</w:t>
      </w:r>
    </w:p>
    <w:p w:rsidR="007C15A6" w:rsidRPr="00516DB8" w:rsidRDefault="007C15A6" w:rsidP="00516DB8">
      <w:pPr>
        <w:rPr>
          <w:rFonts w:ascii="Calibri" w:hAnsi="Calibri" w:cs="Arial"/>
          <w:lang w:val="ro-RO"/>
        </w:rPr>
      </w:pPr>
    </w:p>
    <w:p w:rsidR="00516DB8" w:rsidRPr="003964D3" w:rsidRDefault="00516DB8" w:rsidP="00516DB8">
      <w:pPr>
        <w:shd w:val="clear" w:color="auto" w:fill="99CCFF"/>
        <w:rPr>
          <w:rFonts w:ascii="Calibri" w:eastAsia="Arial Narrow" w:hAnsi="Calibri" w:cs="Arial Narrow"/>
          <w:color w:val="333399"/>
          <w:lang w:val="ro-RO"/>
        </w:rPr>
      </w:pPr>
      <w:r w:rsidRPr="003964D3">
        <w:rPr>
          <w:rFonts w:ascii="Calibri" w:hAnsi="Calibri" w:cs="Arial Narrow"/>
          <w:b/>
          <w:color w:val="000080"/>
          <w:lang w:val="ro-RO"/>
        </w:rPr>
        <w:t>Politica în domeniul muncii și justiției sociale</w:t>
      </w:r>
    </w:p>
    <w:p w:rsidR="003904E0" w:rsidRPr="003964D3" w:rsidRDefault="003904E0" w:rsidP="003904E0">
      <w:pPr>
        <w:rPr>
          <w:rFonts w:ascii="Calibri" w:eastAsia="Arial Narrow" w:hAnsi="Calibri" w:cs="Arial Narrow"/>
          <w:lang w:val="ro-RO"/>
        </w:rPr>
      </w:pPr>
    </w:p>
    <w:p w:rsidR="00D254D3" w:rsidRPr="003964D3" w:rsidRDefault="00D254D3" w:rsidP="00D254D3">
      <w:pPr>
        <w:ind w:firstLine="708"/>
        <w:rPr>
          <w:rFonts w:ascii="Calibri" w:hAnsi="Calibri" w:cs="Arial"/>
          <w:lang w:val="ro-RO"/>
        </w:rPr>
      </w:pPr>
      <w:r w:rsidRPr="003964D3">
        <w:rPr>
          <w:rFonts w:ascii="Calibri" w:hAnsi="Calibri" w:cs="Arial"/>
          <w:lang w:val="ro-RO"/>
        </w:rPr>
        <w:t>Viziunea Guvernului României pentru sectorul muncă și justiție socială, precizată în Programul de guvernare 2017-2020 este:</w:t>
      </w:r>
    </w:p>
    <w:p w:rsidR="00D254D3" w:rsidRPr="003964D3" w:rsidRDefault="00D254D3" w:rsidP="00D254D3">
      <w:pPr>
        <w:ind w:firstLine="708"/>
        <w:rPr>
          <w:rFonts w:ascii="Calibri" w:hAnsi="Calibri" w:cs="Arial"/>
          <w:lang w:val="fr-FR"/>
        </w:rPr>
      </w:pPr>
      <w:r w:rsidRPr="003964D3">
        <w:rPr>
          <w:rFonts w:ascii="Calibri" w:hAnsi="Calibri" w:cs="Arial"/>
          <w:i/>
          <w:lang w:val="fr-FR"/>
        </w:rPr>
        <w:t>„Impunerea unui nivel de trai cât mai ridicat pentru toți cetățenii trebuie să fie obiectivul fundamental al României. Ne vom continua demersurile pentru a realiza o piață a muncii incluzivă și reducerea inegalităților prin promovarea unor politici publice coerente și realiste, care să determine o piață a muncii performantă, dinamică și flexibilă, ceea ce va asigura accesul majorității cetățenilor la locuri de muncă de calitate, în funcție de competențele și abilitățile lor, la venituri decente și fără discriminare”.</w:t>
      </w:r>
    </w:p>
    <w:p w:rsidR="00D254D3" w:rsidRPr="0037032F" w:rsidRDefault="00D254D3" w:rsidP="00D254D3">
      <w:pPr>
        <w:ind w:firstLine="708"/>
        <w:rPr>
          <w:rFonts w:ascii="Calibri" w:hAnsi="Calibri" w:cs="Arial"/>
          <w:b/>
          <w:i/>
          <w:u w:val="single"/>
        </w:rPr>
      </w:pPr>
      <w:r w:rsidRPr="0037032F">
        <w:rPr>
          <w:rFonts w:ascii="Calibri" w:hAnsi="Calibri" w:cs="Arial"/>
          <w:b/>
          <w:u w:val="single"/>
        </w:rPr>
        <w:t xml:space="preserve">Principalele obiective strategice vizate în domeniul muncii și justiției sociale sunt: </w:t>
      </w:r>
    </w:p>
    <w:p w:rsidR="003904E0" w:rsidRDefault="003904E0" w:rsidP="003904E0">
      <w:pPr>
        <w:rPr>
          <w:rFonts w:ascii="Calibri" w:hAnsi="Calibri" w:cs="Arial Narrow"/>
          <w:color w:val="333399"/>
        </w:rPr>
      </w:pPr>
    </w:p>
    <w:p w:rsidR="004907FE" w:rsidRDefault="004907FE" w:rsidP="003904E0">
      <w:pPr>
        <w:rPr>
          <w:rFonts w:ascii="Calibri" w:hAnsi="Calibri" w:cs="Arial Narrow"/>
          <w:color w:val="333399"/>
        </w:rPr>
      </w:pPr>
    </w:p>
    <w:p w:rsidR="00D254D3" w:rsidRDefault="00D254D3" w:rsidP="003904E0">
      <w:pPr>
        <w:rPr>
          <w:rFonts w:ascii="Calibri" w:hAnsi="Calibri" w:cs="Arial Narrow"/>
          <w:color w:val="333399"/>
        </w:rPr>
      </w:pPr>
    </w:p>
    <w:p w:rsidR="00D254D3" w:rsidRDefault="00D254D3" w:rsidP="003904E0">
      <w:pPr>
        <w:rPr>
          <w:rFonts w:ascii="Calibri" w:hAnsi="Calibri" w:cs="Arial Narrow"/>
          <w:color w:val="333399"/>
        </w:rPr>
      </w:pPr>
    </w:p>
    <w:p w:rsidR="003904E0" w:rsidRPr="001E103D" w:rsidRDefault="003904E0" w:rsidP="003904E0">
      <w:pPr>
        <w:keepLines/>
        <w:widowControl w:val="0"/>
        <w:shd w:val="clear" w:color="auto" w:fill="99CCFF"/>
        <w:spacing w:line="320" w:lineRule="exact"/>
        <w:jc w:val="both"/>
        <w:rPr>
          <w:rFonts w:ascii="Calibri" w:hAnsi="Calibri" w:cs="Arial Narrow"/>
          <w:b/>
          <w:color w:val="000080"/>
        </w:rPr>
      </w:pPr>
      <w:r>
        <w:rPr>
          <w:rFonts w:ascii="Calibri" w:hAnsi="Calibri" w:cs="Arial Narrow"/>
          <w:b/>
          <w:color w:val="000080"/>
        </w:rPr>
        <w:t>Politica în domeniul ocupării forței de muncă</w:t>
      </w:r>
    </w:p>
    <w:p w:rsidR="00D254D3" w:rsidRDefault="00D254D3" w:rsidP="00D254D3">
      <w:pPr>
        <w:rPr>
          <w:rFonts w:ascii="Calibri" w:hAnsi="Calibri" w:cs="Arial Narrow"/>
          <w:color w:val="333399"/>
        </w:rPr>
      </w:pPr>
    </w:p>
    <w:tbl>
      <w:tblPr>
        <w:tblW w:w="9918" w:type="dxa"/>
        <w:tblInd w:w="222" w:type="dxa"/>
        <w:tblLayout w:type="fixed"/>
        <w:tblLook w:val="0000" w:firstRow="0" w:lastRow="0" w:firstColumn="0" w:lastColumn="0" w:noHBand="0" w:noVBand="0"/>
      </w:tblPr>
      <w:tblGrid>
        <w:gridCol w:w="9918"/>
      </w:tblGrid>
      <w:tr w:rsidR="00D254D3" w:rsidRPr="003A1E71" w:rsidTr="00DB7106">
        <w:tc>
          <w:tcPr>
            <w:tcW w:w="9918" w:type="dxa"/>
            <w:shd w:val="clear" w:color="auto" w:fill="auto"/>
            <w:vAlign w:val="center"/>
          </w:tcPr>
          <w:p w:rsidR="00D254D3" w:rsidRDefault="00D254D3" w:rsidP="00DB7106">
            <w:pPr>
              <w:tabs>
                <w:tab w:val="left" w:pos="1515"/>
              </w:tabs>
              <w:jc w:val="both"/>
              <w:rPr>
                <w:rFonts w:ascii="Calibri" w:eastAsia="Calibri" w:hAnsi="Calibri" w:cs="Arial"/>
                <w:bCs/>
              </w:rPr>
            </w:pPr>
          </w:p>
          <w:p w:rsidR="00D254D3" w:rsidRDefault="00D254D3" w:rsidP="00DB7106">
            <w:pPr>
              <w:ind w:firstLine="708"/>
              <w:jc w:val="both"/>
              <w:rPr>
                <w:rFonts w:ascii="Calibri" w:hAnsi="Calibri" w:cs="Arial"/>
                <w:b/>
              </w:rPr>
            </w:pPr>
            <w:r w:rsidRPr="0063470B">
              <w:rPr>
                <w:rFonts w:ascii="Calibri" w:hAnsi="Calibri" w:cs="Arial"/>
                <w:b/>
              </w:rPr>
              <w:t>I Creșterea ratei de ocupare a persoanelor în vârstă de 20-64 de ani, pe o piață a muncii inclusivă, care să susțină creșterea unei economii competitive, și care să ducă la reducerea sărăciei în muncă și ocupării informale.</w:t>
            </w:r>
          </w:p>
          <w:p w:rsidR="00D254D3" w:rsidRPr="003964D3" w:rsidRDefault="00D254D3" w:rsidP="00DB7106">
            <w:pPr>
              <w:ind w:firstLine="708"/>
              <w:jc w:val="both"/>
              <w:rPr>
                <w:rFonts w:ascii="Calibri" w:hAnsi="Calibri" w:cs="Arial"/>
                <w:b/>
                <w:lang w:val="fr-FR"/>
              </w:rPr>
            </w:pPr>
            <w:r w:rsidRPr="003964D3">
              <w:rPr>
                <w:rFonts w:ascii="Calibri" w:hAnsi="Calibri" w:cs="Arial"/>
                <w:b/>
                <w:lang w:val="fr-FR"/>
              </w:rPr>
              <w:t>1.1:</w:t>
            </w:r>
            <w:r w:rsidRPr="003964D3">
              <w:rPr>
                <w:rFonts w:ascii="Calibri" w:hAnsi="Calibri" w:cs="Arial"/>
                <w:lang w:val="fr-FR"/>
              </w:rPr>
              <w:t xml:space="preserve"> Ocupare pentru toți </w:t>
            </w:r>
          </w:p>
          <w:p w:rsidR="00D254D3" w:rsidRPr="003964D3" w:rsidRDefault="00D254D3" w:rsidP="00DB7106">
            <w:pPr>
              <w:ind w:firstLine="708"/>
              <w:jc w:val="both"/>
              <w:rPr>
                <w:rFonts w:ascii="Calibri" w:hAnsi="Calibri" w:cs="Arial"/>
                <w:b/>
                <w:lang w:val="fr-FR"/>
              </w:rPr>
            </w:pPr>
            <w:r w:rsidRPr="003964D3">
              <w:rPr>
                <w:rFonts w:ascii="Calibri" w:hAnsi="Calibri" w:cs="Arial"/>
                <w:b/>
                <w:lang w:val="fr-FR"/>
              </w:rPr>
              <w:t>1.2:</w:t>
            </w:r>
            <w:r w:rsidRPr="003964D3">
              <w:rPr>
                <w:rFonts w:ascii="Calibri" w:hAnsi="Calibri" w:cs="Arial"/>
                <w:lang w:val="fr-FR"/>
              </w:rPr>
              <w:t xml:space="preserve"> Măsuri pasive pentru persoanele aflate în căutarea unui loc de muncă</w:t>
            </w:r>
          </w:p>
          <w:p w:rsidR="00D254D3" w:rsidRPr="003964D3" w:rsidRDefault="00D254D3" w:rsidP="00DB7106">
            <w:pPr>
              <w:ind w:firstLine="708"/>
              <w:jc w:val="both"/>
              <w:rPr>
                <w:rFonts w:ascii="Calibri" w:hAnsi="Calibri" w:cs="Arial"/>
                <w:b/>
                <w:lang w:val="fr-FR"/>
              </w:rPr>
            </w:pPr>
            <w:r w:rsidRPr="003964D3">
              <w:rPr>
                <w:rFonts w:ascii="Calibri" w:hAnsi="Calibri" w:cs="Arial"/>
                <w:b/>
                <w:lang w:val="fr-FR"/>
              </w:rPr>
              <w:t>1.3</w:t>
            </w:r>
            <w:r w:rsidRPr="003964D3">
              <w:rPr>
                <w:rFonts w:ascii="Calibri" w:hAnsi="Calibri" w:cs="Arial"/>
                <w:lang w:val="fr-FR"/>
              </w:rPr>
              <w:t>: Condiții de muncă</w:t>
            </w:r>
          </w:p>
          <w:p w:rsidR="00D254D3" w:rsidRPr="003964D3" w:rsidRDefault="00D254D3" w:rsidP="00DB7106">
            <w:pPr>
              <w:ind w:firstLine="708"/>
              <w:jc w:val="both"/>
              <w:rPr>
                <w:rFonts w:ascii="Calibri" w:hAnsi="Calibri" w:cs="Arial"/>
                <w:b/>
                <w:lang w:val="fr-FR"/>
              </w:rPr>
            </w:pPr>
            <w:r w:rsidRPr="003964D3">
              <w:rPr>
                <w:rFonts w:ascii="Calibri" w:hAnsi="Calibri" w:cs="Arial"/>
                <w:b/>
                <w:lang w:val="fr-FR"/>
              </w:rPr>
              <w:t>1.4:</w:t>
            </w:r>
            <w:r w:rsidRPr="003964D3">
              <w:rPr>
                <w:rFonts w:ascii="Calibri" w:hAnsi="Calibri" w:cs="Arial"/>
                <w:lang w:val="fr-FR"/>
              </w:rPr>
              <w:t xml:space="preserve"> Asigurări accidente de muncă și boli profesionale</w:t>
            </w:r>
          </w:p>
          <w:p w:rsidR="00D254D3" w:rsidRPr="003964D3" w:rsidRDefault="00D254D3" w:rsidP="00DB7106">
            <w:pPr>
              <w:ind w:firstLine="708"/>
              <w:jc w:val="both"/>
              <w:rPr>
                <w:rFonts w:ascii="Calibri" w:hAnsi="Calibri" w:cs="Arial"/>
                <w:lang w:val="fr-FR"/>
              </w:rPr>
            </w:pPr>
            <w:r w:rsidRPr="003964D3">
              <w:rPr>
                <w:rFonts w:ascii="Calibri" w:hAnsi="Calibri" w:cs="Arial"/>
                <w:b/>
                <w:lang w:val="fr-FR"/>
              </w:rPr>
              <w:t>1.5.</w:t>
            </w:r>
            <w:r w:rsidRPr="003964D3">
              <w:rPr>
                <w:rFonts w:ascii="Calibri" w:hAnsi="Calibri" w:cs="Arial"/>
                <w:lang w:val="fr-FR"/>
              </w:rPr>
              <w:t xml:space="preserve"> politica în domeniul salarizării</w:t>
            </w:r>
          </w:p>
          <w:p w:rsidR="00D254D3" w:rsidRPr="003964D3" w:rsidRDefault="00D254D3" w:rsidP="00DB7106">
            <w:pPr>
              <w:ind w:firstLine="708"/>
              <w:jc w:val="both"/>
              <w:rPr>
                <w:rFonts w:ascii="Calibri" w:hAnsi="Calibri" w:cs="Arial"/>
                <w:b/>
                <w:lang w:val="fr-FR"/>
              </w:rPr>
            </w:pPr>
          </w:p>
          <w:p w:rsidR="00D254D3" w:rsidRPr="00F04A2A" w:rsidRDefault="00D254D3" w:rsidP="00DB7106">
            <w:pPr>
              <w:ind w:firstLine="708"/>
              <w:jc w:val="both"/>
              <w:rPr>
                <w:rFonts w:ascii="Calibri" w:hAnsi="Calibri" w:cs="Arial"/>
                <w:b/>
              </w:rPr>
            </w:pPr>
            <w:r w:rsidRPr="003964D3">
              <w:rPr>
                <w:rFonts w:ascii="Calibri" w:hAnsi="Calibri" w:cs="Arial"/>
                <w:b/>
                <w:lang w:val="fr-FR"/>
              </w:rPr>
              <w:t>Impact:</w:t>
            </w:r>
            <w:r w:rsidRPr="003964D3">
              <w:rPr>
                <w:rFonts w:ascii="Calibri" w:hAnsi="Calibri" w:cs="Arial"/>
                <w:lang w:val="fr-FR"/>
              </w:rPr>
              <w:t xml:space="preserve"> Rata de ocupare a persoanelor în vârstă de 20-64 de ani. </w:t>
            </w:r>
            <w:r w:rsidRPr="00F04A2A">
              <w:rPr>
                <w:rFonts w:ascii="Calibri" w:hAnsi="Calibri" w:cs="Arial"/>
              </w:rPr>
              <w:t xml:space="preserve">Țintă 2020: 70%; rata de sărăcie în muncă. </w:t>
            </w:r>
          </w:p>
          <w:p w:rsidR="00D254D3" w:rsidRPr="00750FD8" w:rsidRDefault="00D254D3" w:rsidP="00DB7106">
            <w:pPr>
              <w:tabs>
                <w:tab w:val="left" w:pos="1515"/>
              </w:tabs>
              <w:jc w:val="both"/>
              <w:rPr>
                <w:rFonts w:ascii="Calibri" w:hAnsi="Calibri" w:cs="Arial"/>
              </w:rPr>
            </w:pPr>
          </w:p>
        </w:tc>
      </w:tr>
      <w:tr w:rsidR="00D254D3" w:rsidRPr="003A1E71" w:rsidTr="00DB7106">
        <w:tc>
          <w:tcPr>
            <w:tcW w:w="9918" w:type="dxa"/>
            <w:shd w:val="clear" w:color="auto" w:fill="auto"/>
            <w:vAlign w:val="center"/>
          </w:tcPr>
          <w:p w:rsidR="00D254D3" w:rsidRPr="003964D3" w:rsidRDefault="00D254D3" w:rsidP="00DB7106">
            <w:pPr>
              <w:ind w:firstLine="663"/>
              <w:rPr>
                <w:rFonts w:ascii="Calibri" w:hAnsi="Calibri"/>
                <w:b/>
                <w:bCs/>
                <w:lang w:val="fr-FR"/>
              </w:rPr>
            </w:pPr>
            <w:r w:rsidRPr="003964D3">
              <w:rPr>
                <w:rFonts w:ascii="Calibri" w:hAnsi="Calibri"/>
                <w:b/>
                <w:bCs/>
                <w:lang w:val="fr-FR"/>
              </w:rPr>
              <w:t xml:space="preserve">Rezultate urmărite: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(1.1.1)</w:t>
            </w:r>
            <w:r w:rsidRPr="003964D3">
              <w:rPr>
                <w:rFonts w:ascii="Calibri" w:hAnsi="Calibri"/>
                <w:bCs/>
                <w:lang w:val="fr-FR"/>
              </w:rPr>
              <w:t xml:space="preserve"> Facilitarea integrării tinerilor NEETs prin măsuri și programe specifice: </w:t>
            </w:r>
            <w:r w:rsidRPr="003964D3">
              <w:rPr>
                <w:rFonts w:ascii="Calibri" w:hAnsi="Calibri"/>
                <w:bCs/>
                <w:i/>
                <w:iCs/>
                <w:lang w:val="fr-FR"/>
              </w:rPr>
              <w:t xml:space="preserve">Ponderea tinerilor cu vârsta mai mică de 25 de ani care ocupă un loc de muncă, participă la un curs de formare profesională, încheie un contract de ucenicie la locul de muncă sau încheie un contract de stagiu.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(1.1.2)</w:t>
            </w:r>
            <w:r w:rsidRPr="003964D3">
              <w:rPr>
                <w:rFonts w:ascii="Calibri" w:hAnsi="Calibri"/>
                <w:bCs/>
                <w:lang w:val="fr-FR"/>
              </w:rPr>
              <w:t xml:space="preserve"> Creșterea ocupării persoanelor înregistrate la ANOFM și prevenirea șomajului: </w:t>
            </w:r>
            <w:r w:rsidRPr="003964D3">
              <w:rPr>
                <w:rFonts w:ascii="Calibri" w:hAnsi="Calibri"/>
                <w:bCs/>
                <w:i/>
                <w:iCs/>
                <w:lang w:val="fr-FR"/>
              </w:rPr>
              <w:t xml:space="preserve">Gradul de ocupare a locurilor de muncă vacante declarate de angajatori și înregistrate la ANOFM. Țintă 2020: 75%. Gradul de ocupare al tuturor persoanelor în căutarea unui loc de muncă aflate în evidența ANOFM.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(1.1.3)</w:t>
            </w:r>
            <w:r w:rsidRPr="003964D3">
              <w:rPr>
                <w:rFonts w:ascii="Calibri" w:hAnsi="Calibri"/>
                <w:bCs/>
                <w:lang w:val="fr-FR"/>
              </w:rPr>
              <w:t xml:space="preserve"> Facilitarea tranziției de la sistemul de educație la piața muncii</w:t>
            </w:r>
            <w:r w:rsidRPr="003964D3">
              <w:rPr>
                <w:rFonts w:ascii="Calibri" w:hAnsi="Calibri"/>
                <w:bCs/>
                <w:i/>
                <w:iCs/>
                <w:lang w:val="fr-FR"/>
              </w:rPr>
              <w:t>: Ponderea persoanelor care încheie un contract de ucenicie  din total persoane în căutarea unui loc de muncă aflate în evidența ANOFM; ponderea absolvenților cu studii superioare care încheie un contract de  stagiu din total absolvenții cu studii superioare intrați  în evidența ANOFM în anul de referință.</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(1.1.4)</w:t>
            </w:r>
            <w:r w:rsidRPr="003964D3">
              <w:rPr>
                <w:rFonts w:ascii="Calibri" w:hAnsi="Calibri"/>
                <w:bCs/>
                <w:lang w:val="fr-FR"/>
              </w:rPr>
              <w:t xml:space="preserve"> Îmbunătățirea nivelului de competențe al persoanelor înregistrate la ANOFM prin programe de formare profesională: </w:t>
            </w:r>
            <w:r w:rsidRPr="003964D3">
              <w:rPr>
                <w:rFonts w:ascii="Calibri" w:hAnsi="Calibri"/>
                <w:bCs/>
                <w:i/>
                <w:iCs/>
                <w:lang w:val="fr-FR"/>
              </w:rPr>
              <w:t xml:space="preserve">Ponderea persoanelor ocupate la 6 luni de la susținerea examenelor de absolvire din total persoane absolvente de programe de formare profesională organizate de ANOFM; Țintă 2020: 35%. Ponderea persoanelor ocupate la 12 luni de la susținerea examenelor de absolvire din total persoane absolvente de programe de formare profesională organizate de ANOFM.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(1.1.5)</w:t>
            </w:r>
            <w:r w:rsidRPr="003964D3">
              <w:rPr>
                <w:rFonts w:ascii="Calibri" w:hAnsi="Calibri"/>
                <w:bCs/>
                <w:lang w:val="fr-FR"/>
              </w:rPr>
              <w:t xml:space="preserve"> Prevenirea șomajului și consolidarea locurilor de muncă: </w:t>
            </w:r>
            <w:r w:rsidRPr="003964D3">
              <w:rPr>
                <w:rFonts w:ascii="Calibri" w:hAnsi="Calibri"/>
                <w:bCs/>
                <w:i/>
                <w:iCs/>
                <w:lang w:val="fr-FR"/>
              </w:rPr>
              <w:t xml:space="preserve">Ponderea persoanelor beneficiare de servicii de preconcediere din total persoane concediate colectiv; Țintă 2020: 20% Ponderea subvențiilor acordate angajatorilor pentru programe de formare profesională a angajaților proprii din total solicitări.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(1.1.6)</w:t>
            </w:r>
            <w:r w:rsidRPr="003964D3">
              <w:rPr>
                <w:rFonts w:ascii="Calibri" w:hAnsi="Calibri"/>
                <w:bCs/>
                <w:lang w:val="fr-FR"/>
              </w:rPr>
              <w:t xml:space="preserve"> Stimularea angajatorilor în vederea ocupării locurilor de muncă vacante: </w:t>
            </w:r>
            <w:r w:rsidRPr="003964D3">
              <w:rPr>
                <w:rFonts w:ascii="Calibri" w:hAnsi="Calibri"/>
                <w:bCs/>
                <w:i/>
                <w:iCs/>
                <w:lang w:val="fr-FR"/>
              </w:rPr>
              <w:t xml:space="preserve">Ponderea persoanelor ocupate ca urmare a măsurilor de stimulare acordate angajatorilor din numărul total de persoane ocupate prin  masurile oferite de ANOFM. </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Cs/>
                <w:i/>
                <w:iCs/>
                <w:lang w:val="fr-FR"/>
              </w:rPr>
            </w:pPr>
            <w:r w:rsidRPr="003964D3">
              <w:rPr>
                <w:rFonts w:ascii="Calibri" w:hAnsi="Calibri"/>
                <w:b/>
                <w:bCs/>
                <w:lang w:val="fr-FR"/>
              </w:rPr>
              <w:t>(1.2.1)</w:t>
            </w:r>
            <w:r w:rsidRPr="003964D3">
              <w:rPr>
                <w:rFonts w:ascii="Calibri" w:hAnsi="Calibri"/>
                <w:bCs/>
                <w:lang w:val="fr-FR"/>
              </w:rPr>
              <w:t xml:space="preserve"> Asigurarea protecției persoanelor în cadrul sistemului asigurărilor pentru șomaj: </w:t>
            </w:r>
            <w:r w:rsidRPr="003964D3">
              <w:rPr>
                <w:rFonts w:ascii="Calibri" w:hAnsi="Calibri"/>
                <w:bCs/>
                <w:i/>
                <w:iCs/>
                <w:lang w:val="fr-FR"/>
              </w:rPr>
              <w:t>Ponderea șomerilor indemnizați în total  șomeri înregistrați. Țintă 2020: 20%</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(1.3.1)</w:t>
            </w:r>
            <w:r w:rsidRPr="003964D3">
              <w:rPr>
                <w:rFonts w:ascii="Calibri" w:hAnsi="Calibri"/>
                <w:bCs/>
                <w:lang w:val="fr-FR"/>
              </w:rPr>
              <w:t xml:space="preserve"> Reducerea sărăciei în muncă și a asimetriei curbei salariale: </w:t>
            </w:r>
            <w:r w:rsidRPr="003964D3">
              <w:rPr>
                <w:rFonts w:ascii="Calibri" w:hAnsi="Calibri"/>
                <w:bCs/>
                <w:i/>
                <w:iCs/>
                <w:lang w:val="fr-FR"/>
              </w:rPr>
              <w:t xml:space="preserve">Raportul dintre salariul minim brut și salariul mediu brut.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(1.3.2)</w:t>
            </w:r>
            <w:r w:rsidRPr="003964D3">
              <w:rPr>
                <w:rFonts w:ascii="Calibri" w:hAnsi="Calibri"/>
                <w:bCs/>
                <w:lang w:val="fr-FR"/>
              </w:rPr>
              <w:t xml:space="preserve"> Îmbunătățirea securității și sănătății lucrătorilor la locul de muncă și asigurarea cadrului legal și organizatoric pentru punerea la dispoziție a produselor din domeniul de competență al MMJS, conforme cu cerințele esențiale  de securitate: </w:t>
            </w:r>
            <w:r w:rsidRPr="003964D3">
              <w:rPr>
                <w:rFonts w:ascii="Calibri" w:hAnsi="Calibri"/>
                <w:bCs/>
                <w:i/>
                <w:iCs/>
                <w:lang w:val="fr-FR"/>
              </w:rPr>
              <w:t xml:space="preserve">Numărul de sesiuni de conștientizare adresate agenților economici, lucrătorilor și reprezentanților.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(1.3.3)</w:t>
            </w:r>
            <w:r w:rsidRPr="003964D3">
              <w:rPr>
                <w:rFonts w:ascii="Calibri" w:hAnsi="Calibri"/>
                <w:bCs/>
                <w:lang w:val="fr-FR"/>
              </w:rPr>
              <w:t xml:space="preserve"> Asigurarea aplicării de către angajatori a prevederilor legale in vigoare în domeniul relațiilor de muncă, sănătate, securitate în muncă, supravegherea pieței produselor și egalitate de șanse pe piața muncii: </w:t>
            </w:r>
            <w:r w:rsidRPr="003964D3">
              <w:rPr>
                <w:rFonts w:ascii="Calibri" w:hAnsi="Calibri"/>
                <w:bCs/>
                <w:i/>
                <w:iCs/>
                <w:lang w:val="fr-FR"/>
              </w:rPr>
              <w:t xml:space="preserve">Număr petiții/1000 de salariați. </w:t>
            </w: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(1.3.4)</w:t>
            </w:r>
            <w:r w:rsidRPr="003964D3">
              <w:rPr>
                <w:rFonts w:ascii="Calibri" w:hAnsi="Calibri"/>
                <w:bCs/>
                <w:lang w:val="fr-FR"/>
              </w:rPr>
              <w:t xml:space="preserve"> Orientarea asigurării pentru accidente de muncă și boli profesionale în sprijinul beneficiarilor de prestații: </w:t>
            </w:r>
            <w:r w:rsidRPr="003964D3">
              <w:rPr>
                <w:rFonts w:ascii="Calibri" w:hAnsi="Calibri"/>
                <w:bCs/>
                <w:i/>
                <w:iCs/>
                <w:lang w:val="fr-FR"/>
              </w:rPr>
              <w:t xml:space="preserve">Diversificarea prestațiilor acordate - Ponderea prestațiilor acordate beneficiarilor la 100 salariați. </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
                <w:bCs/>
                <w:lang w:val="fr-FR"/>
              </w:rPr>
            </w:pPr>
            <w:r w:rsidRPr="003964D3">
              <w:rPr>
                <w:rFonts w:ascii="Calibri" w:hAnsi="Calibri"/>
                <w:b/>
                <w:bCs/>
                <w:lang w:val="fr-FR"/>
              </w:rPr>
              <w:t>(1.4.1)</w:t>
            </w:r>
            <w:r w:rsidRPr="003964D3">
              <w:rPr>
                <w:rFonts w:ascii="Calibri" w:hAnsi="Calibri"/>
                <w:bCs/>
                <w:lang w:val="fr-FR"/>
              </w:rPr>
              <w:t xml:space="preserve"> Armonizarea cerințelor regulamentelor europene prin prisma modificărilor impuse de sistemul EESSI cu legislația și practica națională: </w:t>
            </w:r>
            <w:r w:rsidRPr="003964D3">
              <w:rPr>
                <w:rFonts w:ascii="Calibri" w:hAnsi="Calibri"/>
                <w:bCs/>
                <w:i/>
                <w:iCs/>
                <w:lang w:val="fr-FR"/>
              </w:rPr>
              <w:t xml:space="preserve">Creșterea gradului de conformare al angajatorilor la cerințele regulamentelor europene - Ponderea cazurilor neconforme raportat la total solicitări. </w:t>
            </w:r>
          </w:p>
          <w:p w:rsidR="00D254D3" w:rsidRPr="003964D3" w:rsidRDefault="00D254D3" w:rsidP="00DB7106">
            <w:pPr>
              <w:ind w:firstLine="663"/>
              <w:jc w:val="both"/>
              <w:rPr>
                <w:rFonts w:ascii="Calibri" w:hAnsi="Calibri"/>
                <w:bCs/>
                <w:i/>
                <w:iCs/>
                <w:lang w:val="fr-FR"/>
              </w:rPr>
            </w:pPr>
            <w:r w:rsidRPr="003964D3">
              <w:rPr>
                <w:rFonts w:ascii="Calibri" w:hAnsi="Calibri"/>
                <w:b/>
                <w:bCs/>
                <w:lang w:val="fr-FR"/>
              </w:rPr>
              <w:t>(1.4.2)</w:t>
            </w:r>
            <w:r w:rsidRPr="003964D3">
              <w:rPr>
                <w:rFonts w:ascii="Calibri" w:hAnsi="Calibri"/>
                <w:bCs/>
                <w:lang w:val="fr-FR"/>
              </w:rPr>
              <w:t xml:space="preserve"> Sprijinirea angajatorilor în realizarea activității de prevenire: </w:t>
            </w:r>
            <w:r w:rsidRPr="003964D3">
              <w:rPr>
                <w:rFonts w:ascii="Calibri" w:hAnsi="Calibri"/>
                <w:bCs/>
                <w:i/>
                <w:iCs/>
                <w:lang w:val="fr-FR"/>
              </w:rPr>
              <w:t xml:space="preserve">Îmbunătățirea  nivelului de securitate și sănătate în muncă al întreprinderilor - Ponderea măsurilor implementate în raport cu măsurile recomandate. </w:t>
            </w:r>
          </w:p>
          <w:p w:rsidR="00D254D3" w:rsidRPr="008749FD" w:rsidRDefault="00D254D3" w:rsidP="00DB7106">
            <w:pPr>
              <w:ind w:firstLine="663"/>
              <w:jc w:val="both"/>
              <w:rPr>
                <w:rFonts w:ascii="Calibri" w:hAnsi="Calibri"/>
                <w:bCs/>
                <w:i/>
                <w:iCs/>
              </w:rPr>
            </w:pPr>
            <w:r w:rsidRPr="000F21D9">
              <w:rPr>
                <w:rFonts w:ascii="Calibri" w:hAnsi="Calibri" w:cs="Arial"/>
                <w:b/>
              </w:rPr>
              <w:t>(1.</w:t>
            </w:r>
            <w:r>
              <w:rPr>
                <w:rFonts w:ascii="Calibri" w:hAnsi="Calibri"/>
                <w:b/>
                <w:bCs/>
              </w:rPr>
              <w:t>5</w:t>
            </w:r>
            <w:r w:rsidRPr="00357EB4">
              <w:rPr>
                <w:rFonts w:ascii="Calibri" w:hAnsi="Calibri"/>
                <w:b/>
                <w:bCs/>
              </w:rPr>
              <w:t>.1</w:t>
            </w:r>
            <w:r w:rsidRPr="000F21D9">
              <w:rPr>
                <w:rFonts w:ascii="Calibri" w:hAnsi="Calibri"/>
                <w:b/>
                <w:bCs/>
              </w:rPr>
              <w:t>)</w:t>
            </w:r>
            <w:r>
              <w:rPr>
                <w:rFonts w:ascii="Calibri" w:hAnsi="Calibri"/>
                <w:bCs/>
              </w:rPr>
              <w:t>C</w:t>
            </w:r>
            <w:r w:rsidRPr="00F04A2A">
              <w:rPr>
                <w:rFonts w:ascii="Calibri" w:hAnsi="Calibri"/>
                <w:bCs/>
              </w:rPr>
              <w:t>reșterea anuală a salariului minim brut pe țară; elaborarea politicii în domeniul salariului minim brut pe țară.</w:t>
            </w:r>
          </w:p>
        </w:tc>
      </w:tr>
    </w:tbl>
    <w:p w:rsidR="003904E0" w:rsidRPr="003A1E71" w:rsidRDefault="003904E0" w:rsidP="003904E0">
      <w:pPr>
        <w:keepLines/>
        <w:widowControl w:val="0"/>
        <w:spacing w:line="320" w:lineRule="exact"/>
        <w:jc w:val="both"/>
        <w:rPr>
          <w:rFonts w:ascii="Calibri" w:hAnsi="Calibri" w:cs="Arial Narrow"/>
          <w:b/>
          <w:color w:val="000080"/>
        </w:rPr>
      </w:pPr>
    </w:p>
    <w:p w:rsidR="003904E0" w:rsidRPr="001E103D" w:rsidRDefault="003904E0" w:rsidP="003904E0">
      <w:pPr>
        <w:keepLines/>
        <w:widowControl w:val="0"/>
        <w:shd w:val="clear" w:color="auto" w:fill="99CCFF"/>
        <w:spacing w:line="320" w:lineRule="exact"/>
        <w:jc w:val="both"/>
        <w:rPr>
          <w:rFonts w:ascii="Calibri" w:hAnsi="Calibri" w:cs="Arial Narrow"/>
          <w:b/>
          <w:color w:val="000080"/>
        </w:rPr>
      </w:pPr>
      <w:r w:rsidRPr="001E103D">
        <w:rPr>
          <w:rFonts w:ascii="Calibri" w:hAnsi="Calibri" w:cs="Arial Narrow"/>
          <w:b/>
          <w:color w:val="000080"/>
        </w:rPr>
        <w:t>Politica în domeniul pensiilor</w:t>
      </w:r>
    </w:p>
    <w:tbl>
      <w:tblPr>
        <w:tblW w:w="9918" w:type="dxa"/>
        <w:tblInd w:w="222" w:type="dxa"/>
        <w:tblLayout w:type="fixed"/>
        <w:tblLook w:val="0000" w:firstRow="0" w:lastRow="0" w:firstColumn="0" w:lastColumn="0" w:noHBand="0" w:noVBand="0"/>
      </w:tblPr>
      <w:tblGrid>
        <w:gridCol w:w="9918"/>
      </w:tblGrid>
      <w:tr w:rsidR="00357EB4" w:rsidRPr="00886D50" w:rsidTr="00DB7106">
        <w:tc>
          <w:tcPr>
            <w:tcW w:w="9918" w:type="dxa"/>
            <w:shd w:val="clear" w:color="auto" w:fill="auto"/>
            <w:vAlign w:val="center"/>
          </w:tcPr>
          <w:p w:rsidR="00357EB4" w:rsidRPr="003964D3" w:rsidRDefault="00357EB4" w:rsidP="00DB7106">
            <w:pPr>
              <w:tabs>
                <w:tab w:val="left" w:pos="1515"/>
              </w:tabs>
              <w:jc w:val="both"/>
              <w:rPr>
                <w:rFonts w:ascii="Calibri" w:eastAsia="Calibri" w:hAnsi="Calibri" w:cs="Arial"/>
                <w:bCs/>
                <w:lang w:val="fr-FR"/>
              </w:rPr>
            </w:pPr>
          </w:p>
          <w:p w:rsidR="00357EB4" w:rsidRPr="003964D3" w:rsidRDefault="00357EB4" w:rsidP="00DB7106">
            <w:pPr>
              <w:ind w:firstLine="708"/>
              <w:jc w:val="both"/>
              <w:rPr>
                <w:rFonts w:ascii="Calibri" w:eastAsia="Calibri" w:hAnsi="Calibri" w:cs="Arial"/>
                <w:b/>
                <w:bCs/>
                <w:lang w:val="fr-FR"/>
              </w:rPr>
            </w:pPr>
            <w:r w:rsidRPr="003964D3">
              <w:rPr>
                <w:rFonts w:ascii="Calibri" w:eastAsia="Calibri" w:hAnsi="Calibri" w:cs="Arial"/>
                <w:b/>
                <w:bCs/>
                <w:lang w:val="fr-FR"/>
              </w:rPr>
              <w:t>II Un sistem de pensii adecvat si sustenabil</w:t>
            </w:r>
          </w:p>
          <w:p w:rsidR="00357EB4" w:rsidRPr="003964D3" w:rsidRDefault="00357EB4" w:rsidP="00DB7106">
            <w:pPr>
              <w:ind w:firstLine="708"/>
              <w:jc w:val="both"/>
              <w:rPr>
                <w:rFonts w:ascii="Calibri" w:eastAsia="Calibri" w:hAnsi="Calibri" w:cs="Arial"/>
                <w:b/>
                <w:bCs/>
                <w:lang w:val="fr-FR"/>
              </w:rPr>
            </w:pPr>
          </w:p>
          <w:p w:rsidR="00357EB4" w:rsidRPr="003964D3" w:rsidRDefault="00357EB4" w:rsidP="00DB7106">
            <w:pPr>
              <w:ind w:left="993"/>
              <w:rPr>
                <w:rFonts w:ascii="Calibri" w:hAnsi="Calibri"/>
                <w:bCs/>
                <w:lang w:val="fr-FR"/>
              </w:rPr>
            </w:pPr>
            <w:r w:rsidRPr="003964D3">
              <w:rPr>
                <w:rFonts w:ascii="Calibri" w:hAnsi="Calibri"/>
                <w:b/>
                <w:bCs/>
                <w:lang w:val="fr-FR"/>
              </w:rPr>
              <w:t>2.1</w:t>
            </w:r>
            <w:r w:rsidRPr="003964D3">
              <w:rPr>
                <w:rFonts w:ascii="Calibri" w:hAnsi="Calibri"/>
                <w:bCs/>
                <w:lang w:val="fr-FR"/>
              </w:rPr>
              <w:t xml:space="preserve"> Adecvare și echitate în sistemul de pensii</w:t>
            </w:r>
          </w:p>
          <w:p w:rsidR="00357EB4" w:rsidRPr="003964D3" w:rsidRDefault="00357EB4" w:rsidP="00DB7106">
            <w:pPr>
              <w:ind w:left="993"/>
              <w:rPr>
                <w:rFonts w:ascii="Calibri" w:hAnsi="Calibri"/>
                <w:bCs/>
                <w:lang w:val="fr-FR"/>
              </w:rPr>
            </w:pPr>
            <w:r w:rsidRPr="003964D3">
              <w:rPr>
                <w:rFonts w:ascii="Calibri" w:hAnsi="Calibri"/>
                <w:b/>
                <w:bCs/>
                <w:lang w:val="fr-FR"/>
              </w:rPr>
              <w:t>2.2</w:t>
            </w:r>
            <w:r w:rsidRPr="003964D3">
              <w:rPr>
                <w:rFonts w:ascii="Calibri" w:hAnsi="Calibri"/>
                <w:bCs/>
                <w:lang w:val="fr-FR"/>
              </w:rPr>
              <w:t xml:space="preserve"> Managementul sistemului public de pensii</w:t>
            </w:r>
          </w:p>
          <w:p w:rsidR="00357EB4" w:rsidRPr="003964D3" w:rsidRDefault="00357EB4" w:rsidP="00DB7106">
            <w:pPr>
              <w:ind w:left="993"/>
              <w:rPr>
                <w:rFonts w:ascii="Calibri" w:hAnsi="Calibri"/>
                <w:bCs/>
                <w:lang w:val="fr-FR"/>
              </w:rPr>
            </w:pPr>
          </w:p>
          <w:p w:rsidR="00357EB4" w:rsidRPr="00886D50" w:rsidRDefault="00357EB4" w:rsidP="00DB7106">
            <w:pPr>
              <w:ind w:left="993"/>
              <w:rPr>
                <w:rFonts w:ascii="Calibri" w:hAnsi="Calibri"/>
                <w:bCs/>
              </w:rPr>
            </w:pPr>
            <w:r w:rsidRPr="003964D3">
              <w:rPr>
                <w:rFonts w:ascii="Calibri" w:hAnsi="Calibri"/>
                <w:b/>
                <w:bCs/>
                <w:lang w:val="fr-FR"/>
              </w:rPr>
              <w:t>Impact:</w:t>
            </w:r>
            <w:r w:rsidRPr="003964D3">
              <w:rPr>
                <w:rFonts w:ascii="Calibri" w:hAnsi="Calibri"/>
                <w:bCs/>
                <w:lang w:val="fr-FR"/>
              </w:rPr>
              <w:t xml:space="preserve"> rata medie de înlocuire total/schema publică. </w:t>
            </w:r>
            <w:r w:rsidRPr="0037032F">
              <w:rPr>
                <w:rFonts w:ascii="Calibri" w:hAnsi="Calibri"/>
                <w:bCs/>
              </w:rPr>
              <w:t>Țintă 2021: 36.6/36.7%</w:t>
            </w:r>
          </w:p>
        </w:tc>
      </w:tr>
      <w:tr w:rsidR="00357EB4" w:rsidRPr="008368B9" w:rsidTr="00DB7106">
        <w:tc>
          <w:tcPr>
            <w:tcW w:w="9918" w:type="dxa"/>
            <w:shd w:val="clear" w:color="auto" w:fill="auto"/>
            <w:vAlign w:val="center"/>
          </w:tcPr>
          <w:p w:rsidR="00357EB4" w:rsidRPr="00886D50" w:rsidRDefault="00357EB4" w:rsidP="00DB7106">
            <w:pPr>
              <w:ind w:left="993"/>
              <w:rPr>
                <w:rFonts w:ascii="Calibri" w:hAnsi="Calibri"/>
                <w:bCs/>
              </w:rPr>
            </w:pPr>
            <w:r w:rsidRPr="00886D50">
              <w:rPr>
                <w:rFonts w:ascii="Calibri" w:hAnsi="Calibri"/>
                <w:b/>
                <w:bCs/>
              </w:rPr>
              <w:t>Rezultate urmărite:</w:t>
            </w:r>
          </w:p>
          <w:p w:rsidR="00357EB4" w:rsidRPr="0037032F" w:rsidRDefault="00357EB4" w:rsidP="00021698">
            <w:pPr>
              <w:numPr>
                <w:ilvl w:val="0"/>
                <w:numId w:val="97"/>
              </w:numPr>
              <w:tabs>
                <w:tab w:val="num" w:pos="720"/>
              </w:tabs>
              <w:spacing w:line="276" w:lineRule="auto"/>
              <w:jc w:val="both"/>
              <w:rPr>
                <w:rFonts w:ascii="Calibri" w:hAnsi="Calibri"/>
                <w:bCs/>
              </w:rPr>
            </w:pPr>
            <w:r w:rsidRPr="00886D50">
              <w:rPr>
                <w:rFonts w:ascii="Calibri" w:hAnsi="Calibri"/>
                <w:b/>
                <w:bCs/>
              </w:rPr>
              <w:t>(2.1.1)</w:t>
            </w:r>
            <w:r w:rsidRPr="00886D50">
              <w:rPr>
                <w:rFonts w:ascii="Calibri" w:hAnsi="Calibri"/>
                <w:bCs/>
                <w:i/>
              </w:rPr>
              <w:t>Asigurarea unei vieți decente pentru pensionari:</w:t>
            </w:r>
            <w:r w:rsidRPr="0037032F">
              <w:rPr>
                <w:rFonts w:ascii="Calibri" w:hAnsi="Calibri"/>
                <w:bCs/>
              </w:rPr>
              <w:t xml:space="preserve"> Rata </w:t>
            </w:r>
            <w:r w:rsidR="00154272">
              <w:rPr>
                <w:rFonts w:ascii="Calibri" w:hAnsi="Calibri"/>
                <w:bCs/>
              </w:rPr>
              <w:t>depri</w:t>
            </w:r>
            <w:r w:rsidRPr="00357EB4">
              <w:rPr>
                <w:rFonts w:ascii="Calibri" w:hAnsi="Calibri"/>
                <w:bCs/>
              </w:rPr>
              <w:t xml:space="preserve">vării </w:t>
            </w:r>
            <w:r w:rsidRPr="0037032F">
              <w:rPr>
                <w:rFonts w:ascii="Calibri" w:hAnsi="Calibri"/>
                <w:bCs/>
              </w:rPr>
              <w:t xml:space="preserve">materiale în rândul pensionarilor. </w:t>
            </w:r>
          </w:p>
          <w:p w:rsidR="00357EB4" w:rsidRPr="0037032F" w:rsidRDefault="00357EB4" w:rsidP="00021698">
            <w:pPr>
              <w:numPr>
                <w:ilvl w:val="0"/>
                <w:numId w:val="97"/>
              </w:numPr>
              <w:tabs>
                <w:tab w:val="num" w:pos="720"/>
              </w:tabs>
              <w:spacing w:line="276" w:lineRule="auto"/>
              <w:jc w:val="both"/>
              <w:rPr>
                <w:rFonts w:ascii="Calibri" w:hAnsi="Calibri"/>
                <w:bCs/>
              </w:rPr>
            </w:pPr>
            <w:r w:rsidRPr="00886D50">
              <w:rPr>
                <w:rFonts w:ascii="Calibri" w:hAnsi="Calibri"/>
                <w:b/>
                <w:bCs/>
              </w:rPr>
              <w:t>(2.1.2)</w:t>
            </w:r>
            <w:r w:rsidRPr="00886D50">
              <w:rPr>
                <w:rFonts w:ascii="Calibri" w:hAnsi="Calibri"/>
                <w:bCs/>
                <w:i/>
              </w:rPr>
              <w:t>Respectarea principiilor echității:</w:t>
            </w:r>
            <w:r w:rsidRPr="0037032F">
              <w:rPr>
                <w:rFonts w:ascii="Calibri" w:hAnsi="Calibri"/>
                <w:bCs/>
              </w:rPr>
              <w:t xml:space="preserve"> Diferența dintre rata medie de înlocuire dintre femei și bărbați. </w:t>
            </w:r>
          </w:p>
          <w:p w:rsidR="00357EB4" w:rsidRPr="003964D3" w:rsidRDefault="00357EB4" w:rsidP="00021698">
            <w:pPr>
              <w:numPr>
                <w:ilvl w:val="0"/>
                <w:numId w:val="97"/>
              </w:numPr>
              <w:tabs>
                <w:tab w:val="num" w:pos="720"/>
              </w:tabs>
              <w:spacing w:line="276" w:lineRule="auto"/>
              <w:jc w:val="both"/>
              <w:rPr>
                <w:rFonts w:ascii="Calibri" w:hAnsi="Calibri"/>
                <w:bCs/>
                <w:lang w:val="fr-FR"/>
              </w:rPr>
            </w:pPr>
            <w:r w:rsidRPr="003964D3">
              <w:rPr>
                <w:rFonts w:ascii="Calibri" w:hAnsi="Calibri"/>
                <w:b/>
                <w:bCs/>
                <w:lang w:val="fr-FR"/>
              </w:rPr>
              <w:t>(2.2.1)</w:t>
            </w:r>
            <w:r w:rsidRPr="003964D3">
              <w:rPr>
                <w:rFonts w:ascii="Calibri" w:hAnsi="Calibri"/>
                <w:bCs/>
                <w:i/>
                <w:lang w:val="fr-FR"/>
              </w:rPr>
              <w:t>Menținerea sustenabilității sistemului de pensii:</w:t>
            </w:r>
            <w:r w:rsidRPr="003964D3">
              <w:rPr>
                <w:rFonts w:ascii="Calibri" w:hAnsi="Calibri"/>
                <w:bCs/>
                <w:lang w:val="fr-FR"/>
              </w:rPr>
              <w:t xml:space="preserve"> Rata de acoperire a cheltuielilor nete din contribuții. </w:t>
            </w:r>
          </w:p>
          <w:p w:rsidR="00357EB4" w:rsidRPr="003964D3" w:rsidRDefault="00357EB4" w:rsidP="00DB7106">
            <w:pPr>
              <w:tabs>
                <w:tab w:val="left" w:pos="1515"/>
              </w:tabs>
              <w:ind w:firstLine="720"/>
              <w:jc w:val="both"/>
              <w:rPr>
                <w:rFonts w:ascii="Calibri" w:eastAsia="Calibri" w:hAnsi="Calibri" w:cs="Arial"/>
                <w:bCs/>
                <w:lang w:val="fr-FR"/>
              </w:rPr>
            </w:pPr>
          </w:p>
          <w:p w:rsidR="00357EB4" w:rsidRPr="003964D3" w:rsidRDefault="00357EB4" w:rsidP="00DB7106">
            <w:pPr>
              <w:tabs>
                <w:tab w:val="left" w:pos="1515"/>
              </w:tabs>
              <w:jc w:val="both"/>
              <w:rPr>
                <w:rFonts w:ascii="Calibri" w:eastAsia="Calibri" w:hAnsi="Calibri" w:cs="Arial"/>
                <w:bCs/>
                <w:lang w:val="fr-FR"/>
              </w:rPr>
            </w:pPr>
          </w:p>
        </w:tc>
      </w:tr>
    </w:tbl>
    <w:p w:rsidR="003904E0" w:rsidRPr="003964D3" w:rsidRDefault="003904E0" w:rsidP="003904E0">
      <w:pPr>
        <w:rPr>
          <w:rFonts w:ascii="Calibri" w:hAnsi="Calibri" w:cs="Arial Narrow"/>
          <w:lang w:val="fr-FR"/>
        </w:rPr>
      </w:pPr>
    </w:p>
    <w:p w:rsidR="0042679A" w:rsidRPr="003964D3" w:rsidRDefault="0042679A" w:rsidP="003904E0">
      <w:pPr>
        <w:rPr>
          <w:rFonts w:ascii="Calibri" w:hAnsi="Calibri" w:cs="Arial Narrow"/>
          <w:lang w:val="fr-FR"/>
        </w:rPr>
      </w:pPr>
    </w:p>
    <w:p w:rsidR="003904E0" w:rsidRPr="003A1E71" w:rsidRDefault="003904E0" w:rsidP="003904E0">
      <w:pPr>
        <w:widowControl w:val="0"/>
        <w:shd w:val="clear" w:color="auto" w:fill="99CCFF"/>
        <w:spacing w:line="320" w:lineRule="exact"/>
        <w:rPr>
          <w:rFonts w:ascii="Calibri" w:hAnsi="Calibri" w:cs="Arial Narrow"/>
        </w:rPr>
      </w:pPr>
      <w:r w:rsidRPr="003A1E71">
        <w:rPr>
          <w:rFonts w:ascii="Calibri" w:hAnsi="Calibri" w:cs="Arial Narrow"/>
          <w:b/>
          <w:color w:val="000080"/>
        </w:rPr>
        <w:t>Politica în domeniul asistenței sociale</w:t>
      </w:r>
      <w:r>
        <w:rPr>
          <w:rFonts w:ascii="Calibri" w:hAnsi="Calibri" w:cs="Arial Narrow"/>
          <w:b/>
          <w:color w:val="000080"/>
        </w:rPr>
        <w:t xml:space="preserve">, incluziune socială și reducerea sărăciei </w:t>
      </w:r>
    </w:p>
    <w:p w:rsidR="00CC6B6C" w:rsidRPr="003A1E71" w:rsidRDefault="00CC6B6C" w:rsidP="00CC6B6C">
      <w:pPr>
        <w:rPr>
          <w:rFonts w:ascii="Calibri" w:hAnsi="Calibri" w:cs="Arial Narrow"/>
        </w:rPr>
      </w:pPr>
    </w:p>
    <w:tbl>
      <w:tblPr>
        <w:tblW w:w="9918" w:type="dxa"/>
        <w:tblInd w:w="222" w:type="dxa"/>
        <w:tblLayout w:type="fixed"/>
        <w:tblLook w:val="0000" w:firstRow="0" w:lastRow="0" w:firstColumn="0" w:lastColumn="0" w:noHBand="0" w:noVBand="0"/>
      </w:tblPr>
      <w:tblGrid>
        <w:gridCol w:w="9918"/>
      </w:tblGrid>
      <w:tr w:rsidR="00CC6B6C" w:rsidRPr="008368B9" w:rsidTr="00DB7106">
        <w:tc>
          <w:tcPr>
            <w:tcW w:w="9918" w:type="dxa"/>
            <w:shd w:val="clear" w:color="auto" w:fill="auto"/>
          </w:tcPr>
          <w:p w:rsidR="00CC6B6C" w:rsidRDefault="00CC6B6C" w:rsidP="00DB7106">
            <w:pPr>
              <w:ind w:firstLine="708"/>
              <w:jc w:val="both"/>
              <w:rPr>
                <w:rFonts w:ascii="Calibri" w:hAnsi="Calibri" w:cs="Arial"/>
                <w:b/>
              </w:rPr>
            </w:pPr>
            <w:r w:rsidRPr="009C3CB8">
              <w:rPr>
                <w:rFonts w:ascii="Calibri" w:hAnsi="Calibri" w:cs="Arial"/>
                <w:b/>
              </w:rPr>
              <w:t xml:space="preserve">III </w:t>
            </w:r>
            <w:r w:rsidRPr="009C3CB8">
              <w:rPr>
                <w:rFonts w:ascii="Calibri" w:hAnsi="Calibri"/>
                <w:b/>
              </w:rPr>
              <w:t>Scăderea numărului persoanelor în risc de sărăcie și excluziune socială, în contextul creării unei rețele de servicii sociale integrate, ample și bine coordonate contextul creării unei rețele de servicii sociale integrate, ample și bine coordonate</w:t>
            </w:r>
          </w:p>
          <w:p w:rsidR="00CC6B6C" w:rsidRDefault="00CC6B6C" w:rsidP="00DB7106">
            <w:pPr>
              <w:ind w:firstLine="708"/>
              <w:jc w:val="both"/>
              <w:rPr>
                <w:rFonts w:ascii="Calibri" w:hAnsi="Calibri" w:cs="Arial"/>
                <w:b/>
              </w:rPr>
            </w:pPr>
            <w:r w:rsidRPr="009C3CB8">
              <w:rPr>
                <w:rFonts w:ascii="Calibri" w:hAnsi="Calibri"/>
                <w:b/>
                <w:bCs/>
              </w:rPr>
              <w:t>3.1</w:t>
            </w:r>
            <w:r w:rsidRPr="009C3CB8">
              <w:rPr>
                <w:rFonts w:ascii="Calibri" w:hAnsi="Calibri"/>
                <w:bCs/>
              </w:rPr>
              <w:t xml:space="preserve"> Protecția copilului</w:t>
            </w:r>
          </w:p>
          <w:p w:rsidR="00CC6B6C" w:rsidRDefault="00CC6B6C" w:rsidP="00DB7106">
            <w:pPr>
              <w:ind w:firstLine="708"/>
              <w:jc w:val="both"/>
              <w:rPr>
                <w:rFonts w:ascii="Calibri" w:hAnsi="Calibri" w:cs="Arial"/>
                <w:b/>
              </w:rPr>
            </w:pPr>
            <w:r w:rsidRPr="009C3CB8">
              <w:rPr>
                <w:rFonts w:ascii="Calibri" w:hAnsi="Calibri"/>
                <w:b/>
                <w:bCs/>
              </w:rPr>
              <w:t>3.2</w:t>
            </w:r>
            <w:r w:rsidRPr="009C3CB8">
              <w:rPr>
                <w:rFonts w:ascii="Calibri" w:hAnsi="Calibri"/>
                <w:bCs/>
              </w:rPr>
              <w:t xml:space="preserve"> Beneficii și inspecție socială </w:t>
            </w:r>
          </w:p>
          <w:p w:rsidR="00CC6B6C" w:rsidRDefault="00CC6B6C" w:rsidP="00DB7106">
            <w:pPr>
              <w:ind w:firstLine="708"/>
              <w:jc w:val="both"/>
              <w:rPr>
                <w:rFonts w:ascii="Calibri" w:hAnsi="Calibri" w:cs="Arial"/>
                <w:b/>
              </w:rPr>
            </w:pPr>
            <w:r w:rsidRPr="009C3CB8">
              <w:rPr>
                <w:rFonts w:ascii="Calibri" w:hAnsi="Calibri"/>
                <w:b/>
                <w:bCs/>
              </w:rPr>
              <w:t>3.3</w:t>
            </w:r>
            <w:r w:rsidRPr="009C3CB8">
              <w:rPr>
                <w:rFonts w:ascii="Calibri" w:hAnsi="Calibri"/>
                <w:bCs/>
              </w:rPr>
              <w:t xml:space="preserve"> Servicii sociale</w:t>
            </w:r>
          </w:p>
          <w:p w:rsidR="00CC6B6C" w:rsidRDefault="00CC6B6C" w:rsidP="00DB7106">
            <w:pPr>
              <w:ind w:firstLine="708"/>
              <w:jc w:val="both"/>
              <w:rPr>
                <w:rFonts w:ascii="Calibri" w:hAnsi="Calibri" w:cs="Arial"/>
                <w:b/>
              </w:rPr>
            </w:pPr>
            <w:r w:rsidRPr="009C3CB8">
              <w:rPr>
                <w:rFonts w:ascii="Calibri" w:hAnsi="Calibri"/>
                <w:b/>
                <w:bCs/>
              </w:rPr>
              <w:t>3.4</w:t>
            </w:r>
            <w:r w:rsidRPr="009C3CB8">
              <w:rPr>
                <w:rFonts w:ascii="Calibri" w:hAnsi="Calibri"/>
                <w:bCs/>
              </w:rPr>
              <w:t xml:space="preserve"> Drepturile persoanelor cu dizabilități</w:t>
            </w:r>
          </w:p>
          <w:p w:rsidR="00CC6B6C" w:rsidRPr="003964D3" w:rsidRDefault="00CC6B6C" w:rsidP="00DB7106">
            <w:pPr>
              <w:ind w:firstLine="708"/>
              <w:jc w:val="both"/>
              <w:rPr>
                <w:rFonts w:ascii="Calibri" w:hAnsi="Calibri" w:cs="Arial"/>
                <w:b/>
                <w:lang w:val="fr-FR"/>
              </w:rPr>
            </w:pPr>
            <w:r w:rsidRPr="003964D3">
              <w:rPr>
                <w:rFonts w:ascii="Calibri" w:hAnsi="Calibri"/>
                <w:b/>
                <w:bCs/>
                <w:lang w:val="fr-FR"/>
              </w:rPr>
              <w:t>3.5.</w:t>
            </w:r>
            <w:r w:rsidRPr="003964D3">
              <w:rPr>
                <w:rFonts w:ascii="Calibri" w:hAnsi="Calibri"/>
                <w:bCs/>
                <w:lang w:val="fr-FR"/>
              </w:rPr>
              <w:t xml:space="preserve"> Egalitate de șanse și combaterea violenței în familie</w:t>
            </w:r>
          </w:p>
          <w:p w:rsidR="00CC6B6C" w:rsidRPr="003964D3" w:rsidRDefault="00CC6B6C" w:rsidP="00DB7106">
            <w:pPr>
              <w:ind w:firstLine="708"/>
              <w:jc w:val="both"/>
              <w:rPr>
                <w:rFonts w:ascii="Calibri" w:hAnsi="Calibri" w:cs="Arial"/>
                <w:b/>
                <w:lang w:val="fr-FR"/>
              </w:rPr>
            </w:pPr>
            <w:r w:rsidRPr="003964D3">
              <w:rPr>
                <w:rFonts w:ascii="Calibri" w:hAnsi="Calibri"/>
                <w:b/>
                <w:bCs/>
                <w:lang w:val="fr-FR"/>
              </w:rPr>
              <w:t>Impact:</w:t>
            </w:r>
            <w:r w:rsidRPr="003964D3">
              <w:rPr>
                <w:rFonts w:ascii="Calibri" w:hAnsi="Calibri"/>
                <w:bCs/>
                <w:lang w:val="fr-FR"/>
              </w:rPr>
              <w:t xml:space="preserve"> Rata riscului de sărăcie relative, țintă 2021: 34%, rata de risc de sărăcie în rândul copiilor, țintă 2021: 29%</w:t>
            </w:r>
          </w:p>
          <w:p w:rsidR="00CC6B6C" w:rsidRPr="003964D3" w:rsidRDefault="00CC6B6C" w:rsidP="00DB7106">
            <w:pPr>
              <w:ind w:firstLine="708"/>
              <w:jc w:val="both"/>
              <w:rPr>
                <w:rFonts w:ascii="Calibri" w:eastAsia="Calibri" w:hAnsi="Calibri" w:cs="Arial"/>
                <w:bCs/>
                <w:lang w:val="fr-FR"/>
              </w:rPr>
            </w:pPr>
          </w:p>
        </w:tc>
      </w:tr>
      <w:tr w:rsidR="00CC6B6C" w:rsidRPr="003A1E71" w:rsidTr="00DB7106">
        <w:tc>
          <w:tcPr>
            <w:tcW w:w="9918" w:type="dxa"/>
            <w:shd w:val="clear" w:color="auto" w:fill="auto"/>
            <w:vAlign w:val="center"/>
          </w:tcPr>
          <w:p w:rsidR="00CC6B6C" w:rsidRDefault="00CC6B6C" w:rsidP="00DB7106">
            <w:pPr>
              <w:ind w:firstLine="708"/>
              <w:jc w:val="both"/>
              <w:rPr>
                <w:rFonts w:ascii="Calibri" w:hAnsi="Calibri"/>
                <w:b/>
                <w:bCs/>
              </w:rPr>
            </w:pPr>
            <w:r w:rsidRPr="00AA2349">
              <w:rPr>
                <w:rFonts w:ascii="Calibri" w:hAnsi="Calibri"/>
                <w:b/>
                <w:bCs/>
              </w:rPr>
              <w:t>Rezultate urmărite:</w:t>
            </w:r>
          </w:p>
          <w:p w:rsidR="00CC6B6C" w:rsidRDefault="00CC6B6C" w:rsidP="00DB7106">
            <w:pPr>
              <w:ind w:firstLine="708"/>
              <w:jc w:val="both"/>
              <w:rPr>
                <w:rFonts w:ascii="Calibri" w:hAnsi="Calibri"/>
                <w:b/>
                <w:bCs/>
              </w:rPr>
            </w:pP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3964D3">
              <w:rPr>
                <w:rFonts w:ascii="Calibri" w:hAnsi="Calibri" w:cs="Arial"/>
                <w:b/>
                <w:bCs/>
                <w:lang w:val="fr-FR"/>
              </w:rPr>
              <w:t>(3.1.1)</w:t>
            </w:r>
            <w:r w:rsidRPr="003964D3">
              <w:rPr>
                <w:rFonts w:ascii="Calibri" w:hAnsi="Calibri" w:cs="Arial"/>
                <w:bCs/>
                <w:lang w:val="fr-FR"/>
              </w:rPr>
              <w:t xml:space="preserve"> Îmbunătățirea accesului copiilor la servicii de calitate: </w:t>
            </w:r>
            <w:r w:rsidRPr="003964D3">
              <w:rPr>
                <w:rFonts w:ascii="Calibri" w:hAnsi="Calibri" w:cs="Arial"/>
                <w:i/>
                <w:iCs/>
                <w:lang w:val="fr-FR"/>
              </w:rPr>
              <w:t xml:space="preserve">Gradul de acoperire cu servicii sociale pentru copii (0-17 ani). </w:t>
            </w:r>
            <w:r w:rsidRPr="00AA2349">
              <w:rPr>
                <w:rFonts w:ascii="Calibri" w:hAnsi="Calibri" w:cs="Arial"/>
                <w:i/>
                <w:iCs/>
              </w:rPr>
              <w:t>Țintă 2020: 1,5%</w:t>
            </w:r>
            <w:r w:rsidRPr="00AA2349">
              <w:rPr>
                <w:rFonts w:ascii="Calibri" w:hAnsi="Calibri" w:cs="Arial"/>
                <w:i/>
                <w:iCs/>
              </w:rPr>
              <w:tab/>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AA2349">
              <w:rPr>
                <w:rFonts w:ascii="Calibri" w:hAnsi="Calibri" w:cs="Arial"/>
                <w:b/>
                <w:bCs/>
              </w:rPr>
              <w:t>(3.1.2)</w:t>
            </w:r>
            <w:r w:rsidRPr="00AA2349">
              <w:rPr>
                <w:rFonts w:ascii="Calibri" w:hAnsi="Calibri" w:cs="Arial"/>
                <w:bCs/>
              </w:rPr>
              <w:t xml:space="preserve"> Respectarea drepturilor și promovarea incluziunii sociale a copiilor aflați în situații vulnerabile: </w:t>
            </w:r>
            <w:r w:rsidRPr="00AA2349">
              <w:rPr>
                <w:rFonts w:ascii="Calibri" w:hAnsi="Calibri" w:cs="Arial"/>
                <w:i/>
                <w:iCs/>
              </w:rPr>
              <w:t>Ponderea beneficiarilor din serviciile sociale de tip rezidențial - instituții de tip vechi - copii. Țintă 2020: 0,047%</w:t>
            </w:r>
            <w:r w:rsidRPr="00AA2349">
              <w:rPr>
                <w:rFonts w:ascii="Calibri" w:hAnsi="Calibri" w:cs="Arial"/>
                <w:i/>
                <w:iCs/>
              </w:rPr>
              <w:tab/>
            </w:r>
          </w:p>
          <w:p w:rsidR="00CC6B6C" w:rsidRPr="003964D3" w:rsidRDefault="00CC6B6C" w:rsidP="00021698">
            <w:pPr>
              <w:numPr>
                <w:ilvl w:val="0"/>
                <w:numId w:val="98"/>
              </w:numPr>
              <w:tabs>
                <w:tab w:val="clear" w:pos="720"/>
                <w:tab w:val="num" w:pos="1080"/>
              </w:tabs>
              <w:spacing w:line="276" w:lineRule="auto"/>
              <w:ind w:left="1080"/>
              <w:jc w:val="both"/>
              <w:rPr>
                <w:rFonts w:ascii="Calibri" w:hAnsi="Calibri" w:cs="Arial"/>
                <w:lang w:val="fr-FR"/>
              </w:rPr>
            </w:pPr>
            <w:r w:rsidRPr="003964D3">
              <w:rPr>
                <w:rFonts w:ascii="Calibri" w:hAnsi="Calibri" w:cs="Arial"/>
                <w:b/>
                <w:bCs/>
                <w:lang w:val="fr-FR"/>
              </w:rPr>
              <w:t>(3.2.1)</w:t>
            </w:r>
            <w:r w:rsidRPr="003964D3">
              <w:rPr>
                <w:rFonts w:ascii="Calibri" w:hAnsi="Calibri" w:cs="Arial"/>
                <w:bCs/>
                <w:lang w:val="fr-FR"/>
              </w:rPr>
              <w:t xml:space="preserve"> Administrarea într-un sistem unitar de plată a beneficiilor de asistență socială și gestionarea programelor privind serviciile sociale susținute de la bugetul de stat: </w:t>
            </w:r>
            <w:r w:rsidRPr="003964D3">
              <w:rPr>
                <w:rFonts w:ascii="Calibri" w:hAnsi="Calibri" w:cs="Arial"/>
                <w:i/>
                <w:iCs/>
                <w:lang w:val="fr-FR"/>
              </w:rPr>
              <w:t>Raportului dintre numărul plăților verificate și număr total de plăți. Țintă 2021: 90%</w:t>
            </w:r>
            <w:r w:rsidRPr="003964D3">
              <w:rPr>
                <w:rFonts w:ascii="Calibri" w:hAnsi="Calibri" w:cs="Arial"/>
                <w:i/>
                <w:iCs/>
                <w:lang w:val="fr-FR"/>
              </w:rPr>
              <w:tab/>
            </w:r>
          </w:p>
          <w:p w:rsidR="00CC6B6C" w:rsidRPr="003964D3" w:rsidRDefault="00CC6B6C" w:rsidP="00021698">
            <w:pPr>
              <w:numPr>
                <w:ilvl w:val="0"/>
                <w:numId w:val="98"/>
              </w:numPr>
              <w:tabs>
                <w:tab w:val="clear" w:pos="720"/>
                <w:tab w:val="num" w:pos="1080"/>
              </w:tabs>
              <w:spacing w:line="276" w:lineRule="auto"/>
              <w:ind w:left="1080"/>
              <w:jc w:val="both"/>
              <w:rPr>
                <w:rFonts w:ascii="Calibri" w:hAnsi="Calibri" w:cs="Arial"/>
                <w:lang w:val="fr-FR"/>
              </w:rPr>
            </w:pPr>
            <w:r w:rsidRPr="003964D3">
              <w:rPr>
                <w:rFonts w:ascii="Calibri" w:hAnsi="Calibri" w:cs="Arial"/>
                <w:b/>
                <w:bCs/>
                <w:lang w:val="fr-FR"/>
              </w:rPr>
              <w:t>(3.2.2)</w:t>
            </w:r>
            <w:r w:rsidRPr="003964D3">
              <w:rPr>
                <w:rFonts w:ascii="Calibri" w:hAnsi="Calibri" w:cs="Arial"/>
                <w:bCs/>
                <w:lang w:val="fr-FR"/>
              </w:rPr>
              <w:t xml:space="preserve"> Reducerea erorii și fraudei în sistemul de asistență socială prin asigurarea unei activități riguroase de control și inspecție a aplicării măsurilor legale privind activitățile de stabilire și acordare a beneficiilor de asistență socială și de furnizare a serviciilor sociale: </w:t>
            </w:r>
            <w:r w:rsidRPr="003964D3">
              <w:rPr>
                <w:rFonts w:ascii="Calibri" w:hAnsi="Calibri" w:cs="Arial"/>
                <w:i/>
                <w:iCs/>
                <w:lang w:val="fr-FR"/>
              </w:rPr>
              <w:t>Raportului dintre numărul plăților cu erori/fraude si numărul total de plăți. Țintă 2021: 4%</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3964D3">
              <w:rPr>
                <w:rFonts w:ascii="Calibri" w:hAnsi="Calibri" w:cs="Arial"/>
                <w:b/>
                <w:bCs/>
                <w:lang w:val="fr-FR"/>
              </w:rPr>
              <w:t>(3.3.1)</w:t>
            </w:r>
            <w:r w:rsidRPr="003964D3">
              <w:rPr>
                <w:rFonts w:ascii="Calibri" w:hAnsi="Calibri" w:cs="Arial"/>
                <w:bCs/>
                <w:lang w:val="fr-FR"/>
              </w:rPr>
              <w:t xml:space="preserve"> Consolidarea sistemului național de asistență socială în vederea asigurării accesului tuturor categoriile de persoane vulnerabile la servicii sociale de calitate, în special prin consolidarea capacității SPAS de a asigura pachetul minim de servicii integrate la nivelul fiecărei UAT:  </w:t>
            </w:r>
            <w:r w:rsidRPr="003964D3">
              <w:rPr>
                <w:rFonts w:ascii="Calibri" w:hAnsi="Calibri" w:cs="Arial"/>
                <w:i/>
                <w:iCs/>
                <w:lang w:val="fr-FR"/>
              </w:rPr>
              <w:t xml:space="preserve">Ponderea furnizorilor publici de servicii sociale acreditați din total furnizori publici de servicii sociale din subordinea autorităților publice locale. </w:t>
            </w:r>
            <w:r w:rsidRPr="00AA2349">
              <w:rPr>
                <w:rFonts w:ascii="Calibri" w:hAnsi="Calibri" w:cs="Arial"/>
                <w:i/>
                <w:iCs/>
              </w:rPr>
              <w:t>Țintă 2021: 80%</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3964D3">
              <w:rPr>
                <w:rFonts w:ascii="Calibri" w:hAnsi="Calibri" w:cs="Arial"/>
                <w:b/>
                <w:bCs/>
                <w:lang w:val="fr-FR"/>
              </w:rPr>
              <w:t>(3.3.2)</w:t>
            </w:r>
            <w:r w:rsidRPr="003964D3">
              <w:rPr>
                <w:rFonts w:ascii="Calibri" w:hAnsi="Calibri" w:cs="Arial"/>
                <w:bCs/>
                <w:lang w:val="fr-FR"/>
              </w:rPr>
              <w:t xml:space="preserve"> Creșterea accesului la servicii sociale pentru persoanele vârstnice: </w:t>
            </w:r>
            <w:r w:rsidRPr="003964D3">
              <w:rPr>
                <w:rFonts w:ascii="Calibri" w:hAnsi="Calibri" w:cs="Arial"/>
                <w:i/>
                <w:iCs/>
                <w:lang w:val="fr-FR"/>
              </w:rPr>
              <w:t xml:space="preserve">Gradul de acoperire cu servicii sociale pentru persoanele vârstnice. </w:t>
            </w:r>
            <w:r w:rsidRPr="00AA2349">
              <w:rPr>
                <w:rFonts w:ascii="Calibri" w:hAnsi="Calibri" w:cs="Arial"/>
                <w:i/>
                <w:iCs/>
              </w:rPr>
              <w:t>Țintă 2021: 3</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A8724C">
              <w:rPr>
                <w:rFonts w:ascii="Calibri" w:hAnsi="Calibri" w:cs="Arial"/>
                <w:b/>
                <w:bCs/>
              </w:rPr>
              <w:t>(3.4.1)</w:t>
            </w:r>
            <w:r w:rsidRPr="00AA2349">
              <w:rPr>
                <w:rFonts w:ascii="Calibri" w:hAnsi="Calibri" w:cs="Arial"/>
                <w:bCs/>
              </w:rPr>
              <w:t xml:space="preserve"> Promovarea accesibilității în toate domeniile vieții pentru asigurarea exercitării de către persoanele cu dizabilități a drepturilor și libertăților fundamentale ale omului; eliminarea discriminării: </w:t>
            </w:r>
            <w:r>
              <w:rPr>
                <w:rFonts w:ascii="Calibri" w:hAnsi="Calibri" w:cs="Arial"/>
                <w:i/>
                <w:iCs/>
              </w:rPr>
              <w:t>Personalul angajat î</w:t>
            </w:r>
            <w:r w:rsidRPr="00AA2349">
              <w:rPr>
                <w:rFonts w:ascii="Calibri" w:hAnsi="Calibri" w:cs="Arial"/>
                <w:i/>
                <w:iCs/>
              </w:rPr>
              <w:t>n instituțiile publice va fi informat/format asupra  necesității accesibilizării mediului fizic, informațional</w:t>
            </w:r>
            <w:r>
              <w:rPr>
                <w:rFonts w:ascii="Calibri" w:hAnsi="Calibri" w:cs="Arial"/>
                <w:i/>
                <w:iCs/>
              </w:rPr>
              <w:t xml:space="preserve"> ș</w:t>
            </w:r>
            <w:r w:rsidRPr="00AA2349">
              <w:rPr>
                <w:rFonts w:ascii="Calibri" w:hAnsi="Calibri" w:cs="Arial"/>
                <w:i/>
                <w:iCs/>
              </w:rPr>
              <w:t>i comunicațional. Țintă 2020: 30%</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A8724C">
              <w:rPr>
                <w:rFonts w:ascii="Calibri" w:hAnsi="Calibri" w:cs="Arial"/>
                <w:b/>
                <w:bCs/>
              </w:rPr>
              <w:t>(3.4.2)</w:t>
            </w:r>
            <w:r w:rsidRPr="00AA2349">
              <w:rPr>
                <w:rFonts w:ascii="Calibri" w:hAnsi="Calibri" w:cs="Arial"/>
                <w:bCs/>
              </w:rPr>
              <w:t xml:space="preserve"> Dezinstituționalizarea persoanelor cu dizabilități din centrele rezidențiale de tip vechi, în etape, concomitent cu dezvoltarea de servicii în comunitate: </w:t>
            </w:r>
            <w:r w:rsidRPr="00AA2349">
              <w:rPr>
                <w:rFonts w:ascii="Calibri" w:hAnsi="Calibri" w:cs="Arial"/>
                <w:i/>
                <w:iCs/>
              </w:rPr>
              <w:t xml:space="preserve">Dezinstituționalizarea persoanelor adulte cu handicap ce urmează a fi transferate în locuințe protejate prin finanțare POR. Țintă 2020: 35% </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sidRPr="00A8724C">
              <w:rPr>
                <w:rFonts w:ascii="Calibri" w:hAnsi="Calibri" w:cs="Arial"/>
                <w:b/>
                <w:bCs/>
              </w:rPr>
              <w:t>(3.5.1)</w:t>
            </w:r>
            <w:r w:rsidRPr="00AA2349">
              <w:rPr>
                <w:rFonts w:ascii="Calibri" w:hAnsi="Calibri" w:cs="Arial"/>
                <w:bCs/>
              </w:rPr>
              <w:t xml:space="preserve"> Reducerea și prevenirea cazurilor de discriminare, hărțuire și violență: </w:t>
            </w:r>
            <w:r w:rsidRPr="00AA2349">
              <w:rPr>
                <w:rFonts w:ascii="Calibri" w:hAnsi="Calibri" w:cs="Arial"/>
                <w:i/>
                <w:iCs/>
              </w:rPr>
              <w:t>Procentul din populație care au cunoștință</w:t>
            </w:r>
            <w:r>
              <w:rPr>
                <w:rFonts w:ascii="Calibri" w:hAnsi="Calibri" w:cs="Arial"/>
                <w:i/>
                <w:iCs/>
              </w:rPr>
              <w:t xml:space="preserve"> de existența cadrului legal ș</w:t>
            </w:r>
            <w:r w:rsidRPr="00AA2349">
              <w:rPr>
                <w:rFonts w:ascii="Calibri" w:hAnsi="Calibri" w:cs="Arial"/>
                <w:i/>
                <w:iCs/>
              </w:rPr>
              <w:t>i măsurilor aplicabile în situații de discriminare, hărțuire, violență în rândul populației. Țintă 2021: 85%</w:t>
            </w:r>
          </w:p>
          <w:p w:rsidR="00CC6B6C" w:rsidRPr="00AA2349" w:rsidRDefault="00CC6B6C" w:rsidP="00DB7106">
            <w:pPr>
              <w:jc w:val="both"/>
              <w:rPr>
                <w:rFonts w:ascii="Calibri" w:hAnsi="Calibri" w:cs="Arial"/>
                <w:b/>
              </w:rPr>
            </w:pPr>
          </w:p>
        </w:tc>
      </w:tr>
    </w:tbl>
    <w:p w:rsidR="003904E0" w:rsidRPr="003A1E71" w:rsidRDefault="003904E0" w:rsidP="003904E0">
      <w:pPr>
        <w:rPr>
          <w:rFonts w:ascii="Calibri" w:hAnsi="Calibri" w:cs="Arial Narrow"/>
        </w:rPr>
      </w:pPr>
    </w:p>
    <w:p w:rsidR="003904E0" w:rsidRPr="004A7EF0" w:rsidRDefault="003904E0" w:rsidP="00CC6B6C">
      <w:pPr>
        <w:widowControl w:val="0"/>
        <w:shd w:val="clear" w:color="auto" w:fill="99CCFF"/>
        <w:spacing w:after="120" w:line="320" w:lineRule="exact"/>
        <w:rPr>
          <w:rFonts w:ascii="Calibri" w:hAnsi="Calibri" w:cs="Arial Narrow"/>
          <w:b/>
          <w:color w:val="000080"/>
        </w:rPr>
      </w:pPr>
      <w:r>
        <w:rPr>
          <w:rFonts w:ascii="Calibri" w:hAnsi="Calibri" w:cs="Arial Narrow"/>
          <w:b/>
          <w:color w:val="000080"/>
        </w:rPr>
        <w:t xml:space="preserve"> Politica </w:t>
      </w:r>
      <w:r w:rsidRPr="004A7EF0">
        <w:rPr>
          <w:rFonts w:ascii="Calibri" w:hAnsi="Calibri" w:cs="Arial Narrow"/>
          <w:b/>
          <w:color w:val="000080"/>
        </w:rPr>
        <w:t>în domeniul dialogului social</w:t>
      </w:r>
    </w:p>
    <w:p w:rsidR="00CC6B6C" w:rsidRDefault="00CC6B6C" w:rsidP="00CC6B6C">
      <w:pPr>
        <w:tabs>
          <w:tab w:val="num" w:pos="720"/>
        </w:tabs>
        <w:ind w:firstLine="720"/>
        <w:rPr>
          <w:rFonts w:ascii="Calibri" w:hAnsi="Calibri"/>
          <w:b/>
        </w:rPr>
      </w:pPr>
      <w:r>
        <w:rPr>
          <w:rFonts w:ascii="Calibri" w:hAnsi="Calibri" w:cs="Arial"/>
          <w:b/>
        </w:rPr>
        <w:t>IV</w:t>
      </w:r>
      <w:r>
        <w:rPr>
          <w:rFonts w:ascii="Calibri" w:hAnsi="Calibri"/>
          <w:b/>
        </w:rPr>
        <w:t>Consolidarea dialogului social</w:t>
      </w:r>
    </w:p>
    <w:p w:rsidR="00CC6B6C" w:rsidRDefault="00CC6B6C" w:rsidP="00CC6B6C">
      <w:pPr>
        <w:tabs>
          <w:tab w:val="num" w:pos="720"/>
        </w:tabs>
        <w:ind w:firstLine="720"/>
        <w:rPr>
          <w:rFonts w:ascii="Calibri" w:hAnsi="Calibri"/>
          <w:b/>
        </w:rPr>
      </w:pPr>
      <w:r w:rsidRPr="00A8724C">
        <w:rPr>
          <w:rFonts w:ascii="Calibri" w:hAnsi="Calibri" w:cs="Calibri"/>
          <w:b/>
        </w:rPr>
        <w:t>4.1.</w:t>
      </w:r>
      <w:r w:rsidRPr="00A8724C">
        <w:rPr>
          <w:rFonts w:ascii="Calibri" w:hAnsi="Calibri" w:cs="Calibri"/>
        </w:rPr>
        <w:t xml:space="preserve"> Întocmirea Hărții anticipative a riscurilor</w:t>
      </w:r>
    </w:p>
    <w:p w:rsidR="00CC6B6C" w:rsidRPr="003964D3" w:rsidRDefault="00CC6B6C" w:rsidP="00CC6B6C">
      <w:pPr>
        <w:tabs>
          <w:tab w:val="num" w:pos="720"/>
        </w:tabs>
        <w:ind w:firstLine="720"/>
        <w:rPr>
          <w:rFonts w:ascii="Calibri" w:hAnsi="Calibri"/>
          <w:b/>
          <w:lang w:val="fr-FR"/>
        </w:rPr>
      </w:pPr>
      <w:r w:rsidRPr="003964D3">
        <w:rPr>
          <w:rFonts w:ascii="Calibri" w:hAnsi="Calibri" w:cs="Calibri"/>
          <w:b/>
          <w:lang w:val="fr-FR"/>
        </w:rPr>
        <w:t>4.2.</w:t>
      </w:r>
      <w:r w:rsidRPr="003964D3">
        <w:rPr>
          <w:rFonts w:ascii="Calibri" w:hAnsi="Calibri" w:cs="Calibri"/>
          <w:lang w:val="fr-FR"/>
        </w:rPr>
        <w:t xml:space="preserve"> Lărgirea cadrului de funcționare a dialogului social și consolidarea capacității instituționale aferente desfășurării dialogului social.</w:t>
      </w:r>
    </w:p>
    <w:p w:rsidR="00CC6B6C" w:rsidRDefault="00CC6B6C" w:rsidP="00CC6B6C">
      <w:pPr>
        <w:tabs>
          <w:tab w:val="num" w:pos="720"/>
        </w:tabs>
        <w:ind w:firstLine="720"/>
        <w:rPr>
          <w:rFonts w:ascii="Calibri" w:hAnsi="Calibri"/>
          <w:b/>
        </w:rPr>
      </w:pPr>
      <w:r w:rsidRPr="00A8724C">
        <w:rPr>
          <w:rFonts w:ascii="Calibri" w:hAnsi="Calibri" w:cs="Calibri"/>
          <w:b/>
        </w:rPr>
        <w:t>Impact:</w:t>
      </w:r>
      <w:r w:rsidRPr="00A8724C">
        <w:rPr>
          <w:rFonts w:ascii="Calibri" w:hAnsi="Calibri" w:cs="Calibri"/>
        </w:rPr>
        <w:t xml:space="preserve"> p</w:t>
      </w:r>
      <w:r w:rsidRPr="00A8724C">
        <w:rPr>
          <w:rFonts w:ascii="Calibri" w:hAnsi="Calibri" w:cs="Calibri"/>
          <w:bCs/>
        </w:rPr>
        <w:t>onderea conflictelor de muncă mediate, ț</w:t>
      </w:r>
      <w:r w:rsidRPr="00A8724C">
        <w:rPr>
          <w:rFonts w:ascii="Calibri" w:hAnsi="Calibri" w:cs="Calibri"/>
        </w:rPr>
        <w:t>inta 2021: 10%</w:t>
      </w:r>
    </w:p>
    <w:p w:rsidR="00CC6B6C" w:rsidRPr="00A8724C" w:rsidRDefault="00CC6B6C" w:rsidP="00CC6B6C">
      <w:pPr>
        <w:tabs>
          <w:tab w:val="num" w:pos="720"/>
        </w:tabs>
        <w:ind w:firstLine="720"/>
        <w:rPr>
          <w:rFonts w:ascii="Calibri" w:hAnsi="Calibri"/>
          <w:b/>
        </w:rPr>
      </w:pPr>
      <w:r w:rsidRPr="00A8724C">
        <w:rPr>
          <w:rFonts w:ascii="Calibri" w:hAnsi="Calibri" w:cs="Calibri"/>
          <w:b/>
        </w:rPr>
        <w:t xml:space="preserve">Rezultate urmărite: </w:t>
      </w:r>
    </w:p>
    <w:p w:rsidR="00CC6B6C" w:rsidRPr="00A8724C" w:rsidRDefault="00CC6B6C" w:rsidP="00021698">
      <w:pPr>
        <w:numPr>
          <w:ilvl w:val="0"/>
          <w:numId w:val="99"/>
        </w:numPr>
        <w:tabs>
          <w:tab w:val="num" w:pos="720"/>
        </w:tabs>
        <w:spacing w:line="276" w:lineRule="auto"/>
        <w:rPr>
          <w:rFonts w:ascii="Calibri" w:hAnsi="Calibri" w:cs="Calibri"/>
        </w:rPr>
      </w:pPr>
      <w:r w:rsidRPr="00A8724C">
        <w:rPr>
          <w:rFonts w:ascii="Calibri" w:hAnsi="Calibri" w:cs="Calibri"/>
          <w:b/>
        </w:rPr>
        <w:t>(4.1.1)</w:t>
      </w:r>
      <w:r w:rsidRPr="00A8724C">
        <w:rPr>
          <w:rFonts w:ascii="Calibri" w:hAnsi="Calibri" w:cs="Calibri"/>
          <w:bCs/>
        </w:rPr>
        <w:t xml:space="preserve">Identificarea potențialului conflictogen: </w:t>
      </w:r>
      <w:r w:rsidRPr="00A8724C">
        <w:rPr>
          <w:rFonts w:ascii="Calibri" w:hAnsi="Calibri" w:cs="Calibri"/>
          <w:i/>
          <w:iCs/>
        </w:rPr>
        <w:t>Ponderea conflicte potențiale identificate pentru care se decide luarea de măsuri de intervenție în fază incipientă. Țintă 2021: 20%</w:t>
      </w:r>
    </w:p>
    <w:p w:rsidR="00CC6B6C" w:rsidRPr="00A8724C" w:rsidRDefault="00CC6B6C" w:rsidP="00021698">
      <w:pPr>
        <w:numPr>
          <w:ilvl w:val="0"/>
          <w:numId w:val="99"/>
        </w:numPr>
        <w:tabs>
          <w:tab w:val="num" w:pos="720"/>
        </w:tabs>
        <w:spacing w:line="276" w:lineRule="auto"/>
        <w:rPr>
          <w:rFonts w:ascii="Calibri" w:hAnsi="Calibri" w:cs="Calibri"/>
        </w:rPr>
      </w:pPr>
      <w:r w:rsidRPr="00A8724C">
        <w:rPr>
          <w:rFonts w:ascii="Calibri" w:hAnsi="Calibri" w:cs="Calibri"/>
          <w:b/>
        </w:rPr>
        <w:t xml:space="preserve">(4.2.1) </w:t>
      </w:r>
      <w:r w:rsidRPr="00A8724C">
        <w:rPr>
          <w:rFonts w:ascii="Calibri" w:hAnsi="Calibri" w:cs="Calibri"/>
          <w:bCs/>
        </w:rPr>
        <w:t xml:space="preserve">Creșterea eficienței procesului de mediere și arbitraj al conflictelor de muncă: </w:t>
      </w:r>
      <w:r w:rsidRPr="00A8724C">
        <w:rPr>
          <w:rFonts w:ascii="Calibri" w:hAnsi="Calibri" w:cs="Calibri"/>
          <w:i/>
          <w:iCs/>
        </w:rPr>
        <w:t>Ponderea conflictelor de muncă stinse în total conflicte de muncă. Țintă 2021: 50%.</w:t>
      </w:r>
    </w:p>
    <w:p w:rsidR="00CC6B6C" w:rsidRDefault="00CC6B6C" w:rsidP="00CC6B6C">
      <w:pPr>
        <w:widowControl w:val="0"/>
        <w:spacing w:line="320" w:lineRule="exact"/>
        <w:rPr>
          <w:rFonts w:ascii="Calibri" w:hAnsi="Calibri" w:cs="Arial Narrow"/>
          <w:b/>
          <w:color w:val="000080"/>
        </w:rPr>
      </w:pPr>
    </w:p>
    <w:p w:rsidR="003904E0" w:rsidRPr="003964D3" w:rsidRDefault="003904E0" w:rsidP="003904E0">
      <w:pPr>
        <w:widowControl w:val="0"/>
        <w:shd w:val="clear" w:color="auto" w:fill="99CCFF"/>
        <w:spacing w:line="320" w:lineRule="exact"/>
        <w:rPr>
          <w:rFonts w:ascii="Calibri" w:hAnsi="Calibri" w:cs="Arial Narrow"/>
          <w:lang w:val="fr-FR"/>
        </w:rPr>
      </w:pPr>
      <w:r w:rsidRPr="003964D3">
        <w:rPr>
          <w:rFonts w:ascii="Calibri" w:hAnsi="Calibri" w:cs="Arial Narrow"/>
          <w:b/>
          <w:color w:val="000080"/>
          <w:lang w:val="fr-FR"/>
        </w:rPr>
        <w:t xml:space="preserve">Dezvoltarea capacității instituționale în domeniul muncii și justiției sociale </w:t>
      </w:r>
    </w:p>
    <w:p w:rsidR="003904E0" w:rsidRPr="003964D3" w:rsidRDefault="003904E0" w:rsidP="003904E0">
      <w:pPr>
        <w:suppressAutoHyphens/>
        <w:spacing w:after="120"/>
        <w:jc w:val="both"/>
        <w:rPr>
          <w:lang w:val="fr-FR"/>
        </w:rPr>
      </w:pPr>
    </w:p>
    <w:p w:rsidR="00CC6B6C" w:rsidRPr="003964D3" w:rsidRDefault="00CC6B6C" w:rsidP="00CC6B6C">
      <w:pPr>
        <w:tabs>
          <w:tab w:val="num" w:pos="720"/>
        </w:tabs>
        <w:ind w:firstLine="720"/>
        <w:rPr>
          <w:rFonts w:ascii="Calibri" w:hAnsi="Calibri"/>
          <w:b/>
          <w:lang w:val="fr-FR"/>
        </w:rPr>
      </w:pPr>
      <w:r w:rsidRPr="003964D3">
        <w:rPr>
          <w:rFonts w:ascii="Calibri" w:hAnsi="Calibri" w:cs="Arial"/>
          <w:b/>
          <w:lang w:val="fr-FR"/>
        </w:rPr>
        <w:t>V Consolidarea capacității MMJS de a-și îndeplini funcțiile de elaborare și implementare a politicilor publice și de reglementare din domeniul său de activitate</w:t>
      </w:r>
    </w:p>
    <w:p w:rsidR="00CC6B6C" w:rsidRPr="003964D3" w:rsidRDefault="00CC6B6C" w:rsidP="00CC6B6C">
      <w:pPr>
        <w:tabs>
          <w:tab w:val="num" w:pos="720"/>
        </w:tabs>
        <w:ind w:firstLine="720"/>
        <w:rPr>
          <w:rFonts w:ascii="Calibri" w:hAnsi="Calibri"/>
          <w:b/>
          <w:lang w:val="fr-FR"/>
        </w:rPr>
      </w:pPr>
      <w:r w:rsidRPr="003964D3">
        <w:rPr>
          <w:rFonts w:ascii="Calibri" w:hAnsi="Calibri" w:cs="Calibri"/>
          <w:b/>
          <w:lang w:val="fr-FR"/>
        </w:rPr>
        <w:t>5.1.</w:t>
      </w:r>
      <w:r w:rsidRPr="003964D3">
        <w:rPr>
          <w:rFonts w:ascii="Calibri" w:hAnsi="Calibri" w:cs="Calibri"/>
          <w:lang w:val="fr-FR"/>
        </w:rPr>
        <w:t xml:space="preserve"> Dezvoltarea capacității administrative a instituțiilor din sectorul muncă și justiție social.</w:t>
      </w:r>
    </w:p>
    <w:p w:rsidR="00CC6B6C" w:rsidRPr="003964D3" w:rsidRDefault="00CC6B6C" w:rsidP="00CC6B6C">
      <w:pPr>
        <w:tabs>
          <w:tab w:val="num" w:pos="720"/>
        </w:tabs>
        <w:ind w:firstLine="720"/>
        <w:rPr>
          <w:rFonts w:ascii="Calibri" w:hAnsi="Calibri"/>
          <w:b/>
          <w:lang w:val="fr-FR"/>
        </w:rPr>
      </w:pPr>
      <w:r w:rsidRPr="003964D3">
        <w:rPr>
          <w:rFonts w:ascii="Calibri" w:hAnsi="Calibri" w:cs="Calibri"/>
          <w:b/>
          <w:lang w:val="fr-FR"/>
        </w:rPr>
        <w:t>5.2.</w:t>
      </w:r>
      <w:r w:rsidRPr="003964D3">
        <w:rPr>
          <w:rFonts w:ascii="Calibri" w:hAnsi="Calibri" w:cs="Calibri"/>
          <w:lang w:val="fr-FR"/>
        </w:rPr>
        <w:t xml:space="preserve"> Tehnologia Informațiilor și Comunicațiilor (TIC) în sectorul muncă și justiție socială; guvernanță TIC și securitate cibernetică (Cybersecurity) eficientă; politici performante de resurse umane pentru specialiștii TIC; mentenanța, dezvoltarea și modernizarea sistemelor TIC</w:t>
      </w:r>
    </w:p>
    <w:p w:rsidR="00CC6B6C" w:rsidRPr="00A8724C" w:rsidRDefault="00CC6B6C" w:rsidP="00CC6B6C">
      <w:pPr>
        <w:tabs>
          <w:tab w:val="num" w:pos="720"/>
        </w:tabs>
        <w:ind w:firstLine="720"/>
        <w:rPr>
          <w:rFonts w:ascii="Calibri" w:hAnsi="Calibri"/>
          <w:b/>
        </w:rPr>
      </w:pPr>
      <w:r w:rsidRPr="00A8724C">
        <w:rPr>
          <w:rFonts w:ascii="Calibri" w:hAnsi="Calibri" w:cs="Calibri"/>
          <w:b/>
        </w:rPr>
        <w:t>Rezultate urmărite:</w:t>
      </w:r>
    </w:p>
    <w:p w:rsidR="00CC6B6C" w:rsidRPr="00A8724C" w:rsidRDefault="00CC6B6C" w:rsidP="00021698">
      <w:pPr>
        <w:numPr>
          <w:ilvl w:val="0"/>
          <w:numId w:val="100"/>
        </w:numPr>
        <w:tabs>
          <w:tab w:val="num" w:pos="720"/>
        </w:tabs>
        <w:spacing w:line="276" w:lineRule="auto"/>
        <w:rPr>
          <w:rFonts w:ascii="Calibri" w:hAnsi="Calibri" w:cs="Calibri"/>
        </w:rPr>
      </w:pPr>
      <w:r w:rsidRPr="005A29F3">
        <w:rPr>
          <w:rFonts w:ascii="Calibri" w:hAnsi="Calibri" w:cs="Calibri"/>
          <w:b/>
          <w:bCs/>
        </w:rPr>
        <w:t>(5.1.1)</w:t>
      </w:r>
      <w:r w:rsidRPr="00A8724C">
        <w:rPr>
          <w:rFonts w:ascii="Calibri" w:hAnsi="Calibri" w:cs="Calibri"/>
          <w:bCs/>
        </w:rPr>
        <w:t>Îmbunătățirea stabilității funcționale a MMJS și a instituțiilor aflate în subordinea acestuia, asigurarea unui management performant al fondurilor publice prin aplicarea standardelor de control intern/managerial.</w:t>
      </w:r>
    </w:p>
    <w:p w:rsidR="00CC6B6C" w:rsidRPr="003964D3" w:rsidRDefault="00CC6B6C" w:rsidP="00021698">
      <w:pPr>
        <w:numPr>
          <w:ilvl w:val="0"/>
          <w:numId w:val="100"/>
        </w:numPr>
        <w:tabs>
          <w:tab w:val="num" w:pos="720"/>
        </w:tabs>
        <w:spacing w:line="276" w:lineRule="auto"/>
        <w:rPr>
          <w:rFonts w:ascii="Calibri" w:hAnsi="Calibri" w:cs="Calibri"/>
          <w:lang w:val="fr-FR"/>
        </w:rPr>
      </w:pPr>
      <w:r w:rsidRPr="003964D3">
        <w:rPr>
          <w:rFonts w:ascii="Calibri" w:hAnsi="Calibri" w:cs="Calibri"/>
          <w:b/>
          <w:bCs/>
          <w:lang w:val="fr-FR"/>
        </w:rPr>
        <w:t>(5.1.2)</w:t>
      </w:r>
      <w:r w:rsidRPr="003964D3">
        <w:rPr>
          <w:rFonts w:ascii="Calibri" w:hAnsi="Calibri" w:cs="Calibri"/>
          <w:bCs/>
          <w:lang w:val="fr-FR"/>
        </w:rPr>
        <w:t xml:space="preserve"> Creșterea eficacității și transparenței proceselor de elaborare, evaluare și implementare a unor politici publice de calitate, fundamentate pe studii de impact</w:t>
      </w:r>
      <w:r w:rsidRPr="003964D3">
        <w:rPr>
          <w:rFonts w:ascii="Calibri" w:hAnsi="Calibri" w:cs="Calibri"/>
          <w:lang w:val="fr-FR"/>
        </w:rPr>
        <w:t xml:space="preserve">; </w:t>
      </w:r>
      <w:r w:rsidRPr="003964D3">
        <w:rPr>
          <w:rFonts w:ascii="Calibri" w:hAnsi="Calibri" w:cs="Calibri"/>
          <w:i/>
          <w:iCs/>
          <w:lang w:val="fr-FR"/>
        </w:rPr>
        <w:t xml:space="preserve">Ponderea politicilor publice/acte normative aprobate de MMJS pentru care s-au elaborat studii de impact în total politici publice/acte normative aprobate de MMJS. </w:t>
      </w:r>
    </w:p>
    <w:p w:rsidR="00CC6B6C" w:rsidRPr="003964D3" w:rsidRDefault="00CC6B6C" w:rsidP="00021698">
      <w:pPr>
        <w:numPr>
          <w:ilvl w:val="0"/>
          <w:numId w:val="100"/>
        </w:numPr>
        <w:tabs>
          <w:tab w:val="num" w:pos="720"/>
        </w:tabs>
        <w:spacing w:line="276" w:lineRule="auto"/>
        <w:rPr>
          <w:rFonts w:ascii="Calibri" w:hAnsi="Calibri" w:cs="Calibri"/>
          <w:lang w:val="fr-FR"/>
        </w:rPr>
      </w:pPr>
      <w:r w:rsidRPr="003964D3">
        <w:rPr>
          <w:rFonts w:ascii="Calibri" w:hAnsi="Calibri" w:cs="Calibri"/>
          <w:b/>
          <w:bCs/>
          <w:lang w:val="fr-FR"/>
        </w:rPr>
        <w:t>(5.1.3)</w:t>
      </w:r>
      <w:r w:rsidRPr="003964D3">
        <w:rPr>
          <w:rFonts w:ascii="Calibri" w:hAnsi="Calibri" w:cs="Calibri"/>
          <w:bCs/>
          <w:lang w:val="fr-FR"/>
        </w:rPr>
        <w:t xml:space="preserve"> Creșterea calității profesionale a resurselor umane din sectorul muncă și justiție socială, a gradului de cunoaștere, înțelegere și aplicare a standardelor de integritate</w:t>
      </w:r>
      <w:r w:rsidRPr="003964D3">
        <w:rPr>
          <w:rFonts w:ascii="Calibri" w:hAnsi="Calibri" w:cs="Calibri"/>
          <w:lang w:val="fr-FR"/>
        </w:rPr>
        <w:t xml:space="preserve">. </w:t>
      </w:r>
    </w:p>
    <w:p w:rsidR="00CC6B6C" w:rsidRPr="003964D3" w:rsidRDefault="00CC6B6C" w:rsidP="00021698">
      <w:pPr>
        <w:numPr>
          <w:ilvl w:val="0"/>
          <w:numId w:val="100"/>
        </w:numPr>
        <w:tabs>
          <w:tab w:val="num" w:pos="720"/>
        </w:tabs>
        <w:spacing w:line="276" w:lineRule="auto"/>
        <w:rPr>
          <w:rFonts w:ascii="Calibri" w:hAnsi="Calibri" w:cs="Calibri"/>
          <w:lang w:val="fr-FR"/>
        </w:rPr>
      </w:pPr>
      <w:r w:rsidRPr="003964D3">
        <w:rPr>
          <w:rFonts w:ascii="Calibri" w:hAnsi="Calibri" w:cs="Calibri"/>
          <w:b/>
          <w:bCs/>
          <w:lang w:val="fr-FR"/>
        </w:rPr>
        <w:t>(5.2.1)</w:t>
      </w:r>
      <w:r w:rsidRPr="003964D3">
        <w:rPr>
          <w:rFonts w:ascii="Calibri" w:hAnsi="Calibri" w:cs="Calibri"/>
          <w:bCs/>
          <w:lang w:val="fr-FR"/>
        </w:rPr>
        <w:t xml:space="preserve"> Întărirea guvernanței TIC, adoptarea cros-minister de standarde și politici TIC, precum  și creșterea calității profesionale a specialiștilor TIC din sectorul muncă și protecție socială</w:t>
      </w:r>
      <w:r w:rsidRPr="003964D3">
        <w:rPr>
          <w:rFonts w:ascii="Calibri" w:hAnsi="Calibri" w:cs="Calibri"/>
          <w:lang w:val="fr-FR"/>
        </w:rPr>
        <w:t xml:space="preserve">. </w:t>
      </w:r>
    </w:p>
    <w:p w:rsidR="00CC6B6C" w:rsidRPr="003964D3" w:rsidRDefault="00CC6B6C" w:rsidP="00021698">
      <w:pPr>
        <w:numPr>
          <w:ilvl w:val="0"/>
          <w:numId w:val="100"/>
        </w:numPr>
        <w:tabs>
          <w:tab w:val="num" w:pos="720"/>
        </w:tabs>
        <w:spacing w:line="276" w:lineRule="auto"/>
        <w:rPr>
          <w:rFonts w:ascii="Calibri" w:hAnsi="Calibri" w:cs="Calibri"/>
          <w:lang w:val="fr-FR"/>
        </w:rPr>
      </w:pPr>
      <w:r w:rsidRPr="003964D3">
        <w:rPr>
          <w:rFonts w:ascii="Calibri" w:hAnsi="Calibri" w:cs="Calibri"/>
          <w:b/>
          <w:bCs/>
          <w:lang w:val="fr-FR"/>
        </w:rPr>
        <w:t>(5.2.2)</w:t>
      </w:r>
      <w:r w:rsidRPr="003964D3">
        <w:rPr>
          <w:rFonts w:ascii="Calibri" w:hAnsi="Calibri" w:cs="Calibri"/>
          <w:bCs/>
          <w:lang w:val="fr-FR"/>
        </w:rPr>
        <w:t xml:space="preserve"> Îmbunătățirea stabilității funcționale a sistemelor si echipamentelor TIC; modernizarea si simplificarea fluxurilor informaționale prin digitizare și creșterea interoperabilității/ schimbului de date cros-minister; creșterea capacitații de analize complexe cros minister; precum și creșterea transparenței și datelor publice/deschise</w:t>
      </w:r>
      <w:r w:rsidRPr="003964D3">
        <w:rPr>
          <w:rFonts w:ascii="Calibri" w:hAnsi="Calibri" w:cs="Calibri"/>
          <w:lang w:val="fr-FR"/>
        </w:rPr>
        <w:t xml:space="preserve">. </w:t>
      </w:r>
    </w:p>
    <w:p w:rsidR="005A1EDA" w:rsidRDefault="005A1EDA" w:rsidP="003904E0">
      <w:pPr>
        <w:rPr>
          <w:rFonts w:ascii="Calibri" w:eastAsia="Arial Narrow" w:hAnsi="Calibri" w:cs="Arial Narrow"/>
          <w:color w:val="FF0000"/>
          <w:lang w:val="ro-RO"/>
        </w:rPr>
      </w:pPr>
    </w:p>
    <w:p w:rsidR="00CC6B6C" w:rsidRDefault="00CC6B6C" w:rsidP="003904E0">
      <w:pPr>
        <w:rPr>
          <w:rFonts w:ascii="Calibri" w:eastAsia="Arial Narrow" w:hAnsi="Calibri" w:cs="Arial Narrow"/>
          <w:color w:val="FF0000"/>
          <w:lang w:val="ro-RO"/>
        </w:rPr>
      </w:pPr>
    </w:p>
    <w:p w:rsidR="00BD58B2" w:rsidRDefault="00BD58B2" w:rsidP="005A1EDA">
      <w:pPr>
        <w:rPr>
          <w:rFonts w:ascii="Calibri" w:eastAsia="Arial Narrow" w:hAnsi="Calibri" w:cs="Arial Narrow"/>
          <w:color w:val="FF0000"/>
          <w:lang w:val="ro-RO"/>
        </w:rPr>
      </w:pPr>
    </w:p>
    <w:p w:rsidR="00BD58B2" w:rsidRDefault="00BD58B2" w:rsidP="005A1EDA">
      <w:pPr>
        <w:rPr>
          <w:rFonts w:ascii="Calibri" w:eastAsia="Arial Narrow" w:hAnsi="Calibri" w:cs="Arial Narrow"/>
          <w:color w:val="FF0000"/>
          <w:lang w:val="ro-RO"/>
        </w:rPr>
      </w:pPr>
    </w:p>
    <w:p w:rsidR="003C5513" w:rsidRPr="00C86702" w:rsidRDefault="003C5513" w:rsidP="005A1EDA">
      <w:pPr>
        <w:rPr>
          <w:rFonts w:ascii="Calibri" w:eastAsia="Arial Narrow" w:hAnsi="Calibri" w:cs="Arial Narrow"/>
          <w:color w:val="FF0000"/>
          <w:lang w:val="ro-RO"/>
        </w:rPr>
      </w:pPr>
    </w:p>
    <w:p w:rsidR="000058BD" w:rsidRPr="00C86702" w:rsidRDefault="000058BD" w:rsidP="000058BD">
      <w:pPr>
        <w:rPr>
          <w:rFonts w:ascii="Calibri" w:hAnsi="Calibri" w:cs="Arial Narrow"/>
          <w:lang w:val="ro-RO"/>
        </w:rPr>
      </w:pPr>
    </w:p>
    <w:p w:rsidR="000058BD" w:rsidRPr="00C86702" w:rsidRDefault="000058BD" w:rsidP="000058BD">
      <w:pPr>
        <w:shd w:val="clear" w:color="auto" w:fill="99CCFF"/>
        <w:ind w:right="-2"/>
        <w:rPr>
          <w:rFonts w:ascii="Calibri" w:hAnsi="Calibri" w:cs="Arial Narrow"/>
          <w:b/>
          <w:color w:val="000080"/>
          <w:lang w:val="ro-RO"/>
        </w:rPr>
      </w:pPr>
      <w:r w:rsidRPr="00C86702">
        <w:rPr>
          <w:rFonts w:ascii="Calibri" w:hAnsi="Calibri" w:cs="Arial Narrow"/>
          <w:b/>
          <w:color w:val="000080"/>
          <w:lang w:val="ro-RO"/>
        </w:rPr>
        <w:t>Politica în domeniul transporturilor şi infrastructurii</w:t>
      </w:r>
    </w:p>
    <w:p w:rsidR="006720DC" w:rsidRDefault="006720DC" w:rsidP="006720DC">
      <w:pPr>
        <w:rPr>
          <w:rFonts w:ascii="Calibri" w:hAnsi="Calibri"/>
          <w:lang w:val="ro-RO"/>
        </w:rPr>
      </w:pPr>
    </w:p>
    <w:p w:rsidR="00587A02" w:rsidRPr="00587A02" w:rsidRDefault="00587A02" w:rsidP="00587A02">
      <w:pPr>
        <w:jc w:val="both"/>
        <w:rPr>
          <w:rFonts w:ascii="Calibri" w:hAnsi="Calibri"/>
          <w:lang w:val="ro-RO"/>
        </w:rPr>
      </w:pPr>
      <w:r w:rsidRPr="00587A02">
        <w:rPr>
          <w:rFonts w:ascii="Calibri" w:hAnsi="Calibri"/>
          <w:lang w:val="ro-RO"/>
        </w:rPr>
        <w:t>Activitatea în domeniul transporturilor și infrastructurii vizează, în principal, creșterea accesibilității României prin integrarea rețelelor naționale de transport feroviar, rutier, naval, aerian, multimodal și logistică la rețelelor europene, respectiv la cele internaționale, concomitent cu dezvoltarea echilibrată a sistemului național de transport, economiei locale și regionale, îmbunătățirea confortului călătorilor și creșterea siguranței acestora, eficientizarea transportului de marfă, mărirea mobilității populației și îmbunătățirea calității mediului.</w:t>
      </w:r>
    </w:p>
    <w:p w:rsidR="00587A02" w:rsidRPr="00587A02" w:rsidRDefault="00587A02" w:rsidP="00587A02">
      <w:pPr>
        <w:rPr>
          <w:rFonts w:ascii="Calibri" w:hAnsi="Calibri"/>
          <w:lang w:val="ro-RO"/>
        </w:rPr>
      </w:pPr>
    </w:p>
    <w:p w:rsidR="00587A02" w:rsidRDefault="00587A02" w:rsidP="00587A02">
      <w:pPr>
        <w:autoSpaceDE w:val="0"/>
        <w:autoSpaceDN w:val="0"/>
        <w:adjustRightInd w:val="0"/>
        <w:jc w:val="both"/>
        <w:rPr>
          <w:rFonts w:ascii="Calibri" w:hAnsi="Calibri"/>
          <w:b/>
          <w:color w:val="000080"/>
          <w:lang w:val="ro-RO"/>
        </w:rPr>
      </w:pPr>
      <w:r w:rsidRPr="00587A02">
        <w:rPr>
          <w:rFonts w:ascii="Calibri" w:hAnsi="Calibri"/>
          <w:b/>
          <w:color w:val="333399"/>
          <w:lang w:val="ro-RO"/>
        </w:rPr>
        <w:t>Obiectivul general</w:t>
      </w:r>
      <w:r w:rsidRPr="00587A02">
        <w:rPr>
          <w:rFonts w:ascii="Calibri" w:hAnsi="Calibri"/>
          <w:lang w:val="ro-RO"/>
        </w:rPr>
        <w:t xml:space="preserve"> pentru domeniul transporturilor, asumat prin documente strategice, îl reprezintă </w:t>
      </w:r>
      <w:r w:rsidRPr="00587A02">
        <w:rPr>
          <w:rFonts w:ascii="Calibri" w:hAnsi="Calibri"/>
          <w:b/>
          <w:color w:val="000080"/>
          <w:lang w:val="ro-RO"/>
        </w:rPr>
        <w:t>asigurarea infrastructurii și serviciilor, ca suport al activității economice și sociale pentru îmbunătățirea calității vieții.</w:t>
      </w:r>
    </w:p>
    <w:p w:rsidR="00876888" w:rsidRDefault="00876888" w:rsidP="00587A02">
      <w:pPr>
        <w:autoSpaceDE w:val="0"/>
        <w:autoSpaceDN w:val="0"/>
        <w:adjustRightInd w:val="0"/>
        <w:jc w:val="both"/>
        <w:rPr>
          <w:rFonts w:ascii="Calibri" w:hAnsi="Calibri"/>
          <w:b/>
          <w:color w:val="000080"/>
          <w:lang w:val="ro-RO"/>
        </w:rPr>
      </w:pPr>
    </w:p>
    <w:tbl>
      <w:tblPr>
        <w:tblW w:w="5000" w:type="pct"/>
        <w:tblLook w:val="01E0" w:firstRow="1" w:lastRow="1" w:firstColumn="1" w:lastColumn="1" w:noHBand="0" w:noVBand="0"/>
      </w:tblPr>
      <w:tblGrid>
        <w:gridCol w:w="2436"/>
        <w:gridCol w:w="7645"/>
      </w:tblGrid>
      <w:tr w:rsidR="00876888" w:rsidRPr="008368B9" w:rsidTr="00CE74E0">
        <w:trPr>
          <w:trHeight w:val="2335"/>
        </w:trPr>
        <w:tc>
          <w:tcPr>
            <w:tcW w:w="1208" w:type="pct"/>
          </w:tcPr>
          <w:p w:rsidR="00876888" w:rsidRPr="00587A02" w:rsidRDefault="00876888" w:rsidP="00876888">
            <w:pPr>
              <w:rPr>
                <w:rFonts w:ascii="Calibri" w:hAnsi="Calibri" w:cs="Arial"/>
                <w:b/>
                <w:color w:val="000080"/>
                <w:lang w:val="ro-RO"/>
              </w:rPr>
            </w:pPr>
            <w:r>
              <w:rPr>
                <w:rFonts w:ascii="Calibri" w:hAnsi="Calibri" w:cs="Arial"/>
                <w:b/>
                <w:color w:val="000080"/>
                <w:lang w:val="ro-RO"/>
              </w:rPr>
              <w:t>Măsuri generale și acțiuni obligatorii pentru atingerea obiectivului general</w:t>
            </w:r>
            <w:r w:rsidRPr="00587A02">
              <w:rPr>
                <w:rFonts w:ascii="Calibri" w:hAnsi="Calibri" w:cs="Arial"/>
                <w:b/>
                <w:color w:val="000080"/>
                <w:lang w:val="ro-RO"/>
              </w:rPr>
              <w:t>:</w:t>
            </w:r>
          </w:p>
        </w:tc>
        <w:tc>
          <w:tcPr>
            <w:tcW w:w="3792" w:type="pct"/>
          </w:tcPr>
          <w:p w:rsidR="00CE74E0" w:rsidRPr="00715536" w:rsidRDefault="00CE74E0" w:rsidP="00876888">
            <w:pPr>
              <w:autoSpaceDE w:val="0"/>
              <w:autoSpaceDN w:val="0"/>
              <w:adjustRightInd w:val="0"/>
              <w:jc w:val="both"/>
              <w:rPr>
                <w:rFonts w:ascii="Calibri" w:hAnsi="Calibri"/>
                <w:lang w:val="fr-FR"/>
              </w:rPr>
            </w:pPr>
            <w:r w:rsidRPr="00715536">
              <w:rPr>
                <w:rFonts w:ascii="Calibri" w:hAnsi="Calibri"/>
                <w:lang w:val="fr-FR"/>
              </w:rPr>
              <w:t>Cre</w:t>
            </w:r>
            <w:r w:rsidRPr="00715536">
              <w:rPr>
                <w:rFonts w:ascii="Calibri" w:hAnsi="Calibri" w:cs="Cambria Math"/>
                <w:lang w:val="fr-FR"/>
              </w:rPr>
              <w:t>ș</w:t>
            </w:r>
            <w:r w:rsidRPr="00715536">
              <w:rPr>
                <w:rFonts w:ascii="Calibri" w:hAnsi="Calibri"/>
                <w:lang w:val="fr-FR"/>
              </w:rPr>
              <w:t>terea competitivită</w:t>
            </w:r>
            <w:r w:rsidRPr="00715536">
              <w:rPr>
                <w:rFonts w:ascii="Calibri" w:hAnsi="Calibri" w:cs="Cambria Math"/>
                <w:lang w:val="fr-FR"/>
              </w:rPr>
              <w:t>ț</w:t>
            </w:r>
            <w:r w:rsidRPr="00715536">
              <w:rPr>
                <w:rFonts w:ascii="Calibri" w:hAnsi="Calibri"/>
                <w:lang w:val="fr-FR"/>
              </w:rPr>
              <w:t xml:space="preserve">ii între modurile de transport </w:t>
            </w:r>
          </w:p>
          <w:p w:rsidR="00CE74E0" w:rsidRPr="00715536" w:rsidRDefault="00CE74E0" w:rsidP="00876888">
            <w:pPr>
              <w:autoSpaceDE w:val="0"/>
              <w:autoSpaceDN w:val="0"/>
              <w:adjustRightInd w:val="0"/>
              <w:jc w:val="both"/>
              <w:rPr>
                <w:rFonts w:ascii="Calibri" w:hAnsi="Calibri"/>
                <w:lang w:val="fr-FR"/>
              </w:rPr>
            </w:pPr>
            <w:r w:rsidRPr="00715536">
              <w:rPr>
                <w:rFonts w:ascii="Calibri" w:hAnsi="Calibri"/>
                <w:lang w:val="fr-FR"/>
              </w:rPr>
              <w:t>Îmbunătă</w:t>
            </w:r>
            <w:r w:rsidRPr="00715536">
              <w:rPr>
                <w:rFonts w:ascii="Calibri" w:hAnsi="Calibri" w:cs="Cambria Math"/>
                <w:lang w:val="fr-FR"/>
              </w:rPr>
              <w:t>ț</w:t>
            </w:r>
            <w:r w:rsidRPr="00715536">
              <w:rPr>
                <w:rFonts w:ascii="Calibri" w:hAnsi="Calibri"/>
                <w:lang w:val="fr-FR"/>
              </w:rPr>
              <w:t>irea serviciilor de transport prin investi</w:t>
            </w:r>
            <w:r w:rsidRPr="00715536">
              <w:rPr>
                <w:rFonts w:ascii="Calibri" w:hAnsi="Calibri" w:cs="Cambria Math"/>
                <w:lang w:val="fr-FR"/>
              </w:rPr>
              <w:t>ț</w:t>
            </w:r>
            <w:r w:rsidRPr="00715536">
              <w:rPr>
                <w:rFonts w:ascii="Calibri" w:hAnsi="Calibri"/>
                <w:lang w:val="fr-FR"/>
              </w:rPr>
              <w:t xml:space="preserve">ii în parcul de material rulant </w:t>
            </w:r>
          </w:p>
          <w:p w:rsidR="00CE74E0" w:rsidRPr="00CE74E0" w:rsidRDefault="00CE74E0" w:rsidP="00CE74E0">
            <w:pPr>
              <w:pStyle w:val="Default"/>
              <w:spacing w:line="360" w:lineRule="auto"/>
              <w:jc w:val="both"/>
              <w:rPr>
                <w:rFonts w:ascii="Calibri" w:hAnsi="Calibri"/>
              </w:rPr>
            </w:pPr>
            <w:r w:rsidRPr="00CE74E0">
              <w:rPr>
                <w:rFonts w:ascii="Calibri" w:hAnsi="Calibri"/>
              </w:rPr>
              <w:t>Modernizarea sta</w:t>
            </w:r>
            <w:r w:rsidRPr="00CE74E0">
              <w:rPr>
                <w:rFonts w:ascii="Calibri" w:hAnsi="Calibri" w:cs="Cambria Math"/>
              </w:rPr>
              <w:t>ț</w:t>
            </w:r>
            <w:r w:rsidRPr="00CE74E0">
              <w:rPr>
                <w:rFonts w:ascii="Calibri" w:hAnsi="Calibri"/>
              </w:rPr>
              <w:t xml:space="preserve">iilor de cale ferată </w:t>
            </w:r>
          </w:p>
          <w:p w:rsidR="00CE74E0" w:rsidRPr="00CE74E0" w:rsidRDefault="00CE74E0" w:rsidP="00CE74E0">
            <w:pPr>
              <w:pStyle w:val="Default"/>
              <w:spacing w:line="360" w:lineRule="auto"/>
              <w:jc w:val="both"/>
              <w:rPr>
                <w:rFonts w:ascii="Calibri" w:hAnsi="Calibri"/>
              </w:rPr>
            </w:pPr>
            <w:r w:rsidRPr="00CE74E0">
              <w:rPr>
                <w:rFonts w:ascii="Calibri" w:hAnsi="Calibri"/>
              </w:rPr>
              <w:t xml:space="preserve">Modernizarea porturilor </w:t>
            </w:r>
            <w:r w:rsidRPr="00CE74E0">
              <w:rPr>
                <w:rFonts w:ascii="Calibri" w:hAnsi="Calibri" w:cs="Cambria Math"/>
              </w:rPr>
              <w:t>ș</w:t>
            </w:r>
            <w:r w:rsidRPr="00CE74E0">
              <w:rPr>
                <w:rFonts w:ascii="Calibri" w:hAnsi="Calibri"/>
              </w:rPr>
              <w:t xml:space="preserve">i aeroporturilor </w:t>
            </w:r>
          </w:p>
          <w:p w:rsidR="00CE74E0" w:rsidRPr="00715536" w:rsidRDefault="00CE74E0" w:rsidP="00CE74E0">
            <w:pPr>
              <w:pStyle w:val="Default"/>
              <w:spacing w:line="360" w:lineRule="auto"/>
              <w:jc w:val="both"/>
              <w:rPr>
                <w:rFonts w:ascii="Calibri" w:hAnsi="Calibri"/>
                <w:lang w:val="fr-FR"/>
              </w:rPr>
            </w:pPr>
            <w:r w:rsidRPr="00715536">
              <w:rPr>
                <w:rFonts w:ascii="Calibri" w:hAnsi="Calibri"/>
                <w:lang w:val="fr-FR"/>
              </w:rPr>
              <w:t xml:space="preserve">Infrastructură rutieră de înaltă calitate </w:t>
            </w:r>
          </w:p>
          <w:p w:rsidR="00876888" w:rsidRPr="00587A02" w:rsidRDefault="00CE74E0" w:rsidP="00CE74E0">
            <w:pPr>
              <w:autoSpaceDE w:val="0"/>
              <w:autoSpaceDN w:val="0"/>
              <w:adjustRightInd w:val="0"/>
              <w:jc w:val="both"/>
              <w:rPr>
                <w:rFonts w:ascii="Calibri" w:hAnsi="Calibri"/>
                <w:lang w:val="ro-RO"/>
              </w:rPr>
            </w:pPr>
            <w:r w:rsidRPr="00715536">
              <w:rPr>
                <w:rFonts w:ascii="Calibri" w:hAnsi="Calibri"/>
                <w:lang w:val="fr-FR"/>
              </w:rPr>
              <w:t>Extindereatransportului multimodal</w:t>
            </w:r>
          </w:p>
        </w:tc>
      </w:tr>
    </w:tbl>
    <w:p w:rsidR="00876888" w:rsidRPr="00587A02" w:rsidRDefault="00876888" w:rsidP="00587A02">
      <w:pPr>
        <w:autoSpaceDE w:val="0"/>
        <w:autoSpaceDN w:val="0"/>
        <w:adjustRightInd w:val="0"/>
        <w:jc w:val="both"/>
        <w:rPr>
          <w:rFonts w:ascii="Calibri" w:hAnsi="Calibri"/>
          <w:b/>
          <w:color w:val="000080"/>
          <w:lang w:val="ro-RO"/>
        </w:rPr>
      </w:pPr>
    </w:p>
    <w:p w:rsidR="00587A02" w:rsidRPr="00587A02" w:rsidRDefault="00587A02" w:rsidP="00587A02">
      <w:pPr>
        <w:rPr>
          <w:rFonts w:ascii="Calibri" w:hAnsi="Calibri"/>
          <w:lang w:val="ro-RO"/>
        </w:rPr>
      </w:pPr>
    </w:p>
    <w:tbl>
      <w:tblPr>
        <w:tblW w:w="5000" w:type="pct"/>
        <w:tblLook w:val="01E0" w:firstRow="1" w:lastRow="1" w:firstColumn="1" w:lastColumn="1" w:noHBand="0" w:noVBand="0"/>
      </w:tblPr>
      <w:tblGrid>
        <w:gridCol w:w="2436"/>
        <w:gridCol w:w="7645"/>
      </w:tblGrid>
      <w:tr w:rsidR="00587A02" w:rsidRPr="008368B9" w:rsidTr="004548F2">
        <w:trPr>
          <w:trHeight w:val="837"/>
        </w:trPr>
        <w:tc>
          <w:tcPr>
            <w:tcW w:w="1208" w:type="pct"/>
          </w:tcPr>
          <w:p w:rsidR="00587A02" w:rsidRPr="00587A02" w:rsidRDefault="00587A02" w:rsidP="00587A02">
            <w:pPr>
              <w:rPr>
                <w:rFonts w:ascii="Calibri" w:hAnsi="Calibri" w:cs="Arial"/>
                <w:b/>
                <w:color w:val="000080"/>
                <w:lang w:val="ro-RO"/>
              </w:rPr>
            </w:pPr>
            <w:r w:rsidRPr="00587A02">
              <w:rPr>
                <w:rFonts w:ascii="Calibri" w:hAnsi="Calibri" w:cs="Arial"/>
                <w:b/>
                <w:color w:val="000080"/>
                <w:lang w:val="ro-RO"/>
              </w:rPr>
              <w:t>Priorităţi strategice în domeniul infrastructurilor şi serviciilor de transport pentru perioada 2019-2021:</w:t>
            </w:r>
          </w:p>
        </w:tc>
        <w:tc>
          <w:tcPr>
            <w:tcW w:w="3792" w:type="pct"/>
          </w:tcPr>
          <w:p w:rsidR="00587A02" w:rsidRPr="00587A02" w:rsidRDefault="00587A02" w:rsidP="00587A02">
            <w:pPr>
              <w:autoSpaceDE w:val="0"/>
              <w:autoSpaceDN w:val="0"/>
              <w:adjustRightInd w:val="0"/>
              <w:jc w:val="both"/>
              <w:rPr>
                <w:rFonts w:ascii="Calibri" w:hAnsi="Calibri"/>
                <w:lang w:val="ro-RO"/>
              </w:rPr>
            </w:pPr>
            <w:r w:rsidRPr="00587A02">
              <w:rPr>
                <w:rFonts w:ascii="Calibri" w:hAnsi="Calibri"/>
                <w:b/>
                <w:lang w:val="ro-RO"/>
              </w:rPr>
              <w:t>Coeziunea teritorială</w:t>
            </w:r>
            <w:r w:rsidRPr="00587A02">
              <w:rPr>
                <w:rFonts w:ascii="Calibri" w:hAnsi="Calibri"/>
                <w:lang w:val="ro-RO"/>
              </w:rPr>
              <w:t xml:space="preserve"> asigurând interconectarea teritoriului naţional la rutele internaţionale, precum şi interconectivitatea regională, asigurând infrastructura de bază necesarului economiilor moderne de transport</w:t>
            </w:r>
          </w:p>
          <w:p w:rsidR="00587A02" w:rsidRPr="00587A02" w:rsidRDefault="00587A02" w:rsidP="00587A02">
            <w:pPr>
              <w:autoSpaceDE w:val="0"/>
              <w:autoSpaceDN w:val="0"/>
              <w:adjustRightInd w:val="0"/>
              <w:jc w:val="both"/>
              <w:rPr>
                <w:rFonts w:ascii="Calibri" w:hAnsi="Calibri"/>
                <w:lang w:val="ro-RO"/>
              </w:rPr>
            </w:pPr>
            <w:r w:rsidRPr="00587A02">
              <w:rPr>
                <w:rFonts w:ascii="Calibri" w:hAnsi="Calibri"/>
                <w:b/>
                <w:lang w:val="ro-RO"/>
              </w:rPr>
              <w:t>Eficienţa</w:t>
            </w:r>
            <w:r w:rsidRPr="00587A02">
              <w:rPr>
                <w:rFonts w:ascii="Calibri" w:hAnsi="Calibri"/>
                <w:lang w:val="ro-RO"/>
              </w:rPr>
              <w:t xml:space="preserve"> prin eliminarea blocajelor şi întârzierilor cu impact asupra mediului economic şi social</w:t>
            </w:r>
          </w:p>
          <w:p w:rsidR="00587A02" w:rsidRPr="00587A02" w:rsidRDefault="00587A02" w:rsidP="00587A02">
            <w:pPr>
              <w:autoSpaceDE w:val="0"/>
              <w:autoSpaceDN w:val="0"/>
              <w:adjustRightInd w:val="0"/>
              <w:jc w:val="both"/>
              <w:rPr>
                <w:rFonts w:ascii="Calibri" w:hAnsi="Calibri"/>
                <w:lang w:val="ro-RO"/>
              </w:rPr>
            </w:pPr>
            <w:r w:rsidRPr="00587A02">
              <w:rPr>
                <w:rFonts w:ascii="Calibri" w:hAnsi="Calibri"/>
                <w:b/>
                <w:lang w:val="ro-RO"/>
              </w:rPr>
              <w:t>Durabilitatea</w:t>
            </w:r>
            <w:r w:rsidRPr="00587A02">
              <w:rPr>
                <w:rFonts w:ascii="Calibri" w:hAnsi="Calibri"/>
                <w:lang w:val="ro-RO"/>
              </w:rPr>
              <w:t xml:space="preserve"> prin promovarea şi introducerea mijloacelor inteligente de transport, puţin poluante contribuind astfel la îndeplinirea obiectivelor Strategiei Europa 2020.</w:t>
            </w:r>
          </w:p>
        </w:tc>
      </w:tr>
    </w:tbl>
    <w:p w:rsidR="00587A02" w:rsidRPr="00587A02" w:rsidRDefault="00587A02" w:rsidP="00587A02">
      <w:pPr>
        <w:rPr>
          <w:rFonts w:ascii="Calibri" w:hAnsi="Calibri" w:cs="Arial Narrow"/>
          <w:lang w:val="ro-RO"/>
        </w:rPr>
      </w:pPr>
    </w:p>
    <w:tbl>
      <w:tblPr>
        <w:tblW w:w="5000" w:type="pct"/>
        <w:tblLook w:val="01E0" w:firstRow="1" w:lastRow="1" w:firstColumn="1" w:lastColumn="1" w:noHBand="0" w:noVBand="0"/>
      </w:tblPr>
      <w:tblGrid>
        <w:gridCol w:w="2436"/>
        <w:gridCol w:w="7645"/>
      </w:tblGrid>
      <w:tr w:rsidR="00587A02" w:rsidRPr="008368B9" w:rsidTr="004548F2">
        <w:trPr>
          <w:trHeight w:val="2212"/>
        </w:trPr>
        <w:tc>
          <w:tcPr>
            <w:tcW w:w="5000" w:type="pct"/>
            <w:gridSpan w:val="2"/>
          </w:tcPr>
          <w:p w:rsidR="00587A02" w:rsidRPr="00587A02" w:rsidRDefault="00587A02" w:rsidP="00587A02">
            <w:pPr>
              <w:jc w:val="both"/>
              <w:rPr>
                <w:rFonts w:ascii="Calibri" w:eastAsia="Calibri" w:hAnsi="Calibri" w:cs="Calibri"/>
                <w:szCs w:val="22"/>
                <w:lang w:val="ro-RO"/>
              </w:rPr>
            </w:pPr>
          </w:p>
          <w:p w:rsidR="00587A02" w:rsidRPr="00587A02" w:rsidRDefault="00587A02" w:rsidP="00587A02">
            <w:pPr>
              <w:jc w:val="both"/>
              <w:rPr>
                <w:rFonts w:ascii="Calibri" w:eastAsia="Calibri" w:hAnsi="Calibri" w:cs="Calibri"/>
                <w:szCs w:val="22"/>
                <w:u w:val="single"/>
                <w:lang w:val="ro-RO"/>
              </w:rPr>
            </w:pPr>
            <w:r w:rsidRPr="00587A02">
              <w:rPr>
                <w:rFonts w:ascii="Calibri" w:eastAsia="Calibri" w:hAnsi="Calibri" w:cs="Calibri"/>
                <w:szCs w:val="22"/>
                <w:u w:val="single"/>
                <w:lang w:val="ro-RO"/>
              </w:rPr>
              <w:t>Politica de finanțare propusă pentru perioada 2019-2021</w:t>
            </w:r>
          </w:p>
          <w:p w:rsidR="00587A02" w:rsidRPr="00587A02" w:rsidRDefault="00587A02" w:rsidP="00587A02">
            <w:pPr>
              <w:jc w:val="both"/>
              <w:rPr>
                <w:rFonts w:ascii="Calibri" w:hAnsi="Calibri"/>
                <w:i/>
                <w:lang w:val="ro-RO"/>
              </w:rPr>
            </w:pPr>
            <w:r w:rsidRPr="00587A02">
              <w:rPr>
                <w:rFonts w:ascii="Calibri" w:eastAsia="Calibri" w:hAnsi="Calibri" w:cs="Calibri"/>
                <w:szCs w:val="22"/>
                <w:lang w:val="ro-RO"/>
              </w:rPr>
              <w:t xml:space="preserve">Având în vedere nevoile de dezvoltare specifice domeniului infrastructura de transport, politica de finanțare propusă pentru perioada 2019-2021 va avea în vedere </w:t>
            </w:r>
            <w:r w:rsidRPr="00587A02">
              <w:rPr>
                <w:rFonts w:ascii="Calibri" w:eastAsia="Calibri" w:hAnsi="Calibri" w:cs="Calibri"/>
                <w:i/>
                <w:szCs w:val="22"/>
                <w:lang w:val="ro-RO"/>
              </w:rPr>
              <w:t>prioritizarea programului de investiții publice.</w:t>
            </w:r>
          </w:p>
          <w:p w:rsidR="00587A02" w:rsidRPr="00587A02" w:rsidRDefault="00587A02" w:rsidP="00587A02">
            <w:pPr>
              <w:jc w:val="both"/>
              <w:rPr>
                <w:rFonts w:ascii="Arial" w:hAnsi="Arial" w:cs="Arial"/>
                <w:i/>
                <w:lang w:val="ro-RO"/>
              </w:rPr>
            </w:pPr>
            <w:r w:rsidRPr="00587A02">
              <w:rPr>
                <w:rFonts w:ascii="Calibri" w:hAnsi="Calibri"/>
                <w:lang w:val="ro-RO"/>
              </w:rPr>
              <w:t xml:space="preserve">Totodată, în procesul de alocare a resurselor pe programe/proiecte și moduri de transport Ministerul Transporturilor </w:t>
            </w:r>
            <w:r w:rsidRPr="00587A02">
              <w:rPr>
                <w:rFonts w:ascii="Calibri" w:hAnsi="Calibri" w:cs="Calibri"/>
                <w:lang w:val="ro-RO"/>
              </w:rPr>
              <w:t xml:space="preserve">va </w:t>
            </w:r>
            <w:r w:rsidR="00CE74E0">
              <w:rPr>
                <w:rFonts w:ascii="Calibri" w:hAnsi="Calibri" w:cs="Calibri"/>
                <w:lang w:val="ro-RO"/>
              </w:rPr>
              <w:t xml:space="preserve">urmări </w:t>
            </w:r>
            <w:r w:rsidR="00CE74E0" w:rsidRPr="00CE74E0">
              <w:rPr>
                <w:rFonts w:ascii="Calibri" w:hAnsi="Calibri" w:cs="Calibri"/>
                <w:i/>
                <w:lang w:val="ro-RO"/>
              </w:rPr>
              <w:t>implementarea unei politici de finanțare coerente,</w:t>
            </w:r>
            <w:r w:rsidRPr="00587A02">
              <w:rPr>
                <w:rFonts w:ascii="Calibri" w:hAnsi="Calibri" w:cs="Calibri"/>
                <w:i/>
                <w:lang w:val="ro-RO"/>
              </w:rPr>
              <w:t>de atragere masivă a fondurilor europene nerambursabile, de creştere progresivă a participării utilizatorilor la finanţarea infrastructurilor, de încurajare a participării sectorului privat prin aranjamente de tip parteneriat public-privat</w:t>
            </w:r>
            <w:r w:rsidRPr="00587A02">
              <w:rPr>
                <w:rFonts w:ascii="Arial" w:hAnsi="Arial" w:cs="Arial"/>
                <w:i/>
                <w:lang w:val="ro-RO"/>
              </w:rPr>
              <w:t>.</w:t>
            </w:r>
          </w:p>
          <w:p w:rsidR="00587A02" w:rsidRPr="003964D3" w:rsidRDefault="00587A02" w:rsidP="00587A02">
            <w:pPr>
              <w:jc w:val="both"/>
              <w:rPr>
                <w:rFonts w:ascii="Calibri" w:hAnsi="Calibri" w:cs="Calibri"/>
                <w:lang w:val="fr-FR"/>
              </w:rPr>
            </w:pPr>
          </w:p>
        </w:tc>
      </w:tr>
      <w:tr w:rsidR="00587A02" w:rsidRPr="008368B9" w:rsidTr="004548F2">
        <w:trPr>
          <w:trHeight w:val="837"/>
        </w:trPr>
        <w:tc>
          <w:tcPr>
            <w:tcW w:w="1208" w:type="pct"/>
          </w:tcPr>
          <w:p w:rsidR="00587A02" w:rsidRPr="00587A02" w:rsidRDefault="00587A02" w:rsidP="00587A02">
            <w:pPr>
              <w:rPr>
                <w:rFonts w:ascii="Calibri" w:hAnsi="Calibri" w:cs="Arial"/>
                <w:lang w:val="ro-RO"/>
              </w:rPr>
            </w:pPr>
          </w:p>
        </w:tc>
        <w:tc>
          <w:tcPr>
            <w:tcW w:w="3792" w:type="pct"/>
          </w:tcPr>
          <w:p w:rsidR="00587A02" w:rsidRPr="00587A02" w:rsidRDefault="00587A02" w:rsidP="00587A02">
            <w:pPr>
              <w:autoSpaceDE w:val="0"/>
              <w:autoSpaceDN w:val="0"/>
              <w:adjustRightInd w:val="0"/>
              <w:jc w:val="both"/>
              <w:rPr>
                <w:rFonts w:ascii="Calibri" w:hAnsi="Calibri"/>
                <w:lang w:val="ro-RO"/>
              </w:rPr>
            </w:pPr>
          </w:p>
        </w:tc>
      </w:tr>
      <w:tr w:rsidR="00587A02" w:rsidRPr="008368B9" w:rsidTr="003A7AA6">
        <w:trPr>
          <w:trHeight w:val="1164"/>
        </w:trPr>
        <w:tc>
          <w:tcPr>
            <w:tcW w:w="1208" w:type="pct"/>
          </w:tcPr>
          <w:p w:rsidR="00587A02" w:rsidRPr="00587A02" w:rsidRDefault="00587A02" w:rsidP="00587A02">
            <w:pPr>
              <w:rPr>
                <w:rFonts w:ascii="Calibri" w:hAnsi="Calibri" w:cs="Arial"/>
                <w:color w:val="000080"/>
                <w:lang w:val="ro-RO"/>
              </w:rPr>
            </w:pPr>
            <w:r w:rsidRPr="00587A02">
              <w:rPr>
                <w:rFonts w:ascii="Calibri" w:hAnsi="Calibri" w:cs="Arial"/>
                <w:b/>
                <w:color w:val="000080"/>
                <w:lang w:val="ro-RO"/>
              </w:rPr>
              <w:t xml:space="preserve">Master Planul General de Transport (MPGT) </w:t>
            </w:r>
          </w:p>
        </w:tc>
        <w:tc>
          <w:tcPr>
            <w:tcW w:w="3792" w:type="pct"/>
          </w:tcPr>
          <w:p w:rsidR="00587A02" w:rsidRPr="00587A02" w:rsidRDefault="00587A02" w:rsidP="00587A02">
            <w:pPr>
              <w:autoSpaceDE w:val="0"/>
              <w:autoSpaceDN w:val="0"/>
              <w:adjustRightInd w:val="0"/>
              <w:jc w:val="both"/>
              <w:rPr>
                <w:rFonts w:ascii="Calibri" w:hAnsi="Calibri"/>
                <w:lang w:val="ro-RO"/>
              </w:rPr>
            </w:pPr>
            <w:r w:rsidRPr="00587A02">
              <w:rPr>
                <w:rFonts w:ascii="Calibri" w:hAnsi="Calibri"/>
                <w:lang w:val="ro-RO"/>
              </w:rPr>
              <w:t>Furnizează elementele necesare pentru prioritizarea investiţiilor în domeniul transportului, pentru toate modurile de transport (rutier, feroviar, naval, aerian, multimodal), pe ba</w:t>
            </w:r>
            <w:r w:rsidR="00CE74E0">
              <w:rPr>
                <w:rFonts w:ascii="Calibri" w:hAnsi="Calibri"/>
                <w:lang w:val="ro-RO"/>
              </w:rPr>
              <w:t>za unei analize multicriteriale.</w:t>
            </w:r>
          </w:p>
          <w:p w:rsidR="00587A02" w:rsidRPr="00587A02" w:rsidRDefault="00587A02" w:rsidP="00587A02">
            <w:pPr>
              <w:autoSpaceDE w:val="0"/>
              <w:autoSpaceDN w:val="0"/>
              <w:adjustRightInd w:val="0"/>
              <w:jc w:val="both"/>
              <w:rPr>
                <w:rFonts w:ascii="Calibri" w:hAnsi="Calibri"/>
                <w:lang w:val="ro-RO"/>
              </w:rPr>
            </w:pPr>
          </w:p>
          <w:p w:rsidR="00587A02" w:rsidRPr="00587A02" w:rsidRDefault="00587A02" w:rsidP="00587A02">
            <w:pPr>
              <w:jc w:val="both"/>
              <w:rPr>
                <w:rFonts w:ascii="Calibri" w:hAnsi="Calibri" w:cs="Arial"/>
                <w:lang w:val="ro-RO"/>
              </w:rPr>
            </w:pPr>
          </w:p>
        </w:tc>
      </w:tr>
    </w:tbl>
    <w:p w:rsidR="00CE74E0" w:rsidRPr="00CE74E0" w:rsidRDefault="00CE74E0" w:rsidP="00CE74E0">
      <w:pPr>
        <w:jc w:val="both"/>
        <w:rPr>
          <w:rFonts w:ascii="Calibri" w:hAnsi="Calibri" w:cs="Calibri"/>
          <w:lang w:val="ro-RO"/>
        </w:rPr>
      </w:pPr>
      <w:r w:rsidRPr="00CE74E0">
        <w:rPr>
          <w:rFonts w:ascii="Calibri" w:hAnsi="Calibri"/>
          <w:b/>
          <w:lang w:val="ro-RO"/>
        </w:rPr>
        <w:t>Prioritățile strategice ale Ministerului Transporturilor</w:t>
      </w:r>
      <w:r w:rsidR="00AE69E7">
        <w:rPr>
          <w:rFonts w:ascii="Calibri" w:hAnsi="Calibri" w:cs="Calibri"/>
          <w:lang w:val="ro-RO"/>
        </w:rPr>
        <w:t>sunt</w:t>
      </w:r>
      <w:r w:rsidRPr="00CE74E0">
        <w:rPr>
          <w:rFonts w:ascii="Calibri" w:hAnsi="Calibri" w:cs="Calibri"/>
          <w:lang w:val="ro-RO"/>
        </w:rPr>
        <w:t xml:space="preserve"> focalizate în principal pe:</w:t>
      </w:r>
    </w:p>
    <w:p w:rsidR="00CE74E0" w:rsidRPr="00CE74E0" w:rsidRDefault="00CE74E0" w:rsidP="00CE74E0">
      <w:pPr>
        <w:numPr>
          <w:ilvl w:val="0"/>
          <w:numId w:val="67"/>
        </w:numPr>
        <w:ind w:left="714" w:hanging="357"/>
        <w:contextualSpacing/>
        <w:jc w:val="both"/>
        <w:rPr>
          <w:rFonts w:ascii="Calibri" w:eastAsia="Calibri" w:hAnsi="Calibri" w:cs="Calibri"/>
          <w:szCs w:val="22"/>
          <w:lang w:val="ro-RO"/>
        </w:rPr>
      </w:pPr>
      <w:r w:rsidRPr="00CE74E0">
        <w:rPr>
          <w:rFonts w:ascii="Calibri" w:eastAsia="Calibri" w:hAnsi="Calibri" w:cs="Calibri"/>
          <w:szCs w:val="22"/>
          <w:lang w:val="ro-RO"/>
        </w:rPr>
        <w:t>finalizarea lucrărilor la obiectivele/proiectele de investiții aflate într-un stadiu avansat de realizare, cu finanțare asigurată;</w:t>
      </w:r>
    </w:p>
    <w:p w:rsidR="00587A02" w:rsidRPr="00587A02" w:rsidRDefault="00CE74E0" w:rsidP="00AE69E7">
      <w:pPr>
        <w:numPr>
          <w:ilvl w:val="0"/>
          <w:numId w:val="67"/>
        </w:numPr>
        <w:ind w:left="714" w:hanging="357"/>
        <w:contextualSpacing/>
        <w:jc w:val="both"/>
        <w:rPr>
          <w:rFonts w:ascii="Calibri" w:hAnsi="Calibri" w:cs="Arial Narrow"/>
          <w:lang w:val="ro-RO"/>
        </w:rPr>
      </w:pPr>
      <w:r w:rsidRPr="00CE74E0">
        <w:rPr>
          <w:rFonts w:ascii="Calibri" w:eastAsia="Calibri" w:hAnsi="Calibri" w:cs="Calibri"/>
          <w:szCs w:val="22"/>
          <w:lang w:val="ro-RO"/>
        </w:rPr>
        <w:t>continuarea lucrărilor la obiectivele/proiectele de investiții aflate în derulare, precum și începerea de noi lucrări, situate p</w:t>
      </w:r>
      <w:r w:rsidR="00AE69E7">
        <w:rPr>
          <w:rFonts w:ascii="Calibri" w:eastAsia="Calibri" w:hAnsi="Calibri" w:cs="Calibri"/>
          <w:szCs w:val="22"/>
          <w:lang w:val="ro-RO"/>
        </w:rPr>
        <w:t>e rețeaua TEN-T, cu finanțare asigurată din fonduri nerambursabile și fonduri rambursabile.</w:t>
      </w:r>
    </w:p>
    <w:p w:rsidR="00DA4A79" w:rsidRDefault="00DA4A79" w:rsidP="00DA4A79">
      <w:pPr>
        <w:rPr>
          <w:rFonts w:ascii="Calibri" w:hAnsi="Calibri"/>
          <w:lang w:val="ro-RO"/>
        </w:rPr>
      </w:pPr>
    </w:p>
    <w:p w:rsidR="00AE69E7" w:rsidRDefault="00AE69E7" w:rsidP="00AE69E7">
      <w:pPr>
        <w:rPr>
          <w:rFonts w:ascii="Calibri" w:hAnsi="Calibri" w:cs="Arial"/>
          <w:lang w:val="ro-RO"/>
        </w:rPr>
      </w:pPr>
      <w:r w:rsidRPr="00587A02">
        <w:rPr>
          <w:rFonts w:ascii="Calibri" w:hAnsi="Calibri" w:cs="Arial"/>
          <w:b/>
          <w:lang w:val="ro-RO"/>
        </w:rPr>
        <w:t>Alocarea resurselor</w:t>
      </w:r>
      <w:r w:rsidRPr="00587A02">
        <w:rPr>
          <w:rFonts w:ascii="Calibri" w:hAnsi="Calibri" w:cs="Arial"/>
          <w:lang w:val="ro-RO"/>
        </w:rPr>
        <w:t xml:space="preserve"> financiare ale Ministerului Transporturilor va fi focalizată, în principal, </w:t>
      </w:r>
      <w:r w:rsidRPr="00587A02">
        <w:rPr>
          <w:rFonts w:ascii="Calibri" w:hAnsi="Calibri" w:cs="Arial"/>
          <w:b/>
          <w:lang w:val="ro-RO"/>
        </w:rPr>
        <w:t>pentru</w:t>
      </w:r>
      <w:r w:rsidRPr="00587A02">
        <w:rPr>
          <w:rFonts w:ascii="Calibri" w:hAnsi="Calibri" w:cs="Arial"/>
          <w:lang w:val="ro-RO"/>
        </w:rPr>
        <w:t>:</w:t>
      </w:r>
    </w:p>
    <w:p w:rsidR="00AE69E7" w:rsidRDefault="00AE69E7" w:rsidP="00AE69E7">
      <w:pPr>
        <w:rPr>
          <w:rFonts w:ascii="Calibri" w:hAnsi="Calibri" w:cs="Arial"/>
          <w:lang w:val="ro-RO"/>
        </w:rPr>
      </w:pPr>
    </w:p>
    <w:p w:rsidR="00AE69E7" w:rsidRPr="00715536" w:rsidRDefault="00AE69E7" w:rsidP="00565476">
      <w:pPr>
        <w:numPr>
          <w:ilvl w:val="0"/>
          <w:numId w:val="235"/>
        </w:numPr>
        <w:jc w:val="both"/>
        <w:rPr>
          <w:rFonts w:ascii="Calibri" w:hAnsi="Calibri" w:cs="Arial"/>
          <w:b/>
          <w:lang w:val="fr-FR"/>
        </w:rPr>
      </w:pPr>
      <w:r w:rsidRPr="00715536">
        <w:rPr>
          <w:rFonts w:ascii="Calibri" w:hAnsi="Calibri" w:cs="Arial"/>
          <w:b/>
          <w:lang w:val="fr-FR"/>
        </w:rPr>
        <w:t>construcţia de autostrăzi/drumuri expres pe TEN-T;</w:t>
      </w:r>
    </w:p>
    <w:p w:rsidR="00AE69E7" w:rsidRPr="00715536" w:rsidRDefault="00AE69E7" w:rsidP="00AE69E7">
      <w:pPr>
        <w:ind w:left="720"/>
        <w:jc w:val="both"/>
        <w:rPr>
          <w:rFonts w:ascii="Calibri" w:hAnsi="Calibri" w:cs="Arial"/>
          <w:i/>
          <w:lang w:val="fr-FR"/>
        </w:rPr>
      </w:pPr>
      <w:r w:rsidRPr="00715536">
        <w:rPr>
          <w:rFonts w:ascii="Calibri" w:hAnsi="Calibri" w:cs="Arial"/>
          <w:i/>
          <w:lang w:val="fr-FR"/>
        </w:rPr>
        <w:t xml:space="preserve">Lista principalelor proiecte de construcție autostrăzi, introduse în Buget în anul 2019 cuprinde următoarele obiective: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 xml:space="preserve">Autostrada Lugoj – Deva </w:t>
      </w:r>
      <w:r w:rsidRPr="00715536">
        <w:rPr>
          <w:rFonts w:ascii="Calibri" w:hAnsi="Calibri"/>
          <w:lang w:val="fr-FR"/>
        </w:rPr>
        <w:t>(sector Dumbrava-Deva)</w:t>
      </w:r>
      <w:r w:rsidRPr="00715536">
        <w:rPr>
          <w:rFonts w:ascii="Calibri" w:hAnsi="Calibri" w:cs="Arial"/>
          <w:lang w:val="fr-FR"/>
        </w:rPr>
        <w:t xml:space="preserve">, </w:t>
      </w:r>
    </w:p>
    <w:p w:rsidR="00AE69E7" w:rsidRPr="00AE69E7" w:rsidRDefault="00AE69E7" w:rsidP="00565476">
      <w:pPr>
        <w:numPr>
          <w:ilvl w:val="0"/>
          <w:numId w:val="236"/>
        </w:numPr>
        <w:jc w:val="both"/>
        <w:rPr>
          <w:rFonts w:ascii="Calibri" w:hAnsi="Calibri" w:cs="Arial"/>
        </w:rPr>
      </w:pPr>
      <w:r w:rsidRPr="00AE69E7">
        <w:rPr>
          <w:rFonts w:ascii="Calibri" w:hAnsi="Calibri" w:cs="Arial"/>
        </w:rPr>
        <w:t>Autostrada Sebe</w:t>
      </w:r>
      <w:r w:rsidR="003A7AA6">
        <w:rPr>
          <w:rFonts w:ascii="Calibri" w:hAnsi="Calibri" w:cs="Arial"/>
        </w:rPr>
        <w:t>ș</w:t>
      </w:r>
      <w:r w:rsidRPr="00AE69E7">
        <w:rPr>
          <w:rFonts w:ascii="Calibri" w:hAnsi="Calibri" w:cs="Arial"/>
        </w:rPr>
        <w:t xml:space="preserve"> – Turda,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Autostrada Suplacu de Barcau – Bor</w:t>
      </w:r>
      <w:r w:rsidR="003A7AA6" w:rsidRPr="00715536">
        <w:rPr>
          <w:rFonts w:ascii="Calibri" w:hAnsi="Calibri" w:cs="Arial"/>
          <w:lang w:val="fr-FR"/>
        </w:rPr>
        <w:t>ș</w:t>
      </w:r>
      <w:r w:rsidRPr="00715536">
        <w:rPr>
          <w:rFonts w:ascii="Calibri" w:hAnsi="Calibri" w:cs="Arial"/>
          <w:lang w:val="fr-FR"/>
        </w:rPr>
        <w:t xml:space="preserve">, </w:t>
      </w:r>
    </w:p>
    <w:p w:rsidR="00AE69E7" w:rsidRPr="00AE69E7" w:rsidRDefault="00AE69E7" w:rsidP="00565476">
      <w:pPr>
        <w:numPr>
          <w:ilvl w:val="0"/>
          <w:numId w:val="236"/>
        </w:numPr>
        <w:jc w:val="both"/>
        <w:rPr>
          <w:rFonts w:ascii="Calibri" w:hAnsi="Calibri" w:cs="Arial"/>
        </w:rPr>
      </w:pPr>
      <w:r w:rsidRPr="00AE69E7">
        <w:rPr>
          <w:rFonts w:ascii="Calibri" w:hAnsi="Calibri" w:cs="Arial"/>
        </w:rPr>
        <w:t>Autostrada C</w:t>
      </w:r>
      <w:r w:rsidR="003A7AA6">
        <w:rPr>
          <w:rFonts w:ascii="Calibri" w:hAnsi="Calibri" w:cs="Arial"/>
        </w:rPr>
        <w:t>â</w:t>
      </w:r>
      <w:r w:rsidRPr="00AE69E7">
        <w:rPr>
          <w:rFonts w:ascii="Calibri" w:hAnsi="Calibri" w:cs="Arial"/>
        </w:rPr>
        <w:t>mpiaTurzii – T</w:t>
      </w:r>
      <w:r w:rsidR="003A7AA6">
        <w:rPr>
          <w:rFonts w:ascii="Calibri" w:hAnsi="Calibri" w:cs="Arial"/>
        </w:rPr>
        <w:t>â</w:t>
      </w:r>
      <w:r w:rsidRPr="00AE69E7">
        <w:rPr>
          <w:rFonts w:ascii="Calibri" w:hAnsi="Calibri" w:cs="Arial"/>
        </w:rPr>
        <w:t>rgu Mure</w:t>
      </w:r>
      <w:r w:rsidR="003A7AA6">
        <w:rPr>
          <w:rFonts w:ascii="Calibri" w:hAnsi="Calibri" w:cs="Arial"/>
        </w:rPr>
        <w:t>ș</w:t>
      </w:r>
      <w:r w:rsidRPr="00AE69E7">
        <w:rPr>
          <w:rFonts w:ascii="Calibri" w:hAnsi="Calibri" w:cs="Arial"/>
        </w:rPr>
        <w:t xml:space="preserve">,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Autostrada Varianta de ocolire Bac</w:t>
      </w:r>
      <w:r w:rsidR="003A7AA6" w:rsidRPr="00715536">
        <w:rPr>
          <w:rFonts w:ascii="Calibri" w:hAnsi="Calibri" w:cs="Arial"/>
          <w:lang w:val="fr-FR"/>
        </w:rPr>
        <w:t>ă</w:t>
      </w:r>
      <w:r w:rsidRPr="00715536">
        <w:rPr>
          <w:rFonts w:ascii="Calibri" w:hAnsi="Calibri" w:cs="Arial"/>
          <w:lang w:val="fr-FR"/>
        </w:rPr>
        <w:t>u (profil de autostrad</w:t>
      </w:r>
      <w:r w:rsidR="003A7AA6" w:rsidRPr="00715536">
        <w:rPr>
          <w:rFonts w:ascii="Calibri" w:hAnsi="Calibri" w:cs="Arial"/>
          <w:lang w:val="fr-FR"/>
        </w:rPr>
        <w:t>ă</w:t>
      </w:r>
      <w:r w:rsidRPr="00715536">
        <w:rPr>
          <w:rFonts w:ascii="Calibri" w:hAnsi="Calibri" w:cs="Arial"/>
          <w:lang w:val="fr-FR"/>
        </w:rPr>
        <w:t xml:space="preserve">), </w:t>
      </w:r>
    </w:p>
    <w:p w:rsidR="00AE69E7" w:rsidRPr="00AE69E7" w:rsidRDefault="00AE69E7" w:rsidP="00565476">
      <w:pPr>
        <w:numPr>
          <w:ilvl w:val="0"/>
          <w:numId w:val="236"/>
        </w:numPr>
        <w:jc w:val="both"/>
        <w:rPr>
          <w:rFonts w:ascii="Calibri" w:hAnsi="Calibri" w:cs="Arial"/>
        </w:rPr>
      </w:pPr>
      <w:r w:rsidRPr="00AE69E7">
        <w:rPr>
          <w:rFonts w:ascii="Calibri" w:hAnsi="Calibri" w:cs="Arial"/>
        </w:rPr>
        <w:t>Drum expres Craiova - Pite</w:t>
      </w:r>
      <w:r w:rsidR="003A7AA6">
        <w:rPr>
          <w:rFonts w:ascii="Calibri" w:hAnsi="Calibri" w:cs="Arial"/>
        </w:rPr>
        <w:t>ș</w:t>
      </w:r>
      <w:r w:rsidRPr="00AE69E7">
        <w:rPr>
          <w:rFonts w:ascii="Calibri" w:hAnsi="Calibri" w:cs="Arial"/>
        </w:rPr>
        <w:t>ti</w:t>
      </w:r>
    </w:p>
    <w:p w:rsidR="00AE69E7" w:rsidRPr="00AE69E7" w:rsidRDefault="00AE69E7" w:rsidP="00565476">
      <w:pPr>
        <w:numPr>
          <w:ilvl w:val="0"/>
          <w:numId w:val="236"/>
        </w:numPr>
        <w:jc w:val="both"/>
        <w:rPr>
          <w:rFonts w:ascii="Calibri" w:hAnsi="Calibri" w:cs="Arial"/>
        </w:rPr>
      </w:pPr>
      <w:r w:rsidRPr="00AE69E7">
        <w:rPr>
          <w:rFonts w:ascii="Calibri" w:hAnsi="Calibri" w:cs="Arial"/>
        </w:rPr>
        <w:t>Autostrada de centur</w:t>
      </w:r>
      <w:r w:rsidR="003A7AA6">
        <w:rPr>
          <w:rFonts w:ascii="Calibri" w:hAnsi="Calibri" w:cs="Arial"/>
        </w:rPr>
        <w:t>ă</w:t>
      </w:r>
      <w:r w:rsidRPr="00AE69E7">
        <w:rPr>
          <w:rFonts w:ascii="Calibri" w:hAnsi="Calibri" w:cs="Arial"/>
        </w:rPr>
        <w:t xml:space="preserve"> Sud a municipiului Bucure</w:t>
      </w:r>
      <w:r w:rsidR="003A7AA6">
        <w:rPr>
          <w:rFonts w:ascii="Calibri" w:hAnsi="Calibri" w:cs="Arial"/>
        </w:rPr>
        <w:t>ș</w:t>
      </w:r>
      <w:r w:rsidRPr="00AE69E7">
        <w:rPr>
          <w:rFonts w:ascii="Calibri" w:hAnsi="Calibri" w:cs="Arial"/>
        </w:rPr>
        <w:t>ti, inclusiv interven</w:t>
      </w:r>
      <w:r w:rsidR="003A7AA6">
        <w:rPr>
          <w:rFonts w:ascii="Calibri" w:hAnsi="Calibri" w:cs="Arial"/>
        </w:rPr>
        <w:t>ț</w:t>
      </w:r>
      <w:r w:rsidRPr="00AE69E7">
        <w:rPr>
          <w:rFonts w:ascii="Calibri" w:hAnsi="Calibri" w:cs="Arial"/>
        </w:rPr>
        <w:t>iile privind centura existent</w:t>
      </w:r>
      <w:r w:rsidR="003A7AA6">
        <w:rPr>
          <w:rFonts w:ascii="Calibri" w:hAnsi="Calibri" w:cs="Arial"/>
        </w:rPr>
        <w:t>ă</w:t>
      </w:r>
      <w:r w:rsidRPr="00AE69E7">
        <w:rPr>
          <w:rFonts w:ascii="Calibri" w:hAnsi="Calibri" w:cs="Arial"/>
        </w:rPr>
        <w:t xml:space="preserve"> (L</w:t>
      </w:r>
      <w:r w:rsidR="003A7AA6">
        <w:rPr>
          <w:rFonts w:ascii="Calibri" w:hAnsi="Calibri" w:cs="Arial"/>
        </w:rPr>
        <w:t>ă</w:t>
      </w:r>
      <w:r w:rsidRPr="00AE69E7">
        <w:rPr>
          <w:rFonts w:ascii="Calibri" w:hAnsi="Calibri" w:cs="Arial"/>
        </w:rPr>
        <w:t>rgire la 4 benzi de circula</w:t>
      </w:r>
      <w:r w:rsidR="003A7AA6">
        <w:rPr>
          <w:rFonts w:ascii="Calibri" w:hAnsi="Calibri" w:cs="Arial"/>
        </w:rPr>
        <w:t>ț</w:t>
      </w:r>
      <w:r w:rsidRPr="00AE69E7">
        <w:rPr>
          <w:rFonts w:ascii="Calibri" w:hAnsi="Calibri" w:cs="Arial"/>
        </w:rPr>
        <w:t>ie a Centurii Bucure</w:t>
      </w:r>
      <w:r w:rsidR="003A7AA6">
        <w:rPr>
          <w:rFonts w:ascii="Calibri" w:hAnsi="Calibri" w:cs="Arial"/>
        </w:rPr>
        <w:t>ș</w:t>
      </w:r>
      <w:r w:rsidRPr="00AE69E7">
        <w:rPr>
          <w:rFonts w:ascii="Calibri" w:hAnsi="Calibri" w:cs="Arial"/>
        </w:rPr>
        <w:t xml:space="preserve">ti </w:t>
      </w:r>
      <w:r w:rsidR="003A7AA6">
        <w:rPr>
          <w:rFonts w:ascii="Calibri" w:hAnsi="Calibri" w:cs="Arial"/>
        </w:rPr>
        <w:t>î</w:t>
      </w:r>
      <w:r w:rsidRPr="00AE69E7">
        <w:rPr>
          <w:rFonts w:ascii="Calibri" w:hAnsi="Calibri" w:cs="Arial"/>
        </w:rPr>
        <w:t xml:space="preserve">ntre A1 – DN 5, DN 2 – A2 </w:t>
      </w:r>
      <w:r w:rsidR="003A7AA6">
        <w:rPr>
          <w:rFonts w:ascii="Calibri" w:hAnsi="Calibri" w:cs="Arial"/>
        </w:rPr>
        <w:t>ș</w:t>
      </w:r>
      <w:r w:rsidRPr="00AE69E7">
        <w:rPr>
          <w:rFonts w:ascii="Calibri" w:hAnsi="Calibri" w:cs="Arial"/>
        </w:rPr>
        <w:t>i A1 – DN 7, pasajele Berceni, Domne</w:t>
      </w:r>
      <w:r w:rsidR="003A7AA6">
        <w:rPr>
          <w:rFonts w:ascii="Calibri" w:hAnsi="Calibri" w:cs="Arial"/>
        </w:rPr>
        <w:t>ș</w:t>
      </w:r>
      <w:r w:rsidRPr="00AE69E7">
        <w:rPr>
          <w:rFonts w:ascii="Calibri" w:hAnsi="Calibri" w:cs="Arial"/>
        </w:rPr>
        <w:t>ti, Olteni</w:t>
      </w:r>
      <w:r w:rsidR="003A7AA6">
        <w:rPr>
          <w:rFonts w:ascii="Calibri" w:hAnsi="Calibri" w:cs="Arial"/>
        </w:rPr>
        <w:t>ț</w:t>
      </w:r>
      <w:r w:rsidRPr="00AE69E7">
        <w:rPr>
          <w:rFonts w:ascii="Calibri" w:hAnsi="Calibri" w:cs="Arial"/>
        </w:rPr>
        <w:t xml:space="preserve">a </w:t>
      </w:r>
      <w:r w:rsidR="003A7AA6">
        <w:rPr>
          <w:rFonts w:ascii="Calibri" w:hAnsi="Calibri" w:cs="Arial"/>
        </w:rPr>
        <w:t>ș</w:t>
      </w:r>
      <w:r w:rsidRPr="00AE69E7">
        <w:rPr>
          <w:rFonts w:ascii="Calibri" w:hAnsi="Calibri" w:cs="Arial"/>
        </w:rPr>
        <w:t>i Mogo</w:t>
      </w:r>
      <w:r w:rsidR="003A7AA6">
        <w:rPr>
          <w:rFonts w:ascii="Calibri" w:hAnsi="Calibri" w:cs="Arial"/>
        </w:rPr>
        <w:t>ș</w:t>
      </w:r>
      <w:r w:rsidRPr="00AE69E7">
        <w:rPr>
          <w:rFonts w:ascii="Calibri" w:hAnsi="Calibri" w:cs="Arial"/>
        </w:rPr>
        <w:t xml:space="preserve">oaia),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Autostrada de centur</w:t>
      </w:r>
      <w:r w:rsidR="003A7AA6" w:rsidRPr="00715536">
        <w:rPr>
          <w:rFonts w:ascii="Calibri" w:hAnsi="Calibri" w:cs="Arial"/>
          <w:lang w:val="fr-FR"/>
        </w:rPr>
        <w:t>ă</w:t>
      </w:r>
      <w:r w:rsidRPr="00715536">
        <w:rPr>
          <w:rFonts w:ascii="Calibri" w:hAnsi="Calibri" w:cs="Arial"/>
          <w:lang w:val="fr-FR"/>
        </w:rPr>
        <w:t xml:space="preserve"> Nord a municipiului Bucure</w:t>
      </w:r>
      <w:r w:rsidR="003A7AA6" w:rsidRPr="00715536">
        <w:rPr>
          <w:rFonts w:ascii="Calibri" w:hAnsi="Calibri" w:cs="Arial"/>
          <w:lang w:val="fr-FR"/>
        </w:rPr>
        <w:t>ș</w:t>
      </w:r>
      <w:r w:rsidRPr="00715536">
        <w:rPr>
          <w:rFonts w:ascii="Calibri" w:hAnsi="Calibri" w:cs="Arial"/>
          <w:lang w:val="fr-FR"/>
        </w:rPr>
        <w:t>ti,</w:t>
      </w:r>
    </w:p>
    <w:p w:rsidR="00AE69E7" w:rsidRPr="00AE69E7" w:rsidRDefault="00AE69E7" w:rsidP="00565476">
      <w:pPr>
        <w:numPr>
          <w:ilvl w:val="0"/>
          <w:numId w:val="236"/>
        </w:numPr>
        <w:jc w:val="both"/>
        <w:rPr>
          <w:rFonts w:ascii="Calibri" w:hAnsi="Calibri" w:cs="Arial"/>
        </w:rPr>
      </w:pPr>
      <w:r w:rsidRPr="00AE69E7">
        <w:rPr>
          <w:rFonts w:ascii="Calibri" w:hAnsi="Calibri" w:cs="Arial"/>
        </w:rPr>
        <w:t>Autostrada Bucure</w:t>
      </w:r>
      <w:r w:rsidR="003A7AA6">
        <w:rPr>
          <w:rFonts w:ascii="Calibri" w:hAnsi="Calibri" w:cs="Arial"/>
        </w:rPr>
        <w:t>ș</w:t>
      </w:r>
      <w:r w:rsidRPr="00AE69E7">
        <w:rPr>
          <w:rFonts w:ascii="Calibri" w:hAnsi="Calibri" w:cs="Arial"/>
        </w:rPr>
        <w:t>ti-Bra</w:t>
      </w:r>
      <w:r w:rsidR="003A7AA6">
        <w:rPr>
          <w:rFonts w:ascii="Calibri" w:hAnsi="Calibri" w:cs="Arial"/>
        </w:rPr>
        <w:t>ș</w:t>
      </w:r>
      <w:r w:rsidRPr="00AE69E7">
        <w:rPr>
          <w:rFonts w:ascii="Calibri" w:hAnsi="Calibri" w:cs="Arial"/>
        </w:rPr>
        <w:t>ov tronson Comarnic-Bra</w:t>
      </w:r>
      <w:r w:rsidR="003A7AA6">
        <w:rPr>
          <w:rFonts w:ascii="Calibri" w:hAnsi="Calibri" w:cs="Arial"/>
        </w:rPr>
        <w:t>ș</w:t>
      </w:r>
      <w:r w:rsidRPr="00AE69E7">
        <w:rPr>
          <w:rFonts w:ascii="Calibri" w:hAnsi="Calibri" w:cs="Arial"/>
        </w:rPr>
        <w:t xml:space="preserve">ov sector Predeal – Cristian,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 xml:space="preserve">Podul suspendat peste Dunare </w:t>
      </w:r>
      <w:r w:rsidR="003A7AA6" w:rsidRPr="00715536">
        <w:rPr>
          <w:rFonts w:ascii="Calibri" w:hAnsi="Calibri" w:cs="Arial"/>
          <w:lang w:val="fr-FR"/>
        </w:rPr>
        <w:t>î</w:t>
      </w:r>
      <w:r w:rsidRPr="00715536">
        <w:rPr>
          <w:rFonts w:ascii="Calibri" w:hAnsi="Calibri" w:cs="Arial"/>
          <w:lang w:val="fr-FR"/>
        </w:rPr>
        <w:t>n zona Br</w:t>
      </w:r>
      <w:r w:rsidR="003A7AA6" w:rsidRPr="00715536">
        <w:rPr>
          <w:rFonts w:ascii="Calibri" w:hAnsi="Calibri" w:cs="Arial"/>
          <w:lang w:val="fr-FR"/>
        </w:rPr>
        <w:t>ă</w:t>
      </w:r>
      <w:r w:rsidRPr="00715536">
        <w:rPr>
          <w:rFonts w:ascii="Calibri" w:hAnsi="Calibri" w:cs="Arial"/>
          <w:lang w:val="fr-FR"/>
        </w:rPr>
        <w:t xml:space="preserve">ila,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Autostrada Sibiu – Pite</w:t>
      </w:r>
      <w:r w:rsidR="003A7AA6" w:rsidRPr="00715536">
        <w:rPr>
          <w:rFonts w:ascii="Calibri" w:hAnsi="Calibri" w:cs="Arial"/>
          <w:lang w:val="fr-FR"/>
        </w:rPr>
        <w:t>ș</w:t>
      </w:r>
      <w:r w:rsidRPr="00715536">
        <w:rPr>
          <w:rFonts w:ascii="Calibri" w:hAnsi="Calibri" w:cs="Arial"/>
          <w:lang w:val="fr-FR"/>
        </w:rPr>
        <w:t>ti sec</w:t>
      </w:r>
      <w:r w:rsidR="003A7AA6" w:rsidRPr="00715536">
        <w:rPr>
          <w:rFonts w:ascii="Calibri" w:hAnsi="Calibri" w:cs="Arial"/>
          <w:lang w:val="fr-FR"/>
        </w:rPr>
        <w:t>ț</w:t>
      </w:r>
      <w:r w:rsidRPr="00715536">
        <w:rPr>
          <w:rFonts w:ascii="Calibri" w:hAnsi="Calibri" w:cs="Arial"/>
          <w:lang w:val="fr-FR"/>
        </w:rPr>
        <w:t xml:space="preserve">iunile 1,4 </w:t>
      </w:r>
      <w:r w:rsidR="003A7AA6" w:rsidRPr="00715536">
        <w:rPr>
          <w:rFonts w:ascii="Calibri" w:hAnsi="Calibri" w:cs="Arial"/>
          <w:lang w:val="fr-FR"/>
        </w:rPr>
        <w:t>ș</w:t>
      </w:r>
      <w:r w:rsidRPr="00715536">
        <w:rPr>
          <w:rFonts w:ascii="Calibri" w:hAnsi="Calibri" w:cs="Arial"/>
          <w:lang w:val="fr-FR"/>
        </w:rPr>
        <w:t>i 5.</w:t>
      </w:r>
    </w:p>
    <w:p w:rsidR="00AE69E7" w:rsidRPr="00715536" w:rsidRDefault="00AE69E7" w:rsidP="00AE69E7">
      <w:pPr>
        <w:tabs>
          <w:tab w:val="left" w:pos="720"/>
        </w:tabs>
        <w:ind w:left="1440" w:hanging="720"/>
        <w:jc w:val="both"/>
        <w:rPr>
          <w:rFonts w:ascii="Calibri" w:hAnsi="Calibri" w:cs="Arial"/>
          <w:i/>
          <w:lang w:val="fr-FR"/>
        </w:rPr>
      </w:pPr>
      <w:r w:rsidRPr="00715536">
        <w:rPr>
          <w:rFonts w:ascii="Calibri" w:hAnsi="Calibri" w:cs="Arial"/>
          <w:i/>
          <w:lang w:val="fr-FR"/>
        </w:rPr>
        <w:t xml:space="preserve">Proiectele de autostrăzi </w:t>
      </w:r>
      <w:r w:rsidR="003A7AA6" w:rsidRPr="00715536">
        <w:rPr>
          <w:rFonts w:ascii="Calibri" w:hAnsi="Calibri" w:cs="Arial"/>
          <w:i/>
          <w:lang w:val="fr-FR"/>
        </w:rPr>
        <w:t>î</w:t>
      </w:r>
      <w:r w:rsidRPr="00715536">
        <w:rPr>
          <w:rFonts w:ascii="Calibri" w:hAnsi="Calibri" w:cs="Arial"/>
          <w:i/>
          <w:lang w:val="fr-FR"/>
        </w:rPr>
        <w:t>n preg</w:t>
      </w:r>
      <w:r w:rsidR="003A7AA6" w:rsidRPr="00715536">
        <w:rPr>
          <w:rFonts w:ascii="Calibri" w:hAnsi="Calibri" w:cs="Arial"/>
          <w:i/>
          <w:lang w:val="fr-FR"/>
        </w:rPr>
        <w:t>ă</w:t>
      </w:r>
      <w:r w:rsidRPr="00715536">
        <w:rPr>
          <w:rFonts w:ascii="Calibri" w:hAnsi="Calibri" w:cs="Arial"/>
          <w:i/>
          <w:lang w:val="fr-FR"/>
        </w:rPr>
        <w:t>tire, pentru care exist</w:t>
      </w:r>
      <w:r w:rsidR="003A7AA6" w:rsidRPr="00715536">
        <w:rPr>
          <w:rFonts w:ascii="Calibri" w:hAnsi="Calibri" w:cs="Arial"/>
          <w:i/>
          <w:lang w:val="fr-FR"/>
        </w:rPr>
        <w:t>ă</w:t>
      </w:r>
      <w:r w:rsidRPr="00715536">
        <w:rPr>
          <w:rFonts w:ascii="Calibri" w:hAnsi="Calibri" w:cs="Arial"/>
          <w:i/>
          <w:lang w:val="fr-FR"/>
        </w:rPr>
        <w:t xml:space="preserve"> deja aloc</w:t>
      </w:r>
      <w:r w:rsidR="003A7AA6" w:rsidRPr="00715536">
        <w:rPr>
          <w:rFonts w:ascii="Calibri" w:hAnsi="Calibri" w:cs="Arial"/>
          <w:i/>
          <w:lang w:val="fr-FR"/>
        </w:rPr>
        <w:t>ă</w:t>
      </w:r>
      <w:r w:rsidRPr="00715536">
        <w:rPr>
          <w:rFonts w:ascii="Calibri" w:hAnsi="Calibri" w:cs="Arial"/>
          <w:i/>
          <w:lang w:val="fr-FR"/>
        </w:rPr>
        <w:t xml:space="preserve">ri bugetare </w:t>
      </w:r>
      <w:r w:rsidR="003A7AA6" w:rsidRPr="00715536">
        <w:rPr>
          <w:rFonts w:ascii="Calibri" w:hAnsi="Calibri" w:cs="Arial"/>
          <w:i/>
          <w:lang w:val="fr-FR"/>
        </w:rPr>
        <w:t>î</w:t>
      </w:r>
      <w:r w:rsidRPr="00715536">
        <w:rPr>
          <w:rFonts w:ascii="Calibri" w:hAnsi="Calibri" w:cs="Arial"/>
          <w:i/>
          <w:lang w:val="fr-FR"/>
        </w:rPr>
        <w:t xml:space="preserve">n anul 2019 cuprind: </w:t>
      </w:r>
    </w:p>
    <w:p w:rsidR="00AE69E7" w:rsidRPr="00AE69E7" w:rsidRDefault="00AE69E7" w:rsidP="00565476">
      <w:pPr>
        <w:numPr>
          <w:ilvl w:val="0"/>
          <w:numId w:val="236"/>
        </w:numPr>
        <w:jc w:val="both"/>
        <w:rPr>
          <w:rFonts w:ascii="Calibri" w:hAnsi="Calibri" w:cs="Arial"/>
        </w:rPr>
      </w:pPr>
      <w:r w:rsidRPr="00AE69E7">
        <w:rPr>
          <w:rFonts w:ascii="Calibri" w:hAnsi="Calibri" w:cs="Arial"/>
        </w:rPr>
        <w:t>Elaborarea/completarea studiilor de fezabilitate pentru autostr</w:t>
      </w:r>
      <w:r w:rsidR="003A7AA6">
        <w:rPr>
          <w:rFonts w:ascii="Calibri" w:hAnsi="Calibri" w:cs="Arial"/>
        </w:rPr>
        <w:t>ă</w:t>
      </w:r>
      <w:r w:rsidRPr="00AE69E7">
        <w:rPr>
          <w:rFonts w:ascii="Calibri" w:hAnsi="Calibri" w:cs="Arial"/>
        </w:rPr>
        <w:t>zile Sibiu – F</w:t>
      </w:r>
      <w:r w:rsidR="003A7AA6">
        <w:rPr>
          <w:rFonts w:ascii="Calibri" w:hAnsi="Calibri" w:cs="Arial"/>
        </w:rPr>
        <w:t>ă</w:t>
      </w:r>
      <w:r w:rsidRPr="00AE69E7">
        <w:rPr>
          <w:rFonts w:ascii="Calibri" w:hAnsi="Calibri" w:cs="Arial"/>
        </w:rPr>
        <w:t>g</w:t>
      </w:r>
      <w:r w:rsidR="003A7AA6">
        <w:rPr>
          <w:rFonts w:ascii="Calibri" w:hAnsi="Calibri" w:cs="Arial"/>
        </w:rPr>
        <w:t>ă</w:t>
      </w:r>
      <w:r w:rsidRPr="00AE69E7">
        <w:rPr>
          <w:rFonts w:ascii="Calibri" w:hAnsi="Calibri" w:cs="Arial"/>
        </w:rPr>
        <w:t>ra</w:t>
      </w:r>
      <w:r w:rsidR="003A7AA6">
        <w:rPr>
          <w:rFonts w:ascii="Calibri" w:hAnsi="Calibri" w:cs="Arial"/>
        </w:rPr>
        <w:t>ș</w:t>
      </w:r>
      <w:r w:rsidRPr="00AE69E7">
        <w:rPr>
          <w:rFonts w:ascii="Calibri" w:hAnsi="Calibri" w:cs="Arial"/>
        </w:rPr>
        <w:t>, T</w:t>
      </w:r>
      <w:r w:rsidR="003A7AA6">
        <w:rPr>
          <w:rFonts w:ascii="Calibri" w:hAnsi="Calibri" w:cs="Arial"/>
        </w:rPr>
        <w:t>â</w:t>
      </w:r>
      <w:r w:rsidRPr="00AE69E7">
        <w:rPr>
          <w:rFonts w:ascii="Calibri" w:hAnsi="Calibri" w:cs="Arial"/>
        </w:rPr>
        <w:t>rgu Neam</w:t>
      </w:r>
      <w:r w:rsidR="003A7AA6">
        <w:rPr>
          <w:rFonts w:ascii="Calibri" w:hAnsi="Calibri" w:cs="Arial"/>
        </w:rPr>
        <w:t>ț</w:t>
      </w:r>
      <w:r w:rsidRPr="00AE69E7">
        <w:rPr>
          <w:rFonts w:ascii="Calibri" w:hAnsi="Calibri" w:cs="Arial"/>
        </w:rPr>
        <w:t xml:space="preserve"> – T</w:t>
      </w:r>
      <w:r w:rsidR="003A7AA6">
        <w:rPr>
          <w:rFonts w:ascii="Calibri" w:hAnsi="Calibri" w:cs="Arial"/>
        </w:rPr>
        <w:t>â</w:t>
      </w:r>
      <w:r w:rsidRPr="00AE69E7">
        <w:rPr>
          <w:rFonts w:ascii="Calibri" w:hAnsi="Calibri" w:cs="Arial"/>
        </w:rPr>
        <w:t>rgu Mure</w:t>
      </w:r>
      <w:r w:rsidR="003A7AA6">
        <w:rPr>
          <w:rFonts w:ascii="Calibri" w:hAnsi="Calibri" w:cs="Arial"/>
        </w:rPr>
        <w:t>ș</w:t>
      </w:r>
      <w:r w:rsidRPr="00AE69E7">
        <w:rPr>
          <w:rFonts w:ascii="Calibri" w:hAnsi="Calibri" w:cs="Arial"/>
        </w:rPr>
        <w:t>,</w:t>
      </w:r>
    </w:p>
    <w:p w:rsidR="00AE69E7" w:rsidRPr="00AE69E7" w:rsidRDefault="00AE69E7" w:rsidP="00565476">
      <w:pPr>
        <w:numPr>
          <w:ilvl w:val="0"/>
          <w:numId w:val="236"/>
        </w:numPr>
        <w:jc w:val="both"/>
        <w:rPr>
          <w:rFonts w:ascii="Calibri" w:hAnsi="Calibri" w:cs="Arial"/>
        </w:rPr>
      </w:pPr>
      <w:r w:rsidRPr="00AE69E7">
        <w:rPr>
          <w:rFonts w:ascii="Calibri" w:hAnsi="Calibri" w:cs="Arial"/>
        </w:rPr>
        <w:t xml:space="preserve">Elaborarea studiilor de fezabilitate </w:t>
      </w:r>
      <w:r w:rsidR="003A7AA6">
        <w:rPr>
          <w:rFonts w:ascii="Calibri" w:hAnsi="Calibri" w:cs="Arial"/>
        </w:rPr>
        <w:t>ș</w:t>
      </w:r>
      <w:r w:rsidRPr="00AE69E7">
        <w:rPr>
          <w:rFonts w:ascii="Calibri" w:hAnsi="Calibri" w:cs="Arial"/>
        </w:rPr>
        <w:t>i a proiectelor tehnice pentru Autostrada Bra</w:t>
      </w:r>
      <w:r w:rsidR="003A7AA6">
        <w:rPr>
          <w:rFonts w:ascii="Calibri" w:hAnsi="Calibri" w:cs="Arial"/>
        </w:rPr>
        <w:t>ș</w:t>
      </w:r>
      <w:r w:rsidRPr="00AE69E7">
        <w:rPr>
          <w:rFonts w:ascii="Calibri" w:hAnsi="Calibri" w:cs="Arial"/>
        </w:rPr>
        <w:t>ov – Bac</w:t>
      </w:r>
      <w:r w:rsidR="003A7AA6">
        <w:rPr>
          <w:rFonts w:ascii="Calibri" w:hAnsi="Calibri" w:cs="Arial"/>
        </w:rPr>
        <w:t>ă</w:t>
      </w:r>
      <w:r w:rsidRPr="00AE69E7">
        <w:rPr>
          <w:rFonts w:ascii="Calibri" w:hAnsi="Calibri" w:cs="Arial"/>
        </w:rPr>
        <w:t xml:space="preserve">u </w:t>
      </w:r>
      <w:r w:rsidR="003A7AA6">
        <w:rPr>
          <w:rFonts w:ascii="Calibri" w:hAnsi="Calibri" w:cs="Arial"/>
        </w:rPr>
        <w:t>ș</w:t>
      </w:r>
      <w:r w:rsidRPr="00AE69E7">
        <w:rPr>
          <w:rFonts w:ascii="Calibri" w:hAnsi="Calibri" w:cs="Arial"/>
        </w:rPr>
        <w:t>i pentru drumurile de mare vitez</w:t>
      </w:r>
      <w:r w:rsidR="003A7AA6">
        <w:rPr>
          <w:rFonts w:ascii="Calibri" w:hAnsi="Calibri" w:cs="Arial"/>
        </w:rPr>
        <w:t>ă</w:t>
      </w:r>
      <w:r w:rsidRPr="00AE69E7">
        <w:rPr>
          <w:rFonts w:ascii="Calibri" w:hAnsi="Calibri" w:cs="Arial"/>
        </w:rPr>
        <w:t xml:space="preserve"> Ploie</w:t>
      </w:r>
      <w:r w:rsidR="003A7AA6">
        <w:rPr>
          <w:rFonts w:ascii="Calibri" w:hAnsi="Calibri" w:cs="Arial"/>
        </w:rPr>
        <w:t>ș</w:t>
      </w:r>
      <w:r w:rsidRPr="00AE69E7">
        <w:rPr>
          <w:rFonts w:ascii="Calibri" w:hAnsi="Calibri" w:cs="Arial"/>
        </w:rPr>
        <w:t>ti – Buzau – Foc</w:t>
      </w:r>
      <w:r w:rsidR="003A7AA6">
        <w:rPr>
          <w:rFonts w:ascii="Calibri" w:hAnsi="Calibri" w:cs="Arial"/>
        </w:rPr>
        <w:t>ș</w:t>
      </w:r>
      <w:r w:rsidRPr="00AE69E7">
        <w:rPr>
          <w:rFonts w:ascii="Calibri" w:hAnsi="Calibri" w:cs="Arial"/>
        </w:rPr>
        <w:t>ani – Bac</w:t>
      </w:r>
      <w:r w:rsidR="003A7AA6">
        <w:rPr>
          <w:rFonts w:ascii="Calibri" w:hAnsi="Calibri" w:cs="Arial"/>
        </w:rPr>
        <w:t>ă</w:t>
      </w:r>
      <w:r w:rsidRPr="00AE69E7">
        <w:rPr>
          <w:rFonts w:ascii="Calibri" w:hAnsi="Calibri" w:cs="Arial"/>
        </w:rPr>
        <w:t>u – Pa</w:t>
      </w:r>
      <w:r w:rsidR="003A7AA6">
        <w:rPr>
          <w:rFonts w:ascii="Calibri" w:hAnsi="Calibri" w:cs="Arial"/>
        </w:rPr>
        <w:t>ș</w:t>
      </w:r>
      <w:r w:rsidRPr="00AE69E7">
        <w:rPr>
          <w:rFonts w:ascii="Calibri" w:hAnsi="Calibri" w:cs="Arial"/>
        </w:rPr>
        <w:t>cani.</w:t>
      </w:r>
    </w:p>
    <w:p w:rsidR="00AE69E7" w:rsidRPr="00AE69E7" w:rsidRDefault="00AE69E7" w:rsidP="00AE69E7">
      <w:pPr>
        <w:ind w:left="720"/>
        <w:jc w:val="both"/>
        <w:rPr>
          <w:rFonts w:ascii="Calibri" w:hAnsi="Calibri" w:cs="Arial"/>
          <w:i/>
        </w:rPr>
      </w:pPr>
      <w:r w:rsidRPr="00AE69E7">
        <w:rPr>
          <w:rFonts w:ascii="Calibri" w:hAnsi="Calibri" w:cs="Arial"/>
          <w:i/>
        </w:rPr>
        <w:t>Proiecte care vor fi bugetate pe parcursul anului 2019, dup</w:t>
      </w:r>
      <w:r w:rsidR="003A7AA6">
        <w:rPr>
          <w:rFonts w:ascii="Calibri" w:hAnsi="Calibri" w:cs="Arial"/>
          <w:i/>
        </w:rPr>
        <w:t>ă</w:t>
      </w:r>
      <w:r w:rsidRPr="00AE69E7">
        <w:rPr>
          <w:rFonts w:ascii="Calibri" w:hAnsi="Calibri" w:cs="Arial"/>
          <w:i/>
        </w:rPr>
        <w:t xml:space="preserve"> ob</w:t>
      </w:r>
      <w:r w:rsidR="003A7AA6">
        <w:rPr>
          <w:rFonts w:ascii="Calibri" w:hAnsi="Calibri" w:cs="Arial"/>
          <w:i/>
        </w:rPr>
        <w:t>ț</w:t>
      </w:r>
      <w:r w:rsidRPr="00AE69E7">
        <w:rPr>
          <w:rFonts w:ascii="Calibri" w:hAnsi="Calibri" w:cs="Arial"/>
          <w:i/>
        </w:rPr>
        <w:t>inerea aprob</w:t>
      </w:r>
      <w:r w:rsidR="00ED0D41">
        <w:rPr>
          <w:rFonts w:ascii="Calibri" w:hAnsi="Calibri" w:cs="Arial"/>
          <w:i/>
        </w:rPr>
        <w:t>ă</w:t>
      </w:r>
      <w:r w:rsidRPr="00AE69E7">
        <w:rPr>
          <w:rFonts w:ascii="Calibri" w:hAnsi="Calibri" w:cs="Arial"/>
          <w:i/>
        </w:rPr>
        <w:t xml:space="preserve">rilor legale necesare, aflate </w:t>
      </w:r>
      <w:r w:rsidR="00ED0D41">
        <w:rPr>
          <w:rFonts w:ascii="Calibri" w:hAnsi="Calibri" w:cs="Arial"/>
          <w:i/>
        </w:rPr>
        <w:t>î</w:t>
      </w:r>
      <w:r w:rsidRPr="00AE69E7">
        <w:rPr>
          <w:rFonts w:ascii="Calibri" w:hAnsi="Calibri" w:cs="Arial"/>
          <w:i/>
        </w:rPr>
        <w:t xml:space="preserve">n prezent </w:t>
      </w:r>
      <w:r w:rsidR="00ED0D41">
        <w:rPr>
          <w:rFonts w:ascii="Calibri" w:hAnsi="Calibri" w:cs="Arial"/>
          <w:i/>
        </w:rPr>
        <w:t>î</w:t>
      </w:r>
      <w:r w:rsidRPr="00AE69E7">
        <w:rPr>
          <w:rFonts w:ascii="Calibri" w:hAnsi="Calibri" w:cs="Arial"/>
          <w:i/>
        </w:rPr>
        <w:t>n etapa de preg</w:t>
      </w:r>
      <w:r w:rsidR="00ED0D41">
        <w:rPr>
          <w:rFonts w:ascii="Calibri" w:hAnsi="Calibri" w:cs="Arial"/>
          <w:i/>
        </w:rPr>
        <w:t>ă</w:t>
      </w:r>
      <w:r w:rsidRPr="00AE69E7">
        <w:rPr>
          <w:rFonts w:ascii="Calibri" w:hAnsi="Calibri" w:cs="Arial"/>
          <w:i/>
        </w:rPr>
        <w:t xml:space="preserve">tire/atribuire </w:t>
      </w:r>
      <w:r w:rsidR="00ED0D41">
        <w:rPr>
          <w:rFonts w:ascii="Calibri" w:hAnsi="Calibri" w:cs="Arial"/>
          <w:i/>
        </w:rPr>
        <w:t>î</w:t>
      </w:r>
      <w:r w:rsidRPr="00AE69E7">
        <w:rPr>
          <w:rFonts w:ascii="Calibri" w:hAnsi="Calibri" w:cs="Arial"/>
          <w:i/>
        </w:rPr>
        <w:t>n vederea elabor</w:t>
      </w:r>
      <w:r w:rsidR="00ED0D41">
        <w:rPr>
          <w:rFonts w:ascii="Calibri" w:hAnsi="Calibri" w:cs="Arial"/>
          <w:i/>
        </w:rPr>
        <w:t>ă</w:t>
      </w:r>
      <w:r w:rsidRPr="00AE69E7">
        <w:rPr>
          <w:rFonts w:ascii="Calibri" w:hAnsi="Calibri" w:cs="Arial"/>
          <w:i/>
        </w:rPr>
        <w:t>rii documenta</w:t>
      </w:r>
      <w:r w:rsidR="00ED0D41">
        <w:rPr>
          <w:rFonts w:ascii="Calibri" w:hAnsi="Calibri" w:cs="Arial"/>
          <w:i/>
        </w:rPr>
        <w:t>ț</w:t>
      </w:r>
      <w:r w:rsidRPr="00AE69E7">
        <w:rPr>
          <w:rFonts w:ascii="Calibri" w:hAnsi="Calibri" w:cs="Arial"/>
          <w:i/>
        </w:rPr>
        <w:t>iilor tehnico-economice sau proiect</w:t>
      </w:r>
      <w:r w:rsidR="00ED0D41">
        <w:rPr>
          <w:rFonts w:ascii="Calibri" w:hAnsi="Calibri" w:cs="Arial"/>
          <w:i/>
        </w:rPr>
        <w:t>ă</w:t>
      </w:r>
      <w:r w:rsidRPr="00AE69E7">
        <w:rPr>
          <w:rFonts w:ascii="Calibri" w:hAnsi="Calibri" w:cs="Arial"/>
          <w:i/>
        </w:rPr>
        <w:t xml:space="preserve">rii </w:t>
      </w:r>
      <w:r w:rsidR="00ED0D41">
        <w:rPr>
          <w:rFonts w:ascii="Calibri" w:hAnsi="Calibri" w:cs="Arial"/>
          <w:i/>
        </w:rPr>
        <w:t>ș</w:t>
      </w:r>
      <w:r w:rsidRPr="00AE69E7">
        <w:rPr>
          <w:rFonts w:ascii="Calibri" w:hAnsi="Calibri" w:cs="Arial"/>
          <w:i/>
        </w:rPr>
        <w:t>i execu</w:t>
      </w:r>
      <w:r w:rsidR="00ED0D41">
        <w:rPr>
          <w:rFonts w:ascii="Calibri" w:hAnsi="Calibri" w:cs="Arial"/>
          <w:i/>
        </w:rPr>
        <w:t>ț</w:t>
      </w:r>
      <w:r w:rsidRPr="00AE69E7">
        <w:rPr>
          <w:rFonts w:ascii="Calibri" w:hAnsi="Calibri" w:cs="Arial"/>
          <w:i/>
        </w:rPr>
        <w:t>iei:</w:t>
      </w:r>
    </w:p>
    <w:p w:rsidR="00AE69E7" w:rsidRPr="00AE69E7" w:rsidRDefault="00AE69E7" w:rsidP="00565476">
      <w:pPr>
        <w:numPr>
          <w:ilvl w:val="0"/>
          <w:numId w:val="236"/>
        </w:numPr>
        <w:jc w:val="both"/>
        <w:rPr>
          <w:rFonts w:ascii="Calibri" w:hAnsi="Calibri" w:cs="Arial"/>
        </w:rPr>
      </w:pPr>
      <w:r w:rsidRPr="00AE69E7">
        <w:rPr>
          <w:rFonts w:ascii="Calibri" w:hAnsi="Calibri" w:cs="Arial"/>
        </w:rPr>
        <w:t>Completarea studiilor geotehnice pentru Sec</w:t>
      </w:r>
      <w:r w:rsidR="00ED0D41">
        <w:rPr>
          <w:rFonts w:ascii="Calibri" w:hAnsi="Calibri" w:cs="Arial"/>
        </w:rPr>
        <w:t>ț</w:t>
      </w:r>
      <w:r w:rsidRPr="00AE69E7">
        <w:rPr>
          <w:rFonts w:ascii="Calibri" w:hAnsi="Calibri" w:cs="Arial"/>
        </w:rPr>
        <w:t xml:space="preserve">iunile 2 </w:t>
      </w:r>
      <w:r w:rsidR="00ED0D41">
        <w:rPr>
          <w:rFonts w:ascii="Calibri" w:hAnsi="Calibri" w:cs="Arial"/>
        </w:rPr>
        <w:t>ș</w:t>
      </w:r>
      <w:r w:rsidRPr="00AE69E7">
        <w:rPr>
          <w:rFonts w:ascii="Calibri" w:hAnsi="Calibri" w:cs="Arial"/>
        </w:rPr>
        <w:t>i 3 din Autostrada Sibiu – Pite</w:t>
      </w:r>
      <w:r w:rsidR="00ED0D41">
        <w:rPr>
          <w:rFonts w:ascii="Calibri" w:hAnsi="Calibri" w:cs="Arial"/>
        </w:rPr>
        <w:t>ș</w:t>
      </w:r>
      <w:r w:rsidRPr="00AE69E7">
        <w:rPr>
          <w:rFonts w:ascii="Calibri" w:hAnsi="Calibri" w:cs="Arial"/>
        </w:rPr>
        <w:t xml:space="preserve">ti;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Autostrada Nadaselu – Suplacu de Barc</w:t>
      </w:r>
      <w:r w:rsidR="00ED0D41" w:rsidRPr="00715536">
        <w:rPr>
          <w:rFonts w:ascii="Calibri" w:hAnsi="Calibri" w:cs="Arial"/>
          <w:lang w:val="fr-FR"/>
        </w:rPr>
        <w:t>ă</w:t>
      </w:r>
      <w:r w:rsidRPr="00715536">
        <w:rPr>
          <w:rFonts w:ascii="Calibri" w:hAnsi="Calibri" w:cs="Arial"/>
          <w:lang w:val="fr-FR"/>
        </w:rPr>
        <w:t xml:space="preserve">u (proiectare </w:t>
      </w:r>
      <w:r w:rsidR="00ED0D41" w:rsidRPr="00715536">
        <w:rPr>
          <w:rFonts w:ascii="Calibri" w:hAnsi="Calibri" w:cs="Arial"/>
          <w:lang w:val="fr-FR"/>
        </w:rPr>
        <w:t>ș</w:t>
      </w:r>
      <w:r w:rsidRPr="00715536">
        <w:rPr>
          <w:rFonts w:ascii="Calibri" w:hAnsi="Calibri" w:cs="Arial"/>
          <w:lang w:val="fr-FR"/>
        </w:rPr>
        <w:t>i execu</w:t>
      </w:r>
      <w:r w:rsidR="00ED0D41" w:rsidRPr="00715536">
        <w:rPr>
          <w:rFonts w:ascii="Calibri" w:hAnsi="Calibri" w:cs="Arial"/>
          <w:lang w:val="fr-FR"/>
        </w:rPr>
        <w:t>ț</w:t>
      </w:r>
      <w:r w:rsidRPr="00715536">
        <w:rPr>
          <w:rFonts w:ascii="Calibri" w:hAnsi="Calibri" w:cs="Arial"/>
          <w:lang w:val="fr-FR"/>
        </w:rPr>
        <w:t>ie);</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Drum Expres Br</w:t>
      </w:r>
      <w:r w:rsidR="00ED0D41" w:rsidRPr="00715536">
        <w:rPr>
          <w:rFonts w:ascii="Calibri" w:hAnsi="Calibri" w:cs="Arial"/>
          <w:lang w:val="fr-FR"/>
        </w:rPr>
        <w:t>ă</w:t>
      </w:r>
      <w:r w:rsidRPr="00715536">
        <w:rPr>
          <w:rFonts w:ascii="Calibri" w:hAnsi="Calibri" w:cs="Arial"/>
          <w:lang w:val="fr-FR"/>
        </w:rPr>
        <w:t>ila – Gala</w:t>
      </w:r>
      <w:r w:rsidR="00ED0D41" w:rsidRPr="00715536">
        <w:rPr>
          <w:rFonts w:ascii="Calibri" w:hAnsi="Calibri" w:cs="Arial"/>
          <w:lang w:val="fr-FR"/>
        </w:rPr>
        <w:t>ț</w:t>
      </w:r>
      <w:r w:rsidRPr="00715536">
        <w:rPr>
          <w:rFonts w:ascii="Calibri" w:hAnsi="Calibri" w:cs="Arial"/>
          <w:lang w:val="fr-FR"/>
        </w:rPr>
        <w:t xml:space="preserve">i (proiectare </w:t>
      </w:r>
      <w:r w:rsidR="00ED0D41" w:rsidRPr="00715536">
        <w:rPr>
          <w:rFonts w:ascii="Calibri" w:hAnsi="Calibri" w:cs="Arial"/>
          <w:lang w:val="fr-FR"/>
        </w:rPr>
        <w:t>ș</w:t>
      </w:r>
      <w:r w:rsidRPr="00715536">
        <w:rPr>
          <w:rFonts w:ascii="Calibri" w:hAnsi="Calibri" w:cs="Arial"/>
          <w:lang w:val="fr-FR"/>
        </w:rPr>
        <w:t>i execu</w:t>
      </w:r>
      <w:r w:rsidR="00ED0D41" w:rsidRPr="00715536">
        <w:rPr>
          <w:rFonts w:ascii="Calibri" w:hAnsi="Calibri" w:cs="Arial"/>
          <w:lang w:val="fr-FR"/>
        </w:rPr>
        <w:t>ț</w:t>
      </w:r>
      <w:r w:rsidRPr="00715536">
        <w:rPr>
          <w:rFonts w:ascii="Calibri" w:hAnsi="Calibri" w:cs="Arial"/>
          <w:lang w:val="fr-FR"/>
        </w:rPr>
        <w:t xml:space="preserve">ie), </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Varianta de ocolire Gala</w:t>
      </w:r>
      <w:r w:rsidR="00ED0D41" w:rsidRPr="00715536">
        <w:rPr>
          <w:rFonts w:ascii="Calibri" w:hAnsi="Calibri" w:cs="Arial"/>
          <w:lang w:val="fr-FR"/>
        </w:rPr>
        <w:t>ț</w:t>
      </w:r>
      <w:r w:rsidRPr="00715536">
        <w:rPr>
          <w:rFonts w:ascii="Calibri" w:hAnsi="Calibri" w:cs="Arial"/>
          <w:lang w:val="fr-FR"/>
        </w:rPr>
        <w:t xml:space="preserve">i (proiectare </w:t>
      </w:r>
      <w:r w:rsidR="00ED0D41" w:rsidRPr="00715536">
        <w:rPr>
          <w:rFonts w:ascii="Calibri" w:hAnsi="Calibri" w:cs="Arial"/>
          <w:lang w:val="fr-FR"/>
        </w:rPr>
        <w:t>ș</w:t>
      </w:r>
      <w:r w:rsidRPr="00715536">
        <w:rPr>
          <w:rFonts w:ascii="Calibri" w:hAnsi="Calibri" w:cs="Arial"/>
          <w:lang w:val="fr-FR"/>
        </w:rPr>
        <w:t>i execu</w:t>
      </w:r>
      <w:r w:rsidR="00ED0D41" w:rsidRPr="00715536">
        <w:rPr>
          <w:rFonts w:ascii="Calibri" w:hAnsi="Calibri" w:cs="Arial"/>
          <w:lang w:val="fr-FR"/>
        </w:rPr>
        <w:t>ț</w:t>
      </w:r>
      <w:r w:rsidRPr="00715536">
        <w:rPr>
          <w:rFonts w:ascii="Calibri" w:hAnsi="Calibri" w:cs="Arial"/>
          <w:lang w:val="fr-FR"/>
        </w:rPr>
        <w:t>ie la profil de autostrad</w:t>
      </w:r>
      <w:r w:rsidR="00ED0D41" w:rsidRPr="00715536">
        <w:rPr>
          <w:rFonts w:ascii="Calibri" w:hAnsi="Calibri" w:cs="Arial"/>
          <w:lang w:val="fr-FR"/>
        </w:rPr>
        <w:t>ă</w:t>
      </w:r>
      <w:r w:rsidRPr="00715536">
        <w:rPr>
          <w:rFonts w:ascii="Calibri" w:hAnsi="Calibri" w:cs="Arial"/>
          <w:lang w:val="fr-FR"/>
        </w:rPr>
        <w:t xml:space="preserve">), </w:t>
      </w:r>
    </w:p>
    <w:p w:rsidR="00AE69E7" w:rsidRPr="00AE69E7" w:rsidRDefault="00AE69E7" w:rsidP="00565476">
      <w:pPr>
        <w:numPr>
          <w:ilvl w:val="0"/>
          <w:numId w:val="236"/>
        </w:numPr>
        <w:jc w:val="both"/>
        <w:rPr>
          <w:rFonts w:ascii="Calibri" w:hAnsi="Calibri" w:cs="Arial"/>
        </w:rPr>
      </w:pPr>
      <w:r w:rsidRPr="00AE69E7">
        <w:rPr>
          <w:rFonts w:ascii="Calibri" w:hAnsi="Calibri" w:cs="Arial"/>
        </w:rPr>
        <w:t>Elaborarea/completarea studiilor de fezabilitate pentru Autostrada Timi</w:t>
      </w:r>
      <w:r w:rsidR="00ED0D41">
        <w:rPr>
          <w:rFonts w:ascii="Calibri" w:hAnsi="Calibri" w:cs="Arial"/>
        </w:rPr>
        <w:t>ș</w:t>
      </w:r>
      <w:r w:rsidRPr="00AE69E7">
        <w:rPr>
          <w:rFonts w:ascii="Calibri" w:hAnsi="Calibri" w:cs="Arial"/>
        </w:rPr>
        <w:t>oara – Moravi</w:t>
      </w:r>
      <w:r w:rsidR="00ED0D41">
        <w:rPr>
          <w:rFonts w:ascii="Calibri" w:hAnsi="Calibri" w:cs="Arial"/>
        </w:rPr>
        <w:t>ț</w:t>
      </w:r>
      <w:r w:rsidRPr="00AE69E7">
        <w:rPr>
          <w:rFonts w:ascii="Calibri" w:hAnsi="Calibri" w:cs="Arial"/>
        </w:rPr>
        <w:t>a;</w:t>
      </w:r>
    </w:p>
    <w:p w:rsidR="00AE69E7" w:rsidRPr="00AE69E7" w:rsidRDefault="00AE69E7" w:rsidP="00565476">
      <w:pPr>
        <w:numPr>
          <w:ilvl w:val="0"/>
          <w:numId w:val="236"/>
        </w:numPr>
        <w:jc w:val="both"/>
        <w:rPr>
          <w:rFonts w:ascii="Calibri" w:hAnsi="Calibri" w:cs="Arial"/>
        </w:rPr>
      </w:pPr>
      <w:r w:rsidRPr="00AE69E7">
        <w:rPr>
          <w:rFonts w:ascii="Calibri" w:hAnsi="Calibri" w:cs="Arial"/>
        </w:rPr>
        <w:t>Elaborarea/completarea studiilor de fezabilitate pentru Autostrada F</w:t>
      </w:r>
      <w:r w:rsidR="00ED0D41">
        <w:rPr>
          <w:rFonts w:ascii="Calibri" w:hAnsi="Calibri" w:cs="Arial"/>
        </w:rPr>
        <w:t>ă</w:t>
      </w:r>
      <w:r w:rsidRPr="00AE69E7">
        <w:rPr>
          <w:rFonts w:ascii="Calibri" w:hAnsi="Calibri" w:cs="Arial"/>
        </w:rPr>
        <w:t>g</w:t>
      </w:r>
      <w:r w:rsidR="00ED0D41">
        <w:rPr>
          <w:rFonts w:ascii="Calibri" w:hAnsi="Calibri" w:cs="Arial"/>
        </w:rPr>
        <w:t>ă</w:t>
      </w:r>
      <w:r w:rsidRPr="00AE69E7">
        <w:rPr>
          <w:rFonts w:ascii="Calibri" w:hAnsi="Calibri" w:cs="Arial"/>
        </w:rPr>
        <w:t>ra</w:t>
      </w:r>
      <w:r w:rsidR="00ED0D41">
        <w:rPr>
          <w:rFonts w:ascii="Calibri" w:hAnsi="Calibri" w:cs="Arial"/>
        </w:rPr>
        <w:t>ș</w:t>
      </w:r>
      <w:r w:rsidRPr="00AE69E7">
        <w:rPr>
          <w:rFonts w:ascii="Calibri" w:hAnsi="Calibri" w:cs="Arial"/>
        </w:rPr>
        <w:t xml:space="preserve"> – Bra</w:t>
      </w:r>
      <w:r w:rsidR="00ED0D41">
        <w:rPr>
          <w:rFonts w:ascii="Calibri" w:hAnsi="Calibri" w:cs="Arial"/>
        </w:rPr>
        <w:t>ș</w:t>
      </w:r>
      <w:r w:rsidRPr="00AE69E7">
        <w:rPr>
          <w:rFonts w:ascii="Calibri" w:hAnsi="Calibri" w:cs="Arial"/>
        </w:rPr>
        <w:t>ov;</w:t>
      </w:r>
    </w:p>
    <w:p w:rsidR="00AE69E7" w:rsidRPr="00AE69E7" w:rsidRDefault="00AE69E7" w:rsidP="00565476">
      <w:pPr>
        <w:numPr>
          <w:ilvl w:val="0"/>
          <w:numId w:val="236"/>
        </w:numPr>
        <w:jc w:val="both"/>
        <w:rPr>
          <w:rFonts w:ascii="Calibri" w:hAnsi="Calibri" w:cs="Arial"/>
        </w:rPr>
      </w:pPr>
      <w:r w:rsidRPr="00AE69E7">
        <w:rPr>
          <w:rFonts w:ascii="Calibri" w:hAnsi="Calibri" w:cs="Arial"/>
        </w:rPr>
        <w:t xml:space="preserve">Elaborarea studiilor de fezabilitate </w:t>
      </w:r>
      <w:r w:rsidR="00ED0D41">
        <w:rPr>
          <w:rFonts w:ascii="Calibri" w:hAnsi="Calibri" w:cs="Arial"/>
        </w:rPr>
        <w:t>ș</w:t>
      </w:r>
      <w:r w:rsidRPr="00AE69E7">
        <w:rPr>
          <w:rFonts w:ascii="Calibri" w:hAnsi="Calibri" w:cs="Arial"/>
        </w:rPr>
        <w:t>i a proiectelor tehnice pentru drumurile Expres Craiova - T</w:t>
      </w:r>
      <w:r w:rsidR="00ED0D41">
        <w:rPr>
          <w:rFonts w:ascii="Calibri" w:hAnsi="Calibri" w:cs="Arial"/>
        </w:rPr>
        <w:t>â</w:t>
      </w:r>
      <w:r w:rsidRPr="00AE69E7">
        <w:rPr>
          <w:rFonts w:ascii="Calibri" w:hAnsi="Calibri" w:cs="Arial"/>
        </w:rPr>
        <w:t>rgu Jiu, Ovidiu – Tulcea, Br</w:t>
      </w:r>
      <w:r w:rsidR="00ED0D41">
        <w:rPr>
          <w:rFonts w:ascii="Calibri" w:hAnsi="Calibri" w:cs="Arial"/>
        </w:rPr>
        <w:t>ă</w:t>
      </w:r>
      <w:r w:rsidRPr="00AE69E7">
        <w:rPr>
          <w:rFonts w:ascii="Calibri" w:hAnsi="Calibri" w:cs="Arial"/>
        </w:rPr>
        <w:t>ila– Tulcea, Br</w:t>
      </w:r>
      <w:r w:rsidR="00ED0D41">
        <w:rPr>
          <w:rFonts w:ascii="Calibri" w:hAnsi="Calibri" w:cs="Arial"/>
        </w:rPr>
        <w:t>ă</w:t>
      </w:r>
      <w:r w:rsidRPr="00AE69E7">
        <w:rPr>
          <w:rFonts w:ascii="Calibri" w:hAnsi="Calibri" w:cs="Arial"/>
        </w:rPr>
        <w:t>ila – Buz</w:t>
      </w:r>
      <w:r w:rsidR="00ED0D41">
        <w:rPr>
          <w:rFonts w:ascii="Calibri" w:hAnsi="Calibri" w:cs="Arial"/>
        </w:rPr>
        <w:t>ă</w:t>
      </w:r>
      <w:r w:rsidRPr="00AE69E7">
        <w:rPr>
          <w:rFonts w:ascii="Calibri" w:hAnsi="Calibri" w:cs="Arial"/>
        </w:rPr>
        <w:t>u, Foc</w:t>
      </w:r>
      <w:r w:rsidR="00ED0D41">
        <w:rPr>
          <w:rFonts w:ascii="Calibri" w:hAnsi="Calibri" w:cs="Arial"/>
        </w:rPr>
        <w:t>ș</w:t>
      </w:r>
      <w:r w:rsidRPr="00AE69E7">
        <w:rPr>
          <w:rFonts w:ascii="Calibri" w:hAnsi="Calibri" w:cs="Arial"/>
        </w:rPr>
        <w:t>ani – Br</w:t>
      </w:r>
      <w:r w:rsidR="00ED0D41">
        <w:rPr>
          <w:rFonts w:ascii="Calibri" w:hAnsi="Calibri" w:cs="Arial"/>
        </w:rPr>
        <w:t>ă</w:t>
      </w:r>
      <w:r w:rsidRPr="00AE69E7">
        <w:rPr>
          <w:rFonts w:ascii="Calibri" w:hAnsi="Calibri" w:cs="Arial"/>
        </w:rPr>
        <w:t>ila, Pa</w:t>
      </w:r>
      <w:r w:rsidR="00ED0D41">
        <w:rPr>
          <w:rFonts w:ascii="Calibri" w:hAnsi="Calibri" w:cs="Arial"/>
        </w:rPr>
        <w:t>ș</w:t>
      </w:r>
      <w:r w:rsidRPr="00AE69E7">
        <w:rPr>
          <w:rFonts w:ascii="Calibri" w:hAnsi="Calibri" w:cs="Arial"/>
        </w:rPr>
        <w:t>cani – Suceava – Siret; G</w:t>
      </w:r>
      <w:r w:rsidR="00ED0D41">
        <w:rPr>
          <w:rFonts w:ascii="Calibri" w:hAnsi="Calibri" w:cs="Arial"/>
        </w:rPr>
        <w:t>ă</w:t>
      </w:r>
      <w:r w:rsidRPr="00AE69E7">
        <w:rPr>
          <w:rFonts w:ascii="Calibri" w:hAnsi="Calibri" w:cs="Arial"/>
        </w:rPr>
        <w:t>e</w:t>
      </w:r>
      <w:r w:rsidR="00ED0D41">
        <w:rPr>
          <w:rFonts w:ascii="Calibri" w:hAnsi="Calibri" w:cs="Arial"/>
        </w:rPr>
        <w:t>ș</w:t>
      </w:r>
      <w:r w:rsidRPr="00AE69E7">
        <w:rPr>
          <w:rFonts w:ascii="Calibri" w:hAnsi="Calibri" w:cs="Arial"/>
        </w:rPr>
        <w:t>ti – Ploie</w:t>
      </w:r>
      <w:r w:rsidR="00ED0D41">
        <w:rPr>
          <w:rFonts w:ascii="Calibri" w:hAnsi="Calibri" w:cs="Arial"/>
        </w:rPr>
        <w:t>ș</w:t>
      </w:r>
      <w:r w:rsidRPr="00AE69E7">
        <w:rPr>
          <w:rFonts w:ascii="Calibri" w:hAnsi="Calibri" w:cs="Arial"/>
        </w:rPr>
        <w:t xml:space="preserve">ti </w:t>
      </w:r>
      <w:r w:rsidR="00ED0D41">
        <w:rPr>
          <w:rFonts w:ascii="Calibri" w:hAnsi="Calibri" w:cs="Arial"/>
        </w:rPr>
        <w:t>ș</w:t>
      </w:r>
      <w:r w:rsidRPr="00AE69E7">
        <w:rPr>
          <w:rFonts w:ascii="Calibri" w:hAnsi="Calibri" w:cs="Arial"/>
        </w:rPr>
        <w:t xml:space="preserve">i Legatura dintre A3 </w:t>
      </w:r>
      <w:r w:rsidR="00ED0D41">
        <w:rPr>
          <w:rFonts w:ascii="Calibri" w:hAnsi="Calibri" w:cs="Arial"/>
        </w:rPr>
        <w:t>ș</w:t>
      </w:r>
      <w:r w:rsidRPr="00AE69E7">
        <w:rPr>
          <w:rFonts w:ascii="Calibri" w:hAnsi="Calibri" w:cs="Arial"/>
        </w:rPr>
        <w:t>i Aeroportul Henri Coand</w:t>
      </w:r>
      <w:r w:rsidR="00ED0D41">
        <w:rPr>
          <w:rFonts w:ascii="Calibri" w:hAnsi="Calibri" w:cs="Arial"/>
        </w:rPr>
        <w:t>ă</w:t>
      </w:r>
      <w:r w:rsidRPr="00AE69E7">
        <w:rPr>
          <w:rFonts w:ascii="Calibri" w:hAnsi="Calibri" w:cs="Arial"/>
        </w:rPr>
        <w:t>;</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Elaborare studiu de prefezabilitate pentru autostrada Ti</w:t>
      </w:r>
      <w:r w:rsidR="00ED0D41" w:rsidRPr="00715536">
        <w:rPr>
          <w:rFonts w:ascii="Calibri" w:hAnsi="Calibri" w:cs="Arial"/>
          <w:lang w:val="fr-FR"/>
        </w:rPr>
        <w:t>ș</w:t>
      </w:r>
      <w:r w:rsidRPr="00715536">
        <w:rPr>
          <w:rFonts w:ascii="Calibri" w:hAnsi="Calibri" w:cs="Arial"/>
          <w:lang w:val="fr-FR"/>
        </w:rPr>
        <w:t>i</w:t>
      </w:r>
      <w:r w:rsidR="00ED0D41" w:rsidRPr="00715536">
        <w:rPr>
          <w:rFonts w:ascii="Calibri" w:hAnsi="Calibri" w:cs="Arial"/>
          <w:lang w:val="fr-FR"/>
        </w:rPr>
        <w:t>ț</w:t>
      </w:r>
      <w:r w:rsidRPr="00715536">
        <w:rPr>
          <w:rFonts w:ascii="Calibri" w:hAnsi="Calibri" w:cs="Arial"/>
          <w:lang w:val="fr-FR"/>
        </w:rPr>
        <w:t>a – Albi</w:t>
      </w:r>
      <w:r w:rsidR="00ED0D41" w:rsidRPr="00715536">
        <w:rPr>
          <w:rFonts w:ascii="Calibri" w:hAnsi="Calibri" w:cs="Arial"/>
          <w:lang w:val="fr-FR"/>
        </w:rPr>
        <w:t>ț</w:t>
      </w:r>
      <w:r w:rsidRPr="00715536">
        <w:rPr>
          <w:rFonts w:ascii="Calibri" w:hAnsi="Calibri" w:cs="Arial"/>
          <w:lang w:val="fr-FR"/>
        </w:rPr>
        <w:t>a;</w:t>
      </w:r>
    </w:p>
    <w:p w:rsidR="00AE69E7" w:rsidRPr="00715536" w:rsidRDefault="00AE69E7" w:rsidP="00565476">
      <w:pPr>
        <w:numPr>
          <w:ilvl w:val="0"/>
          <w:numId w:val="236"/>
        </w:numPr>
        <w:jc w:val="both"/>
        <w:rPr>
          <w:rFonts w:ascii="Calibri" w:hAnsi="Calibri" w:cs="Arial"/>
          <w:lang w:val="fr-FR"/>
        </w:rPr>
      </w:pPr>
      <w:r w:rsidRPr="00715536">
        <w:rPr>
          <w:rFonts w:ascii="Calibri" w:hAnsi="Calibri" w:cs="Arial"/>
          <w:lang w:val="fr-FR"/>
        </w:rPr>
        <w:t xml:space="preserve"> Elaborarea/completarea studiilor de fezabilitate pentru Drum expres/ Autostrada Nordului (Drum expres Petea – Satu Mare - Baia Mare </w:t>
      </w:r>
      <w:r w:rsidR="00ED0D41" w:rsidRPr="00715536">
        <w:rPr>
          <w:rFonts w:ascii="Calibri" w:hAnsi="Calibri" w:cs="Arial"/>
          <w:lang w:val="fr-FR"/>
        </w:rPr>
        <w:t>ș</w:t>
      </w:r>
      <w:r w:rsidRPr="00715536">
        <w:rPr>
          <w:rFonts w:ascii="Calibri" w:hAnsi="Calibri" w:cs="Arial"/>
          <w:lang w:val="fr-FR"/>
        </w:rPr>
        <w:t xml:space="preserve">i Autostrada Baia Mare – Dej – Bistrita – Vatra Dornei – Suceava </w:t>
      </w:r>
      <w:r w:rsidR="00ED0D41" w:rsidRPr="00715536">
        <w:rPr>
          <w:rFonts w:ascii="Calibri" w:hAnsi="Calibri" w:cs="Arial"/>
          <w:lang w:val="fr-FR"/>
        </w:rPr>
        <w:t>ș</w:t>
      </w:r>
      <w:r w:rsidRPr="00715536">
        <w:rPr>
          <w:rFonts w:ascii="Calibri" w:hAnsi="Calibri" w:cs="Arial"/>
          <w:lang w:val="fr-FR"/>
        </w:rPr>
        <w:t>i analiza conexiune Cluj - Dej);</w:t>
      </w:r>
    </w:p>
    <w:p w:rsidR="00AE69E7" w:rsidRPr="00AE69E7" w:rsidRDefault="00AE69E7" w:rsidP="00565476">
      <w:pPr>
        <w:numPr>
          <w:ilvl w:val="0"/>
          <w:numId w:val="236"/>
        </w:numPr>
        <w:jc w:val="both"/>
        <w:rPr>
          <w:rFonts w:ascii="Calibri" w:hAnsi="Calibri" w:cs="Arial"/>
        </w:rPr>
      </w:pPr>
      <w:r w:rsidRPr="00AE69E7">
        <w:rPr>
          <w:rFonts w:ascii="Calibri" w:hAnsi="Calibri" w:cs="Arial"/>
        </w:rPr>
        <w:t>Completarea studiului de fezabilitate pentru drum expres Arad – Oradea,</w:t>
      </w:r>
    </w:p>
    <w:p w:rsidR="00AE69E7" w:rsidRPr="00AE69E7" w:rsidRDefault="00AE69E7" w:rsidP="00AE69E7">
      <w:pPr>
        <w:jc w:val="both"/>
        <w:rPr>
          <w:rFonts w:ascii="Calibri" w:hAnsi="Calibri" w:cs="Arial"/>
        </w:rPr>
      </w:pPr>
    </w:p>
    <w:p w:rsidR="00AE69E7" w:rsidRPr="00715536" w:rsidRDefault="00AE69E7" w:rsidP="00565476">
      <w:pPr>
        <w:numPr>
          <w:ilvl w:val="0"/>
          <w:numId w:val="235"/>
        </w:numPr>
        <w:jc w:val="both"/>
        <w:rPr>
          <w:rFonts w:ascii="Calibri" w:hAnsi="Calibri" w:cs="Arial"/>
          <w:b/>
          <w:lang w:val="fr-FR"/>
        </w:rPr>
      </w:pPr>
      <w:r w:rsidRPr="00715536">
        <w:rPr>
          <w:rFonts w:ascii="Calibri" w:hAnsi="Calibri" w:cs="Arial"/>
          <w:b/>
          <w:lang w:val="fr-FR"/>
        </w:rPr>
        <w:t>modernizarea şi dezvoltarea reţelei de drumuri naţionale, inclusiv prin construcţia de variante de ocolire;</w:t>
      </w:r>
    </w:p>
    <w:p w:rsidR="00AE69E7" w:rsidRPr="00715536" w:rsidRDefault="00AE69E7" w:rsidP="00AE69E7">
      <w:pPr>
        <w:ind w:left="720"/>
        <w:jc w:val="both"/>
        <w:rPr>
          <w:rFonts w:ascii="Calibri" w:hAnsi="Calibri" w:cs="Arial"/>
          <w:i/>
          <w:lang w:val="fr-FR"/>
        </w:rPr>
      </w:pPr>
      <w:r w:rsidRPr="00715536">
        <w:rPr>
          <w:rFonts w:ascii="Calibri" w:hAnsi="Calibri" w:cs="Arial"/>
          <w:i/>
          <w:lang w:val="fr-FR"/>
        </w:rPr>
        <w:t>Lista principalelor proiecte de construc</w:t>
      </w:r>
      <w:r w:rsidR="00ED0D41" w:rsidRPr="00715536">
        <w:rPr>
          <w:rFonts w:ascii="Calibri" w:hAnsi="Calibri" w:cs="Arial"/>
          <w:i/>
          <w:lang w:val="fr-FR"/>
        </w:rPr>
        <w:t>ț</w:t>
      </w:r>
      <w:r w:rsidRPr="00715536">
        <w:rPr>
          <w:rFonts w:ascii="Calibri" w:hAnsi="Calibri" w:cs="Arial"/>
          <w:i/>
          <w:lang w:val="fr-FR"/>
        </w:rPr>
        <w:t xml:space="preserve">ie variante de ocolire, introduse </w:t>
      </w:r>
      <w:r w:rsidR="00ED0D41" w:rsidRPr="00715536">
        <w:rPr>
          <w:rFonts w:ascii="Calibri" w:hAnsi="Calibri" w:cs="Arial"/>
          <w:i/>
          <w:lang w:val="fr-FR"/>
        </w:rPr>
        <w:t>î</w:t>
      </w:r>
      <w:r w:rsidRPr="00715536">
        <w:rPr>
          <w:rFonts w:ascii="Calibri" w:hAnsi="Calibri" w:cs="Arial"/>
          <w:i/>
          <w:lang w:val="fr-FR"/>
        </w:rPr>
        <w:t xml:space="preserve">n Buget </w:t>
      </w:r>
      <w:r w:rsidR="00ED0D41" w:rsidRPr="00715536">
        <w:rPr>
          <w:rFonts w:ascii="Calibri" w:hAnsi="Calibri" w:cs="Arial"/>
          <w:i/>
          <w:lang w:val="fr-FR"/>
        </w:rPr>
        <w:t>î</w:t>
      </w:r>
      <w:r w:rsidRPr="00715536">
        <w:rPr>
          <w:rFonts w:ascii="Calibri" w:hAnsi="Calibri" w:cs="Arial"/>
          <w:i/>
          <w:lang w:val="fr-FR"/>
        </w:rPr>
        <w:t>n anul 2019 cuprinde urm</w:t>
      </w:r>
      <w:r w:rsidR="00ED0D41" w:rsidRPr="00715536">
        <w:rPr>
          <w:rFonts w:ascii="Calibri" w:hAnsi="Calibri" w:cs="Arial"/>
          <w:i/>
          <w:lang w:val="fr-FR"/>
        </w:rPr>
        <w:t>ă</w:t>
      </w:r>
      <w:r w:rsidRPr="00715536">
        <w:rPr>
          <w:rFonts w:ascii="Calibri" w:hAnsi="Calibri" w:cs="Arial"/>
          <w:i/>
          <w:lang w:val="fr-FR"/>
        </w:rPr>
        <w:t xml:space="preserve">toarele obiective: </w:t>
      </w:r>
    </w:p>
    <w:p w:rsidR="00AE69E7" w:rsidRPr="00715536" w:rsidRDefault="00AE69E7" w:rsidP="00565476">
      <w:pPr>
        <w:numPr>
          <w:ilvl w:val="0"/>
          <w:numId w:val="235"/>
        </w:numPr>
        <w:ind w:left="1276" w:hanging="142"/>
        <w:jc w:val="both"/>
        <w:rPr>
          <w:rFonts w:ascii="Calibri" w:hAnsi="Calibri" w:cs="Arial"/>
          <w:lang w:val="fr-FR"/>
        </w:rPr>
      </w:pPr>
      <w:r w:rsidRPr="00715536">
        <w:rPr>
          <w:rFonts w:ascii="Calibri" w:hAnsi="Calibri" w:cs="Arial"/>
          <w:lang w:val="fr-FR"/>
        </w:rPr>
        <w:t xml:space="preserve">Variantele de ocolire aflate </w:t>
      </w:r>
      <w:r w:rsidR="00ED0D41" w:rsidRPr="00715536">
        <w:rPr>
          <w:rFonts w:ascii="Calibri" w:hAnsi="Calibri" w:cs="Arial"/>
          <w:lang w:val="fr-FR"/>
        </w:rPr>
        <w:t>î</w:t>
      </w:r>
      <w:r w:rsidRPr="00715536">
        <w:rPr>
          <w:rFonts w:ascii="Calibri" w:hAnsi="Calibri" w:cs="Arial"/>
          <w:lang w:val="fr-FR"/>
        </w:rPr>
        <w:t>n executie: Tecuci, Mih</w:t>
      </w:r>
      <w:r w:rsidR="00ED0D41" w:rsidRPr="00715536">
        <w:rPr>
          <w:rFonts w:ascii="Calibri" w:hAnsi="Calibri" w:cs="Arial"/>
          <w:lang w:val="fr-FR"/>
        </w:rPr>
        <w:t>ă</w:t>
      </w:r>
      <w:r w:rsidRPr="00715536">
        <w:rPr>
          <w:rFonts w:ascii="Calibri" w:hAnsi="Calibri" w:cs="Arial"/>
          <w:lang w:val="fr-FR"/>
        </w:rPr>
        <w:t>ile</w:t>
      </w:r>
      <w:r w:rsidR="00ED0D41" w:rsidRPr="00715536">
        <w:rPr>
          <w:rFonts w:ascii="Calibri" w:hAnsi="Calibri" w:cs="Arial"/>
          <w:lang w:val="fr-FR"/>
        </w:rPr>
        <w:t>ș</w:t>
      </w:r>
      <w:r w:rsidRPr="00715536">
        <w:rPr>
          <w:rFonts w:ascii="Calibri" w:hAnsi="Calibri" w:cs="Arial"/>
          <w:lang w:val="fr-FR"/>
        </w:rPr>
        <w:t>ti, Suceava, Carei, B</w:t>
      </w:r>
      <w:r w:rsidR="00ED0D41" w:rsidRPr="00715536">
        <w:rPr>
          <w:rFonts w:ascii="Calibri" w:hAnsi="Calibri" w:cs="Arial"/>
          <w:lang w:val="fr-FR"/>
        </w:rPr>
        <w:t>â</w:t>
      </w:r>
      <w:r w:rsidRPr="00715536">
        <w:rPr>
          <w:rFonts w:ascii="Calibri" w:hAnsi="Calibri" w:cs="Arial"/>
          <w:lang w:val="fr-FR"/>
        </w:rPr>
        <w:t>rlad, T</w:t>
      </w:r>
      <w:r w:rsidR="00ED0D41" w:rsidRPr="00715536">
        <w:rPr>
          <w:rFonts w:ascii="Calibri" w:hAnsi="Calibri" w:cs="Arial"/>
          <w:lang w:val="fr-FR"/>
        </w:rPr>
        <w:t>â</w:t>
      </w:r>
      <w:r w:rsidRPr="00715536">
        <w:rPr>
          <w:rFonts w:ascii="Calibri" w:hAnsi="Calibri" w:cs="Arial"/>
          <w:lang w:val="fr-FR"/>
        </w:rPr>
        <w:t>rgu Mure</w:t>
      </w:r>
      <w:r w:rsidR="00ED0D41" w:rsidRPr="00715536">
        <w:rPr>
          <w:rFonts w:ascii="Calibri" w:hAnsi="Calibri" w:cs="Arial"/>
          <w:lang w:val="fr-FR"/>
        </w:rPr>
        <w:t>ș</w:t>
      </w:r>
      <w:r w:rsidRPr="00715536">
        <w:rPr>
          <w:rFonts w:ascii="Calibri" w:hAnsi="Calibri" w:cs="Arial"/>
          <w:lang w:val="fr-FR"/>
        </w:rPr>
        <w:t>, Satu Mare, Stei, R</w:t>
      </w:r>
      <w:r w:rsidR="00ED0D41" w:rsidRPr="00715536">
        <w:rPr>
          <w:rFonts w:ascii="Calibri" w:hAnsi="Calibri" w:cs="Arial"/>
          <w:lang w:val="fr-FR"/>
        </w:rPr>
        <w:t>ă</w:t>
      </w:r>
      <w:r w:rsidRPr="00715536">
        <w:rPr>
          <w:rFonts w:ascii="Calibri" w:hAnsi="Calibri" w:cs="Arial"/>
          <w:lang w:val="fr-FR"/>
        </w:rPr>
        <w:t>d</w:t>
      </w:r>
      <w:r w:rsidR="00ED0D41" w:rsidRPr="00715536">
        <w:rPr>
          <w:rFonts w:ascii="Calibri" w:hAnsi="Calibri" w:cs="Arial"/>
          <w:lang w:val="fr-FR"/>
        </w:rPr>
        <w:t>ă</w:t>
      </w:r>
      <w:r w:rsidRPr="00715536">
        <w:rPr>
          <w:rFonts w:ascii="Calibri" w:hAnsi="Calibri" w:cs="Arial"/>
          <w:lang w:val="fr-FR"/>
        </w:rPr>
        <w:t>u</w:t>
      </w:r>
      <w:r w:rsidR="00ED0D41" w:rsidRPr="00715536">
        <w:rPr>
          <w:rFonts w:ascii="Calibri" w:hAnsi="Calibri" w:cs="Arial"/>
          <w:lang w:val="fr-FR"/>
        </w:rPr>
        <w:t>ți, Timiș</w:t>
      </w:r>
      <w:r w:rsidRPr="00715536">
        <w:rPr>
          <w:rFonts w:ascii="Calibri" w:hAnsi="Calibri" w:cs="Arial"/>
          <w:lang w:val="fr-FR"/>
        </w:rPr>
        <w:t xml:space="preserve">oara Sud; </w:t>
      </w:r>
    </w:p>
    <w:p w:rsidR="00AE69E7" w:rsidRPr="00715536" w:rsidRDefault="00AE69E7" w:rsidP="00565476">
      <w:pPr>
        <w:numPr>
          <w:ilvl w:val="0"/>
          <w:numId w:val="235"/>
        </w:numPr>
        <w:ind w:left="1276" w:hanging="142"/>
        <w:jc w:val="both"/>
        <w:rPr>
          <w:rFonts w:ascii="Calibri" w:hAnsi="Calibri" w:cs="Arial"/>
          <w:lang w:val="fr-FR"/>
        </w:rPr>
      </w:pPr>
      <w:r w:rsidRPr="00715536">
        <w:rPr>
          <w:rFonts w:ascii="Calibri" w:hAnsi="Calibri" w:cs="Arial"/>
          <w:lang w:val="fr-FR"/>
        </w:rPr>
        <w:t xml:space="preserve">Variantele de ocolire care vor intra </w:t>
      </w:r>
      <w:r w:rsidR="00ED0D41" w:rsidRPr="00715536">
        <w:rPr>
          <w:rFonts w:ascii="Calibri" w:hAnsi="Calibri" w:cs="Arial"/>
          <w:lang w:val="fr-FR"/>
        </w:rPr>
        <w:t>î</w:t>
      </w:r>
      <w:r w:rsidRPr="00715536">
        <w:rPr>
          <w:rFonts w:ascii="Calibri" w:hAnsi="Calibri" w:cs="Arial"/>
          <w:lang w:val="fr-FR"/>
        </w:rPr>
        <w:t>n execu</w:t>
      </w:r>
      <w:r w:rsidR="00ED0D41" w:rsidRPr="00715536">
        <w:rPr>
          <w:rFonts w:ascii="Calibri" w:hAnsi="Calibri" w:cs="Arial"/>
          <w:lang w:val="fr-FR"/>
        </w:rPr>
        <w:t>ț</w:t>
      </w:r>
      <w:r w:rsidRPr="00715536">
        <w:rPr>
          <w:rFonts w:ascii="Calibri" w:hAnsi="Calibri" w:cs="Arial"/>
          <w:lang w:val="fr-FR"/>
        </w:rPr>
        <w:t>ie: Media</w:t>
      </w:r>
      <w:r w:rsidR="00ED0D41" w:rsidRPr="00715536">
        <w:rPr>
          <w:rFonts w:ascii="Calibri" w:hAnsi="Calibri" w:cs="Arial"/>
          <w:lang w:val="fr-FR"/>
        </w:rPr>
        <w:t>ș</w:t>
      </w:r>
      <w:r w:rsidRPr="00715536">
        <w:rPr>
          <w:rFonts w:ascii="Calibri" w:hAnsi="Calibri" w:cs="Arial"/>
          <w:lang w:val="fr-FR"/>
        </w:rPr>
        <w:t>, Dej, Alesd Sud, Comarnic, Bu</w:t>
      </w:r>
      <w:r w:rsidR="00ED0D41" w:rsidRPr="00715536">
        <w:rPr>
          <w:rFonts w:ascii="Calibri" w:hAnsi="Calibri" w:cs="Arial"/>
          <w:lang w:val="fr-FR"/>
        </w:rPr>
        <w:t>ș</w:t>
      </w:r>
      <w:r w:rsidRPr="00715536">
        <w:rPr>
          <w:rFonts w:ascii="Calibri" w:hAnsi="Calibri" w:cs="Arial"/>
          <w:lang w:val="fr-FR"/>
        </w:rPr>
        <w:t>teni, S</w:t>
      </w:r>
      <w:r w:rsidR="00ED0D41" w:rsidRPr="00715536">
        <w:rPr>
          <w:rFonts w:ascii="Calibri" w:hAnsi="Calibri" w:cs="Arial"/>
          <w:lang w:val="fr-FR"/>
        </w:rPr>
        <w:t>ă</w:t>
      </w:r>
      <w:r w:rsidRPr="00715536">
        <w:rPr>
          <w:rFonts w:ascii="Calibri" w:hAnsi="Calibri" w:cs="Arial"/>
          <w:lang w:val="fr-FR"/>
        </w:rPr>
        <w:t>cueni, Craiova Sud - Vest,T</w:t>
      </w:r>
      <w:r w:rsidR="00ED0D41" w:rsidRPr="00715536">
        <w:rPr>
          <w:rFonts w:ascii="Calibri" w:hAnsi="Calibri" w:cs="Arial"/>
          <w:lang w:val="fr-FR"/>
        </w:rPr>
        <w:t>â</w:t>
      </w:r>
      <w:r w:rsidRPr="00715536">
        <w:rPr>
          <w:rFonts w:ascii="Calibri" w:hAnsi="Calibri" w:cs="Arial"/>
          <w:lang w:val="fr-FR"/>
        </w:rPr>
        <w:t>rgu Frumos, F</w:t>
      </w:r>
      <w:r w:rsidR="00ED0D41" w:rsidRPr="00715536">
        <w:rPr>
          <w:rFonts w:ascii="Calibri" w:hAnsi="Calibri" w:cs="Arial"/>
          <w:lang w:val="fr-FR"/>
        </w:rPr>
        <w:t>ă</w:t>
      </w:r>
      <w:r w:rsidRPr="00715536">
        <w:rPr>
          <w:rFonts w:ascii="Calibri" w:hAnsi="Calibri" w:cs="Arial"/>
          <w:lang w:val="fr-FR"/>
        </w:rPr>
        <w:t>lticeni, Ia</w:t>
      </w:r>
      <w:r w:rsidR="00ED0D41" w:rsidRPr="00715536">
        <w:rPr>
          <w:rFonts w:ascii="Calibri" w:hAnsi="Calibri" w:cs="Arial"/>
          <w:lang w:val="fr-FR"/>
        </w:rPr>
        <w:t>ș</w:t>
      </w:r>
      <w:r w:rsidRPr="00715536">
        <w:rPr>
          <w:rFonts w:ascii="Calibri" w:hAnsi="Calibri" w:cs="Arial"/>
          <w:lang w:val="fr-FR"/>
        </w:rPr>
        <w:t>i, Drum de legatur</w:t>
      </w:r>
      <w:r w:rsidR="00ED0D41" w:rsidRPr="00715536">
        <w:rPr>
          <w:rFonts w:ascii="Calibri" w:hAnsi="Calibri" w:cs="Arial"/>
          <w:lang w:val="fr-FR"/>
        </w:rPr>
        <w:t>ă</w:t>
      </w:r>
      <w:r w:rsidRPr="00715536">
        <w:rPr>
          <w:rFonts w:ascii="Calibri" w:hAnsi="Calibri" w:cs="Arial"/>
          <w:lang w:val="fr-FR"/>
        </w:rPr>
        <w:t xml:space="preserve"> DN5 – Podul prieteniei (Vo Giurgiu Vest), Târgu Jiu.</w:t>
      </w:r>
    </w:p>
    <w:p w:rsidR="00AE69E7" w:rsidRPr="00715536" w:rsidRDefault="00AE69E7" w:rsidP="00AE69E7">
      <w:pPr>
        <w:jc w:val="both"/>
        <w:rPr>
          <w:rFonts w:ascii="Calibri" w:hAnsi="Calibri"/>
          <w:b/>
          <w:lang w:val="fr-FR"/>
        </w:rPr>
      </w:pPr>
    </w:p>
    <w:p w:rsidR="00AE69E7" w:rsidRPr="00715536" w:rsidRDefault="00AE69E7" w:rsidP="00AE69E7">
      <w:pPr>
        <w:ind w:left="720"/>
        <w:jc w:val="both"/>
        <w:rPr>
          <w:rFonts w:ascii="Calibri" w:hAnsi="Calibri" w:cs="Arial"/>
          <w:lang w:val="fr-FR"/>
        </w:rPr>
      </w:pPr>
      <w:r w:rsidRPr="00715536">
        <w:rPr>
          <w:rFonts w:ascii="Calibri" w:hAnsi="Calibri" w:cs="Arial"/>
          <w:i/>
          <w:lang w:val="fr-FR"/>
        </w:rPr>
        <w:t xml:space="preserve">Proiectele </w:t>
      </w:r>
      <w:r w:rsidR="00ED0D41" w:rsidRPr="00715536">
        <w:rPr>
          <w:rFonts w:ascii="Calibri" w:hAnsi="Calibri" w:cs="Arial"/>
          <w:i/>
          <w:lang w:val="fr-FR"/>
        </w:rPr>
        <w:t>î</w:t>
      </w:r>
      <w:r w:rsidRPr="00715536">
        <w:rPr>
          <w:rFonts w:ascii="Calibri" w:hAnsi="Calibri" w:cs="Arial"/>
          <w:i/>
          <w:lang w:val="fr-FR"/>
        </w:rPr>
        <w:t>n preg</w:t>
      </w:r>
      <w:r w:rsidR="00ED0D41" w:rsidRPr="00715536">
        <w:rPr>
          <w:rFonts w:ascii="Calibri" w:hAnsi="Calibri" w:cs="Arial"/>
          <w:i/>
          <w:lang w:val="fr-FR"/>
        </w:rPr>
        <w:t>ă</w:t>
      </w:r>
      <w:r w:rsidRPr="00715536">
        <w:rPr>
          <w:rFonts w:ascii="Calibri" w:hAnsi="Calibri" w:cs="Arial"/>
          <w:i/>
          <w:lang w:val="fr-FR"/>
        </w:rPr>
        <w:t>tire, pentru care exist</w:t>
      </w:r>
      <w:r w:rsidR="00ED0D41" w:rsidRPr="00715536">
        <w:rPr>
          <w:rFonts w:ascii="Calibri" w:hAnsi="Calibri" w:cs="Arial"/>
          <w:i/>
          <w:lang w:val="fr-FR"/>
        </w:rPr>
        <w:t>ă</w:t>
      </w:r>
      <w:r w:rsidRPr="00715536">
        <w:rPr>
          <w:rFonts w:ascii="Calibri" w:hAnsi="Calibri" w:cs="Arial"/>
          <w:i/>
          <w:lang w:val="fr-FR"/>
        </w:rPr>
        <w:t xml:space="preserve"> deja aloc</w:t>
      </w:r>
      <w:r w:rsidR="00ED0D41" w:rsidRPr="00715536">
        <w:rPr>
          <w:rFonts w:ascii="Calibri" w:hAnsi="Calibri" w:cs="Arial"/>
          <w:i/>
          <w:lang w:val="fr-FR"/>
        </w:rPr>
        <w:t>ă</w:t>
      </w:r>
      <w:r w:rsidRPr="00715536">
        <w:rPr>
          <w:rFonts w:ascii="Calibri" w:hAnsi="Calibri" w:cs="Arial"/>
          <w:i/>
          <w:lang w:val="fr-FR"/>
        </w:rPr>
        <w:t xml:space="preserve">ri bugetare </w:t>
      </w:r>
      <w:r w:rsidR="00ED0D41" w:rsidRPr="00715536">
        <w:rPr>
          <w:rFonts w:ascii="Calibri" w:hAnsi="Calibri" w:cs="Arial"/>
          <w:i/>
          <w:lang w:val="fr-FR"/>
        </w:rPr>
        <w:t>î</w:t>
      </w:r>
      <w:r w:rsidRPr="00715536">
        <w:rPr>
          <w:rFonts w:ascii="Calibri" w:hAnsi="Calibri" w:cs="Arial"/>
          <w:i/>
          <w:lang w:val="fr-FR"/>
        </w:rPr>
        <w:t>n anul 2019 cuprind v</w:t>
      </w:r>
      <w:r w:rsidRPr="00715536">
        <w:rPr>
          <w:rFonts w:ascii="Calibri" w:hAnsi="Calibri" w:cs="Arial"/>
          <w:lang w:val="fr-FR"/>
        </w:rPr>
        <w:t xml:space="preserve">ariante de ocolire aflate </w:t>
      </w:r>
      <w:r w:rsidR="00ED0D41" w:rsidRPr="00715536">
        <w:rPr>
          <w:rFonts w:ascii="Calibri" w:hAnsi="Calibri" w:cs="Arial"/>
          <w:lang w:val="fr-FR"/>
        </w:rPr>
        <w:t>î</w:t>
      </w:r>
      <w:r w:rsidRPr="00715536">
        <w:rPr>
          <w:rFonts w:ascii="Calibri" w:hAnsi="Calibri" w:cs="Arial"/>
          <w:lang w:val="fr-FR"/>
        </w:rPr>
        <w:t>n etapa de preg</w:t>
      </w:r>
      <w:r w:rsidR="00ED0D41" w:rsidRPr="00715536">
        <w:rPr>
          <w:rFonts w:ascii="Calibri" w:hAnsi="Calibri" w:cs="Arial"/>
          <w:lang w:val="fr-FR"/>
        </w:rPr>
        <w:t>ă</w:t>
      </w:r>
      <w:r w:rsidRPr="00715536">
        <w:rPr>
          <w:rFonts w:ascii="Calibri" w:hAnsi="Calibri" w:cs="Arial"/>
          <w:lang w:val="fr-FR"/>
        </w:rPr>
        <w:t>tire (elaborare Studii de Fezabilitate</w:t>
      </w:r>
      <w:r w:rsidR="00ED0D41" w:rsidRPr="00715536">
        <w:rPr>
          <w:rFonts w:ascii="Calibri" w:hAnsi="Calibri" w:cs="Arial"/>
          <w:lang w:val="fr-FR"/>
        </w:rPr>
        <w:t xml:space="preserve"> ș</w:t>
      </w:r>
      <w:r w:rsidRPr="00715536">
        <w:rPr>
          <w:rFonts w:ascii="Calibri" w:hAnsi="Calibri" w:cs="Arial"/>
          <w:lang w:val="fr-FR"/>
        </w:rPr>
        <w:t>i/Proiecte Tehnice): Sf</w:t>
      </w:r>
      <w:r w:rsidR="00ED0D41" w:rsidRPr="00715536">
        <w:rPr>
          <w:rFonts w:ascii="Calibri" w:hAnsi="Calibri" w:cs="Arial"/>
          <w:lang w:val="fr-FR"/>
        </w:rPr>
        <w:t>â</w:t>
      </w:r>
      <w:r w:rsidRPr="00715536">
        <w:rPr>
          <w:rFonts w:ascii="Calibri" w:hAnsi="Calibri" w:cs="Arial"/>
          <w:lang w:val="fr-FR"/>
        </w:rPr>
        <w:t>ntu Gheorghe, Giurgiu (Est), Zal</w:t>
      </w:r>
      <w:r w:rsidR="00ED0D41" w:rsidRPr="00715536">
        <w:rPr>
          <w:rFonts w:ascii="Calibri" w:hAnsi="Calibri" w:cs="Arial"/>
          <w:lang w:val="fr-FR"/>
        </w:rPr>
        <w:t>ă</w:t>
      </w:r>
      <w:r w:rsidRPr="00715536">
        <w:rPr>
          <w:rFonts w:ascii="Calibri" w:hAnsi="Calibri" w:cs="Arial"/>
          <w:lang w:val="fr-FR"/>
        </w:rPr>
        <w:t>u, R</w:t>
      </w:r>
      <w:r w:rsidR="00ED0D41" w:rsidRPr="00715536">
        <w:rPr>
          <w:rFonts w:ascii="Calibri" w:hAnsi="Calibri" w:cs="Arial"/>
          <w:lang w:val="fr-FR"/>
        </w:rPr>
        <w:t>â</w:t>
      </w:r>
      <w:r w:rsidRPr="00715536">
        <w:rPr>
          <w:rFonts w:ascii="Calibri" w:hAnsi="Calibri" w:cs="Arial"/>
          <w:lang w:val="fr-FR"/>
        </w:rPr>
        <w:t>mnicu V</w:t>
      </w:r>
      <w:r w:rsidR="00ED0D41" w:rsidRPr="00715536">
        <w:rPr>
          <w:rFonts w:ascii="Calibri" w:hAnsi="Calibri" w:cs="Arial"/>
          <w:lang w:val="fr-FR"/>
        </w:rPr>
        <w:t>â</w:t>
      </w:r>
      <w:r w:rsidRPr="00715536">
        <w:rPr>
          <w:rFonts w:ascii="Calibri" w:hAnsi="Calibri" w:cs="Arial"/>
          <w:lang w:val="fr-FR"/>
        </w:rPr>
        <w:t xml:space="preserve">lcea, Vaslui </w:t>
      </w:r>
      <w:r w:rsidR="00ED0D41" w:rsidRPr="00715536">
        <w:rPr>
          <w:rFonts w:ascii="Calibri" w:hAnsi="Calibri" w:cs="Arial"/>
          <w:lang w:val="fr-FR"/>
        </w:rPr>
        <w:t>ș</w:t>
      </w:r>
      <w:r w:rsidRPr="00715536">
        <w:rPr>
          <w:rFonts w:ascii="Calibri" w:hAnsi="Calibri" w:cs="Arial"/>
          <w:lang w:val="fr-FR"/>
        </w:rPr>
        <w:t xml:space="preserve">i Techirghiol; </w:t>
      </w:r>
    </w:p>
    <w:p w:rsidR="00AE69E7" w:rsidRPr="00715536" w:rsidRDefault="00AE69E7" w:rsidP="00AE69E7">
      <w:pPr>
        <w:jc w:val="both"/>
        <w:rPr>
          <w:rFonts w:ascii="Calibri" w:hAnsi="Calibri"/>
          <w:b/>
          <w:lang w:val="fr-FR"/>
        </w:rPr>
      </w:pPr>
    </w:p>
    <w:p w:rsidR="00AE69E7" w:rsidRPr="00715536" w:rsidRDefault="00AE69E7" w:rsidP="00AE69E7">
      <w:pPr>
        <w:ind w:left="720"/>
        <w:jc w:val="both"/>
        <w:rPr>
          <w:rFonts w:ascii="Calibri" w:hAnsi="Calibri" w:cs="Arial"/>
          <w:i/>
          <w:lang w:val="fr-FR"/>
        </w:rPr>
      </w:pPr>
      <w:r w:rsidRPr="00715536">
        <w:rPr>
          <w:rFonts w:ascii="Calibri" w:hAnsi="Calibri" w:cs="Arial"/>
          <w:i/>
          <w:lang w:val="fr-FR"/>
        </w:rPr>
        <w:t>Proiecte care vor fi bugetate pe parcursul anului 2019, dup</w:t>
      </w:r>
      <w:r w:rsidR="00ED0D41" w:rsidRPr="00715536">
        <w:rPr>
          <w:rFonts w:ascii="Calibri" w:hAnsi="Calibri" w:cs="Arial"/>
          <w:i/>
          <w:lang w:val="fr-FR"/>
        </w:rPr>
        <w:t>ă</w:t>
      </w:r>
      <w:r w:rsidRPr="00715536">
        <w:rPr>
          <w:rFonts w:ascii="Calibri" w:hAnsi="Calibri" w:cs="Arial"/>
          <w:i/>
          <w:lang w:val="fr-FR"/>
        </w:rPr>
        <w:t xml:space="preserve"> ob</w:t>
      </w:r>
      <w:r w:rsidR="00ED0D41" w:rsidRPr="00715536">
        <w:rPr>
          <w:rFonts w:ascii="Calibri" w:hAnsi="Calibri" w:cs="Arial"/>
          <w:i/>
          <w:lang w:val="fr-FR"/>
        </w:rPr>
        <w:t>ț</w:t>
      </w:r>
      <w:r w:rsidRPr="00715536">
        <w:rPr>
          <w:rFonts w:ascii="Calibri" w:hAnsi="Calibri" w:cs="Arial"/>
          <w:i/>
          <w:lang w:val="fr-FR"/>
        </w:rPr>
        <w:t>inerea aprob</w:t>
      </w:r>
      <w:r w:rsidR="00ED0D41" w:rsidRPr="00715536">
        <w:rPr>
          <w:rFonts w:ascii="Calibri" w:hAnsi="Calibri" w:cs="Arial"/>
          <w:i/>
          <w:lang w:val="fr-FR"/>
        </w:rPr>
        <w:t>ă</w:t>
      </w:r>
      <w:r w:rsidRPr="00715536">
        <w:rPr>
          <w:rFonts w:ascii="Calibri" w:hAnsi="Calibri" w:cs="Arial"/>
          <w:i/>
          <w:lang w:val="fr-FR"/>
        </w:rPr>
        <w:t xml:space="preserve">rilor legale necesare,aflate </w:t>
      </w:r>
      <w:r w:rsidR="00ED0D41" w:rsidRPr="00715536">
        <w:rPr>
          <w:rFonts w:ascii="Calibri" w:hAnsi="Calibri" w:cs="Arial"/>
          <w:i/>
          <w:lang w:val="fr-FR"/>
        </w:rPr>
        <w:t>î</w:t>
      </w:r>
      <w:r w:rsidRPr="00715536">
        <w:rPr>
          <w:rFonts w:ascii="Calibri" w:hAnsi="Calibri" w:cs="Arial"/>
          <w:i/>
          <w:lang w:val="fr-FR"/>
        </w:rPr>
        <w:t xml:space="preserve">n prezent </w:t>
      </w:r>
      <w:r w:rsidR="00ED0D41" w:rsidRPr="00715536">
        <w:rPr>
          <w:rFonts w:ascii="Calibri" w:hAnsi="Calibri" w:cs="Arial"/>
          <w:i/>
          <w:lang w:val="fr-FR"/>
        </w:rPr>
        <w:t>î</w:t>
      </w:r>
      <w:r w:rsidRPr="00715536">
        <w:rPr>
          <w:rFonts w:ascii="Calibri" w:hAnsi="Calibri" w:cs="Arial"/>
          <w:i/>
          <w:lang w:val="fr-FR"/>
        </w:rPr>
        <w:t>n etapa de preg</w:t>
      </w:r>
      <w:r w:rsidR="00ED0D41" w:rsidRPr="00715536">
        <w:rPr>
          <w:rFonts w:ascii="Calibri" w:hAnsi="Calibri" w:cs="Arial"/>
          <w:i/>
          <w:lang w:val="fr-FR"/>
        </w:rPr>
        <w:t>ă</w:t>
      </w:r>
      <w:r w:rsidRPr="00715536">
        <w:rPr>
          <w:rFonts w:ascii="Calibri" w:hAnsi="Calibri" w:cs="Arial"/>
          <w:i/>
          <w:lang w:val="fr-FR"/>
        </w:rPr>
        <w:t xml:space="preserve">tire </w:t>
      </w:r>
      <w:r w:rsidR="00ED0D41" w:rsidRPr="00715536">
        <w:rPr>
          <w:rFonts w:ascii="Calibri" w:hAnsi="Calibri" w:cs="Arial"/>
          <w:i/>
          <w:lang w:val="fr-FR"/>
        </w:rPr>
        <w:t>ș</w:t>
      </w:r>
      <w:r w:rsidRPr="00715536">
        <w:rPr>
          <w:rFonts w:ascii="Calibri" w:hAnsi="Calibri" w:cs="Arial"/>
          <w:i/>
          <w:lang w:val="fr-FR"/>
        </w:rPr>
        <w:t>i/sau execu</w:t>
      </w:r>
      <w:r w:rsidR="00ED0D41" w:rsidRPr="00715536">
        <w:rPr>
          <w:rFonts w:ascii="Calibri" w:hAnsi="Calibri" w:cs="Arial"/>
          <w:i/>
          <w:lang w:val="fr-FR"/>
        </w:rPr>
        <w:t>ț</w:t>
      </w:r>
      <w:r w:rsidRPr="00715536">
        <w:rPr>
          <w:rFonts w:ascii="Calibri" w:hAnsi="Calibri" w:cs="Arial"/>
          <w:i/>
          <w:lang w:val="fr-FR"/>
        </w:rPr>
        <w:t>ie:</w:t>
      </w:r>
    </w:p>
    <w:p w:rsidR="00AE69E7" w:rsidRPr="00AE69E7" w:rsidRDefault="00AE69E7" w:rsidP="00565476">
      <w:pPr>
        <w:numPr>
          <w:ilvl w:val="0"/>
          <w:numId w:val="235"/>
        </w:numPr>
        <w:ind w:left="1276" w:hanging="142"/>
        <w:jc w:val="both"/>
        <w:rPr>
          <w:rFonts w:ascii="Calibri" w:hAnsi="Calibri" w:cs="Arial"/>
        </w:rPr>
      </w:pPr>
      <w:r w:rsidRPr="00AE69E7">
        <w:rPr>
          <w:rFonts w:ascii="Calibri" w:hAnsi="Calibri" w:cs="Arial"/>
        </w:rPr>
        <w:t>Varianta de ocolire Bistri</w:t>
      </w:r>
      <w:r w:rsidR="00ED0D41">
        <w:rPr>
          <w:rFonts w:ascii="Calibri" w:hAnsi="Calibri" w:cs="Arial"/>
        </w:rPr>
        <w:t>ț</w:t>
      </w:r>
      <w:r w:rsidRPr="00AE69E7">
        <w:rPr>
          <w:rFonts w:ascii="Calibri" w:hAnsi="Calibri" w:cs="Arial"/>
        </w:rPr>
        <w:t>a;</w:t>
      </w:r>
    </w:p>
    <w:p w:rsidR="00AE69E7" w:rsidRPr="00715536" w:rsidRDefault="00AE69E7" w:rsidP="00565476">
      <w:pPr>
        <w:numPr>
          <w:ilvl w:val="0"/>
          <w:numId w:val="235"/>
        </w:numPr>
        <w:ind w:left="1276" w:hanging="142"/>
        <w:jc w:val="both"/>
        <w:rPr>
          <w:rFonts w:ascii="Calibri" w:hAnsi="Calibri" w:cs="Arial"/>
          <w:lang w:val="fr-FR"/>
        </w:rPr>
      </w:pPr>
      <w:r w:rsidRPr="00715536">
        <w:rPr>
          <w:rFonts w:ascii="Calibri" w:hAnsi="Calibri" w:cs="Arial"/>
          <w:lang w:val="fr-FR"/>
        </w:rPr>
        <w:t>Varianta de ocolire Baia Mare;</w:t>
      </w:r>
    </w:p>
    <w:p w:rsidR="00AE69E7" w:rsidRPr="00AE69E7" w:rsidRDefault="00AE69E7" w:rsidP="00565476">
      <w:pPr>
        <w:numPr>
          <w:ilvl w:val="0"/>
          <w:numId w:val="235"/>
        </w:numPr>
        <w:ind w:left="1276" w:hanging="142"/>
        <w:jc w:val="both"/>
        <w:rPr>
          <w:rFonts w:ascii="Calibri" w:hAnsi="Calibri" w:cs="Arial"/>
        </w:rPr>
      </w:pPr>
      <w:r w:rsidRPr="00AE69E7">
        <w:rPr>
          <w:rFonts w:ascii="Calibri" w:hAnsi="Calibri" w:cs="Arial"/>
        </w:rPr>
        <w:t>Varianta de ocolire Hu</w:t>
      </w:r>
      <w:r w:rsidR="00ED0D41">
        <w:rPr>
          <w:rFonts w:ascii="Calibri" w:hAnsi="Calibri" w:cs="Arial"/>
        </w:rPr>
        <w:t>ș</w:t>
      </w:r>
      <w:r w:rsidRPr="00AE69E7">
        <w:rPr>
          <w:rFonts w:ascii="Calibri" w:hAnsi="Calibri" w:cs="Arial"/>
        </w:rPr>
        <w:t xml:space="preserve">i; </w:t>
      </w:r>
    </w:p>
    <w:p w:rsidR="00AE69E7" w:rsidRPr="00715536" w:rsidRDefault="00AE69E7" w:rsidP="00565476">
      <w:pPr>
        <w:numPr>
          <w:ilvl w:val="0"/>
          <w:numId w:val="235"/>
        </w:numPr>
        <w:ind w:left="1276" w:hanging="142"/>
        <w:jc w:val="both"/>
        <w:rPr>
          <w:rFonts w:ascii="Calibri" w:hAnsi="Calibri" w:cs="Arial"/>
          <w:lang w:val="fr-FR"/>
        </w:rPr>
      </w:pPr>
      <w:r w:rsidRPr="00715536">
        <w:rPr>
          <w:rFonts w:ascii="Calibri" w:hAnsi="Calibri" w:cs="Arial"/>
          <w:lang w:val="fr-FR"/>
        </w:rPr>
        <w:t>Varianta de ocolire Salonta prin preluarea documenta</w:t>
      </w:r>
      <w:r w:rsidR="00ED0D41" w:rsidRPr="00715536">
        <w:rPr>
          <w:rFonts w:ascii="Calibri" w:hAnsi="Calibri" w:cs="Arial"/>
          <w:lang w:val="fr-FR"/>
        </w:rPr>
        <w:t>ț</w:t>
      </w:r>
      <w:r w:rsidRPr="00715536">
        <w:rPr>
          <w:rFonts w:ascii="Calibri" w:hAnsi="Calibri" w:cs="Arial"/>
          <w:lang w:val="fr-FR"/>
        </w:rPr>
        <w:t xml:space="preserve">iei tehnico-economice </w:t>
      </w:r>
      <w:r w:rsidR="00ED0D41" w:rsidRPr="00715536">
        <w:rPr>
          <w:rFonts w:ascii="Calibri" w:hAnsi="Calibri" w:cs="Arial"/>
          <w:lang w:val="fr-FR"/>
        </w:rPr>
        <w:t>î</w:t>
      </w:r>
      <w:r w:rsidRPr="00715536">
        <w:rPr>
          <w:rFonts w:ascii="Calibri" w:hAnsi="Calibri" w:cs="Arial"/>
          <w:lang w:val="fr-FR"/>
        </w:rPr>
        <w:t>ntocmite de c</w:t>
      </w:r>
      <w:r w:rsidR="00ED0D41" w:rsidRPr="00715536">
        <w:rPr>
          <w:rFonts w:ascii="Calibri" w:hAnsi="Calibri" w:cs="Arial"/>
          <w:lang w:val="fr-FR"/>
        </w:rPr>
        <w:t>ă</w:t>
      </w:r>
      <w:r w:rsidRPr="00715536">
        <w:rPr>
          <w:rFonts w:ascii="Calibri" w:hAnsi="Calibri" w:cs="Arial"/>
          <w:lang w:val="fr-FR"/>
        </w:rPr>
        <w:t>tre autorit</w:t>
      </w:r>
      <w:r w:rsidR="00ED0D41" w:rsidRPr="00715536">
        <w:rPr>
          <w:rFonts w:ascii="Calibri" w:hAnsi="Calibri" w:cs="Arial"/>
          <w:lang w:val="fr-FR"/>
        </w:rPr>
        <w:t>ăț</w:t>
      </w:r>
      <w:r w:rsidRPr="00715536">
        <w:rPr>
          <w:rFonts w:ascii="Calibri" w:hAnsi="Calibri" w:cs="Arial"/>
          <w:lang w:val="fr-FR"/>
        </w:rPr>
        <w:t>ile locale.</w:t>
      </w:r>
    </w:p>
    <w:p w:rsidR="00AE69E7" w:rsidRPr="00715536" w:rsidRDefault="00AE69E7" w:rsidP="00AE69E7">
      <w:pPr>
        <w:ind w:left="720"/>
        <w:jc w:val="both"/>
        <w:rPr>
          <w:rFonts w:ascii="Calibri" w:hAnsi="Calibri" w:cs="Arial"/>
          <w:i/>
          <w:lang w:val="fr-FR"/>
        </w:rPr>
      </w:pPr>
      <w:r w:rsidRPr="00715536">
        <w:rPr>
          <w:rFonts w:ascii="Calibri" w:hAnsi="Calibri" w:cs="Arial"/>
          <w:i/>
          <w:lang w:val="fr-FR"/>
        </w:rPr>
        <w:t>Lista principalelor proiecte de modernizare drumuri na</w:t>
      </w:r>
      <w:r w:rsidR="00ED0D41" w:rsidRPr="00715536">
        <w:rPr>
          <w:rFonts w:ascii="Calibri" w:hAnsi="Calibri" w:cs="Arial"/>
          <w:i/>
          <w:lang w:val="fr-FR"/>
        </w:rPr>
        <w:t>ț</w:t>
      </w:r>
      <w:r w:rsidRPr="00715536">
        <w:rPr>
          <w:rFonts w:ascii="Calibri" w:hAnsi="Calibri" w:cs="Arial"/>
          <w:i/>
          <w:lang w:val="fr-FR"/>
        </w:rPr>
        <w:t xml:space="preserve">ionale, introduse </w:t>
      </w:r>
      <w:r w:rsidR="00ED0D41" w:rsidRPr="00715536">
        <w:rPr>
          <w:rFonts w:ascii="Calibri" w:hAnsi="Calibri" w:cs="Arial"/>
          <w:i/>
          <w:lang w:val="fr-FR"/>
        </w:rPr>
        <w:t>î</w:t>
      </w:r>
      <w:r w:rsidRPr="00715536">
        <w:rPr>
          <w:rFonts w:ascii="Calibri" w:hAnsi="Calibri" w:cs="Arial"/>
          <w:i/>
          <w:lang w:val="fr-FR"/>
        </w:rPr>
        <w:t xml:space="preserve">n Buget </w:t>
      </w:r>
      <w:r w:rsidR="00ED0D41" w:rsidRPr="00715536">
        <w:rPr>
          <w:rFonts w:ascii="Calibri" w:hAnsi="Calibri" w:cs="Arial"/>
          <w:i/>
          <w:lang w:val="fr-FR"/>
        </w:rPr>
        <w:t>î</w:t>
      </w:r>
      <w:r w:rsidRPr="00715536">
        <w:rPr>
          <w:rFonts w:ascii="Calibri" w:hAnsi="Calibri" w:cs="Arial"/>
          <w:i/>
          <w:lang w:val="fr-FR"/>
        </w:rPr>
        <w:t>n anul 2019 cuprinde urm</w:t>
      </w:r>
      <w:r w:rsidR="00ED0D41" w:rsidRPr="00715536">
        <w:rPr>
          <w:rFonts w:ascii="Calibri" w:hAnsi="Calibri" w:cs="Arial"/>
          <w:i/>
          <w:lang w:val="fr-FR"/>
        </w:rPr>
        <w:t>ă</w:t>
      </w:r>
      <w:r w:rsidRPr="00715536">
        <w:rPr>
          <w:rFonts w:ascii="Calibri" w:hAnsi="Calibri" w:cs="Arial"/>
          <w:i/>
          <w:lang w:val="fr-FR"/>
        </w:rPr>
        <w:t xml:space="preserve">toarele obiective: </w:t>
      </w:r>
    </w:p>
    <w:p w:rsidR="00AE69E7" w:rsidRPr="00715536" w:rsidRDefault="00AE69E7" w:rsidP="00565476">
      <w:pPr>
        <w:numPr>
          <w:ilvl w:val="0"/>
          <w:numId w:val="235"/>
        </w:numPr>
        <w:ind w:left="1418" w:hanging="142"/>
        <w:jc w:val="both"/>
        <w:rPr>
          <w:rFonts w:ascii="Calibri" w:hAnsi="Calibri" w:cs="Arial"/>
          <w:lang w:val="fr-FR"/>
        </w:rPr>
      </w:pPr>
      <w:r w:rsidRPr="00715536">
        <w:rPr>
          <w:rFonts w:ascii="Calibri" w:hAnsi="Calibri" w:cs="Arial"/>
          <w:lang w:val="fr-FR"/>
        </w:rPr>
        <w:t>DN 18, Moisei – Iacobeni ; Baia Mare - Sighetul Marma</w:t>
      </w:r>
      <w:r w:rsidR="00ED0D41" w:rsidRPr="00715536">
        <w:rPr>
          <w:rFonts w:ascii="Calibri" w:hAnsi="Calibri" w:cs="Arial"/>
          <w:lang w:val="fr-FR"/>
        </w:rPr>
        <w:t>ț</w:t>
      </w:r>
      <w:r w:rsidRPr="00715536">
        <w:rPr>
          <w:rFonts w:ascii="Calibri" w:hAnsi="Calibri" w:cs="Arial"/>
          <w:lang w:val="fr-FR"/>
        </w:rPr>
        <w:t>iei;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56, Craiova - Galicea Mare – Calafat;</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66, Bumbe</w:t>
      </w:r>
      <w:r w:rsidR="00ED0D41">
        <w:rPr>
          <w:rFonts w:ascii="Calibri" w:hAnsi="Calibri" w:cs="Arial"/>
        </w:rPr>
        <w:t>ș</w:t>
      </w:r>
      <w:r w:rsidRPr="00AE69E7">
        <w:rPr>
          <w:rFonts w:ascii="Calibri" w:hAnsi="Calibri" w:cs="Arial"/>
        </w:rPr>
        <w:t>ti Jiu-Petro</w:t>
      </w:r>
      <w:r w:rsidR="00ED0D41">
        <w:rPr>
          <w:rFonts w:ascii="Calibri" w:hAnsi="Calibri" w:cs="Arial"/>
        </w:rPr>
        <w:t>ș</w:t>
      </w:r>
      <w:r w:rsidRPr="00AE69E7">
        <w:rPr>
          <w:rFonts w:ascii="Calibri" w:hAnsi="Calibri" w:cs="Arial"/>
        </w:rPr>
        <w:t>ani;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DN76, Ione</w:t>
      </w:r>
      <w:r w:rsidR="0091684D">
        <w:rPr>
          <w:rFonts w:ascii="Calibri" w:hAnsi="Calibri" w:cs="Arial"/>
        </w:rPr>
        <w:t>ș</w:t>
      </w:r>
      <w:r w:rsidRPr="00AE69E7">
        <w:rPr>
          <w:rFonts w:ascii="Calibri" w:hAnsi="Calibri" w:cs="Arial"/>
        </w:rPr>
        <w:t>ti - V</w:t>
      </w:r>
      <w:r w:rsidR="0091684D">
        <w:rPr>
          <w:rFonts w:ascii="Calibri" w:hAnsi="Calibri" w:cs="Arial"/>
        </w:rPr>
        <w:t>â</w:t>
      </w:r>
      <w:r w:rsidRPr="00AE69E7">
        <w:rPr>
          <w:rFonts w:ascii="Calibri" w:hAnsi="Calibri" w:cs="Arial"/>
        </w:rPr>
        <w:t>rfurile - Stei - Beius – Oradea;</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5, Bucure</w:t>
      </w:r>
      <w:r w:rsidR="0091684D">
        <w:rPr>
          <w:rFonts w:ascii="Calibri" w:hAnsi="Calibri" w:cs="Arial"/>
        </w:rPr>
        <w:t>ș</w:t>
      </w:r>
      <w:r w:rsidRPr="00AE69E7">
        <w:rPr>
          <w:rFonts w:ascii="Calibri" w:hAnsi="Calibri" w:cs="Arial"/>
        </w:rPr>
        <w:t>ti – Adun</w:t>
      </w:r>
      <w:r w:rsidR="0091684D">
        <w:rPr>
          <w:rFonts w:ascii="Calibri" w:hAnsi="Calibri" w:cs="Arial"/>
        </w:rPr>
        <w:t>ăț</w:t>
      </w:r>
      <w:r w:rsidRPr="00AE69E7">
        <w:rPr>
          <w:rFonts w:ascii="Calibri" w:hAnsi="Calibri" w:cs="Arial"/>
        </w:rPr>
        <w:t>ii Cop</w:t>
      </w:r>
      <w:r w:rsidR="0091684D">
        <w:rPr>
          <w:rFonts w:ascii="Calibri" w:hAnsi="Calibri" w:cs="Arial"/>
        </w:rPr>
        <w:t>ă</w:t>
      </w:r>
      <w:r w:rsidRPr="00AE69E7">
        <w:rPr>
          <w:rFonts w:ascii="Calibri" w:hAnsi="Calibri" w:cs="Arial"/>
        </w:rPr>
        <w:t>ceni;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6, Alexandria – Craiova (lot 2);</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73,Pite</w:t>
      </w:r>
      <w:r w:rsidR="0091684D">
        <w:rPr>
          <w:rFonts w:ascii="Calibri" w:hAnsi="Calibri" w:cs="Arial"/>
        </w:rPr>
        <w:t>ș</w:t>
      </w:r>
      <w:r w:rsidRPr="00AE69E7">
        <w:rPr>
          <w:rFonts w:ascii="Calibri" w:hAnsi="Calibri" w:cs="Arial"/>
        </w:rPr>
        <w:t>ti-C</w:t>
      </w:r>
      <w:r w:rsidR="0091684D">
        <w:rPr>
          <w:rFonts w:ascii="Calibri" w:hAnsi="Calibri" w:cs="Arial"/>
        </w:rPr>
        <w:t>â</w:t>
      </w:r>
      <w:r w:rsidRPr="00AE69E7">
        <w:rPr>
          <w:rFonts w:ascii="Calibri" w:hAnsi="Calibri" w:cs="Arial"/>
        </w:rPr>
        <w:t>mpulung-Bra</w:t>
      </w:r>
      <w:r w:rsidR="0091684D">
        <w:rPr>
          <w:rFonts w:ascii="Calibri" w:hAnsi="Calibri" w:cs="Arial"/>
        </w:rPr>
        <w:t>ș</w:t>
      </w:r>
      <w:r w:rsidRPr="00AE69E7">
        <w:rPr>
          <w:rFonts w:ascii="Calibri" w:hAnsi="Calibri" w:cs="Arial"/>
        </w:rPr>
        <w:t>ov;</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Modernizarea infrastructurii privind siguran</w:t>
      </w:r>
      <w:r w:rsidR="0091684D">
        <w:rPr>
          <w:rFonts w:ascii="Calibri" w:hAnsi="Calibri" w:cs="Arial"/>
        </w:rPr>
        <w:t>ț</w:t>
      </w:r>
      <w:r w:rsidRPr="00AE69E7">
        <w:rPr>
          <w:rFonts w:ascii="Calibri" w:hAnsi="Calibri" w:cs="Arial"/>
        </w:rPr>
        <w:t>a circula</w:t>
      </w:r>
      <w:r w:rsidR="0091684D">
        <w:rPr>
          <w:rFonts w:ascii="Calibri" w:hAnsi="Calibri" w:cs="Arial"/>
        </w:rPr>
        <w:t>ț</w:t>
      </w:r>
      <w:r w:rsidRPr="00AE69E7">
        <w:rPr>
          <w:rFonts w:ascii="Calibri" w:hAnsi="Calibri" w:cs="Arial"/>
        </w:rPr>
        <w:t xml:space="preserve">iei pe DN 1, </w:t>
      </w:r>
      <w:r w:rsidR="0091684D">
        <w:rPr>
          <w:rFonts w:ascii="Calibri" w:hAnsi="Calibri" w:cs="Arial"/>
        </w:rPr>
        <w:t>î</w:t>
      </w:r>
      <w:r w:rsidRPr="00AE69E7">
        <w:rPr>
          <w:rFonts w:ascii="Calibri" w:hAnsi="Calibri" w:cs="Arial"/>
        </w:rPr>
        <w:t xml:space="preserve">n "Sate liniare </w:t>
      </w:r>
      <w:r w:rsidR="0091684D">
        <w:rPr>
          <w:rFonts w:ascii="Calibri" w:hAnsi="Calibri" w:cs="Arial"/>
        </w:rPr>
        <w:t>ș</w:t>
      </w:r>
      <w:r w:rsidRPr="00AE69E7">
        <w:rPr>
          <w:rFonts w:ascii="Calibri" w:hAnsi="Calibri" w:cs="Arial"/>
        </w:rPr>
        <w:t>i puncte negre";</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A1 - Titu - B</w:t>
      </w:r>
      <w:r w:rsidR="0091684D">
        <w:rPr>
          <w:rFonts w:ascii="Calibri" w:hAnsi="Calibri" w:cs="Arial"/>
        </w:rPr>
        <w:t>â</w:t>
      </w:r>
      <w:r w:rsidRPr="00AE69E7">
        <w:rPr>
          <w:rFonts w:ascii="Calibri" w:hAnsi="Calibri" w:cs="Arial"/>
        </w:rPr>
        <w:t>ldana - T</w:t>
      </w:r>
      <w:r w:rsidR="0091684D">
        <w:rPr>
          <w:rFonts w:ascii="Calibri" w:hAnsi="Calibri" w:cs="Arial"/>
        </w:rPr>
        <w:t>â</w:t>
      </w:r>
      <w:r w:rsidRPr="00AE69E7">
        <w:rPr>
          <w:rFonts w:ascii="Calibri" w:hAnsi="Calibri" w:cs="Arial"/>
        </w:rPr>
        <w:t>rgovi</w:t>
      </w:r>
      <w:r w:rsidR="0091684D">
        <w:rPr>
          <w:rFonts w:ascii="Calibri" w:hAnsi="Calibri" w:cs="Arial"/>
        </w:rPr>
        <w:t>ș</w:t>
      </w:r>
      <w:r w:rsidRPr="00AE69E7">
        <w:rPr>
          <w:rFonts w:ascii="Calibri" w:hAnsi="Calibri" w:cs="Arial"/>
        </w:rPr>
        <w:t xml:space="preserve">te– Sinaia (proiectare </w:t>
      </w:r>
      <w:r w:rsidR="0091684D">
        <w:rPr>
          <w:rFonts w:ascii="Calibri" w:hAnsi="Calibri" w:cs="Arial"/>
        </w:rPr>
        <w:t>ș</w:t>
      </w:r>
      <w:r w:rsidRPr="00AE69E7">
        <w:rPr>
          <w:rFonts w:ascii="Calibri" w:hAnsi="Calibri" w:cs="Arial"/>
        </w:rPr>
        <w:t>i execu</w:t>
      </w:r>
      <w:r w:rsidR="0091684D">
        <w:rPr>
          <w:rFonts w:ascii="Calibri" w:hAnsi="Calibri" w:cs="Arial"/>
        </w:rPr>
        <w:t>ț</w:t>
      </w:r>
      <w:r w:rsidRPr="00AE69E7">
        <w:rPr>
          <w:rFonts w:ascii="Calibri" w:hAnsi="Calibri" w:cs="Arial"/>
        </w:rPr>
        <w:t>ie pentru L</w:t>
      </w:r>
      <w:r w:rsidR="0091684D">
        <w:rPr>
          <w:rFonts w:ascii="Calibri" w:hAnsi="Calibri" w:cs="Arial"/>
        </w:rPr>
        <w:t>ă</w:t>
      </w:r>
      <w:r w:rsidRPr="00AE69E7">
        <w:rPr>
          <w:rFonts w:ascii="Calibri" w:hAnsi="Calibri" w:cs="Arial"/>
        </w:rPr>
        <w:t xml:space="preserve">rgirea la 4 benzi a lui DN 7 </w:t>
      </w:r>
      <w:r w:rsidR="0091684D">
        <w:rPr>
          <w:rFonts w:ascii="Calibri" w:hAnsi="Calibri" w:cs="Arial"/>
        </w:rPr>
        <w:t>î</w:t>
      </w:r>
      <w:r w:rsidRPr="00AE69E7">
        <w:rPr>
          <w:rFonts w:ascii="Calibri" w:hAnsi="Calibri" w:cs="Arial"/>
        </w:rPr>
        <w:t>ntre B</w:t>
      </w:r>
      <w:r w:rsidR="0091684D">
        <w:rPr>
          <w:rFonts w:ascii="Calibri" w:hAnsi="Calibri" w:cs="Arial"/>
        </w:rPr>
        <w:t>â</w:t>
      </w:r>
      <w:r w:rsidRPr="00AE69E7">
        <w:rPr>
          <w:rFonts w:ascii="Calibri" w:hAnsi="Calibri" w:cs="Arial"/>
        </w:rPr>
        <w:t xml:space="preserve">ldana </w:t>
      </w:r>
      <w:r w:rsidR="0091684D">
        <w:rPr>
          <w:rFonts w:ascii="Calibri" w:hAnsi="Calibri" w:cs="Arial"/>
        </w:rPr>
        <w:t>ș</w:t>
      </w:r>
      <w:r w:rsidRPr="00AE69E7">
        <w:rPr>
          <w:rFonts w:ascii="Calibri" w:hAnsi="Calibri" w:cs="Arial"/>
        </w:rPr>
        <w:t xml:space="preserve">i Titu </w:t>
      </w:r>
      <w:r w:rsidR="0091684D">
        <w:rPr>
          <w:rFonts w:ascii="Calibri" w:hAnsi="Calibri" w:cs="Arial"/>
        </w:rPr>
        <w:t>ș</w:t>
      </w:r>
      <w:r w:rsidRPr="00AE69E7">
        <w:rPr>
          <w:rFonts w:ascii="Calibri" w:hAnsi="Calibri" w:cs="Arial"/>
        </w:rPr>
        <w:t xml:space="preserve">i proiectare </w:t>
      </w:r>
      <w:r w:rsidR="0091684D">
        <w:rPr>
          <w:rFonts w:ascii="Calibri" w:hAnsi="Calibri" w:cs="Arial"/>
        </w:rPr>
        <w:t>ș</w:t>
      </w:r>
      <w:r w:rsidRPr="00AE69E7">
        <w:rPr>
          <w:rFonts w:ascii="Calibri" w:hAnsi="Calibri" w:cs="Arial"/>
        </w:rPr>
        <w:t>i execu</w:t>
      </w:r>
      <w:r w:rsidR="0091684D">
        <w:rPr>
          <w:rFonts w:ascii="Calibri" w:hAnsi="Calibri" w:cs="Arial"/>
        </w:rPr>
        <w:t>ț</w:t>
      </w:r>
      <w:r w:rsidRPr="00AE69E7">
        <w:rPr>
          <w:rFonts w:ascii="Calibri" w:hAnsi="Calibri" w:cs="Arial"/>
        </w:rPr>
        <w:t>ie pentru modernizarea DN 71, B</w:t>
      </w:r>
      <w:r w:rsidR="0091684D">
        <w:rPr>
          <w:rFonts w:ascii="Calibri" w:hAnsi="Calibri" w:cs="Arial"/>
        </w:rPr>
        <w:t>â</w:t>
      </w:r>
      <w:r w:rsidRPr="00AE69E7">
        <w:rPr>
          <w:rFonts w:ascii="Calibri" w:hAnsi="Calibri" w:cs="Arial"/>
        </w:rPr>
        <w:t>ldana - T</w:t>
      </w:r>
      <w:r w:rsidR="0091684D">
        <w:rPr>
          <w:rFonts w:ascii="Calibri" w:hAnsi="Calibri" w:cs="Arial"/>
        </w:rPr>
        <w:t>â</w:t>
      </w:r>
      <w:r w:rsidRPr="00AE69E7">
        <w:rPr>
          <w:rFonts w:ascii="Calibri" w:hAnsi="Calibri" w:cs="Arial"/>
        </w:rPr>
        <w:t>rgovi</w:t>
      </w:r>
      <w:r w:rsidR="0091684D">
        <w:rPr>
          <w:rFonts w:ascii="Calibri" w:hAnsi="Calibri" w:cs="Arial"/>
        </w:rPr>
        <w:t>ș</w:t>
      </w:r>
      <w:r w:rsidRPr="00AE69E7">
        <w:rPr>
          <w:rFonts w:ascii="Calibri" w:hAnsi="Calibri" w:cs="Arial"/>
        </w:rPr>
        <w:t xml:space="preserve">te– Sinaia); </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67B, Scoar</w:t>
      </w:r>
      <w:r w:rsidR="0091684D">
        <w:rPr>
          <w:rFonts w:ascii="Calibri" w:hAnsi="Calibri" w:cs="Arial"/>
        </w:rPr>
        <w:t>ț</w:t>
      </w:r>
      <w:r w:rsidRPr="00AE69E7">
        <w:rPr>
          <w:rFonts w:ascii="Calibri" w:hAnsi="Calibri" w:cs="Arial"/>
        </w:rPr>
        <w:t>a – Pite</w:t>
      </w:r>
      <w:r w:rsidR="0091684D">
        <w:rPr>
          <w:rFonts w:ascii="Calibri" w:hAnsi="Calibri" w:cs="Arial"/>
        </w:rPr>
        <w:t>ș</w:t>
      </w:r>
      <w:r w:rsidRPr="00AE69E7">
        <w:rPr>
          <w:rFonts w:ascii="Calibri" w:hAnsi="Calibri" w:cs="Arial"/>
        </w:rPr>
        <w:t>ti;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52, Alexandria - Turnu M</w:t>
      </w:r>
      <w:r w:rsidR="0091684D">
        <w:rPr>
          <w:rFonts w:ascii="Calibri" w:hAnsi="Calibri" w:cs="Arial"/>
        </w:rPr>
        <w:t>ă</w:t>
      </w:r>
      <w:r w:rsidRPr="00AE69E7">
        <w:rPr>
          <w:rFonts w:ascii="Calibri" w:hAnsi="Calibri" w:cs="Arial"/>
        </w:rPr>
        <w:t>gurele;</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51, Alexandria – Zimnicea;</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28B, T</w:t>
      </w:r>
      <w:r w:rsidR="0091684D">
        <w:rPr>
          <w:rFonts w:ascii="Calibri" w:hAnsi="Calibri" w:cs="Arial"/>
        </w:rPr>
        <w:t>â</w:t>
      </w:r>
      <w:r w:rsidRPr="00AE69E7">
        <w:rPr>
          <w:rFonts w:ascii="Calibri" w:hAnsi="Calibri" w:cs="Arial"/>
        </w:rPr>
        <w:t>rgu Frumos – Boto</w:t>
      </w:r>
      <w:r w:rsidR="0091684D">
        <w:rPr>
          <w:rFonts w:ascii="Calibri" w:hAnsi="Calibri" w:cs="Arial"/>
        </w:rPr>
        <w:t>ș</w:t>
      </w:r>
      <w:r w:rsidRPr="00AE69E7">
        <w:rPr>
          <w:rFonts w:ascii="Calibri" w:hAnsi="Calibri" w:cs="Arial"/>
        </w:rPr>
        <w:t>ani;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7A, Brezoi – Petro</w:t>
      </w:r>
      <w:r w:rsidR="0091684D">
        <w:rPr>
          <w:rFonts w:ascii="Calibri" w:hAnsi="Calibri" w:cs="Arial"/>
        </w:rPr>
        <w:t>ș</w:t>
      </w:r>
      <w:r w:rsidRPr="00AE69E7">
        <w:rPr>
          <w:rFonts w:ascii="Calibri" w:hAnsi="Calibri" w:cs="Arial"/>
        </w:rPr>
        <w:t>ani;</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55, Craiova – Bechet;</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2L, Soveja –Lep</w:t>
      </w:r>
      <w:r w:rsidR="0091684D">
        <w:rPr>
          <w:rFonts w:ascii="Calibri" w:hAnsi="Calibri" w:cs="Arial"/>
        </w:rPr>
        <w:t>ș</w:t>
      </w:r>
      <w:r w:rsidRPr="00AE69E7">
        <w:rPr>
          <w:rFonts w:ascii="Calibri" w:hAnsi="Calibri" w:cs="Arial"/>
        </w:rPr>
        <w:t>a;</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DN 2N, Jitia – Bisoca;</w:t>
      </w:r>
    </w:p>
    <w:p w:rsidR="00AE69E7" w:rsidRPr="00AE69E7" w:rsidRDefault="00AE69E7" w:rsidP="00565476">
      <w:pPr>
        <w:numPr>
          <w:ilvl w:val="0"/>
          <w:numId w:val="235"/>
        </w:numPr>
        <w:ind w:left="1418" w:hanging="142"/>
        <w:jc w:val="both"/>
        <w:rPr>
          <w:rFonts w:ascii="Calibri" w:hAnsi="Calibri" w:cs="Arial"/>
        </w:rPr>
      </w:pPr>
      <w:r w:rsidRPr="00AE69E7">
        <w:rPr>
          <w:rFonts w:ascii="Calibri" w:hAnsi="Calibri" w:cs="Arial"/>
        </w:rPr>
        <w:t>Evacuare ape pluvialeTarta</w:t>
      </w:r>
      <w:r w:rsidR="0091684D">
        <w:rPr>
          <w:rFonts w:ascii="Calibri" w:hAnsi="Calibri" w:cs="Arial"/>
        </w:rPr>
        <w:t>ș</w:t>
      </w:r>
      <w:r w:rsidRPr="00AE69E7">
        <w:rPr>
          <w:rFonts w:ascii="Calibri" w:hAnsi="Calibri" w:cs="Arial"/>
        </w:rPr>
        <w:t>e</w:t>
      </w:r>
      <w:r w:rsidR="0091684D">
        <w:rPr>
          <w:rFonts w:ascii="Calibri" w:hAnsi="Calibri" w:cs="Arial"/>
        </w:rPr>
        <w:t>ș</w:t>
      </w:r>
      <w:r w:rsidRPr="00AE69E7">
        <w:rPr>
          <w:rFonts w:ascii="Calibri" w:hAnsi="Calibri" w:cs="Arial"/>
        </w:rPr>
        <w:t>ti;</w:t>
      </w:r>
    </w:p>
    <w:p w:rsidR="00AE69E7" w:rsidRPr="00715536" w:rsidRDefault="00AE69E7" w:rsidP="00565476">
      <w:pPr>
        <w:numPr>
          <w:ilvl w:val="0"/>
          <w:numId w:val="235"/>
        </w:numPr>
        <w:ind w:left="1418" w:hanging="142"/>
        <w:jc w:val="both"/>
        <w:rPr>
          <w:rFonts w:ascii="Calibri" w:hAnsi="Calibri" w:cs="Arial"/>
          <w:lang w:val="fr-FR"/>
        </w:rPr>
      </w:pPr>
      <w:r w:rsidRPr="00715536">
        <w:rPr>
          <w:rFonts w:ascii="Calibri" w:hAnsi="Calibri" w:cs="Arial"/>
          <w:lang w:val="fr-FR"/>
        </w:rPr>
        <w:t>L</w:t>
      </w:r>
      <w:r w:rsidR="0091684D" w:rsidRPr="00715536">
        <w:rPr>
          <w:rFonts w:ascii="Calibri" w:hAnsi="Calibri" w:cs="Arial"/>
          <w:lang w:val="fr-FR"/>
        </w:rPr>
        <w:t>ă</w:t>
      </w:r>
      <w:r w:rsidRPr="00715536">
        <w:rPr>
          <w:rFonts w:ascii="Calibri" w:hAnsi="Calibri" w:cs="Arial"/>
          <w:lang w:val="fr-FR"/>
        </w:rPr>
        <w:t>rgire DN 7, Valea Oltului, la 3 benzi/4 benzi;</w:t>
      </w:r>
    </w:p>
    <w:p w:rsidR="00AE69E7" w:rsidRPr="00715536" w:rsidRDefault="00AE69E7" w:rsidP="00AE69E7">
      <w:pPr>
        <w:ind w:left="1418" w:hanging="142"/>
        <w:jc w:val="both"/>
        <w:rPr>
          <w:rFonts w:ascii="Calibri" w:hAnsi="Calibri"/>
          <w:b/>
          <w:lang w:val="fr-FR"/>
        </w:rPr>
      </w:pPr>
    </w:p>
    <w:p w:rsidR="00AE69E7" w:rsidRPr="00715536" w:rsidRDefault="00AE69E7" w:rsidP="00AE69E7">
      <w:pPr>
        <w:ind w:left="720"/>
        <w:jc w:val="both"/>
        <w:rPr>
          <w:rFonts w:ascii="Calibri" w:hAnsi="Calibri" w:cs="Arial"/>
          <w:i/>
          <w:lang w:val="fr-FR"/>
        </w:rPr>
      </w:pPr>
      <w:r w:rsidRPr="00715536">
        <w:rPr>
          <w:rFonts w:ascii="Calibri" w:hAnsi="Calibri" w:cs="Arial"/>
          <w:i/>
          <w:lang w:val="fr-FR"/>
        </w:rPr>
        <w:t xml:space="preserve">Proiectele </w:t>
      </w:r>
      <w:r w:rsidR="0091684D" w:rsidRPr="00715536">
        <w:rPr>
          <w:rFonts w:ascii="Calibri" w:hAnsi="Calibri" w:cs="Arial"/>
          <w:i/>
          <w:lang w:val="fr-FR"/>
        </w:rPr>
        <w:t>î</w:t>
      </w:r>
      <w:r w:rsidRPr="00715536">
        <w:rPr>
          <w:rFonts w:ascii="Calibri" w:hAnsi="Calibri" w:cs="Arial"/>
          <w:i/>
          <w:lang w:val="fr-FR"/>
        </w:rPr>
        <w:t>n preg</w:t>
      </w:r>
      <w:r w:rsidR="0091684D" w:rsidRPr="00715536">
        <w:rPr>
          <w:rFonts w:ascii="Calibri" w:hAnsi="Calibri" w:cs="Arial"/>
          <w:i/>
          <w:lang w:val="fr-FR"/>
        </w:rPr>
        <w:t>ă</w:t>
      </w:r>
      <w:r w:rsidRPr="00715536">
        <w:rPr>
          <w:rFonts w:ascii="Calibri" w:hAnsi="Calibri" w:cs="Arial"/>
          <w:i/>
          <w:lang w:val="fr-FR"/>
        </w:rPr>
        <w:t>tire, pentru care exist</w:t>
      </w:r>
      <w:r w:rsidR="0091684D" w:rsidRPr="00715536">
        <w:rPr>
          <w:rFonts w:ascii="Calibri" w:hAnsi="Calibri" w:cs="Arial"/>
          <w:i/>
          <w:lang w:val="fr-FR"/>
        </w:rPr>
        <w:t>ă</w:t>
      </w:r>
      <w:r w:rsidRPr="00715536">
        <w:rPr>
          <w:rFonts w:ascii="Calibri" w:hAnsi="Calibri" w:cs="Arial"/>
          <w:i/>
          <w:lang w:val="fr-FR"/>
        </w:rPr>
        <w:t xml:space="preserve"> deja aloc</w:t>
      </w:r>
      <w:r w:rsidR="0091684D" w:rsidRPr="00715536">
        <w:rPr>
          <w:rFonts w:ascii="Calibri" w:hAnsi="Calibri" w:cs="Arial"/>
          <w:i/>
          <w:lang w:val="fr-FR"/>
        </w:rPr>
        <w:t>ă</w:t>
      </w:r>
      <w:r w:rsidRPr="00715536">
        <w:rPr>
          <w:rFonts w:ascii="Calibri" w:hAnsi="Calibri" w:cs="Arial"/>
          <w:i/>
          <w:lang w:val="fr-FR"/>
        </w:rPr>
        <w:t xml:space="preserve">ri bugetare </w:t>
      </w:r>
      <w:r w:rsidR="0091684D" w:rsidRPr="00715536">
        <w:rPr>
          <w:rFonts w:ascii="Calibri" w:hAnsi="Calibri" w:cs="Arial"/>
          <w:i/>
          <w:lang w:val="fr-FR"/>
        </w:rPr>
        <w:t>î</w:t>
      </w:r>
      <w:r w:rsidRPr="00715536">
        <w:rPr>
          <w:rFonts w:ascii="Calibri" w:hAnsi="Calibri" w:cs="Arial"/>
          <w:i/>
          <w:lang w:val="fr-FR"/>
        </w:rPr>
        <w:t xml:space="preserve">n anul 2019 cuprind: </w:t>
      </w:r>
    </w:p>
    <w:p w:rsidR="00AE69E7" w:rsidRPr="00AE69E7" w:rsidRDefault="00AE69E7" w:rsidP="00565476">
      <w:pPr>
        <w:numPr>
          <w:ilvl w:val="0"/>
          <w:numId w:val="235"/>
        </w:numPr>
        <w:ind w:left="1276" w:hanging="142"/>
        <w:jc w:val="both"/>
        <w:rPr>
          <w:rFonts w:ascii="Calibri" w:hAnsi="Calibri" w:cs="Arial"/>
        </w:rPr>
      </w:pPr>
      <w:r w:rsidRPr="00AE69E7">
        <w:rPr>
          <w:rFonts w:ascii="Calibri" w:hAnsi="Calibri" w:cs="Arial"/>
        </w:rPr>
        <w:t>DN 7C, Transf</w:t>
      </w:r>
      <w:r w:rsidR="0091684D">
        <w:rPr>
          <w:rFonts w:ascii="Calibri" w:hAnsi="Calibri" w:cs="Arial"/>
        </w:rPr>
        <w:t>ă</w:t>
      </w:r>
      <w:r w:rsidRPr="00AE69E7">
        <w:rPr>
          <w:rFonts w:ascii="Calibri" w:hAnsi="Calibri" w:cs="Arial"/>
        </w:rPr>
        <w:t>g</w:t>
      </w:r>
      <w:r w:rsidR="0091684D">
        <w:rPr>
          <w:rFonts w:ascii="Calibri" w:hAnsi="Calibri" w:cs="Arial"/>
        </w:rPr>
        <w:t>ă</w:t>
      </w:r>
      <w:r w:rsidRPr="00AE69E7">
        <w:rPr>
          <w:rFonts w:ascii="Calibri" w:hAnsi="Calibri" w:cs="Arial"/>
        </w:rPr>
        <w:t>r</w:t>
      </w:r>
      <w:r w:rsidR="0091684D">
        <w:rPr>
          <w:rFonts w:ascii="Calibri" w:hAnsi="Calibri" w:cs="Arial"/>
        </w:rPr>
        <w:t>ăș</w:t>
      </w:r>
      <w:r w:rsidRPr="00AE69E7">
        <w:rPr>
          <w:rFonts w:ascii="Calibri" w:hAnsi="Calibri" w:cs="Arial"/>
        </w:rPr>
        <w:t>an (expertiza tehnic</w:t>
      </w:r>
      <w:r w:rsidR="0091684D">
        <w:rPr>
          <w:rFonts w:ascii="Calibri" w:hAnsi="Calibri" w:cs="Arial"/>
        </w:rPr>
        <w:t>ăș</w:t>
      </w:r>
      <w:r w:rsidRPr="00AE69E7">
        <w:rPr>
          <w:rFonts w:ascii="Calibri" w:hAnsi="Calibri" w:cs="Arial"/>
        </w:rPr>
        <w:t>i elaborare Studiu de Fezabilitate);</w:t>
      </w:r>
    </w:p>
    <w:p w:rsidR="00AE69E7" w:rsidRPr="00AE69E7" w:rsidRDefault="00AE69E7" w:rsidP="00565476">
      <w:pPr>
        <w:numPr>
          <w:ilvl w:val="0"/>
          <w:numId w:val="235"/>
        </w:numPr>
        <w:ind w:left="1276" w:hanging="142"/>
        <w:jc w:val="both"/>
        <w:rPr>
          <w:rFonts w:ascii="Calibri" w:hAnsi="Calibri" w:cs="Arial"/>
        </w:rPr>
      </w:pPr>
      <w:r w:rsidRPr="00AE69E7">
        <w:rPr>
          <w:rFonts w:ascii="Calibri" w:hAnsi="Calibri" w:cs="Arial"/>
        </w:rPr>
        <w:t xml:space="preserve">Elaborare Studiu de Fezabilitate </w:t>
      </w:r>
      <w:r w:rsidR="0091684D">
        <w:rPr>
          <w:rFonts w:ascii="Calibri" w:hAnsi="Calibri" w:cs="Arial"/>
        </w:rPr>
        <w:t>ș</w:t>
      </w:r>
      <w:r w:rsidRPr="00AE69E7">
        <w:rPr>
          <w:rFonts w:ascii="Calibri" w:hAnsi="Calibri" w:cs="Arial"/>
        </w:rPr>
        <w:t>i Proiect Tehnic pentru sec</w:t>
      </w:r>
      <w:r w:rsidR="0091684D">
        <w:rPr>
          <w:rFonts w:ascii="Calibri" w:hAnsi="Calibri" w:cs="Arial"/>
        </w:rPr>
        <w:t>ț</w:t>
      </w:r>
      <w:r w:rsidRPr="00AE69E7">
        <w:rPr>
          <w:rFonts w:ascii="Calibri" w:hAnsi="Calibri" w:cs="Arial"/>
        </w:rPr>
        <w:t>iunea drum de legatur</w:t>
      </w:r>
      <w:r w:rsidR="0091684D">
        <w:rPr>
          <w:rFonts w:ascii="Calibri" w:hAnsi="Calibri" w:cs="Arial"/>
        </w:rPr>
        <w:t>ă</w:t>
      </w:r>
      <w:r w:rsidRPr="00AE69E7">
        <w:rPr>
          <w:rFonts w:ascii="Calibri" w:hAnsi="Calibri" w:cs="Arial"/>
        </w:rPr>
        <w:t xml:space="preserve"> A1 – DN 7 (Titu/DJ 711A)</w:t>
      </w:r>
    </w:p>
    <w:p w:rsidR="00AE69E7" w:rsidRPr="00AE69E7" w:rsidRDefault="00AE69E7" w:rsidP="00AE69E7">
      <w:pPr>
        <w:jc w:val="both"/>
        <w:rPr>
          <w:rFonts w:ascii="Calibri" w:hAnsi="Calibri"/>
          <w:b/>
        </w:rPr>
      </w:pPr>
    </w:p>
    <w:p w:rsidR="00AE69E7" w:rsidRPr="00AE69E7" w:rsidRDefault="00AE69E7" w:rsidP="00AE69E7">
      <w:pPr>
        <w:ind w:left="720"/>
        <w:jc w:val="both"/>
        <w:rPr>
          <w:rFonts w:ascii="Calibri" w:hAnsi="Calibri" w:cs="Arial"/>
          <w:i/>
        </w:rPr>
      </w:pPr>
      <w:r w:rsidRPr="00AE69E7">
        <w:rPr>
          <w:rFonts w:ascii="Calibri" w:hAnsi="Calibri" w:cs="Arial"/>
          <w:i/>
        </w:rPr>
        <w:t>Proiecte care vor fi bugetate pe parcursul anului 2019, dup</w:t>
      </w:r>
      <w:r w:rsidR="0091684D">
        <w:rPr>
          <w:rFonts w:ascii="Calibri" w:hAnsi="Calibri" w:cs="Arial"/>
          <w:i/>
        </w:rPr>
        <w:t>ă</w:t>
      </w:r>
      <w:r w:rsidRPr="00AE69E7">
        <w:rPr>
          <w:rFonts w:ascii="Calibri" w:hAnsi="Calibri" w:cs="Arial"/>
          <w:i/>
        </w:rPr>
        <w:t xml:space="preserve"> ob</w:t>
      </w:r>
      <w:r w:rsidR="0091684D">
        <w:rPr>
          <w:rFonts w:ascii="Calibri" w:hAnsi="Calibri" w:cs="Arial"/>
          <w:i/>
        </w:rPr>
        <w:t>ț</w:t>
      </w:r>
      <w:r w:rsidRPr="00AE69E7">
        <w:rPr>
          <w:rFonts w:ascii="Calibri" w:hAnsi="Calibri" w:cs="Arial"/>
          <w:i/>
        </w:rPr>
        <w:t>inerea aprob</w:t>
      </w:r>
      <w:r w:rsidR="0091684D">
        <w:rPr>
          <w:rFonts w:ascii="Calibri" w:hAnsi="Calibri" w:cs="Arial"/>
          <w:i/>
        </w:rPr>
        <w:t>ă</w:t>
      </w:r>
      <w:r w:rsidRPr="00AE69E7">
        <w:rPr>
          <w:rFonts w:ascii="Calibri" w:hAnsi="Calibri" w:cs="Arial"/>
          <w:i/>
        </w:rPr>
        <w:t xml:space="preserve">rilor legale necesare, aflate </w:t>
      </w:r>
      <w:r w:rsidR="0091684D">
        <w:rPr>
          <w:rFonts w:ascii="Calibri" w:hAnsi="Calibri" w:cs="Arial"/>
          <w:i/>
        </w:rPr>
        <w:t>î</w:t>
      </w:r>
      <w:r w:rsidRPr="00AE69E7">
        <w:rPr>
          <w:rFonts w:ascii="Calibri" w:hAnsi="Calibri" w:cs="Arial"/>
          <w:i/>
        </w:rPr>
        <w:t xml:space="preserve">n prezent </w:t>
      </w:r>
      <w:r w:rsidR="0091684D">
        <w:rPr>
          <w:rFonts w:ascii="Calibri" w:hAnsi="Calibri" w:cs="Arial"/>
          <w:i/>
        </w:rPr>
        <w:t>î</w:t>
      </w:r>
      <w:r w:rsidRPr="00AE69E7">
        <w:rPr>
          <w:rFonts w:ascii="Calibri" w:hAnsi="Calibri" w:cs="Arial"/>
          <w:i/>
        </w:rPr>
        <w:t>n etapa de preg</w:t>
      </w:r>
      <w:r w:rsidR="0091684D">
        <w:rPr>
          <w:rFonts w:ascii="Calibri" w:hAnsi="Calibri" w:cs="Arial"/>
          <w:i/>
        </w:rPr>
        <w:t>ă</w:t>
      </w:r>
      <w:r w:rsidRPr="00AE69E7">
        <w:rPr>
          <w:rFonts w:ascii="Calibri" w:hAnsi="Calibri" w:cs="Arial"/>
          <w:i/>
        </w:rPr>
        <w:t xml:space="preserve">tire/atribuire </w:t>
      </w:r>
      <w:r w:rsidR="0091684D">
        <w:rPr>
          <w:rFonts w:ascii="Calibri" w:hAnsi="Calibri" w:cs="Arial"/>
          <w:i/>
        </w:rPr>
        <w:t>î</w:t>
      </w:r>
      <w:r w:rsidRPr="00AE69E7">
        <w:rPr>
          <w:rFonts w:ascii="Calibri" w:hAnsi="Calibri" w:cs="Arial"/>
          <w:i/>
        </w:rPr>
        <w:t>n vederea elabor</w:t>
      </w:r>
      <w:r w:rsidR="0091684D">
        <w:rPr>
          <w:rFonts w:ascii="Calibri" w:hAnsi="Calibri" w:cs="Arial"/>
          <w:i/>
        </w:rPr>
        <w:t>ă</w:t>
      </w:r>
      <w:r w:rsidRPr="00AE69E7">
        <w:rPr>
          <w:rFonts w:ascii="Calibri" w:hAnsi="Calibri" w:cs="Arial"/>
          <w:i/>
        </w:rPr>
        <w:t>rii documenta</w:t>
      </w:r>
      <w:r w:rsidR="0091684D">
        <w:rPr>
          <w:rFonts w:ascii="Calibri" w:hAnsi="Calibri" w:cs="Arial"/>
          <w:i/>
        </w:rPr>
        <w:t>ț</w:t>
      </w:r>
      <w:r w:rsidRPr="00AE69E7">
        <w:rPr>
          <w:rFonts w:ascii="Calibri" w:hAnsi="Calibri" w:cs="Arial"/>
          <w:i/>
        </w:rPr>
        <w:t>iilor tehnico-economice sau proiect</w:t>
      </w:r>
      <w:r w:rsidR="0091684D">
        <w:rPr>
          <w:rFonts w:ascii="Calibri" w:hAnsi="Calibri" w:cs="Arial"/>
          <w:i/>
        </w:rPr>
        <w:t>ă</w:t>
      </w:r>
      <w:r w:rsidRPr="00AE69E7">
        <w:rPr>
          <w:rFonts w:ascii="Calibri" w:hAnsi="Calibri" w:cs="Arial"/>
          <w:i/>
        </w:rPr>
        <w:t xml:space="preserve">rii </w:t>
      </w:r>
      <w:r w:rsidR="0091684D">
        <w:rPr>
          <w:rFonts w:ascii="Calibri" w:hAnsi="Calibri" w:cs="Arial"/>
          <w:i/>
        </w:rPr>
        <w:t>ș</w:t>
      </w:r>
      <w:r w:rsidRPr="00AE69E7">
        <w:rPr>
          <w:rFonts w:ascii="Calibri" w:hAnsi="Calibri" w:cs="Arial"/>
          <w:i/>
        </w:rPr>
        <w:t>i execu</w:t>
      </w:r>
      <w:r w:rsidR="0091684D">
        <w:rPr>
          <w:rFonts w:ascii="Calibri" w:hAnsi="Calibri" w:cs="Arial"/>
          <w:i/>
        </w:rPr>
        <w:t>ț</w:t>
      </w:r>
      <w:r w:rsidRPr="00AE69E7">
        <w:rPr>
          <w:rFonts w:ascii="Calibri" w:hAnsi="Calibri" w:cs="Arial"/>
          <w:i/>
        </w:rPr>
        <w:t>iei:</w:t>
      </w:r>
    </w:p>
    <w:p w:rsidR="00AE69E7" w:rsidRPr="00715536" w:rsidRDefault="00AE69E7" w:rsidP="00565476">
      <w:pPr>
        <w:numPr>
          <w:ilvl w:val="0"/>
          <w:numId w:val="235"/>
        </w:numPr>
        <w:ind w:firstLine="698"/>
        <w:jc w:val="both"/>
        <w:rPr>
          <w:rFonts w:ascii="Calibri" w:hAnsi="Calibri" w:cs="Arial"/>
          <w:lang w:val="fr-FR"/>
        </w:rPr>
      </w:pPr>
      <w:r w:rsidRPr="00715536">
        <w:rPr>
          <w:rFonts w:ascii="Calibri" w:hAnsi="Calibri" w:cs="Arial"/>
          <w:lang w:val="fr-FR"/>
        </w:rPr>
        <w:t>DN 66A, C</w:t>
      </w:r>
      <w:r w:rsidR="0091684D" w:rsidRPr="00715536">
        <w:rPr>
          <w:rFonts w:ascii="Calibri" w:hAnsi="Calibri" w:cs="Arial"/>
          <w:lang w:val="fr-FR"/>
        </w:rPr>
        <w:t>â</w:t>
      </w:r>
      <w:r w:rsidRPr="00715536">
        <w:rPr>
          <w:rFonts w:ascii="Calibri" w:hAnsi="Calibri" w:cs="Arial"/>
          <w:lang w:val="fr-FR"/>
        </w:rPr>
        <w:t>mpu lui Neag – Cerna;</w:t>
      </w:r>
    </w:p>
    <w:p w:rsidR="00AE69E7" w:rsidRPr="00715536" w:rsidRDefault="00AE69E7" w:rsidP="00565476">
      <w:pPr>
        <w:numPr>
          <w:ilvl w:val="0"/>
          <w:numId w:val="235"/>
        </w:numPr>
        <w:ind w:firstLine="698"/>
        <w:jc w:val="both"/>
        <w:rPr>
          <w:rFonts w:ascii="Calibri" w:hAnsi="Calibri" w:cs="Arial"/>
          <w:lang w:val="fr-FR"/>
        </w:rPr>
      </w:pPr>
      <w:r w:rsidRPr="00715536">
        <w:rPr>
          <w:rFonts w:ascii="Calibri" w:hAnsi="Calibri" w:cs="Arial"/>
          <w:lang w:val="fr-FR"/>
        </w:rPr>
        <w:t>DN 17 C, Bistri</w:t>
      </w:r>
      <w:r w:rsidR="0091684D" w:rsidRPr="00715536">
        <w:rPr>
          <w:rFonts w:ascii="Calibri" w:hAnsi="Calibri" w:cs="Arial"/>
          <w:lang w:val="fr-FR"/>
        </w:rPr>
        <w:t>ț</w:t>
      </w:r>
      <w:r w:rsidRPr="00715536">
        <w:rPr>
          <w:rFonts w:ascii="Calibri" w:hAnsi="Calibri" w:cs="Arial"/>
          <w:lang w:val="fr-FR"/>
        </w:rPr>
        <w:t>a – Salva  - Moisei;</w:t>
      </w:r>
    </w:p>
    <w:p w:rsidR="00AE69E7" w:rsidRPr="00AE69E7" w:rsidRDefault="00AE69E7" w:rsidP="00565476">
      <w:pPr>
        <w:numPr>
          <w:ilvl w:val="0"/>
          <w:numId w:val="235"/>
        </w:numPr>
        <w:ind w:firstLine="698"/>
        <w:jc w:val="both"/>
        <w:rPr>
          <w:rFonts w:ascii="Calibri" w:hAnsi="Calibri" w:cs="Arial"/>
        </w:rPr>
      </w:pPr>
      <w:r w:rsidRPr="00AE69E7">
        <w:rPr>
          <w:rFonts w:ascii="Calibri" w:hAnsi="Calibri" w:cs="Arial"/>
        </w:rPr>
        <w:t>DN 17 D, Beclean – C</w:t>
      </w:r>
      <w:r w:rsidR="0091684D">
        <w:rPr>
          <w:rFonts w:ascii="Calibri" w:hAnsi="Calibri" w:cs="Arial"/>
        </w:rPr>
        <w:t>â</w:t>
      </w:r>
      <w:r w:rsidRPr="00AE69E7">
        <w:rPr>
          <w:rFonts w:ascii="Calibri" w:hAnsi="Calibri" w:cs="Arial"/>
        </w:rPr>
        <w:t>rlibaba;</w:t>
      </w:r>
    </w:p>
    <w:p w:rsidR="00AE69E7" w:rsidRPr="00AE69E7" w:rsidRDefault="00AE69E7" w:rsidP="00565476">
      <w:pPr>
        <w:numPr>
          <w:ilvl w:val="0"/>
          <w:numId w:val="235"/>
        </w:numPr>
        <w:ind w:firstLine="698"/>
        <w:jc w:val="both"/>
        <w:rPr>
          <w:rFonts w:ascii="Calibri" w:hAnsi="Calibri" w:cs="Arial"/>
        </w:rPr>
      </w:pPr>
      <w:r w:rsidRPr="00AE69E7">
        <w:rPr>
          <w:rFonts w:ascii="Calibri" w:hAnsi="Calibri" w:cs="Arial"/>
        </w:rPr>
        <w:t>DN 15, Poiana  Largului – Bicaz;</w:t>
      </w:r>
    </w:p>
    <w:p w:rsidR="00AE69E7" w:rsidRPr="00AE69E7" w:rsidRDefault="00AE69E7" w:rsidP="00565476">
      <w:pPr>
        <w:numPr>
          <w:ilvl w:val="0"/>
          <w:numId w:val="235"/>
        </w:numPr>
        <w:ind w:firstLine="698"/>
        <w:jc w:val="both"/>
        <w:rPr>
          <w:rFonts w:ascii="Calibri" w:hAnsi="Calibri" w:cs="Arial"/>
        </w:rPr>
      </w:pPr>
      <w:r w:rsidRPr="00AE69E7">
        <w:rPr>
          <w:rFonts w:ascii="Calibri" w:hAnsi="Calibri" w:cs="Arial"/>
        </w:rPr>
        <w:t>Pasaj Drajna;</w:t>
      </w:r>
    </w:p>
    <w:p w:rsidR="00AE69E7" w:rsidRPr="00715536" w:rsidRDefault="00AE69E7" w:rsidP="00565476">
      <w:pPr>
        <w:numPr>
          <w:ilvl w:val="0"/>
          <w:numId w:val="235"/>
        </w:numPr>
        <w:ind w:firstLine="698"/>
        <w:jc w:val="both"/>
        <w:rPr>
          <w:rFonts w:ascii="Calibri" w:hAnsi="Calibri" w:cs="Arial"/>
          <w:lang w:val="fr-FR"/>
        </w:rPr>
      </w:pPr>
      <w:r w:rsidRPr="00715536">
        <w:rPr>
          <w:rFonts w:ascii="Calibri" w:hAnsi="Calibri" w:cs="Arial"/>
          <w:lang w:val="fr-FR"/>
        </w:rPr>
        <w:t>Nod Cump</w:t>
      </w:r>
      <w:r w:rsidR="0091684D" w:rsidRPr="00715536">
        <w:rPr>
          <w:rFonts w:ascii="Calibri" w:hAnsi="Calibri" w:cs="Arial"/>
          <w:lang w:val="fr-FR"/>
        </w:rPr>
        <w:t>ă</w:t>
      </w:r>
      <w:r w:rsidRPr="00715536">
        <w:rPr>
          <w:rFonts w:ascii="Calibri" w:hAnsi="Calibri" w:cs="Arial"/>
          <w:lang w:val="fr-FR"/>
        </w:rPr>
        <w:t>na (conexiune la A4 – DN 39E);</w:t>
      </w:r>
    </w:p>
    <w:p w:rsidR="00AE69E7" w:rsidRPr="00715536" w:rsidRDefault="00AE69E7" w:rsidP="00565476">
      <w:pPr>
        <w:numPr>
          <w:ilvl w:val="0"/>
          <w:numId w:val="235"/>
        </w:numPr>
        <w:ind w:firstLine="698"/>
        <w:jc w:val="both"/>
        <w:rPr>
          <w:rFonts w:ascii="Calibri" w:hAnsi="Calibri" w:cs="Arial"/>
          <w:lang w:val="fr-FR"/>
        </w:rPr>
      </w:pPr>
      <w:r w:rsidRPr="00715536">
        <w:rPr>
          <w:rFonts w:ascii="Calibri" w:hAnsi="Calibri" w:cs="Arial"/>
          <w:lang w:val="fr-FR"/>
        </w:rPr>
        <w:t>Nod Martine</w:t>
      </w:r>
      <w:r w:rsidR="0091684D" w:rsidRPr="00715536">
        <w:rPr>
          <w:rFonts w:ascii="Calibri" w:hAnsi="Calibri" w:cs="Arial"/>
          <w:lang w:val="fr-FR"/>
        </w:rPr>
        <w:t>ș</w:t>
      </w:r>
      <w:r w:rsidRPr="00715536">
        <w:rPr>
          <w:rFonts w:ascii="Calibri" w:hAnsi="Calibri" w:cs="Arial"/>
          <w:lang w:val="fr-FR"/>
        </w:rPr>
        <w:t xml:space="preserve">ti (conexiune la A1 si DN 1); </w:t>
      </w:r>
    </w:p>
    <w:p w:rsidR="00AE69E7" w:rsidRPr="00715536" w:rsidRDefault="00AE69E7" w:rsidP="00565476">
      <w:pPr>
        <w:numPr>
          <w:ilvl w:val="0"/>
          <w:numId w:val="235"/>
        </w:numPr>
        <w:ind w:firstLine="698"/>
        <w:jc w:val="both"/>
        <w:rPr>
          <w:rFonts w:ascii="Calibri" w:hAnsi="Calibri" w:cs="Arial"/>
          <w:lang w:val="fr-FR"/>
        </w:rPr>
      </w:pPr>
      <w:r w:rsidRPr="00715536">
        <w:rPr>
          <w:rFonts w:ascii="Calibri" w:hAnsi="Calibri" w:cs="Arial"/>
          <w:lang w:val="fr-FR"/>
        </w:rPr>
        <w:t xml:space="preserve">Centru de </w:t>
      </w:r>
      <w:r w:rsidR="0091684D" w:rsidRPr="00715536">
        <w:rPr>
          <w:rFonts w:ascii="Calibri" w:hAnsi="Calibri" w:cs="Arial"/>
          <w:lang w:val="fr-FR"/>
        </w:rPr>
        <w:t>Î</w:t>
      </w:r>
      <w:r w:rsidRPr="00715536">
        <w:rPr>
          <w:rFonts w:ascii="Calibri" w:hAnsi="Calibri" w:cs="Arial"/>
          <w:lang w:val="fr-FR"/>
        </w:rPr>
        <w:t>ntre</w:t>
      </w:r>
      <w:r w:rsidR="0091684D" w:rsidRPr="00715536">
        <w:rPr>
          <w:rFonts w:ascii="Calibri" w:hAnsi="Calibri" w:cs="Arial"/>
          <w:lang w:val="fr-FR"/>
        </w:rPr>
        <w:t>ț</w:t>
      </w:r>
      <w:r w:rsidRPr="00715536">
        <w:rPr>
          <w:rFonts w:ascii="Calibri" w:hAnsi="Calibri" w:cs="Arial"/>
          <w:lang w:val="fr-FR"/>
        </w:rPr>
        <w:t xml:space="preserve">inere </w:t>
      </w:r>
      <w:r w:rsidR="0091684D" w:rsidRPr="00715536">
        <w:rPr>
          <w:rFonts w:ascii="Calibri" w:hAnsi="Calibri" w:cs="Arial"/>
          <w:lang w:val="fr-FR"/>
        </w:rPr>
        <w:t>ș</w:t>
      </w:r>
      <w:r w:rsidRPr="00715536">
        <w:rPr>
          <w:rFonts w:ascii="Calibri" w:hAnsi="Calibri" w:cs="Arial"/>
          <w:lang w:val="fr-FR"/>
        </w:rPr>
        <w:t>i Coordonare pe A3.</w:t>
      </w:r>
    </w:p>
    <w:p w:rsidR="00AE69E7" w:rsidRPr="00AE69E7" w:rsidRDefault="00AE69E7" w:rsidP="00565476">
      <w:pPr>
        <w:numPr>
          <w:ilvl w:val="0"/>
          <w:numId w:val="235"/>
        </w:numPr>
        <w:jc w:val="both"/>
        <w:rPr>
          <w:rFonts w:ascii="Calibri" w:hAnsi="Calibri" w:cs="Arial"/>
          <w:b/>
        </w:rPr>
      </w:pPr>
      <w:r w:rsidRPr="00AE69E7">
        <w:rPr>
          <w:rFonts w:ascii="Calibri" w:hAnsi="Calibri" w:cs="Arial"/>
          <w:b/>
        </w:rPr>
        <w:t>întreţinerea infrastructurii rutiere</w:t>
      </w:r>
    </w:p>
    <w:p w:rsidR="00AE69E7" w:rsidRPr="00AE69E7" w:rsidRDefault="00AE69E7" w:rsidP="00AE69E7">
      <w:pPr>
        <w:ind w:left="720"/>
        <w:jc w:val="both"/>
        <w:rPr>
          <w:rFonts w:ascii="Calibri" w:hAnsi="Calibri"/>
          <w:lang w:val="it-IT"/>
        </w:rPr>
      </w:pPr>
      <w:r w:rsidRPr="00AE69E7">
        <w:rPr>
          <w:rFonts w:ascii="Calibri" w:hAnsi="Calibri"/>
          <w:lang w:val="it-IT"/>
        </w:rPr>
        <w:tab/>
        <w:t>C</w:t>
      </w:r>
      <w:r>
        <w:rPr>
          <w:rFonts w:ascii="Calibri" w:hAnsi="Calibri"/>
          <w:lang w:val="it-IT"/>
        </w:rPr>
        <w:t>ompania Națională de Administrare a Infrastucturii Rutiere</w:t>
      </w:r>
      <w:r w:rsidRPr="00AE69E7">
        <w:rPr>
          <w:rFonts w:ascii="Calibri" w:hAnsi="Calibri"/>
          <w:lang w:val="it-IT"/>
        </w:rPr>
        <w:t xml:space="preserve"> S.A.</w:t>
      </w:r>
      <w:r>
        <w:rPr>
          <w:rFonts w:ascii="Calibri" w:hAnsi="Calibri"/>
          <w:lang w:val="it-IT"/>
        </w:rPr>
        <w:t xml:space="preserve"> (C.N.A.I.R. S.A.) </w:t>
      </w:r>
      <w:r w:rsidRPr="00AE69E7">
        <w:rPr>
          <w:rFonts w:ascii="Calibri" w:hAnsi="Calibri"/>
          <w:lang w:val="it-IT"/>
        </w:rPr>
        <w:t>asigur</w:t>
      </w:r>
      <w:r w:rsidR="0091684D">
        <w:rPr>
          <w:rFonts w:ascii="Calibri" w:hAnsi="Calibri"/>
          <w:lang w:val="it-IT"/>
        </w:rPr>
        <w:t>ăî</w:t>
      </w:r>
      <w:r w:rsidRPr="00AE69E7">
        <w:rPr>
          <w:rFonts w:ascii="Calibri" w:hAnsi="Calibri"/>
          <w:lang w:val="it-IT"/>
        </w:rPr>
        <w:t xml:space="preserve">n prezent administrarea </w:t>
      </w:r>
      <w:r w:rsidR="0091684D">
        <w:rPr>
          <w:rFonts w:ascii="Calibri" w:hAnsi="Calibri"/>
          <w:lang w:val="it-IT"/>
        </w:rPr>
        <w:t>ș</w:t>
      </w:r>
      <w:r w:rsidRPr="00AE69E7">
        <w:rPr>
          <w:rFonts w:ascii="Calibri" w:hAnsi="Calibri"/>
          <w:lang w:val="it-IT"/>
        </w:rPr>
        <w:t xml:space="preserve">i </w:t>
      </w:r>
      <w:r w:rsidR="0091684D">
        <w:rPr>
          <w:rFonts w:ascii="Calibri" w:hAnsi="Calibri"/>
          <w:lang w:val="it-IT"/>
        </w:rPr>
        <w:t>î</w:t>
      </w:r>
      <w:r w:rsidRPr="00AE69E7">
        <w:rPr>
          <w:rFonts w:ascii="Calibri" w:hAnsi="Calibri"/>
          <w:lang w:val="it-IT"/>
        </w:rPr>
        <w:t>ntre</w:t>
      </w:r>
      <w:r w:rsidR="0091684D">
        <w:rPr>
          <w:rFonts w:ascii="Calibri" w:hAnsi="Calibri"/>
          <w:lang w:val="it-IT"/>
        </w:rPr>
        <w:t>ț</w:t>
      </w:r>
      <w:r w:rsidRPr="00AE69E7">
        <w:rPr>
          <w:rFonts w:ascii="Calibri" w:hAnsi="Calibri"/>
          <w:lang w:val="it-IT"/>
        </w:rPr>
        <w:t>inerea unei re</w:t>
      </w:r>
      <w:r w:rsidR="0091684D">
        <w:rPr>
          <w:rFonts w:ascii="Calibri" w:hAnsi="Calibri"/>
          <w:lang w:val="it-IT"/>
        </w:rPr>
        <w:t>ț</w:t>
      </w:r>
      <w:r w:rsidRPr="00AE69E7">
        <w:rPr>
          <w:rFonts w:ascii="Calibri" w:hAnsi="Calibri"/>
          <w:lang w:val="it-IT"/>
        </w:rPr>
        <w:t>ele de 17.740 km din care 823,24 km de autostr</w:t>
      </w:r>
      <w:r w:rsidR="0091684D">
        <w:rPr>
          <w:rFonts w:ascii="Calibri" w:hAnsi="Calibri"/>
          <w:lang w:val="it-IT"/>
        </w:rPr>
        <w:t>ă</w:t>
      </w:r>
      <w:r w:rsidRPr="00AE69E7">
        <w:rPr>
          <w:rFonts w:ascii="Calibri" w:hAnsi="Calibri"/>
          <w:lang w:val="it-IT"/>
        </w:rPr>
        <w:t xml:space="preserve">zi </w:t>
      </w:r>
      <w:r w:rsidR="0091684D">
        <w:rPr>
          <w:rFonts w:ascii="Calibri" w:hAnsi="Calibri"/>
          <w:lang w:val="it-IT"/>
        </w:rPr>
        <w:t>ș</w:t>
      </w:r>
      <w:r w:rsidRPr="00AE69E7">
        <w:rPr>
          <w:rFonts w:ascii="Calibri" w:hAnsi="Calibri"/>
          <w:lang w:val="it-IT"/>
        </w:rPr>
        <w:t>i 16.916 km drumuri na</w:t>
      </w:r>
      <w:r w:rsidR="0091684D">
        <w:rPr>
          <w:rFonts w:ascii="Calibri" w:hAnsi="Calibri"/>
          <w:lang w:val="it-IT"/>
        </w:rPr>
        <w:t>ț</w:t>
      </w:r>
      <w:r w:rsidRPr="00AE69E7">
        <w:rPr>
          <w:rFonts w:ascii="Calibri" w:hAnsi="Calibri"/>
          <w:lang w:val="it-IT"/>
        </w:rPr>
        <w:t>ionale, re</w:t>
      </w:r>
      <w:r w:rsidR="0091684D">
        <w:rPr>
          <w:rFonts w:ascii="Calibri" w:hAnsi="Calibri"/>
          <w:lang w:val="it-IT"/>
        </w:rPr>
        <w:t>ț</w:t>
      </w:r>
      <w:r w:rsidRPr="00AE69E7">
        <w:rPr>
          <w:rFonts w:ascii="Calibri" w:hAnsi="Calibri"/>
          <w:lang w:val="it-IT"/>
        </w:rPr>
        <w:t>ea care este dezvoltat</w:t>
      </w:r>
      <w:r w:rsidR="0091684D">
        <w:rPr>
          <w:rFonts w:ascii="Calibri" w:hAnsi="Calibri"/>
          <w:lang w:val="it-IT"/>
        </w:rPr>
        <w:t>ă</w:t>
      </w:r>
      <w:r w:rsidRPr="00AE69E7">
        <w:rPr>
          <w:rFonts w:ascii="Calibri" w:hAnsi="Calibri"/>
          <w:lang w:val="it-IT"/>
        </w:rPr>
        <w:t xml:space="preserve"> pe </w:t>
      </w:r>
      <w:r w:rsidR="0091684D">
        <w:rPr>
          <w:rFonts w:ascii="Calibri" w:hAnsi="Calibri"/>
          <w:lang w:val="it-IT"/>
        </w:rPr>
        <w:t>î</w:t>
      </w:r>
      <w:r w:rsidRPr="00AE69E7">
        <w:rPr>
          <w:rFonts w:ascii="Calibri" w:hAnsi="Calibri"/>
          <w:lang w:val="it-IT"/>
        </w:rPr>
        <w:t>ntreg teritoriul Rom</w:t>
      </w:r>
      <w:r w:rsidR="0091684D">
        <w:rPr>
          <w:rFonts w:ascii="Calibri" w:hAnsi="Calibri"/>
          <w:lang w:val="it-IT"/>
        </w:rPr>
        <w:t>âniei, din care peste 61</w:t>
      </w:r>
      <w:r w:rsidRPr="00AE69E7">
        <w:rPr>
          <w:rFonts w:ascii="Calibri" w:hAnsi="Calibri"/>
          <w:lang w:val="it-IT"/>
        </w:rPr>
        <w:t>% are durata de func</w:t>
      </w:r>
      <w:r w:rsidR="0091684D">
        <w:rPr>
          <w:rFonts w:ascii="Calibri" w:hAnsi="Calibri"/>
          <w:lang w:val="it-IT"/>
        </w:rPr>
        <w:t>ț</w:t>
      </w:r>
      <w:r w:rsidRPr="00AE69E7">
        <w:rPr>
          <w:rFonts w:ascii="Calibri" w:hAnsi="Calibri"/>
          <w:lang w:val="it-IT"/>
        </w:rPr>
        <w:t>ionare expirat</w:t>
      </w:r>
      <w:r w:rsidR="0091684D">
        <w:rPr>
          <w:rFonts w:ascii="Calibri" w:hAnsi="Calibri"/>
          <w:lang w:val="it-IT"/>
        </w:rPr>
        <w:t>ă</w:t>
      </w:r>
      <w:r w:rsidRPr="00AE69E7">
        <w:rPr>
          <w:rFonts w:ascii="Calibri" w:hAnsi="Calibri"/>
          <w:lang w:val="it-IT"/>
        </w:rPr>
        <w:t xml:space="preserve"> (durata normal</w:t>
      </w:r>
      <w:r w:rsidR="0091684D">
        <w:rPr>
          <w:rFonts w:ascii="Calibri" w:hAnsi="Calibri"/>
          <w:lang w:val="it-IT"/>
        </w:rPr>
        <w:t>ă</w:t>
      </w:r>
      <w:r w:rsidRPr="00AE69E7">
        <w:rPr>
          <w:rFonts w:ascii="Calibri" w:hAnsi="Calibri"/>
          <w:lang w:val="it-IT"/>
        </w:rPr>
        <w:t xml:space="preserve"> de func</w:t>
      </w:r>
      <w:r w:rsidR="0091684D">
        <w:rPr>
          <w:rFonts w:ascii="Calibri" w:hAnsi="Calibri"/>
          <w:lang w:val="it-IT"/>
        </w:rPr>
        <w:t>ț</w:t>
      </w:r>
      <w:r w:rsidRPr="00AE69E7">
        <w:rPr>
          <w:rFonts w:ascii="Calibri" w:hAnsi="Calibri"/>
          <w:lang w:val="it-IT"/>
        </w:rPr>
        <w:t>ionare a unui drum este durata de utilizare exprimat</w:t>
      </w:r>
      <w:r w:rsidR="0091684D">
        <w:rPr>
          <w:rFonts w:ascii="Calibri" w:hAnsi="Calibri"/>
          <w:lang w:val="it-IT"/>
        </w:rPr>
        <w:t>ăî</w:t>
      </w:r>
      <w:r w:rsidRPr="00AE69E7">
        <w:rPr>
          <w:rFonts w:ascii="Calibri" w:hAnsi="Calibri"/>
          <w:lang w:val="it-IT"/>
        </w:rPr>
        <w:t xml:space="preserve">n ani, de la darea </w:t>
      </w:r>
      <w:r w:rsidR="0091684D">
        <w:rPr>
          <w:rFonts w:ascii="Calibri" w:hAnsi="Calibri"/>
          <w:lang w:val="it-IT"/>
        </w:rPr>
        <w:t>î</w:t>
      </w:r>
      <w:r w:rsidRPr="00AE69E7">
        <w:rPr>
          <w:rFonts w:ascii="Calibri" w:hAnsi="Calibri"/>
          <w:lang w:val="it-IT"/>
        </w:rPr>
        <w:t>n circula</w:t>
      </w:r>
      <w:r w:rsidR="0091684D">
        <w:rPr>
          <w:rFonts w:ascii="Calibri" w:hAnsi="Calibri"/>
          <w:lang w:val="it-IT"/>
        </w:rPr>
        <w:t>ț</w:t>
      </w:r>
      <w:r w:rsidRPr="00AE69E7">
        <w:rPr>
          <w:rFonts w:ascii="Calibri" w:hAnsi="Calibri"/>
          <w:lang w:val="it-IT"/>
        </w:rPr>
        <w:t xml:space="preserve">ie a drumului ca nou </w:t>
      </w:r>
      <w:r w:rsidR="0091684D">
        <w:rPr>
          <w:rFonts w:ascii="Calibri" w:hAnsi="Calibri"/>
          <w:lang w:val="it-IT"/>
        </w:rPr>
        <w:t>ș</w:t>
      </w:r>
      <w:r w:rsidRPr="00AE69E7">
        <w:rPr>
          <w:rFonts w:ascii="Calibri" w:hAnsi="Calibri"/>
          <w:lang w:val="it-IT"/>
        </w:rPr>
        <w:t>i p</w:t>
      </w:r>
      <w:r w:rsidR="0091684D">
        <w:rPr>
          <w:rFonts w:ascii="Calibri" w:hAnsi="Calibri"/>
          <w:lang w:val="it-IT"/>
        </w:rPr>
        <w:t>â</w:t>
      </w:r>
      <w:r w:rsidRPr="00AE69E7">
        <w:rPr>
          <w:rFonts w:ascii="Calibri" w:hAnsi="Calibri"/>
          <w:lang w:val="it-IT"/>
        </w:rPr>
        <w:t>n</w:t>
      </w:r>
      <w:r w:rsidR="0091684D">
        <w:rPr>
          <w:rFonts w:ascii="Calibri" w:hAnsi="Calibri"/>
          <w:lang w:val="it-IT"/>
        </w:rPr>
        <w:t>ă</w:t>
      </w:r>
      <w:r w:rsidRPr="00AE69E7">
        <w:rPr>
          <w:rFonts w:ascii="Calibri" w:hAnsi="Calibri"/>
          <w:lang w:val="it-IT"/>
        </w:rPr>
        <w:t xml:space="preserve"> la introducerea sa </w:t>
      </w:r>
      <w:r w:rsidR="0091684D">
        <w:rPr>
          <w:rFonts w:ascii="Calibri" w:hAnsi="Calibri"/>
          <w:lang w:val="it-IT"/>
        </w:rPr>
        <w:t>î</w:t>
      </w:r>
      <w:r w:rsidRPr="00AE69E7">
        <w:rPr>
          <w:rFonts w:ascii="Calibri" w:hAnsi="Calibri"/>
          <w:lang w:val="it-IT"/>
        </w:rPr>
        <w:t>n prima repara</w:t>
      </w:r>
      <w:r w:rsidR="0091684D">
        <w:rPr>
          <w:rFonts w:ascii="Calibri" w:hAnsi="Calibri"/>
          <w:lang w:val="it-IT"/>
        </w:rPr>
        <w:t>ț</w:t>
      </w:r>
      <w:r w:rsidRPr="00AE69E7">
        <w:rPr>
          <w:rFonts w:ascii="Calibri" w:hAnsi="Calibri"/>
          <w:lang w:val="it-IT"/>
        </w:rPr>
        <w:t>ie capital</w:t>
      </w:r>
      <w:r w:rsidR="0091684D">
        <w:rPr>
          <w:rFonts w:ascii="Calibri" w:hAnsi="Calibri"/>
          <w:lang w:val="it-IT"/>
        </w:rPr>
        <w:t>ă</w:t>
      </w:r>
      <w:r w:rsidRPr="00AE69E7">
        <w:rPr>
          <w:rFonts w:ascii="Calibri" w:hAnsi="Calibri"/>
          <w:lang w:val="it-IT"/>
        </w:rPr>
        <w:t xml:space="preserve"> sau </w:t>
      </w:r>
      <w:r w:rsidR="0091684D">
        <w:rPr>
          <w:rFonts w:ascii="Calibri" w:hAnsi="Calibri"/>
          <w:lang w:val="it-IT"/>
        </w:rPr>
        <w:t>î</w:t>
      </w:r>
      <w:r w:rsidRPr="00AE69E7">
        <w:rPr>
          <w:rFonts w:ascii="Calibri" w:hAnsi="Calibri"/>
          <w:lang w:val="it-IT"/>
        </w:rPr>
        <w:t>ntre dou</w:t>
      </w:r>
      <w:r w:rsidR="0091684D">
        <w:rPr>
          <w:rFonts w:ascii="Calibri" w:hAnsi="Calibri"/>
          <w:lang w:val="it-IT"/>
        </w:rPr>
        <w:t>ă</w:t>
      </w:r>
      <w:r w:rsidRPr="00AE69E7">
        <w:rPr>
          <w:rFonts w:ascii="Calibri" w:hAnsi="Calibri"/>
          <w:lang w:val="it-IT"/>
        </w:rPr>
        <w:t xml:space="preserve"> repara</w:t>
      </w:r>
      <w:r w:rsidR="0091684D">
        <w:rPr>
          <w:rFonts w:ascii="Calibri" w:hAnsi="Calibri"/>
          <w:lang w:val="it-IT"/>
        </w:rPr>
        <w:t>ț</w:t>
      </w:r>
      <w:r w:rsidRPr="00AE69E7">
        <w:rPr>
          <w:rFonts w:ascii="Calibri" w:hAnsi="Calibri"/>
          <w:lang w:val="it-IT"/>
        </w:rPr>
        <w:t>ii capitale).</w:t>
      </w:r>
    </w:p>
    <w:p w:rsidR="00AE69E7" w:rsidRPr="00AE69E7" w:rsidRDefault="00AE69E7" w:rsidP="00AE69E7">
      <w:pPr>
        <w:ind w:left="720"/>
        <w:jc w:val="both"/>
        <w:rPr>
          <w:rFonts w:ascii="Calibri" w:hAnsi="Calibri"/>
          <w:lang w:val="it-IT"/>
        </w:rPr>
      </w:pPr>
      <w:r w:rsidRPr="00AE69E7">
        <w:rPr>
          <w:rFonts w:ascii="Calibri" w:hAnsi="Calibri"/>
          <w:lang w:val="it-IT"/>
        </w:rPr>
        <w:tab/>
        <w:t>La aceast</w:t>
      </w:r>
      <w:r w:rsidR="0091684D">
        <w:rPr>
          <w:rFonts w:ascii="Calibri" w:hAnsi="Calibri"/>
          <w:lang w:val="it-IT"/>
        </w:rPr>
        <w:t>ă</w:t>
      </w:r>
      <w:r w:rsidRPr="00AE69E7">
        <w:rPr>
          <w:rFonts w:ascii="Calibri" w:hAnsi="Calibri"/>
          <w:lang w:val="it-IT"/>
        </w:rPr>
        <w:t xml:space="preserve"> data C.N.A.I.R. S.A. are </w:t>
      </w:r>
      <w:r w:rsidR="0091684D">
        <w:rPr>
          <w:rFonts w:ascii="Calibri" w:hAnsi="Calibri"/>
          <w:lang w:val="it-IT"/>
        </w:rPr>
        <w:t>î</w:t>
      </w:r>
      <w:r w:rsidRPr="00AE69E7">
        <w:rPr>
          <w:rFonts w:ascii="Calibri" w:hAnsi="Calibri"/>
          <w:lang w:val="it-IT"/>
        </w:rPr>
        <w:t>ncheiate acorduri cadru pe trei ani pentru lucr</w:t>
      </w:r>
      <w:r w:rsidR="0091684D">
        <w:rPr>
          <w:rFonts w:ascii="Calibri" w:hAnsi="Calibri"/>
          <w:lang w:val="it-IT"/>
        </w:rPr>
        <w:t>ă</w:t>
      </w:r>
      <w:r w:rsidRPr="00AE69E7">
        <w:rPr>
          <w:rFonts w:ascii="Calibri" w:hAnsi="Calibri"/>
          <w:lang w:val="it-IT"/>
        </w:rPr>
        <w:t xml:space="preserve">ri de </w:t>
      </w:r>
      <w:r w:rsidR="0091684D">
        <w:rPr>
          <w:rFonts w:ascii="Calibri" w:hAnsi="Calibri"/>
          <w:lang w:val="it-IT"/>
        </w:rPr>
        <w:t>î</w:t>
      </w:r>
      <w:r w:rsidRPr="00AE69E7">
        <w:rPr>
          <w:rFonts w:ascii="Calibri" w:hAnsi="Calibri"/>
          <w:lang w:val="it-IT"/>
        </w:rPr>
        <w:t>ntretinere periodic</w:t>
      </w:r>
      <w:r w:rsidR="0091684D">
        <w:rPr>
          <w:rFonts w:ascii="Calibri" w:hAnsi="Calibri"/>
          <w:lang w:val="it-IT"/>
        </w:rPr>
        <w:t>ă</w:t>
      </w:r>
      <w:r w:rsidRPr="00AE69E7">
        <w:rPr>
          <w:rFonts w:ascii="Calibri" w:hAnsi="Calibri"/>
          <w:lang w:val="it-IT"/>
        </w:rPr>
        <w:t xml:space="preserve"> (tratamente bituminoase, straturi rutiere foarte sub</w:t>
      </w:r>
      <w:r w:rsidR="0091684D">
        <w:rPr>
          <w:rFonts w:ascii="Calibri" w:hAnsi="Calibri"/>
          <w:lang w:val="it-IT"/>
        </w:rPr>
        <w:t>ț</w:t>
      </w:r>
      <w:r w:rsidRPr="00AE69E7">
        <w:rPr>
          <w:rFonts w:ascii="Calibri" w:hAnsi="Calibri"/>
          <w:lang w:val="it-IT"/>
        </w:rPr>
        <w:t>iri, covoare bituminoase</w:t>
      </w:r>
      <w:r>
        <w:rPr>
          <w:rFonts w:ascii="Calibri" w:hAnsi="Calibri"/>
          <w:lang w:val="it-IT"/>
        </w:rPr>
        <w:t>)</w:t>
      </w:r>
      <w:r w:rsidR="0091684D">
        <w:rPr>
          <w:rFonts w:ascii="Calibri" w:hAnsi="Calibri"/>
          <w:lang w:val="it-IT"/>
        </w:rPr>
        <w:t>î</w:t>
      </w:r>
      <w:r w:rsidRPr="00AE69E7">
        <w:rPr>
          <w:rFonts w:ascii="Calibri" w:hAnsi="Calibri"/>
          <w:lang w:val="it-IT"/>
        </w:rPr>
        <w:t>n valoare de 2.271.986.000 lei.</w:t>
      </w:r>
    </w:p>
    <w:p w:rsidR="00AE69E7" w:rsidRPr="00AE69E7" w:rsidRDefault="0091684D" w:rsidP="00AE69E7">
      <w:pPr>
        <w:ind w:left="720"/>
        <w:jc w:val="both"/>
        <w:rPr>
          <w:rFonts w:ascii="Calibri" w:hAnsi="Calibri"/>
          <w:lang w:val="it-IT"/>
        </w:rPr>
      </w:pPr>
      <w:r>
        <w:rPr>
          <w:rFonts w:ascii="Calibri" w:hAnsi="Calibri"/>
          <w:lang w:val="it-IT"/>
        </w:rPr>
        <w:tab/>
        <w:t>Î</w:t>
      </w:r>
      <w:r w:rsidR="00AE69E7" w:rsidRPr="00AE69E7">
        <w:rPr>
          <w:rFonts w:ascii="Calibri" w:hAnsi="Calibri"/>
          <w:lang w:val="it-IT"/>
        </w:rPr>
        <w:t xml:space="preserve">n cadrul prevederilor bugetare aprobate pentru anul 2019 pot fi </w:t>
      </w:r>
      <w:r>
        <w:rPr>
          <w:rFonts w:ascii="Calibri" w:hAnsi="Calibri"/>
          <w:lang w:val="it-IT"/>
        </w:rPr>
        <w:t>î</w:t>
      </w:r>
      <w:r w:rsidR="00AE69E7" w:rsidRPr="00AE69E7">
        <w:rPr>
          <w:rFonts w:ascii="Calibri" w:hAnsi="Calibri"/>
          <w:lang w:val="it-IT"/>
        </w:rPr>
        <w:t xml:space="preserve">ncheiate contracte subsecvente </w:t>
      </w:r>
      <w:r>
        <w:rPr>
          <w:rFonts w:ascii="Calibri" w:hAnsi="Calibri"/>
          <w:lang w:val="it-IT"/>
        </w:rPr>
        <w:t>î</w:t>
      </w:r>
      <w:r w:rsidR="00AE69E7" w:rsidRPr="00AE69E7">
        <w:rPr>
          <w:rFonts w:ascii="Calibri" w:hAnsi="Calibri"/>
          <w:lang w:val="it-IT"/>
        </w:rPr>
        <w:t>n valoare de 576.027,35 mii lei pentru execu</w:t>
      </w:r>
      <w:r>
        <w:rPr>
          <w:rFonts w:ascii="Calibri" w:hAnsi="Calibri"/>
          <w:lang w:val="it-IT"/>
        </w:rPr>
        <w:t>ț</w:t>
      </w:r>
      <w:r w:rsidR="00AE69E7" w:rsidRPr="00AE69E7">
        <w:rPr>
          <w:rFonts w:ascii="Calibri" w:hAnsi="Calibri"/>
          <w:lang w:val="it-IT"/>
        </w:rPr>
        <w:t xml:space="preserve">ia </w:t>
      </w:r>
      <w:r w:rsidR="00AE69E7">
        <w:rPr>
          <w:rFonts w:ascii="Calibri" w:hAnsi="Calibri"/>
          <w:lang w:val="it-IT"/>
        </w:rPr>
        <w:t>a 1.571 km covoare bituminoase.</w:t>
      </w:r>
    </w:p>
    <w:p w:rsidR="00AE69E7" w:rsidRDefault="00AE69E7" w:rsidP="00AE69E7">
      <w:pPr>
        <w:rPr>
          <w:rFonts w:ascii="Calibri" w:hAnsi="Calibri"/>
          <w:lang w:val="ro-RO"/>
        </w:rPr>
      </w:pPr>
    </w:p>
    <w:p w:rsidR="00DA4A79" w:rsidRPr="00C86702" w:rsidRDefault="00DA4A79" w:rsidP="00DA4A79">
      <w:pPr>
        <w:rPr>
          <w:rFonts w:ascii="Calibri" w:hAnsi="Calibri" w:cs="Arial Narrow"/>
          <w:lang w:val="ro-RO"/>
        </w:rPr>
      </w:pPr>
    </w:p>
    <w:p w:rsidR="00B50260" w:rsidRDefault="00B50260" w:rsidP="005A1EDA">
      <w:pPr>
        <w:rPr>
          <w:rFonts w:ascii="Calibri" w:hAnsi="Calibri"/>
          <w:lang w:val="ro-RO"/>
        </w:rPr>
      </w:pPr>
    </w:p>
    <w:p w:rsidR="001A2D4F" w:rsidRDefault="001A2D4F" w:rsidP="005A1EDA">
      <w:pPr>
        <w:rPr>
          <w:rFonts w:ascii="Calibri" w:hAnsi="Calibri"/>
          <w:lang w:val="ro-RO"/>
        </w:rPr>
      </w:pPr>
    </w:p>
    <w:p w:rsidR="001A2D4F" w:rsidRPr="00C86702" w:rsidRDefault="001A2D4F" w:rsidP="005A1EDA">
      <w:pPr>
        <w:rPr>
          <w:rFonts w:ascii="Calibri" w:hAnsi="Calibri"/>
          <w:lang w:val="ro-RO"/>
        </w:rPr>
      </w:pPr>
    </w:p>
    <w:p w:rsidR="007218F3" w:rsidRPr="00C86702" w:rsidRDefault="007218F3" w:rsidP="007B3867">
      <w:pPr>
        <w:shd w:val="clear" w:color="auto" w:fill="99CCFF"/>
        <w:ind w:right="56"/>
        <w:rPr>
          <w:rFonts w:ascii="Calibri" w:hAnsi="Calibri" w:cs="Arial Narrow"/>
          <w:b/>
          <w:color w:val="000080"/>
          <w:lang w:val="ro-RO"/>
        </w:rPr>
      </w:pPr>
      <w:r w:rsidRPr="00C86702">
        <w:rPr>
          <w:rFonts w:ascii="Calibri" w:hAnsi="Calibri" w:cs="Arial Narrow"/>
          <w:b/>
          <w:color w:val="000080"/>
          <w:lang w:val="ro-RO"/>
        </w:rPr>
        <w:t>Politica în domeniul educaţiei</w:t>
      </w:r>
      <w:r w:rsidR="00B04F2E" w:rsidRPr="00C86702">
        <w:rPr>
          <w:rFonts w:ascii="Calibri" w:hAnsi="Calibri" w:cs="Arial Narrow"/>
          <w:b/>
          <w:color w:val="000080"/>
          <w:lang w:val="ro-RO"/>
        </w:rPr>
        <w:t>, formării profesionale și cercetării științifice universitare</w:t>
      </w:r>
    </w:p>
    <w:p w:rsidR="00A34EB4" w:rsidRPr="00715536" w:rsidRDefault="00A34EB4" w:rsidP="00A34EB4">
      <w:pPr>
        <w:widowControl w:val="0"/>
        <w:tabs>
          <w:tab w:val="left" w:pos="595"/>
        </w:tabs>
        <w:autoSpaceDE w:val="0"/>
        <w:autoSpaceDN w:val="0"/>
        <w:adjustRightInd w:val="0"/>
        <w:spacing w:line="276" w:lineRule="auto"/>
        <w:ind w:right="14"/>
        <w:jc w:val="both"/>
        <w:rPr>
          <w:rFonts w:ascii="Calibri" w:eastAsia="Calibri" w:hAnsi="Calibri" w:cs="Calibri"/>
          <w:lang w:val="fr-FR" w:eastAsia="ro-RO"/>
        </w:rPr>
      </w:pPr>
    </w:p>
    <w:p w:rsidR="004B4C43" w:rsidRPr="00715536" w:rsidRDefault="004B4C43" w:rsidP="004B4C43">
      <w:pPr>
        <w:widowControl w:val="0"/>
        <w:tabs>
          <w:tab w:val="left" w:pos="595"/>
        </w:tabs>
        <w:autoSpaceDE w:val="0"/>
        <w:autoSpaceDN w:val="0"/>
        <w:adjustRightInd w:val="0"/>
        <w:spacing w:line="276" w:lineRule="auto"/>
        <w:ind w:right="14"/>
        <w:jc w:val="both"/>
        <w:rPr>
          <w:rFonts w:ascii="Calibri" w:eastAsia="Calibri" w:hAnsi="Calibri" w:cs="Calibri"/>
          <w:lang w:val="fr-FR" w:eastAsia="ro-RO"/>
        </w:rPr>
      </w:pPr>
      <w:r w:rsidRPr="00715536">
        <w:rPr>
          <w:rFonts w:ascii="Calibri" w:eastAsia="Calibri" w:hAnsi="Calibri" w:cs="Calibri"/>
          <w:lang w:val="fr-FR" w:eastAsia="ro-RO"/>
        </w:rPr>
        <w:t>Programul de Guvernare 2018-2020, Cadrul strategic național pentru educație și formare profesională, Strategia Europa 2020, Cadrul ET 2020, Programul Național de Reformă 2018 definesc obiectivele generale și direcțiile de acțiune, pe termen mediu, din domeniul de referință al Ministerului Educației Naționale – educație</w:t>
      </w:r>
      <w:r w:rsidRPr="004B4C43">
        <w:rPr>
          <w:rFonts w:ascii="Calibri" w:eastAsia="Calibri" w:hAnsi="Calibri" w:cs="Calibri"/>
          <w:lang w:val="ro-RO" w:eastAsia="ro-RO"/>
        </w:rPr>
        <w:t xml:space="preserve"> preuniversitară, învățământ superior, formare profesională și cercetare științifică universitară.</w:t>
      </w:r>
      <w:r w:rsidRPr="00715536">
        <w:rPr>
          <w:rFonts w:ascii="Calibri" w:eastAsia="Calibri" w:hAnsi="Calibri" w:cs="Calibri"/>
          <w:lang w:val="fr-FR" w:eastAsia="ro-RO"/>
        </w:rPr>
        <w:t xml:space="preserve"> Cadrul strategic </w:t>
      </w:r>
      <w:r w:rsidRPr="004B4C43">
        <w:rPr>
          <w:rFonts w:ascii="Calibri" w:eastAsia="Calibri" w:hAnsi="Calibri" w:cs="Calibri"/>
          <w:lang w:val="ro-RO" w:eastAsia="ro-RO"/>
        </w:rPr>
        <w:t xml:space="preserve">național </w:t>
      </w:r>
      <w:r w:rsidRPr="00715536">
        <w:rPr>
          <w:rFonts w:ascii="Calibri" w:eastAsia="Calibri" w:hAnsi="Calibri" w:cs="Calibri"/>
          <w:lang w:val="fr-FR" w:eastAsia="ro-RO"/>
        </w:rPr>
        <w:t xml:space="preserve">cuprinde 4 strategii sectoriale adoptate prin hotărâri de </w:t>
      </w:r>
      <w:r w:rsidRPr="004B4C43">
        <w:rPr>
          <w:rFonts w:ascii="Calibri" w:eastAsia="Calibri" w:hAnsi="Calibri" w:cs="Calibri"/>
          <w:lang w:val="ro-RO" w:eastAsia="ro-RO"/>
        </w:rPr>
        <w:t>G</w:t>
      </w:r>
      <w:r w:rsidRPr="00715536">
        <w:rPr>
          <w:rFonts w:ascii="Calibri" w:eastAsia="Calibri" w:hAnsi="Calibri" w:cs="Calibri"/>
          <w:lang w:val="fr-FR" w:eastAsia="ro-RO"/>
        </w:rPr>
        <w:t xml:space="preserve">uvern: </w:t>
      </w:r>
      <w:r w:rsidRPr="00715536">
        <w:rPr>
          <w:rFonts w:ascii="Calibri" w:eastAsia="Calibri" w:hAnsi="Calibri" w:cs="Calibri"/>
          <w:i/>
          <w:iCs/>
          <w:lang w:val="fr-FR" w:eastAsia="ro-RO"/>
        </w:rPr>
        <w:t xml:space="preserve">Strategia privind reducerea părăsirii timpurii a școlii, Strategia națională pentru învățământ terţiar 2015 – 2020, Strategia națională de învățare pe tot parcursul vieții 2015 – 2020 </w:t>
      </w:r>
      <w:r w:rsidRPr="00715536">
        <w:rPr>
          <w:rFonts w:ascii="Calibri" w:eastAsia="Calibri" w:hAnsi="Calibri" w:cs="Calibri"/>
          <w:lang w:val="fr-FR" w:eastAsia="ro-RO"/>
        </w:rPr>
        <w:t>și</w:t>
      </w:r>
      <w:r w:rsidRPr="00715536">
        <w:rPr>
          <w:rFonts w:ascii="Calibri" w:eastAsia="Calibri" w:hAnsi="Calibri" w:cs="Calibri"/>
          <w:i/>
          <w:iCs/>
          <w:lang w:val="fr-FR" w:eastAsia="ro-RO"/>
        </w:rPr>
        <w:t xml:space="preserve"> Strategia educației și formării profesionale din România în perioada 2016 – </w:t>
      </w:r>
      <w:r w:rsidRPr="00715536">
        <w:rPr>
          <w:rFonts w:ascii="Calibri" w:eastAsia="Calibri" w:hAnsi="Calibri" w:cs="Calibri"/>
          <w:lang w:val="fr-FR" w:eastAsia="ro-RO"/>
        </w:rPr>
        <w:t xml:space="preserve">2020 și o a 5-a </w:t>
      </w:r>
      <w:r w:rsidRPr="004B4C43">
        <w:rPr>
          <w:rFonts w:ascii="Calibri" w:eastAsia="Calibri" w:hAnsi="Calibri" w:cs="Calibri"/>
          <w:lang w:val="ro-RO" w:eastAsia="ro-RO"/>
        </w:rPr>
        <w:t xml:space="preserve">strategie, </w:t>
      </w:r>
      <w:r w:rsidRPr="00715536">
        <w:rPr>
          <w:rFonts w:ascii="Calibri" w:eastAsia="Calibri" w:hAnsi="Calibri" w:cs="Calibri"/>
          <w:i/>
          <w:lang w:val="fr-FR" w:eastAsia="ro-RO"/>
        </w:rPr>
        <w:t xml:space="preserve">Strategia pentru modernizarea infrastructurii educaționale 2018 -2023, </w:t>
      </w:r>
      <w:r w:rsidRPr="004B4C43">
        <w:rPr>
          <w:rFonts w:ascii="Calibri" w:eastAsia="Calibri" w:hAnsi="Calibri" w:cs="Calibri"/>
          <w:lang w:val="ro-RO" w:eastAsia="ro-RO"/>
        </w:rPr>
        <w:t xml:space="preserve">care </w:t>
      </w:r>
      <w:r w:rsidRPr="00715536">
        <w:rPr>
          <w:rFonts w:ascii="Calibri" w:eastAsia="Calibri" w:hAnsi="Calibri" w:cs="Calibri"/>
          <w:lang w:val="fr-FR" w:eastAsia="ro-RO"/>
        </w:rPr>
        <w:t>se află în curs de avizare. Acestea asigură suportul strategic pentru creșterea competitivității și coeziunii sociale, pentru dezvoltarea personală a tinerilor și integrarea socială</w:t>
      </w:r>
      <w:r w:rsidRPr="004B4C43">
        <w:rPr>
          <w:rFonts w:ascii="Calibri" w:eastAsia="Calibri" w:hAnsi="Calibri" w:cs="Calibri"/>
          <w:lang w:val="ro-RO" w:eastAsia="ro-RO"/>
        </w:rPr>
        <w:t>,</w:t>
      </w:r>
      <w:r w:rsidRPr="00715536">
        <w:rPr>
          <w:rFonts w:ascii="Calibri" w:eastAsia="Calibri" w:hAnsi="Calibri" w:cs="Calibri"/>
          <w:lang w:val="fr-FR" w:eastAsia="ro-RO"/>
        </w:rPr>
        <w:t xml:space="preserve"> precum și pentru corelarea învățământuluicu </w:t>
      </w:r>
      <w:r w:rsidRPr="004B4C43">
        <w:rPr>
          <w:rFonts w:ascii="Calibri" w:eastAsia="Calibri" w:hAnsi="Calibri" w:cs="Calibri"/>
          <w:lang w:val="ro-RO" w:eastAsia="ro-RO"/>
        </w:rPr>
        <w:t>piața muncii</w:t>
      </w:r>
      <w:r w:rsidRPr="00715536">
        <w:rPr>
          <w:rFonts w:ascii="Calibri" w:eastAsia="Calibri" w:hAnsi="Calibri" w:cs="Calibri"/>
          <w:lang w:val="fr-FR" w:eastAsia="ro-RO"/>
        </w:rPr>
        <w:t>.</w:t>
      </w:r>
    </w:p>
    <w:p w:rsidR="004B4C43" w:rsidRPr="004B4C43" w:rsidRDefault="004B4C43" w:rsidP="004B4C43">
      <w:pPr>
        <w:autoSpaceDE w:val="0"/>
        <w:autoSpaceDN w:val="0"/>
        <w:adjustRightInd w:val="0"/>
        <w:spacing w:line="276" w:lineRule="auto"/>
        <w:ind w:firstLine="720"/>
        <w:jc w:val="both"/>
        <w:rPr>
          <w:rFonts w:ascii="Calibri" w:eastAsia="Calibri" w:hAnsi="Calibri" w:cs="Calibri"/>
          <w:iCs/>
          <w:lang w:eastAsia="ro-RO"/>
        </w:rPr>
      </w:pPr>
      <w:r w:rsidRPr="004B4C43">
        <w:rPr>
          <w:rFonts w:ascii="Calibri" w:eastAsia="Calibri" w:hAnsi="Calibri" w:cs="Calibri"/>
          <w:iCs/>
          <w:lang w:eastAsia="ro-RO"/>
        </w:rPr>
        <w:t xml:space="preserve">Documentele programatice menționate fundamentează și precizează țintele asumate de România pentru 2020: </w:t>
      </w:r>
    </w:p>
    <w:p w:rsidR="004B4C43" w:rsidRPr="004B4C43" w:rsidRDefault="004B4C43" w:rsidP="004B4C43">
      <w:pPr>
        <w:numPr>
          <w:ilvl w:val="0"/>
          <w:numId w:val="35"/>
        </w:numPr>
        <w:autoSpaceDE w:val="0"/>
        <w:autoSpaceDN w:val="0"/>
        <w:adjustRightInd w:val="0"/>
        <w:spacing w:after="200" w:line="276" w:lineRule="auto"/>
        <w:jc w:val="both"/>
        <w:rPr>
          <w:rFonts w:ascii="Calibri" w:eastAsia="Calibri" w:hAnsi="Calibri" w:cs="Calibri"/>
          <w:iCs/>
          <w:lang w:eastAsia="ro-RO"/>
        </w:rPr>
      </w:pPr>
      <w:r w:rsidRPr="004B4C43">
        <w:rPr>
          <w:rFonts w:ascii="Calibri" w:eastAsia="Calibri" w:hAnsi="Calibri" w:cs="Calibri"/>
          <w:iCs/>
          <w:lang w:eastAsia="ro-RO"/>
        </w:rPr>
        <w:t>procentul celor care părăsesc timpuriu şcoala să fie sub 11,3%;</w:t>
      </w:r>
    </w:p>
    <w:p w:rsidR="004B4C43" w:rsidRPr="004B4C43" w:rsidRDefault="004B4C43" w:rsidP="004B4C43">
      <w:pPr>
        <w:numPr>
          <w:ilvl w:val="0"/>
          <w:numId w:val="35"/>
        </w:numPr>
        <w:autoSpaceDE w:val="0"/>
        <w:autoSpaceDN w:val="0"/>
        <w:adjustRightInd w:val="0"/>
        <w:spacing w:after="200" w:line="276" w:lineRule="auto"/>
        <w:jc w:val="both"/>
        <w:rPr>
          <w:rFonts w:ascii="Calibri" w:eastAsia="Calibri" w:hAnsi="Calibri" w:cs="Calibri"/>
          <w:iCs/>
          <w:lang w:eastAsia="ro-RO"/>
        </w:rPr>
      </w:pPr>
      <w:r w:rsidRPr="004B4C43">
        <w:rPr>
          <w:rFonts w:ascii="Calibri" w:eastAsia="Calibri" w:hAnsi="Calibri" w:cs="Calibri"/>
          <w:iCs/>
          <w:lang w:eastAsia="ro-RO"/>
        </w:rPr>
        <w:t>cel puțin 26,7% dintre persoanele cu vârste cuprinse între 30 și 34 de ani să aibă finalizate studiile terţiare;</w:t>
      </w:r>
    </w:p>
    <w:p w:rsidR="004B4C43" w:rsidRPr="00715536" w:rsidRDefault="004B4C43" w:rsidP="0042679A">
      <w:pPr>
        <w:numPr>
          <w:ilvl w:val="0"/>
          <w:numId w:val="35"/>
        </w:numPr>
        <w:autoSpaceDE w:val="0"/>
        <w:autoSpaceDN w:val="0"/>
        <w:adjustRightInd w:val="0"/>
        <w:spacing w:after="200" w:line="276" w:lineRule="auto"/>
        <w:jc w:val="both"/>
        <w:rPr>
          <w:rFonts w:ascii="Calibri" w:eastAsia="Calibri" w:hAnsi="Calibri" w:cs="Calibri"/>
          <w:iCs/>
          <w:lang w:val="fr-FR" w:eastAsia="ro-RO"/>
        </w:rPr>
      </w:pPr>
      <w:r w:rsidRPr="00715536">
        <w:rPr>
          <w:rFonts w:ascii="Calibri" w:eastAsia="Calibri" w:hAnsi="Calibri" w:cs="Calibri"/>
          <w:iCs/>
          <w:lang w:val="fr-FR" w:eastAsia="ro-RO"/>
        </w:rPr>
        <w:t>minim 10% dintre persoanele cu vârste cuprinse între 25 și 64 de ani să participe la învăţarea pe tot parcursul vieții.</w:t>
      </w:r>
    </w:p>
    <w:tbl>
      <w:tblPr>
        <w:tblW w:w="10351" w:type="dxa"/>
        <w:jc w:val="center"/>
        <w:tblCellSpacing w:w="0" w:type="dxa"/>
        <w:tblLayout w:type="fixed"/>
        <w:tblCellMar>
          <w:left w:w="120" w:type="dxa"/>
          <w:right w:w="120" w:type="dxa"/>
        </w:tblCellMar>
        <w:tblLook w:val="0000" w:firstRow="0" w:lastRow="0" w:firstColumn="0" w:lastColumn="0" w:noHBand="0" w:noVBand="0"/>
      </w:tblPr>
      <w:tblGrid>
        <w:gridCol w:w="2423"/>
        <w:gridCol w:w="7928"/>
      </w:tblGrid>
      <w:tr w:rsidR="004B4C43" w:rsidRPr="008368B9" w:rsidTr="00311D99">
        <w:trPr>
          <w:trHeight w:val="255"/>
          <w:tblHeader/>
          <w:tblCellSpacing w:w="0" w:type="dxa"/>
          <w:jc w:val="center"/>
        </w:trPr>
        <w:tc>
          <w:tcPr>
            <w:tcW w:w="2434" w:type="dxa"/>
            <w:tcBorders>
              <w:top w:val="nil"/>
              <w:left w:val="nil"/>
              <w:bottom w:val="nil"/>
              <w:right w:val="nil"/>
            </w:tcBorders>
            <w:shd w:val="clear" w:color="auto" w:fill="6699FF"/>
            <w:vAlign w:val="center"/>
          </w:tcPr>
          <w:p w:rsidR="004B4C43" w:rsidRPr="004B4C43" w:rsidRDefault="004B4C43" w:rsidP="004B4C43">
            <w:pPr>
              <w:tabs>
                <w:tab w:val="left" w:pos="360"/>
              </w:tabs>
              <w:autoSpaceDE w:val="0"/>
              <w:autoSpaceDN w:val="0"/>
              <w:adjustRightInd w:val="0"/>
              <w:rPr>
                <w:rFonts w:ascii="Calibri" w:eastAsia="Calibri" w:hAnsi="Calibri" w:cs="Calibri"/>
                <w:b/>
                <w:bCs/>
                <w:color w:val="000080"/>
                <w:lang w:eastAsia="ro-RO"/>
              </w:rPr>
            </w:pPr>
            <w:r w:rsidRPr="004B4C43">
              <w:rPr>
                <w:rFonts w:ascii="Calibri" w:eastAsia="Calibri" w:hAnsi="Calibri" w:cs="Calibri"/>
                <w:b/>
                <w:bCs/>
                <w:color w:val="000080"/>
                <w:lang w:eastAsia="ro-RO"/>
              </w:rPr>
              <w:t>Obiective</w:t>
            </w:r>
          </w:p>
        </w:tc>
        <w:tc>
          <w:tcPr>
            <w:tcW w:w="7965" w:type="dxa"/>
            <w:tcBorders>
              <w:top w:val="nil"/>
              <w:left w:val="nil"/>
              <w:bottom w:val="nil"/>
              <w:right w:val="nil"/>
            </w:tcBorders>
            <w:shd w:val="clear" w:color="auto" w:fill="6699FF"/>
            <w:vAlign w:val="center"/>
          </w:tcPr>
          <w:p w:rsidR="004B4C43" w:rsidRPr="00715536" w:rsidRDefault="004B4C43" w:rsidP="004B4C43">
            <w:pPr>
              <w:autoSpaceDE w:val="0"/>
              <w:autoSpaceDN w:val="0"/>
              <w:adjustRightInd w:val="0"/>
              <w:rPr>
                <w:rFonts w:ascii="Calibri" w:eastAsia="Calibri" w:hAnsi="Calibri" w:cs="Calibri"/>
                <w:b/>
                <w:bCs/>
                <w:color w:val="000080"/>
                <w:lang w:val="fr-FR" w:eastAsia="ro-RO"/>
              </w:rPr>
            </w:pPr>
            <w:r w:rsidRPr="00715536">
              <w:rPr>
                <w:rFonts w:ascii="Calibri" w:eastAsia="Calibri" w:hAnsi="Calibri" w:cs="Calibri"/>
                <w:b/>
                <w:bCs/>
                <w:color w:val="000080"/>
                <w:lang w:val="fr-FR" w:eastAsia="ro-RO"/>
              </w:rPr>
              <w:t>Direcţii de acţiune, programe, proiecte</w:t>
            </w:r>
          </w:p>
        </w:tc>
      </w:tr>
      <w:tr w:rsidR="004B4C43" w:rsidRPr="004B4C43" w:rsidTr="00311D99">
        <w:tblPrEx>
          <w:tblCellSpacing w:w="-8" w:type="dxa"/>
        </w:tblPrEx>
        <w:trPr>
          <w:trHeight w:val="555"/>
          <w:tblCellSpacing w:w="-8" w:type="dxa"/>
          <w:jc w:val="center"/>
        </w:trPr>
        <w:tc>
          <w:tcPr>
            <w:tcW w:w="10383" w:type="dxa"/>
            <w:gridSpan w:val="2"/>
            <w:tcBorders>
              <w:top w:val="nil"/>
              <w:left w:val="nil"/>
              <w:bottom w:val="nil"/>
              <w:right w:val="nil"/>
            </w:tcBorders>
            <w:vAlign w:val="center"/>
          </w:tcPr>
          <w:p w:rsidR="004B4C43" w:rsidRPr="004B4C43" w:rsidRDefault="004B4C43" w:rsidP="008D4CBC">
            <w:pPr>
              <w:numPr>
                <w:ilvl w:val="0"/>
                <w:numId w:val="66"/>
              </w:numPr>
              <w:autoSpaceDE w:val="0"/>
              <w:autoSpaceDN w:val="0"/>
              <w:adjustRightInd w:val="0"/>
              <w:spacing w:before="120" w:after="200" w:line="276" w:lineRule="auto"/>
              <w:ind w:left="1077"/>
              <w:jc w:val="center"/>
              <w:rPr>
                <w:rFonts w:ascii="Calibri" w:eastAsia="Calibri" w:hAnsi="Calibri"/>
                <w:lang w:eastAsia="ro-RO"/>
              </w:rPr>
            </w:pPr>
            <w:r w:rsidRPr="004B4C43">
              <w:rPr>
                <w:rFonts w:ascii="Calibri" w:eastAsia="Calibri" w:hAnsi="Calibri" w:cs="Calibri"/>
                <w:b/>
                <w:bCs/>
                <w:color w:val="002060"/>
                <w:lang w:eastAsia="ro-RO"/>
              </w:rPr>
              <w:t>Învăţământ preuniversitar</w:t>
            </w:r>
          </w:p>
        </w:tc>
      </w:tr>
      <w:tr w:rsidR="004B4C43" w:rsidRPr="004B4C43" w:rsidTr="00311D99">
        <w:tblPrEx>
          <w:tblCellSpacing w:w="-8" w:type="dxa"/>
        </w:tblPrEx>
        <w:trPr>
          <w:trHeight w:val="20"/>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15"/>
              </w:tabs>
              <w:autoSpaceDE w:val="0"/>
              <w:autoSpaceDN w:val="0"/>
              <w:adjustRightInd w:val="0"/>
              <w:spacing w:line="276" w:lineRule="auto"/>
              <w:ind w:left="165"/>
              <w:jc w:val="center"/>
              <w:rPr>
                <w:rFonts w:ascii="Calibri" w:eastAsia="Calibri" w:hAnsi="Calibri" w:cs="Calibri"/>
                <w:i/>
                <w:iCs/>
                <w:color w:val="002060"/>
                <w:lang w:eastAsia="ro-RO"/>
              </w:rPr>
            </w:pPr>
            <w:r w:rsidRPr="004B4C43">
              <w:rPr>
                <w:rFonts w:ascii="Calibri" w:eastAsia="Calibri" w:hAnsi="Calibri" w:cs="Calibri"/>
                <w:i/>
                <w:iCs/>
                <w:color w:val="002060"/>
                <w:lang w:val="ro-RO" w:eastAsia="ro-RO"/>
              </w:rPr>
              <w:t xml:space="preserve">1. </w:t>
            </w:r>
            <w:r w:rsidRPr="004B4C43">
              <w:rPr>
                <w:rFonts w:ascii="Calibri" w:eastAsia="Calibri" w:hAnsi="Calibri" w:cs="Calibri"/>
                <w:i/>
                <w:iCs/>
                <w:color w:val="002060"/>
                <w:lang w:eastAsia="ro-RO"/>
              </w:rPr>
              <w:t>Asigurarea accesului egal şi a participării la educaţie pentru fiecare copil din România</w:t>
            </w:r>
          </w:p>
        </w:tc>
        <w:tc>
          <w:tcPr>
            <w:tcW w:w="7965" w:type="dxa"/>
            <w:tcBorders>
              <w:top w:val="nil"/>
              <w:left w:val="nil"/>
              <w:bottom w:val="nil"/>
              <w:right w:val="nil"/>
            </w:tcBorders>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Implementarea unui program social pentru elevii din învățământul primar, gimnazial, profesional și liceal în vederea asigurării condițiilor de acces și participare școlară (rechizite, manuale și vouchere pentru îmbrăcăminte, destinate elevilor de la clasa pregătitoare până la clasa a XII-a);</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Continuarea programelor adresate participării școlare a copiilor cu risc ridicat prin acordarea Pachetului social garantat pentru educație: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implementarea Legii nr. 248/2015 privind stimularea participării în învățământul preșcolar a copiilor provenind din familii defavorizate, Programul Bani de liceu, Bursa profesională, Programul Euro 200, Programul Masa Caldă (acordarea unui suport alimentar pentru preșcolarii și elevii din 50 de unități de învățământ preuniversitar de stat), Programul pentru școli al României în perioada 2017-2023, Decontarea navetei (elevi și cadre didactice), Acordarea de burse (sociale, de studiu, de merit și de performanță);</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Promovarea programelor de tip „Școala după școală” și „A doua șansă”;</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Susţinerea activităţilor de consiliere şi orientare profesională;</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Susţinerea elevilor cu dizabilităţi - acces la educaţia de bază şi la nivelurile superioare;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învăţământului pentru minorităţile naţionale;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Asigurarea de manuale școlare pentru toți elevii, a variantelor traduse pentru minoritățile naționale, precum și variantele digitale;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Organizarea procesului de învăţare/cazuri particulare (şcolarizarea la domiciliu; învăţământ particular; predarea în regim intensiv/bilingv ș.a.).</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210"/>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315"/>
              </w:tabs>
              <w:autoSpaceDE w:val="0"/>
              <w:autoSpaceDN w:val="0"/>
              <w:adjustRightInd w:val="0"/>
              <w:spacing w:line="276" w:lineRule="auto"/>
              <w:ind w:left="165"/>
              <w:jc w:val="center"/>
              <w:rPr>
                <w:rFonts w:ascii="Calibri" w:eastAsia="Calibri" w:hAnsi="Calibri"/>
                <w:lang w:val="fr-FR" w:eastAsia="ro-RO"/>
              </w:rPr>
            </w:pPr>
            <w:r w:rsidRPr="004B4C43">
              <w:rPr>
                <w:rFonts w:ascii="Calibri" w:eastAsia="Calibri" w:hAnsi="Calibri" w:cs="Calibri"/>
                <w:i/>
                <w:iCs/>
                <w:color w:val="002060"/>
                <w:lang w:val="ro-RO" w:eastAsia="ro-RO"/>
              </w:rPr>
              <w:t>2. Asigurarea calităţii la toate nivelurile de educaţie şi formare profesională</w:t>
            </w:r>
          </w:p>
        </w:tc>
        <w:tc>
          <w:tcPr>
            <w:tcW w:w="7965" w:type="dxa"/>
            <w:tcBorders>
              <w:top w:val="nil"/>
              <w:left w:val="nil"/>
              <w:bottom w:val="nil"/>
              <w:right w:val="nil"/>
            </w:tcBorders>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Elaborarea de planuri şi programe școlare noi</w:t>
            </w:r>
            <w:r w:rsidRPr="004B4C43">
              <w:rPr>
                <w:rFonts w:ascii="Calibri" w:eastAsia="Calibri" w:hAnsi="Calibri" w:cs="Calibri"/>
                <w:lang w:val="ro-RO" w:eastAsia="ro-RO"/>
              </w:rPr>
              <w:t>/revizuite</w:t>
            </w:r>
            <w:r w:rsidRPr="004B4C43">
              <w:rPr>
                <w:rFonts w:ascii="Calibri" w:eastAsia="Calibri" w:hAnsi="Calibri" w:cs="Calibri"/>
                <w:lang w:eastAsia="ro-RO"/>
              </w:rPr>
              <w:t xml:space="preserve"> şi asigurarea de manuale corespunzătoare, inclusiv digitale;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Realizarea de evaluări relevante la clasele a II-a, a IV-a, a VI-a, Evaluare Naţională şi Bacalaureat;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Implementarea Planului de acțiune pentru desegregare școlară;</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Stabilirea noilor standarde de referință și indicatori de performanță; </w:t>
            </w:r>
            <w:r w:rsidRPr="004B4C43">
              <w:rPr>
                <w:rFonts w:ascii="Calibri" w:eastAsia="Calibri" w:hAnsi="Calibri" w:cs="Calibri"/>
                <w:lang w:val="ro-RO" w:eastAsia="ro-RO"/>
              </w:rPr>
              <w:t xml:space="preserve">continuarea </w:t>
            </w:r>
            <w:r w:rsidRPr="004B4C43">
              <w:rPr>
                <w:rFonts w:ascii="Calibri" w:eastAsia="Calibri" w:hAnsi="Calibri" w:cs="Calibri"/>
                <w:lang w:eastAsia="ro-RO"/>
              </w:rPr>
              <w:t>evaluăriiperiodice a unităților de învățământ;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Susținerea programelor privind formarea inițială și continuă a personalului prin proiectul Curriculum Relevant Educație Deschisă pentru Toți</w:t>
            </w:r>
            <w:r w:rsidRPr="004B4C43">
              <w:rPr>
                <w:rFonts w:ascii="Calibri" w:eastAsia="Calibri" w:hAnsi="Calibri" w:cs="Calibri"/>
                <w:lang w:val="ro-RO" w:eastAsia="ro-RO"/>
              </w:rPr>
              <w:t xml:space="preserve"> CRED</w:t>
            </w:r>
            <w:r w:rsidRPr="004B4C43">
              <w:rPr>
                <w:rFonts w:ascii="Calibri" w:eastAsia="Calibri" w:hAnsi="Calibri" w:cs="Calibri"/>
                <w:lang w:eastAsia="ro-RO"/>
              </w:rPr>
              <w:t>, finanțat prin POCU;</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Susținerea Inspecției Școlare; îndrumarea și consilierea cadrelor didactice;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Susținerea programelor extrașcolare și extracurriculare, de educație pentru sănătate, educație cultural-artistică și științifică, educație ecologică, educație prin sport, educație rutieră, educație pentru dezvoltarea durabilă, educație financiară, promovarea voluntariatului, a educației civice și a implicării sociale;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Dezvoltarea proiectului Educația juridică în școli;</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Sprijinirea tranziției de la un ciclu școlar la altul, programe de tip Școala părinților și de îmbunătățire a compețentelor cadrelor didactice prin accesarea de fonduri nerambursabile, din cadrul apelurilor de proiecte ”Școala pentru toți” și „Profesori motivați în școli defavorizate”;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Stimularea inov</w:t>
            </w:r>
            <w:r w:rsidRPr="004B4C43">
              <w:rPr>
                <w:rFonts w:ascii="Calibri" w:eastAsia="Calibri" w:hAnsi="Calibri" w:cs="Calibri"/>
                <w:lang w:val="ro-RO" w:eastAsia="ro-RO"/>
              </w:rPr>
              <w:t>ă</w:t>
            </w:r>
            <w:r w:rsidRPr="004B4C43">
              <w:rPr>
                <w:rFonts w:ascii="Calibri" w:eastAsia="Calibri" w:hAnsi="Calibri" w:cs="Calibri"/>
                <w:lang w:eastAsia="ro-RO"/>
              </w:rPr>
              <w:t xml:space="preserve">rii și creativității, inclusiv a spiritului antreprenorial; încurajarea elevilor capabili de inovare și creație;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Dezvoltarea și implementarea programelor de stimulare a performanței, adresate elevilor cu potențial deosebit;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Organizarea olimpiadelor și a concursurilor școlare la nivel local, regional, național, internațional.</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8368B9" w:rsidTr="00311D99">
        <w:tblPrEx>
          <w:tblCellSpacing w:w="-8" w:type="dxa"/>
        </w:tblPrEx>
        <w:trPr>
          <w:trHeight w:val="105"/>
          <w:tblCellSpacing w:w="-8" w:type="dxa"/>
          <w:jc w:val="center"/>
        </w:trPr>
        <w:tc>
          <w:tcPr>
            <w:tcW w:w="2434" w:type="dxa"/>
            <w:tcBorders>
              <w:top w:val="nil"/>
              <w:left w:val="nil"/>
              <w:bottom w:val="nil"/>
              <w:right w:val="nil"/>
            </w:tcBorders>
            <w:vAlign w:val="center"/>
          </w:tcPr>
          <w:p w:rsidR="004B4C43" w:rsidRPr="00715536" w:rsidRDefault="004B4C43" w:rsidP="004B4C43">
            <w:pPr>
              <w:autoSpaceDE w:val="0"/>
              <w:autoSpaceDN w:val="0"/>
              <w:adjustRightInd w:val="0"/>
              <w:spacing w:line="276" w:lineRule="auto"/>
              <w:jc w:val="center"/>
              <w:rPr>
                <w:rFonts w:ascii="Calibri" w:eastAsia="Calibri" w:hAnsi="Calibri" w:cs="Calibri"/>
                <w:i/>
                <w:iCs/>
                <w:color w:val="002060"/>
                <w:lang w:val="fr-FR" w:eastAsia="ro-RO"/>
              </w:rPr>
            </w:pPr>
            <w:r w:rsidRPr="00715536">
              <w:rPr>
                <w:rFonts w:ascii="Calibri" w:eastAsia="Calibri" w:hAnsi="Calibri" w:cs="Calibri"/>
                <w:i/>
                <w:iCs/>
                <w:color w:val="002060"/>
                <w:lang w:val="fr-FR" w:eastAsia="ro-RO"/>
              </w:rPr>
              <w:t>3. Dezvoltarea învăţământului profesional şi tehnic</w:t>
            </w:r>
          </w:p>
        </w:tc>
        <w:tc>
          <w:tcPr>
            <w:tcW w:w="7965" w:type="dxa"/>
            <w:tcBorders>
              <w:top w:val="nil"/>
              <w:left w:val="nil"/>
              <w:bottom w:val="nil"/>
              <w:right w:val="nil"/>
            </w:tcBorders>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4B4C43">
              <w:rPr>
                <w:rFonts w:ascii="Calibri" w:eastAsia="Calibri" w:hAnsi="Calibri" w:cs="Calibri"/>
                <w:lang w:val="ro-RO" w:eastAsia="ro-RO"/>
              </w:rPr>
              <w:t xml:space="preserve">Susținerea </w:t>
            </w:r>
            <w:r w:rsidRPr="00715536">
              <w:rPr>
                <w:rFonts w:ascii="Calibri" w:eastAsia="Calibri" w:hAnsi="Calibri" w:cs="Calibri"/>
                <w:lang w:val="fr-FR" w:eastAsia="ro-RO"/>
              </w:rPr>
              <w:t xml:space="preserve">educaţiei antreprenoriale la </w:t>
            </w:r>
            <w:r w:rsidRPr="004B4C43">
              <w:rPr>
                <w:rFonts w:ascii="Calibri" w:eastAsia="Calibri" w:hAnsi="Calibri" w:cs="Calibri"/>
                <w:lang w:val="ro-RO" w:eastAsia="ro-RO"/>
              </w:rPr>
              <w:t>nivelul unităților școlare</w:t>
            </w:r>
            <w:r w:rsidRPr="00715536">
              <w:rPr>
                <w:rFonts w:ascii="Calibri" w:eastAsia="Calibri" w:hAnsi="Calibri" w:cs="Calibri"/>
                <w:lang w:val="fr-FR" w:eastAsia="ro-RO"/>
              </w:rPr>
              <w:t xml:space="preserve">;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Implementarea la scară naţională a învăţământului profesional dual;</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Realizarea de studii cu privire la nevoile agenţilor economici în ceea ce priveşte asigurarea cu personal calificat, precum şi la inserţia absolvenţilor pe piaţa muncii;</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Reînfiinţarea/modernizarea atelierelor-şcoală pentru învăţământul profesional şi cel tehnologic;</w:t>
            </w:r>
          </w:p>
          <w:p w:rsidR="004B4C43" w:rsidRPr="004B4C43" w:rsidRDefault="004B4C43" w:rsidP="004B4C43">
            <w:pPr>
              <w:widowControl w:val="0"/>
              <w:numPr>
                <w:ilvl w:val="0"/>
                <w:numId w:val="34"/>
              </w:numPr>
              <w:suppressAutoHyphens/>
              <w:spacing w:after="200" w:line="276" w:lineRule="auto"/>
              <w:jc w:val="both"/>
              <w:rPr>
                <w:rFonts w:ascii="Calibri" w:eastAsia="Calibri" w:hAnsi="Calibri" w:cs="Arial"/>
                <w:lang w:val="ro-RO"/>
              </w:rPr>
            </w:pPr>
            <w:r w:rsidRPr="004B4C43">
              <w:rPr>
                <w:rFonts w:ascii="Calibri" w:eastAsia="Calibri" w:hAnsi="Calibri" w:cs="Arial"/>
                <w:lang w:val="ro-RO"/>
              </w:rPr>
              <w:t>Formarea cadrelor didactice și a tutorilor în domeniul învățării la locul de muncă;</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mai multor opţiuni de formare profesională pentru elevi şi de continuare a studiilor la niveluri superioare de calificare;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Dezvoltarea învăţământului profesional şi tehnic de nivel 5 terţiar nonuniversitar, în domenii cu potenţial de creştere, relevante pentru dezvoltarea economică a României;</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Stimularea parteneriatelor de tip public-privat;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Dezvoltarea de programe de calificare/formare continuă</w:t>
            </w:r>
            <w:r w:rsidRPr="00715536">
              <w:rPr>
                <w:rFonts w:ascii="Calibri" w:eastAsia="Calibri" w:hAnsi="Calibri"/>
                <w:lang w:val="fr-FR" w:eastAsia="ro-RO"/>
              </w:rPr>
              <w:t xml:space="preserve">, </w:t>
            </w:r>
            <w:r w:rsidRPr="00715536">
              <w:rPr>
                <w:rFonts w:ascii="Calibri" w:eastAsia="Calibri" w:hAnsi="Calibri" w:cs="Calibri"/>
                <w:lang w:val="fr-FR" w:eastAsia="ro-RO"/>
              </w:rPr>
              <w:t>în funcţie de nevoile înregistrate pe piaţa muncii.</w:t>
            </w:r>
          </w:p>
          <w:p w:rsidR="004B4C43" w:rsidRPr="00715536" w:rsidRDefault="004B4C43" w:rsidP="004B4C43">
            <w:pPr>
              <w:autoSpaceDE w:val="0"/>
              <w:autoSpaceDN w:val="0"/>
              <w:adjustRightInd w:val="0"/>
              <w:jc w:val="both"/>
              <w:rPr>
                <w:rFonts w:ascii="Calibri" w:eastAsia="Calibri" w:hAnsi="Calibri" w:cs="Calibri"/>
                <w:iCs/>
                <w:lang w:val="fr-FR" w:eastAsia="ro-RO"/>
              </w:rPr>
            </w:pPr>
          </w:p>
        </w:tc>
      </w:tr>
      <w:tr w:rsidR="004B4C43" w:rsidRPr="008368B9" w:rsidTr="00311D99">
        <w:tblPrEx>
          <w:tblCellSpacing w:w="-8" w:type="dxa"/>
        </w:tblPrEx>
        <w:trPr>
          <w:trHeight w:val="60"/>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spacing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4. Asigurarea şi modernizarea bazei materiale a învăţământului preuniversitar; utilizarea noilor tehnologii</w:t>
            </w:r>
          </w:p>
        </w:tc>
        <w:tc>
          <w:tcPr>
            <w:tcW w:w="7965" w:type="dxa"/>
            <w:tcBorders>
              <w:top w:val="nil"/>
              <w:left w:val="nil"/>
              <w:bottom w:val="nil"/>
              <w:right w:val="nil"/>
            </w:tcBorders>
            <w:vAlign w:val="center"/>
          </w:tcPr>
          <w:p w:rsidR="004B4C43" w:rsidRPr="004B4C43" w:rsidRDefault="004B4C43" w:rsidP="004B4C43">
            <w:pPr>
              <w:numPr>
                <w:ilvl w:val="0"/>
                <w:numId w:val="34"/>
              </w:numPr>
              <w:spacing w:after="200" w:line="276" w:lineRule="auto"/>
              <w:jc w:val="both"/>
              <w:rPr>
                <w:rFonts w:ascii="Calibri" w:eastAsia="Calibri" w:hAnsi="Calibri" w:cs="Calibri"/>
                <w:lang w:eastAsia="ro-RO"/>
              </w:rPr>
            </w:pPr>
            <w:r w:rsidRPr="004B4C43">
              <w:rPr>
                <w:rFonts w:ascii="Calibri" w:eastAsia="Calibri" w:hAnsi="Calibri" w:cs="Calibri"/>
                <w:lang w:eastAsia="ro-RO"/>
              </w:rPr>
              <w:t>Monitorizarea obținerii autorizaţiilor de funcţionare (sanitară, ISU) de către toate unitățile de învățământ;</w:t>
            </w:r>
          </w:p>
          <w:p w:rsidR="004B4C43" w:rsidRPr="004B4C43" w:rsidRDefault="004B4C43" w:rsidP="004B4C43">
            <w:pPr>
              <w:numPr>
                <w:ilvl w:val="0"/>
                <w:numId w:val="34"/>
              </w:numPr>
              <w:spacing w:after="200" w:line="276" w:lineRule="auto"/>
              <w:jc w:val="both"/>
              <w:rPr>
                <w:rFonts w:ascii="Calibri" w:eastAsia="Calibri" w:hAnsi="Calibri" w:cs="Calibri"/>
                <w:lang w:eastAsia="ro-RO"/>
              </w:rPr>
            </w:pPr>
            <w:r w:rsidRPr="004B4C43">
              <w:rPr>
                <w:rFonts w:ascii="Calibri" w:eastAsia="Calibri" w:hAnsi="Calibri" w:cs="Calibri"/>
                <w:lang w:eastAsia="ro-RO"/>
              </w:rPr>
              <w:t>Finalizarea obiective</w:t>
            </w:r>
            <w:r w:rsidRPr="004B4C43">
              <w:rPr>
                <w:rFonts w:ascii="Calibri" w:eastAsia="Calibri" w:hAnsi="Calibri" w:cs="Calibri"/>
                <w:lang w:val="ro-RO" w:eastAsia="ro-RO"/>
              </w:rPr>
              <w:t>lor</w:t>
            </w:r>
            <w:r w:rsidRPr="004B4C43">
              <w:rPr>
                <w:rFonts w:ascii="Calibri" w:eastAsia="Calibri" w:hAnsi="Calibri" w:cs="Calibri"/>
                <w:lang w:eastAsia="ro-RO"/>
              </w:rPr>
              <w:t xml:space="preserve"> de investiții în infrastructur</w:t>
            </w:r>
            <w:r w:rsidRPr="004B4C43">
              <w:rPr>
                <w:rFonts w:ascii="Calibri" w:eastAsia="Calibri" w:hAnsi="Calibri" w:cs="Calibri"/>
                <w:lang w:val="ro-RO" w:eastAsia="ro-RO"/>
              </w:rPr>
              <w:t>ă</w:t>
            </w:r>
            <w:r w:rsidRPr="004B4C43">
              <w:rPr>
                <w:rFonts w:ascii="Calibri" w:eastAsia="Calibri" w:hAnsi="Calibri" w:cs="Calibri"/>
                <w:lang w:eastAsia="ro-RO"/>
              </w:rPr>
              <w:t xml:space="preserve"> prin Proiectul Reforma Educației Timpurii (PRET) și Proiectul Reabilitarea Infrastructurii Școlare (PRIS);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Conectarea tuturor şcolilor la Internet; îmbunătăţirea accesului la Internet prin implementarea de wirelesscampus, cu prioritate în şcolile gimnaziale;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Dezvoltarea de programe educaţionale, privind utilizarea sigură a Internetului;</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Crearea Sistemului informatic pentru Managementul şcolarităţii;</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Construirea Platformei naţionale E-educatie;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Laptopuri pentru profesori;</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Tablete pentru elevi</w:t>
            </w:r>
            <w:r w:rsidRPr="004B4C43">
              <w:rPr>
                <w:rFonts w:ascii="Calibri" w:eastAsia="Calibri" w:hAnsi="Calibri" w:cs="Calibri"/>
                <w:lang w:val="ro-RO" w:eastAsia="ro-RO"/>
              </w:rPr>
              <w: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4B4C43">
              <w:rPr>
                <w:rFonts w:ascii="Calibri" w:eastAsia="Calibri" w:hAnsi="Calibri" w:cs="Calibri"/>
                <w:lang w:val="ro-RO" w:eastAsia="ro-RO"/>
              </w:rPr>
              <w:t>Instrumente pentru clasă (dotarea tuturor sălilor de clasă cu table inteligente).</w:t>
            </w:r>
          </w:p>
          <w:p w:rsidR="004B4C43" w:rsidRPr="00715536" w:rsidRDefault="004B4C43" w:rsidP="004B4C43">
            <w:pPr>
              <w:autoSpaceDE w:val="0"/>
              <w:autoSpaceDN w:val="0"/>
              <w:adjustRightInd w:val="0"/>
              <w:ind w:left="360"/>
              <w:jc w:val="both"/>
              <w:rPr>
                <w:rFonts w:ascii="Calibri" w:eastAsia="Calibri" w:hAnsi="Calibri" w:cs="Calibri"/>
                <w:lang w:val="fr-FR" w:eastAsia="ro-RO"/>
              </w:rPr>
            </w:pPr>
          </w:p>
        </w:tc>
      </w:tr>
      <w:tr w:rsidR="004B4C43" w:rsidRPr="008368B9" w:rsidTr="00311D99">
        <w:tblPrEx>
          <w:tblCellSpacing w:w="-8" w:type="dxa"/>
        </w:tblPrEx>
        <w:trPr>
          <w:trHeight w:val="135"/>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jc w:val="center"/>
              <w:rPr>
                <w:rFonts w:ascii="Calibri" w:eastAsia="Calibri" w:hAnsi="Calibri" w:cs="Calibri"/>
                <w:i/>
                <w:iCs/>
                <w:color w:val="002060"/>
                <w:lang w:eastAsia="ro-RO"/>
              </w:rPr>
            </w:pPr>
            <w:r w:rsidRPr="00715536">
              <w:rPr>
                <w:rFonts w:ascii="Calibri" w:eastAsia="Calibri" w:hAnsi="Calibri"/>
                <w:color w:val="002060"/>
                <w:lang w:val="fr-FR" w:eastAsia="ro-RO"/>
              </w:rPr>
              <w:br w:type="page"/>
            </w:r>
            <w:r w:rsidRPr="004B4C43">
              <w:rPr>
                <w:rFonts w:ascii="Calibri" w:eastAsia="Calibri" w:hAnsi="Calibri" w:cs="Calibri"/>
                <w:i/>
                <w:iCs/>
                <w:color w:val="002060"/>
                <w:lang w:eastAsia="ro-RO"/>
              </w:rPr>
              <w:t>5. Îmbunătăţirea managementului şcolar şi dezvoltarea carierei didactice</w:t>
            </w:r>
          </w:p>
        </w:tc>
        <w:tc>
          <w:tcPr>
            <w:tcW w:w="7965" w:type="dxa"/>
            <w:tcBorders>
              <w:top w:val="nil"/>
              <w:left w:val="nil"/>
              <w:bottom w:val="nil"/>
              <w:right w:val="nil"/>
            </w:tcBorders>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Încurajarea formării continue a cadrelor didactice prin programe finanţate de la bugetul de stat şi din fonduri europene;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autonomiei şcolii, asociată cu creşterea responsabilităţii publice;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Consolidarea relaţiilor de parteneriat între învăţământul superior şi cel preuniversitar, în formarea iniţială şi continuă pentru cariera didactică, prin care să se asigure adecvarea conţinuturilor şi metodelor la nevoile de formare ale cadrelor didactice, cu implicaţii în dezvoltarea personală şi profesională a acestora şi creşterea prestigiului profesional al dascălilor;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lang w:val="fr-FR" w:eastAsia="ro-RO"/>
              </w:rPr>
            </w:pPr>
            <w:r w:rsidRPr="00715536">
              <w:rPr>
                <w:rFonts w:ascii="Calibri" w:eastAsia="Calibri" w:hAnsi="Calibri" w:cs="Calibri"/>
                <w:lang w:val="fr-FR" w:eastAsia="ro-RO"/>
              </w:rPr>
              <w:t>Regândirea modalităţilor de avansare în carieră pentru cadrele didactice, astfel încât aceasta să se realizeze în baza unor criterii şi procese relevante</w:t>
            </w:r>
            <w:r w:rsidRPr="00715536">
              <w:rPr>
                <w:rFonts w:ascii="Calibri" w:eastAsia="Calibri" w:hAnsi="Calibri"/>
                <w:lang w:val="fr-FR" w:eastAsia="ro-RO"/>
              </w:rPr>
              <w:t>.</w:t>
            </w:r>
          </w:p>
          <w:p w:rsidR="004B4C43" w:rsidRPr="00715536" w:rsidRDefault="004B4C43" w:rsidP="004B4C43">
            <w:pPr>
              <w:autoSpaceDE w:val="0"/>
              <w:autoSpaceDN w:val="0"/>
              <w:adjustRightInd w:val="0"/>
              <w:jc w:val="both"/>
              <w:rPr>
                <w:rFonts w:ascii="Calibri" w:eastAsia="Calibri" w:hAnsi="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810"/>
                <w:tab w:val="left" w:pos="1365"/>
              </w:tabs>
              <w:autoSpaceDE w:val="0"/>
              <w:autoSpaceDN w:val="0"/>
              <w:adjustRightInd w:val="0"/>
              <w:spacing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6. Finanţarea corespunzătoare a sistemului de educaţie şi formare profesională</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Asigurarea cofinanţării pentru derularea proiectelor finanţate din fonduri europene;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finanţării de bază pentru învăţământul</w:t>
            </w:r>
            <w:r w:rsidRPr="004B4C43">
              <w:rPr>
                <w:rFonts w:ascii="Calibri" w:eastAsia="Calibri" w:hAnsi="Calibri" w:cs="Calibri"/>
                <w:lang w:val="ro-RO" w:eastAsia="ro-RO"/>
              </w:rPr>
              <w:t xml:space="preserve"> de stat și </w:t>
            </w:r>
            <w:r w:rsidRPr="00715536">
              <w:rPr>
                <w:rFonts w:ascii="Calibri" w:eastAsia="Calibri" w:hAnsi="Calibri" w:cs="Calibri"/>
                <w:lang w:val="fr-FR" w:eastAsia="ro-RO"/>
              </w:rPr>
              <w:t>particular;</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Asigurarea unui sistem de salarizare şi motivare financiară corespunzător rolului pe care cadrul didactic îl îndeplineşte în societate, ca principal actor al creşterii calităţii actului educaţional;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Asigurarea </w:t>
            </w:r>
            <w:r w:rsidRPr="004B4C43">
              <w:rPr>
                <w:rFonts w:ascii="Calibri" w:eastAsia="Calibri" w:hAnsi="Calibri" w:cs="Calibri"/>
                <w:lang w:val="ro-RO" w:eastAsia="ro-RO"/>
              </w:rPr>
              <w:t xml:space="preserve">defășurării </w:t>
            </w:r>
            <w:r w:rsidRPr="004B4C43">
              <w:rPr>
                <w:rFonts w:ascii="Calibri" w:eastAsia="Calibri" w:hAnsi="Calibri" w:cs="Calibri"/>
                <w:lang w:eastAsia="ro-RO"/>
              </w:rPr>
              <w:t>activităţilor de monitorizare/evaluare/consiliere şi control/audit;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Subvenţionarea accesului la Internet a tuturor unităţilor de învăţământ din zonele rurale/urbane;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Achiziţionarea de echipamente TIC pentru şcolile gimnaziale în baza unor proiecte pilot;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val="ro-RO" w:eastAsia="ro-RO"/>
              </w:rPr>
              <w:t xml:space="preserve">Dezvoltarea </w:t>
            </w:r>
            <w:r w:rsidRPr="004B4C43">
              <w:rPr>
                <w:rFonts w:ascii="Calibri" w:eastAsia="Calibri" w:hAnsi="Calibri" w:cs="Calibri"/>
                <w:lang w:eastAsia="ro-RO"/>
              </w:rPr>
              <w:t>Sistemului Informatic Integrat al Învăţământului din România.</w:t>
            </w:r>
          </w:p>
          <w:p w:rsidR="004B4C43" w:rsidRPr="004B4C43" w:rsidRDefault="004B4C43" w:rsidP="004B4C43">
            <w:pPr>
              <w:autoSpaceDE w:val="0"/>
              <w:autoSpaceDN w:val="0"/>
              <w:adjustRightInd w:val="0"/>
              <w:jc w:val="both"/>
              <w:rPr>
                <w:rFonts w:ascii="Calibri" w:eastAsia="Calibri" w:hAnsi="Calibri" w:cs="Calibri"/>
                <w:lang w:eastAsia="ro-RO"/>
              </w:rPr>
            </w:pPr>
          </w:p>
        </w:tc>
      </w:tr>
      <w:tr w:rsidR="004B4C43" w:rsidRPr="004B4C43" w:rsidTr="00311D99">
        <w:tblPrEx>
          <w:tblCellSpacing w:w="-8" w:type="dxa"/>
        </w:tblPrEx>
        <w:trPr>
          <w:trHeight w:val="255"/>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810"/>
                <w:tab w:val="left" w:pos="1365"/>
              </w:tabs>
              <w:autoSpaceDE w:val="0"/>
              <w:autoSpaceDN w:val="0"/>
              <w:adjustRightInd w:val="0"/>
              <w:ind w:left="285"/>
              <w:jc w:val="center"/>
              <w:rPr>
                <w:rFonts w:ascii="Calibri" w:eastAsia="Calibri" w:hAnsi="Calibri" w:cs="Calibri"/>
                <w:i/>
                <w:iCs/>
                <w:color w:val="002060"/>
                <w:lang w:val="fr-FR" w:eastAsia="ro-RO"/>
              </w:rPr>
            </w:pPr>
            <w:r w:rsidRPr="00715536">
              <w:rPr>
                <w:rFonts w:ascii="Calibri" w:eastAsia="Calibri" w:hAnsi="Calibri" w:cs="Calibri"/>
                <w:i/>
                <w:iCs/>
                <w:color w:val="002060"/>
                <w:lang w:val="fr-FR" w:eastAsia="ro-RO"/>
              </w:rPr>
              <w:t>7. Îmbunătăţirea tranziţiei de la învăţământul secundar superior la cel terțiar</w:t>
            </w:r>
            <w:r w:rsidRPr="004B4C43">
              <w:rPr>
                <w:rFonts w:ascii="Calibri" w:eastAsia="Calibri" w:hAnsi="Calibri" w:cs="Calibri"/>
                <w:i/>
                <w:iCs/>
                <w:color w:val="002060"/>
                <w:lang w:val="ro-RO" w:eastAsia="ro-RO"/>
              </w:rPr>
              <w:t xml:space="preserve"> nonuniversitar</w:t>
            </w:r>
            <w:r w:rsidRPr="00715536">
              <w:rPr>
                <w:rFonts w:ascii="Calibri" w:eastAsia="Calibri" w:hAnsi="Calibri" w:cs="Calibri"/>
                <w:i/>
                <w:iCs/>
                <w:color w:val="002060"/>
                <w:lang w:val="fr-FR" w:eastAsia="ro-RO"/>
              </w:rPr>
              <w:t xml:space="preserve"> - ROSE</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Acordarea de granturi liceelor cu rezultate slabe, pentru reducerea ratei de abandon, creşterea ratei de absolvire şi îmbunătăţirea performanţelor la bacalaureat;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de experţi mentori pentru implementarea activităţilor remediale şi de suport;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Formarea personalului în domeniul evaluării.</w:t>
            </w:r>
          </w:p>
          <w:p w:rsidR="004B4C43" w:rsidRPr="004B4C43" w:rsidRDefault="004B4C43" w:rsidP="004B4C43">
            <w:pPr>
              <w:autoSpaceDE w:val="0"/>
              <w:autoSpaceDN w:val="0"/>
              <w:adjustRightInd w:val="0"/>
              <w:jc w:val="both"/>
              <w:rPr>
                <w:rFonts w:ascii="Calibri" w:eastAsia="Calibri" w:hAnsi="Calibri" w:cs="Calibri"/>
                <w:lang w:eastAsia="ro-RO"/>
              </w:rPr>
            </w:pPr>
          </w:p>
        </w:tc>
      </w:tr>
      <w:tr w:rsidR="004B4C43" w:rsidRPr="004B4C43" w:rsidTr="00311D99">
        <w:tblPrEx>
          <w:tblCellSpacing w:w="-8" w:type="dxa"/>
        </w:tblPrEx>
        <w:trPr>
          <w:trHeight w:val="495"/>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numPr>
                <w:ilvl w:val="0"/>
                <w:numId w:val="66"/>
              </w:numPr>
              <w:autoSpaceDE w:val="0"/>
              <w:autoSpaceDN w:val="0"/>
              <w:adjustRightInd w:val="0"/>
              <w:spacing w:after="200" w:line="276" w:lineRule="auto"/>
              <w:jc w:val="center"/>
              <w:rPr>
                <w:rFonts w:ascii="Calibri" w:eastAsia="Calibri" w:hAnsi="Calibri" w:cs="Calibri"/>
                <w:b/>
                <w:color w:val="002060"/>
                <w:lang w:eastAsia="ro-RO"/>
              </w:rPr>
            </w:pPr>
            <w:r w:rsidRPr="004B4C43">
              <w:rPr>
                <w:rFonts w:ascii="Calibri" w:eastAsia="Calibri" w:hAnsi="Calibri" w:cs="Calibri"/>
                <w:b/>
                <w:bCs/>
                <w:color w:val="002060"/>
                <w:lang w:eastAsia="ro-RO"/>
              </w:rPr>
              <w:t>Învăţământ superior</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Îmbunătăţirea accesului şi a participării</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Continuarea acordării de facilităţi pentru studenţi şi de burse pentru tinerii din grupuri defavorizate; implementarea programelor sociale pentru studenţi</w:t>
            </w:r>
            <w:r w:rsidRPr="004B4C43">
              <w:rPr>
                <w:rFonts w:ascii="Calibri" w:eastAsia="Calibri" w:hAnsi="Calibri" w:cs="Calibri"/>
                <w:lang w:val="ro-RO" w:eastAsia="ro-RO"/>
              </w:rPr>
              <w:t xml:space="preserve"> (gratuitate transport feroviar ș.a.)</w:t>
            </w:r>
            <w:r w:rsidRPr="00715536">
              <w:rPr>
                <w:rFonts w:ascii="Calibri" w:eastAsia="Calibri" w:hAnsi="Calibri" w:cs="Calibri"/>
                <w:lang w:val="fr-FR" w:eastAsia="ro-RO"/>
              </w:rPr>
              <w:t xml:space="preserve">;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lang w:val="fr-FR" w:eastAsia="ro-RO"/>
              </w:rPr>
            </w:pPr>
            <w:r w:rsidRPr="00715536">
              <w:rPr>
                <w:rFonts w:ascii="Calibri" w:eastAsia="Calibri" w:hAnsi="Calibri" w:cs="Calibri"/>
                <w:lang w:val="fr-FR" w:eastAsia="ro-RO"/>
              </w:rPr>
              <w:t>Stabilirea de măsuri pentru studenţii proveniţi din grupuri dezavantajate, în vederea creşterii participării în învăţământul terţiar</w:t>
            </w:r>
            <w:r w:rsidRPr="004B4C43">
              <w:rPr>
                <w:rFonts w:ascii="Calibri" w:eastAsia="Calibri" w:hAnsi="Calibri"/>
                <w:lang w:val="ro-RO" w:eastAsia="ro-RO"/>
              </w:rPr>
              <w: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Continuarea alocării de locuri distincte pentru tinerii romi;</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Realizarea de programe de tip”punte”, în cadrul Proiectului ROSE, ce pot include activităţi precum:cursuri de vară de nivel universitar pentru elevii de liceu; parteneriate licee – universităţi – piaţamuncii; dezvoltarea de programe de tutoriat, gestionate şi coordonate de universităţi, pentru elevii de liceu;</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Crearea, dezvoltarea şi asigurarea funcţionării iniţiale a unor centre de învăţare/laboratoare în universităţi, cu scopul de a creşte gradul de menţinere în universitate a studenţilor aflaţi în situaţie de risc, prin dezvoltarea de competenţe specifice, şi asigurarea unor servicii de sprijin academic, aliniate nevoilor studenţilor.</w:t>
            </w:r>
          </w:p>
          <w:p w:rsidR="004B4C43" w:rsidRPr="00715536" w:rsidRDefault="004B4C43" w:rsidP="004B4C43">
            <w:pPr>
              <w:autoSpaceDE w:val="0"/>
              <w:autoSpaceDN w:val="0"/>
              <w:adjustRightInd w:val="0"/>
              <w:jc w:val="both"/>
              <w:rPr>
                <w:rFonts w:ascii="Calibri" w:eastAsia="Calibri" w:hAnsi="Calibri" w:cs="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Asigurarea calităţii şi creşterea competitivităţii universităţilor româneşti</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Realizarea clasificării, pe grupe, a instituţiilor de învăţământ, printr-un proces transparent, pe baza unor criterii relevante;</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Calibri" w:eastAsia="Calibri" w:hAnsi="Calibri" w:cs="Arial"/>
                <w:lang w:val="ro-RO"/>
              </w:rPr>
            </w:pPr>
            <w:r w:rsidRPr="004B4C43">
              <w:rPr>
                <w:rFonts w:ascii="Calibri" w:eastAsia="Calibri" w:hAnsi="Calibri" w:cs="Arial"/>
                <w:lang w:val="ro-RO"/>
              </w:rPr>
              <w:t>Finanțarea corespunzătoare și predictibilă a instituțiilor de învățământ superior din Romania, cu accent asupra domeniilor cu potențial de creștere;</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ro-RO" w:eastAsia="ro-RO"/>
              </w:rPr>
            </w:pPr>
            <w:r w:rsidRPr="00715536">
              <w:rPr>
                <w:rFonts w:ascii="Calibri" w:eastAsia="Calibri" w:hAnsi="Calibri" w:cs="Calibri"/>
                <w:lang w:val="ro-RO" w:eastAsia="ro-RO"/>
              </w:rPr>
              <w:t xml:space="preserve">Întărirea criteriilor şi îmbunătăţirea standardelor de asigurare a calităţii - astfel încât să se respecte principiul </w:t>
            </w:r>
            <w:r w:rsidRPr="00715536">
              <w:rPr>
                <w:rFonts w:ascii="Calibri" w:eastAsia="Calibri" w:hAnsi="Calibri" w:cs="Calibri"/>
                <w:i/>
                <w:iCs/>
                <w:lang w:val="ro-RO" w:eastAsia="ro-RO"/>
              </w:rPr>
              <w:t>dezvoltare bazată pe performanţă</w:t>
            </w:r>
            <w:r w:rsidRPr="00715536">
              <w:rPr>
                <w:rFonts w:ascii="Calibri" w:eastAsia="Calibri" w:hAnsi="Calibri" w:cs="Calibri"/>
                <w:lang w:val="ro-RO" w:eastAsia="ro-RO"/>
              </w:rPr>
              <w: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4B4C43">
              <w:rPr>
                <w:rFonts w:ascii="Calibri" w:eastAsia="Calibri" w:hAnsi="Calibri" w:cs="Arial"/>
                <w:lang w:val="ro-RO"/>
              </w:rPr>
              <w:t>Multiplicarea mobilităților studențești și ale cadrelor didactice; participarea la manifestări, concursuri și târguri internaționale;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Implicarea universităţilor în elaborarea politicilor şi strategiilor regionale/sectoriale/naţionale;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Dotarea laboratoarelor de licenţă/specialitate; </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Arial" w:eastAsia="Calibri" w:hAnsi="Arial" w:cs="Arial"/>
                <w:sz w:val="22"/>
                <w:szCs w:val="22"/>
                <w:lang w:val="ro-RO"/>
              </w:rPr>
            </w:pPr>
            <w:r w:rsidRPr="004B4C43">
              <w:rPr>
                <w:rFonts w:ascii="Calibri" w:eastAsia="Calibri" w:hAnsi="Calibri" w:cs="Calibri"/>
                <w:lang w:eastAsia="ro-RO"/>
              </w:rPr>
              <w:t>Consolidarea bazei materiale, construcţia de cămine studenţeşti noi şi reabilitarea/modernizarea sau construcţia de cantine studenţeşti</w:t>
            </w:r>
            <w:r w:rsidRPr="004B4C43">
              <w:rPr>
                <w:rFonts w:ascii="Calibri" w:eastAsia="Calibri" w:hAnsi="Calibri" w:cs="Calibri"/>
                <w:lang w:val="ro-RO" w:eastAsia="ro-RO"/>
              </w:rPr>
              <w:t>.</w:t>
            </w:r>
          </w:p>
          <w:p w:rsidR="004B4C43" w:rsidRPr="004B4C43" w:rsidRDefault="004B4C43" w:rsidP="004B4C43">
            <w:pPr>
              <w:widowControl w:val="0"/>
              <w:autoSpaceDE w:val="0"/>
              <w:autoSpaceDN w:val="0"/>
              <w:adjustRightInd w:val="0"/>
              <w:spacing w:line="276" w:lineRule="auto"/>
              <w:ind w:right="14"/>
              <w:jc w:val="both"/>
              <w:rPr>
                <w:rFonts w:ascii="Arial" w:eastAsia="Calibri" w:hAnsi="Arial" w:cs="Arial"/>
                <w:sz w:val="22"/>
                <w:szCs w:val="22"/>
                <w:lang w:val="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715536"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lang w:val="fr-FR" w:eastAsia="ro-RO"/>
              </w:rPr>
            </w:pPr>
            <w:r w:rsidRPr="00715536">
              <w:rPr>
                <w:rFonts w:ascii="Calibri" w:eastAsia="Calibri" w:hAnsi="Calibri" w:cs="Calibri"/>
                <w:i/>
                <w:iCs/>
                <w:color w:val="002060"/>
                <w:lang w:val="fr-FR" w:eastAsia="ro-RO"/>
              </w:rPr>
              <w:t>Asigurarea autonomiei învăţământului superior corelată cu responsabilitatea publică</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libertăţii comunităţii academice de a gestiona propriile programe de studii, şi conţinuturi de învăţare/cercetare, precum şi întărirea capacităţii de administrare;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Dezvoltarea capacităţii instituţionale a universităţilor și implicarea tuturor factorilor interesați</w:t>
            </w:r>
            <w:r w:rsidRPr="004B4C43">
              <w:rPr>
                <w:rFonts w:ascii="Calibri" w:eastAsia="Calibri" w:hAnsi="Calibri" w:cs="Calibri"/>
                <w:lang w:val="ro-RO" w:eastAsia="ro-RO"/>
              </w:rPr>
              <w:t xml:space="preserve"> în guvernanța universităților</w:t>
            </w:r>
            <w:r w:rsidRPr="004B4C43">
              <w:rPr>
                <w:rFonts w:ascii="Calibri" w:eastAsia="Calibri" w:hAnsi="Calibri" w:cs="Calibri"/>
                <w:lang w:eastAsia="ro-RO"/>
              </w:rPr>
              <w: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Implicarea activă a instituțiilor de învăţământ superior în mediul economic regional şi național.</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Corelarea programelor de studii universitare cu nevoile pieţeimuncii</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Centrarea programelor de studii pe dobândirea unor calificări relevante pe piaţa muncii;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Multiplicarea stagiilor de practică de specialitate/internship;</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Implementarea de proiecte comune între universităţi, companii private, agenţii de stat;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lang w:eastAsia="ro-RO"/>
              </w:rPr>
            </w:pPr>
            <w:r w:rsidRPr="004B4C43">
              <w:rPr>
                <w:rFonts w:ascii="Calibri" w:eastAsia="Calibri" w:hAnsi="Calibri" w:cs="Arial"/>
                <w:lang w:val="ro-RO"/>
              </w:rPr>
              <w:t>Dezvoltarea Societăților Antreprenoriale Studențești (SAS);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Sprijinirea Centrelor de orientare şi consiliere în carieră;</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Dezvoltarea şi implementarea de instrumente pentru urmărirea parcursului educaţional al tinerilor şi a angajabilității absolvenţilor de studii superioare;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Implementarea de program</w:t>
            </w:r>
            <w:r w:rsidRPr="004B4C43">
              <w:rPr>
                <w:rFonts w:ascii="Calibri" w:eastAsia="Calibri" w:hAnsi="Calibri" w:cs="Calibri"/>
                <w:lang w:val="ro-RO" w:eastAsia="ro-RO"/>
              </w:rPr>
              <w:t>e</w:t>
            </w:r>
            <w:r w:rsidRPr="004B4C43">
              <w:rPr>
                <w:rFonts w:ascii="Calibri" w:eastAsia="Calibri" w:hAnsi="Calibri" w:cs="Calibri"/>
                <w:lang w:eastAsia="ro-RO"/>
              </w:rPr>
              <w:t xml:space="preserve"> care să promoveze proiecte comune studenţi-agenţi economici și </w:t>
            </w:r>
            <w:r w:rsidRPr="004B4C43">
              <w:rPr>
                <w:rFonts w:ascii="Calibri" w:eastAsia="Calibri" w:hAnsi="Calibri" w:cs="Calibri"/>
                <w:lang w:val="ro-RO" w:eastAsia="ro-RO"/>
              </w:rPr>
              <w:t>î</w:t>
            </w:r>
            <w:r w:rsidRPr="004B4C43">
              <w:rPr>
                <w:rFonts w:ascii="Calibri" w:eastAsia="Calibri" w:hAnsi="Calibri" w:cs="Arial"/>
                <w:lang w:val="ro-RO"/>
              </w:rPr>
              <w:t xml:space="preserve">ncurajarea studenților care vor să înființeze start-upuri; </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Calibri" w:eastAsia="Calibri" w:hAnsi="Calibri" w:cs="Arial"/>
                <w:lang w:val="ro-RO"/>
              </w:rPr>
            </w:pPr>
            <w:r w:rsidRPr="004B4C43">
              <w:rPr>
                <w:rFonts w:ascii="Calibri" w:eastAsia="Calibri" w:hAnsi="Calibri" w:cs="Arial"/>
                <w:lang w:val="ro-RO"/>
              </w:rPr>
              <w:t>Abordarea unor subiecte cu aplicabilitate practică la lucrarea de licență și de masterat și stimularea în consecință a studenților;</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Arial" w:eastAsia="Calibri" w:hAnsi="Arial" w:cs="Arial"/>
                <w:sz w:val="22"/>
                <w:szCs w:val="22"/>
                <w:lang w:val="ro-RO"/>
              </w:rPr>
            </w:pPr>
            <w:r w:rsidRPr="004B4C43">
              <w:rPr>
                <w:rFonts w:ascii="Calibri" w:eastAsia="Calibri" w:hAnsi="Calibri" w:cs="Arial"/>
                <w:lang w:val="ro-RO"/>
              </w:rPr>
              <w:t>Realizarea de studii cu privire la nevoile agenților economici în ceea ce privește asigurarea cu personal calificat, precum și la inserția absolvenților pe piața muncii</w:t>
            </w:r>
            <w:r w:rsidRPr="004B4C43">
              <w:rPr>
                <w:rFonts w:ascii="Arial" w:eastAsia="Calibri" w:hAnsi="Arial" w:cs="Arial"/>
                <w:sz w:val="22"/>
                <w:szCs w:val="22"/>
                <w:lang w:val="ro-RO"/>
              </w:rPr>
              <w:t xml:space="preserve">. </w:t>
            </w:r>
          </w:p>
          <w:p w:rsidR="004B4C43" w:rsidRPr="00715536" w:rsidRDefault="004B4C43" w:rsidP="004B4C43">
            <w:pPr>
              <w:autoSpaceDE w:val="0"/>
              <w:autoSpaceDN w:val="0"/>
              <w:adjustRightInd w:val="0"/>
              <w:spacing w:line="276" w:lineRule="auto"/>
              <w:jc w:val="both"/>
              <w:rPr>
                <w:rFonts w:ascii="Calibri" w:eastAsia="Calibri" w:hAnsi="Calibri" w:cs="Calibri"/>
                <w:lang w:val="ro-RO" w:eastAsia="ro-RO"/>
              </w:rPr>
            </w:pP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lang w:eastAsia="ro-RO"/>
              </w:rPr>
            </w:pPr>
            <w:r w:rsidRPr="004B4C43">
              <w:rPr>
                <w:rFonts w:ascii="Calibri" w:eastAsia="Calibri" w:hAnsi="Calibri" w:cs="Calibri"/>
                <w:i/>
                <w:iCs/>
                <w:color w:val="002060"/>
                <w:lang w:eastAsia="ro-RO"/>
              </w:rPr>
              <w:t>Dezvoltarea şi integrarea de sisteme informatice</w:t>
            </w:r>
            <w:r w:rsidRPr="004B4C43">
              <w:rPr>
                <w:rFonts w:ascii="Calibri" w:eastAsia="Calibri" w:hAnsi="Calibri" w:cs="Calibri"/>
                <w:i/>
                <w:iCs/>
                <w:color w:val="002060"/>
                <w:lang w:val="ro-RO" w:eastAsia="ro-RO"/>
              </w:rPr>
              <w:t xml:space="preserve"> p</w:t>
            </w:r>
            <w:r w:rsidRPr="004B4C43">
              <w:rPr>
                <w:rFonts w:ascii="Calibri" w:eastAsia="Calibri" w:hAnsi="Calibri" w:cs="Calibri"/>
                <w:i/>
                <w:iCs/>
                <w:color w:val="002060"/>
                <w:lang w:eastAsia="ro-RO"/>
              </w:rPr>
              <w:t>entru educaţie şi formare profesională</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Corelarea într-un sistem informatic strategic a actualelor instrumente de colectare şi raportare a datelor pentru învăţământul superior (ANS, RMU, Infrastructura Cercetare, RMUR) şi operaţionalizarea efectivă a sistemelor existente (RMU, REI, SAPM, Study în România etc.);</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Stabilirea unui set de indicatori pentru evaluarea şi monitorizarea politicilor publice pentru învăţământul universitar;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Consolidarea instrumentelor de monitorizare a inserţiei absolvenților de învăţământ superior pe piaţa muncii;</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Continuarea utilizării, în cadrul metodologiei de repartizare a finanțării suplimentare, a unor indicatori privind resursa umană;</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Participarea la programul de cercetare EUROSTUDENT VI.</w:t>
            </w:r>
          </w:p>
          <w:p w:rsidR="008D4CBC" w:rsidRPr="00715536" w:rsidRDefault="008D4CBC" w:rsidP="008D4CBC">
            <w:pPr>
              <w:autoSpaceDE w:val="0"/>
              <w:autoSpaceDN w:val="0"/>
              <w:adjustRightInd w:val="0"/>
              <w:spacing w:line="276" w:lineRule="auto"/>
              <w:jc w:val="both"/>
              <w:rPr>
                <w:rFonts w:ascii="Calibri" w:eastAsia="Calibri" w:hAnsi="Calibri" w:cs="Calibri"/>
                <w:lang w:val="fr-FR" w:eastAsia="ro-RO"/>
              </w:rPr>
            </w:pPr>
          </w:p>
        </w:tc>
      </w:tr>
      <w:tr w:rsidR="004B4C43" w:rsidRPr="008368B9" w:rsidTr="00311D99">
        <w:tblPrEx>
          <w:tblCellSpacing w:w="-8" w:type="dxa"/>
        </w:tblPrEx>
        <w:trPr>
          <w:trHeight w:val="539"/>
          <w:tblCellSpacing w:w="-8" w:type="dxa"/>
          <w:jc w:val="center"/>
        </w:trPr>
        <w:tc>
          <w:tcPr>
            <w:tcW w:w="10383" w:type="dxa"/>
            <w:gridSpan w:val="2"/>
            <w:tcBorders>
              <w:top w:val="nil"/>
              <w:left w:val="nil"/>
              <w:bottom w:val="nil"/>
              <w:right w:val="nil"/>
            </w:tcBorders>
            <w:vAlign w:val="center"/>
          </w:tcPr>
          <w:p w:rsidR="004B4C43" w:rsidRPr="00715536" w:rsidRDefault="004B4C43" w:rsidP="004B4C43">
            <w:pPr>
              <w:autoSpaceDE w:val="0"/>
              <w:autoSpaceDN w:val="0"/>
              <w:adjustRightInd w:val="0"/>
              <w:spacing w:line="276" w:lineRule="auto"/>
              <w:jc w:val="center"/>
              <w:rPr>
                <w:rFonts w:ascii="Calibri" w:eastAsia="Calibri" w:hAnsi="Calibri" w:cs="Calibri"/>
                <w:b/>
                <w:color w:val="002060"/>
                <w:lang w:val="fr-FR" w:eastAsia="ro-RO"/>
              </w:rPr>
            </w:pPr>
            <w:r w:rsidRPr="00715536">
              <w:rPr>
                <w:rFonts w:ascii="Calibri" w:eastAsia="Calibri" w:hAnsi="Calibri" w:cs="Calibri"/>
                <w:b/>
                <w:color w:val="002060"/>
                <w:lang w:val="fr-FR" w:eastAsia="ro-RO"/>
              </w:rPr>
              <w:t>III. Dezvoltarea dimensiunii europene şi internaţionale a învăţământului românesc</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spacing w:line="276" w:lineRule="auto"/>
              <w:ind w:left="390"/>
              <w:jc w:val="center"/>
              <w:rPr>
                <w:rFonts w:ascii="Calibri" w:eastAsia="Calibri" w:hAnsi="Calibri" w:cs="Calibri"/>
                <w:i/>
                <w:iCs/>
                <w:color w:val="002060"/>
                <w:lang w:eastAsia="ro-RO"/>
              </w:rPr>
            </w:pPr>
            <w:r w:rsidRPr="004B4C43">
              <w:rPr>
                <w:rFonts w:ascii="Calibri" w:eastAsia="Calibri" w:hAnsi="Calibri" w:cs="Calibri"/>
                <w:i/>
                <w:iCs/>
                <w:color w:val="002060"/>
                <w:lang w:val="ro-RO" w:eastAsia="ro-RO"/>
              </w:rPr>
              <w:t xml:space="preserve">1. </w:t>
            </w:r>
            <w:r w:rsidRPr="004B4C43">
              <w:rPr>
                <w:rFonts w:ascii="Calibri" w:eastAsia="Calibri" w:hAnsi="Calibri" w:cs="Calibri"/>
                <w:i/>
                <w:iCs/>
                <w:color w:val="002060"/>
                <w:lang w:eastAsia="ro-RO"/>
              </w:rPr>
              <w:t>Întărirea cooperării europene şi internaționale</w:t>
            </w:r>
          </w:p>
          <w:p w:rsidR="004B4C43" w:rsidRPr="004B4C43" w:rsidRDefault="004B4C43" w:rsidP="004B4C43">
            <w:pPr>
              <w:tabs>
                <w:tab w:val="left" w:pos="30"/>
                <w:tab w:val="left" w:pos="450"/>
              </w:tabs>
              <w:autoSpaceDE w:val="0"/>
              <w:autoSpaceDN w:val="0"/>
              <w:adjustRightInd w:val="0"/>
              <w:ind w:left="165"/>
              <w:rPr>
                <w:rFonts w:ascii="Calibri" w:eastAsia="Calibri" w:hAnsi="Calibri"/>
                <w:i/>
                <w:iCs/>
                <w:color w:val="002060"/>
                <w:lang w:eastAsia="ro-RO"/>
              </w:rPr>
            </w:pP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Continuarea şi dezvoltarea cooperării europene şi internaţionale în domeniul educaţiei; consolidarea relaţiilor bilaterale cu statele membre ale UE, cele din Spaţiul Economic European şi cu statele terţe;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Asumarea unui rol activ în cadrul iniţiativelor regionale ale Uniunii Europene: Strategia pentru Regiunea Dunării, UE – Asia, UE - America Latină şi Caraibe, Parteneriatul estic, America de Nord şi Africa etc.;</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Asigurarea participării României la evaluările și studiile internaționale (PISA, TALLIS, Resurse școlare).</w:t>
            </w:r>
          </w:p>
          <w:p w:rsidR="004B4C43" w:rsidRPr="00715536" w:rsidRDefault="004B4C43" w:rsidP="004B4C43">
            <w:pPr>
              <w:autoSpaceDE w:val="0"/>
              <w:autoSpaceDN w:val="0"/>
              <w:adjustRightInd w:val="0"/>
              <w:spacing w:line="276" w:lineRule="auto"/>
              <w:jc w:val="both"/>
              <w:rPr>
                <w:rFonts w:ascii="Calibri" w:eastAsia="Calibri" w:hAnsi="Calibri" w:cs="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fr-FR" w:eastAsia="ro-RO"/>
              </w:rPr>
            </w:pPr>
            <w:r w:rsidRPr="004B4C43">
              <w:rPr>
                <w:rFonts w:ascii="Calibri" w:eastAsia="Calibri" w:hAnsi="Calibri"/>
                <w:i/>
                <w:iCs/>
                <w:color w:val="002060"/>
                <w:lang w:val="ro-RO" w:eastAsia="ro-RO"/>
              </w:rPr>
              <w:t>2</w:t>
            </w:r>
            <w:r w:rsidRPr="00715536">
              <w:rPr>
                <w:rFonts w:ascii="Calibri" w:eastAsia="Calibri" w:hAnsi="Calibri"/>
                <w:i/>
                <w:iCs/>
                <w:color w:val="002060"/>
                <w:lang w:val="fr-FR" w:eastAsia="ro-RO"/>
              </w:rPr>
              <w:t>.</w:t>
            </w:r>
            <w:r w:rsidRPr="00715536">
              <w:rPr>
                <w:rFonts w:ascii="Calibri" w:eastAsia="Calibri" w:hAnsi="Calibri"/>
                <w:i/>
                <w:iCs/>
                <w:color w:val="002060"/>
                <w:lang w:val="fr-FR" w:eastAsia="ro-RO"/>
              </w:rPr>
              <w:tab/>
              <w:t>Sprijinirea comunităţilor româneşti din afara României</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Acordarea unor locuri cu bursă și locuri cu scutire de taxe școlare, aprobate anual, prin Hotărâri de Guvern, privind cifra de școlarizare în învățământul preuniversitar, pentru comunitățile românești din străinătate (Republica Moldova, Ucraina, Balcani, Diaspora);</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Creşterea a numărului de participanţi la cursul de Limbă, Cultură şi Civilizaţie Românească din țări ale UE;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Asigurarea de facilităţi tinerilor de origine etnică care doresc să studieze în instituţii de învăţământ superior din România;</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Creşterea numărului de lectorate de limbă, literatură şi civilizaţie românească înfiinţate în universităţi din Europa, America Latină sau Asia.</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3. Internaţionalizarea învăţământului superior</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Elaborarea şi implementarea Strategiei de internaţionalizare a învăţământului superior;</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 xml:space="preserve">Multiplicarea mobilităţilor studenţeşti şi ale cadrelor didactice;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Încurajarea participării universităților la manifestări, concursuri şi târguri internaționale;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Includerea în Metodologia de finanţare a unor indicatori privind orientarea internaționala a universităţilor;</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Încurajarea internaţionalizării universităţilor româneşti, prin creșterea calităţii, dezvoltarea programelor de studii în limbi străine şi promovarea ofertei educaţionale, în vederea atragerii de studenţi străini, inclusiv din ţări terţe.</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81"/>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autoSpaceDE w:val="0"/>
              <w:autoSpaceDN w:val="0"/>
              <w:adjustRightInd w:val="0"/>
              <w:spacing w:line="276" w:lineRule="auto"/>
              <w:jc w:val="center"/>
              <w:rPr>
                <w:rFonts w:ascii="Calibri" w:eastAsia="Calibri" w:hAnsi="Calibri" w:cs="Calibri"/>
                <w:b/>
                <w:color w:val="002060"/>
                <w:lang w:eastAsia="ro-RO"/>
              </w:rPr>
            </w:pPr>
            <w:r w:rsidRPr="004B4C43">
              <w:rPr>
                <w:rFonts w:ascii="Calibri" w:eastAsia="Calibri" w:hAnsi="Calibri" w:cs="Calibri"/>
                <w:b/>
                <w:color w:val="002060"/>
                <w:lang w:eastAsia="ro-RO"/>
              </w:rPr>
              <w:t>IV.</w:t>
            </w:r>
            <w:r w:rsidRPr="004B4C43">
              <w:rPr>
                <w:rFonts w:ascii="Calibri" w:eastAsia="Calibri" w:hAnsi="Calibri" w:cs="Calibri"/>
                <w:b/>
                <w:color w:val="002060"/>
                <w:lang w:eastAsia="ro-RO"/>
              </w:rPr>
              <w:tab/>
              <w:t>Încurajarea învăţării pe tot parcursul vieţii</w:t>
            </w: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1.</w:t>
            </w:r>
            <w:r w:rsidRPr="004B4C43">
              <w:rPr>
                <w:rFonts w:ascii="Calibri" w:eastAsia="Calibri" w:hAnsi="Calibri"/>
                <w:i/>
                <w:iCs/>
                <w:color w:val="002060"/>
                <w:lang w:val="ro-RO" w:eastAsia="ro-RO"/>
              </w:rPr>
              <w:tab/>
              <w:t>Încurajarea învăţării pe tot parcursul vieţii</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Adoptarea şi implementarea Registrului Naţional al Calificărilor;</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Elaborarea/actualizarea standardelor ocupaţionale şi calificărilor profesionale în concordanţă cu noul Cadru Naţional al Calificărilor;</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Dezvoltarea de Centre Comunitare de Învăţare Permanentă;</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Dezvoltarea de programe de recalificare/formare continuă, în funcţie de nevoile angajatorilor;</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715536">
              <w:rPr>
                <w:rFonts w:ascii="Calibri" w:eastAsia="Calibri" w:hAnsi="Calibri" w:cs="Calibri"/>
                <w:lang w:val="fr-FR" w:eastAsia="ro-RO"/>
              </w:rPr>
              <w:t xml:space="preserve">Creșterea ofertei de programe postuniversitare adaptate cerințelor pieței muncii, relevante pentru nevoile de dezvoltare profesională a beneficiarilor;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lang w:eastAsia="ro-RO"/>
              </w:rPr>
            </w:pPr>
            <w:r w:rsidRPr="004B4C43">
              <w:rPr>
                <w:rFonts w:ascii="Calibri" w:eastAsia="Calibri" w:hAnsi="Calibri" w:cs="Calibri"/>
                <w:lang w:eastAsia="ro-RO"/>
              </w:rPr>
              <w:t>Implicarea instituțiiilor de învățământ superior în promovarea și susținerea de programe specifice de învățare pe tot parcursul vieții.</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5"/>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numPr>
                <w:ilvl w:val="0"/>
                <w:numId w:val="65"/>
              </w:numPr>
              <w:spacing w:after="200" w:line="276" w:lineRule="auto"/>
              <w:jc w:val="center"/>
              <w:rPr>
                <w:rFonts w:ascii="Calibri" w:eastAsia="Calibri" w:hAnsi="Calibri" w:cs="Calibri"/>
                <w:b/>
                <w:color w:val="002060"/>
                <w:lang w:eastAsia="ro-RO"/>
              </w:rPr>
            </w:pPr>
            <w:r w:rsidRPr="004B4C43">
              <w:rPr>
                <w:rFonts w:ascii="Calibri" w:eastAsia="Calibri" w:hAnsi="Calibri" w:cs="Calibri"/>
                <w:b/>
                <w:color w:val="002060"/>
                <w:lang w:eastAsia="ro-RO"/>
              </w:rPr>
              <w:t>Creșterea capacității administrative a MEN și a unităților/ instituțiilor subordonate și coordonate</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 xml:space="preserve">1. Creșterea capacității administrative a </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 xml:space="preserve">MEN și a </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unităților/ instituțiilor subordonate și</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lang w:val="ro-RO" w:eastAsia="ro-RO"/>
              </w:rPr>
            </w:pPr>
            <w:r w:rsidRPr="004B4C43">
              <w:rPr>
                <w:rFonts w:ascii="Calibri" w:eastAsia="Calibri" w:hAnsi="Calibri"/>
                <w:i/>
                <w:iCs/>
                <w:color w:val="002060"/>
                <w:lang w:val="ro-RO" w:eastAsia="ro-RO"/>
              </w:rPr>
              <w:t xml:space="preserve"> cordonate</w:t>
            </w:r>
          </w:p>
        </w:tc>
        <w:tc>
          <w:tcPr>
            <w:tcW w:w="7965" w:type="dxa"/>
            <w:tcBorders>
              <w:top w:val="nil"/>
              <w:left w:val="nil"/>
              <w:bottom w:val="nil"/>
              <w:right w:val="nil"/>
            </w:tcBorders>
            <w:vAlign w:val="center"/>
          </w:tcPr>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lang w:val="ro-RO"/>
              </w:rPr>
            </w:pPr>
            <w:r w:rsidRPr="004B4C43">
              <w:rPr>
                <w:rFonts w:ascii="Calibri" w:eastAsia="Calibri" w:hAnsi="Calibri" w:cs="Arial"/>
                <w:lang w:val="ro-RO"/>
              </w:rPr>
              <w:t>Monitorizarea implementării măsurilor prevăzute în Programul de Guvernare și în strategiile condiționalității ex-ante aprobate de guvern;</w:t>
            </w:r>
          </w:p>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lang w:val="ro-RO"/>
              </w:rPr>
            </w:pPr>
            <w:r w:rsidRPr="004B4C43">
              <w:rPr>
                <w:rFonts w:ascii="Calibri" w:eastAsia="Calibri" w:hAnsi="Calibri" w:cs="Arial"/>
                <w:lang w:val="ro-RO"/>
              </w:rPr>
              <w:t>Elaborarea planurilor de acțiune, a rapoartelor de monitorizare și evaluar</w:t>
            </w:r>
            <w:r w:rsidRPr="004B4C43">
              <w:rPr>
                <w:rFonts w:ascii="Calibri" w:eastAsia="Calibri" w:hAnsi="Calibri" w:cs="Arial"/>
                <w:color w:val="002060"/>
                <w:lang w:val="ro-RO"/>
              </w:rPr>
              <w:t>e</w:t>
            </w:r>
            <w:r w:rsidRPr="004B4C43">
              <w:rPr>
                <w:rFonts w:ascii="Calibri" w:eastAsia="Calibri" w:hAnsi="Calibri" w:cs="Arial"/>
                <w:color w:val="002060"/>
              </w:rPr>
              <w:t>;</w:t>
            </w:r>
          </w:p>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lang w:val="ro-RO"/>
              </w:rPr>
            </w:pPr>
            <w:r w:rsidRPr="004B4C43">
              <w:rPr>
                <w:rFonts w:ascii="Calibri" w:eastAsia="Calibri" w:hAnsi="Calibri" w:cs="Arial"/>
                <w:lang w:val="ro-RO"/>
              </w:rPr>
              <w:t xml:space="preserve">Formarea personalului MEN și al unităților/ instituțiilor subordonate și coordonate vizând planificarea strategică, monitorizarea și evaluarea programelor, bugetare pe programe ș.a.;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lang w:val="fr-FR" w:eastAsia="ro-RO"/>
              </w:rPr>
            </w:pPr>
            <w:r w:rsidRPr="004B4C43">
              <w:rPr>
                <w:rFonts w:ascii="Calibri" w:eastAsia="Calibri" w:hAnsi="Calibri" w:cs="Arial"/>
                <w:lang w:val="ro-RO"/>
              </w:rPr>
              <w:t>Creșterea transparenței instituționale prin sporirea gradului de disponibilitate a datelor publice</w:t>
            </w:r>
            <w:r w:rsidRPr="004B4C43">
              <w:rPr>
                <w:rFonts w:ascii="Calibri" w:eastAsia="SimSun" w:hAnsi="Calibri" w:cs="Calibri"/>
                <w:kern w:val="1"/>
                <w:lang w:val="ro-RO" w:eastAsia="zh-CN" w:bidi="ro-RO"/>
              </w:rPr>
              <w:t>.</w:t>
            </w:r>
          </w:p>
        </w:tc>
      </w:tr>
    </w:tbl>
    <w:p w:rsidR="004B4C43" w:rsidRPr="003964D3" w:rsidRDefault="004B4C43" w:rsidP="004B4C43">
      <w:pPr>
        <w:spacing w:after="200" w:line="276" w:lineRule="auto"/>
        <w:rPr>
          <w:rFonts w:ascii="Calibri" w:eastAsia="Calibri" w:hAnsi="Calibri"/>
          <w:lang w:val="fr-FR"/>
        </w:rPr>
      </w:pPr>
    </w:p>
    <w:p w:rsidR="001C7118" w:rsidRPr="00C86702" w:rsidRDefault="001C7118" w:rsidP="001C7118">
      <w:pPr>
        <w:shd w:val="clear" w:color="auto" w:fill="FFFFFF" w:themeFill="background1"/>
        <w:ind w:right="56"/>
        <w:rPr>
          <w:rFonts w:ascii="Calibri" w:hAnsi="Calibri"/>
          <w:lang w:val="ro-RO"/>
        </w:rPr>
      </w:pPr>
    </w:p>
    <w:p w:rsidR="0017780B" w:rsidRPr="00C86702" w:rsidRDefault="003C4194" w:rsidP="007B7908">
      <w:pPr>
        <w:widowControl w:val="0"/>
        <w:shd w:val="clear" w:color="auto" w:fill="99CCFF"/>
        <w:suppressAutoHyphens/>
        <w:spacing w:after="120"/>
        <w:rPr>
          <w:rFonts w:ascii="Calibri" w:eastAsia="SimSun" w:hAnsi="Calibri" w:cs="Mangal"/>
          <w:kern w:val="1"/>
          <w:lang w:val="ro-RO" w:eastAsia="zh-CN" w:bidi="hi-IN"/>
        </w:rPr>
      </w:pPr>
      <w:r w:rsidRPr="00C86702">
        <w:rPr>
          <w:rFonts w:ascii="Calibri" w:eastAsia="SimSun" w:hAnsi="Calibri" w:cs="Arial Narrow"/>
          <w:b/>
          <w:color w:val="000080"/>
          <w:kern w:val="1"/>
          <w:lang w:val="ro-RO" w:eastAsia="zh-CN" w:bidi="hi-IN"/>
        </w:rPr>
        <w:t xml:space="preserve">Politica în </w:t>
      </w:r>
      <w:r w:rsidRPr="00C86702">
        <w:rPr>
          <w:rFonts w:asciiTheme="minorHAnsi" w:eastAsia="SimSun" w:hAnsiTheme="minorHAnsi" w:cs="Arial Narrow"/>
          <w:b/>
          <w:color w:val="000080"/>
          <w:kern w:val="1"/>
          <w:lang w:val="ro-RO" w:eastAsia="zh-CN" w:bidi="hi-IN"/>
        </w:rPr>
        <w:t>domeniul justi</w:t>
      </w:r>
      <w:r w:rsidRPr="00C86702">
        <w:rPr>
          <w:rFonts w:asciiTheme="minorHAnsi" w:eastAsia="SimSun" w:hAnsiTheme="minorHAnsi" w:cs="Arial"/>
          <w:b/>
          <w:color w:val="000080"/>
          <w:kern w:val="1"/>
          <w:lang w:val="ro-RO" w:eastAsia="zh-CN" w:bidi="hi-IN"/>
        </w:rPr>
        <w:t>ț</w:t>
      </w:r>
      <w:r w:rsidRPr="00C86702">
        <w:rPr>
          <w:rFonts w:asciiTheme="minorHAnsi" w:eastAsia="SimSun" w:hAnsiTheme="minorHAnsi" w:cs="Arial Narrow"/>
          <w:b/>
          <w:color w:val="000080"/>
          <w:kern w:val="1"/>
          <w:lang w:val="ro-RO" w:eastAsia="zh-CN" w:bidi="hi-IN"/>
        </w:rPr>
        <w:t>iei</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În perioada 2019 - 2021 urmărim dezvoltarea unui sistem de justiție modern, eficient, accesibil și de calitate, adaptat cerințelor societății contemporane (e-justice, reducerea duratei proceselor, jurisprudență unitară, specializare, integritate, transparență) și capabil să răspundă provocărilor viitorului.</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Avem ca obiective prioritare modernizarea legislației sistemului judiciar, precum și implementarea unor măsuri imediate de natură legislativă și administrativă la nivelul sistemului penitenciar cu scopul de a crea condiții optime de detenție, în conformitate cu standardele internaționale.     </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De asemenea, avem în vedere contextul generat de faptul că România va deține mandatul Președinției Consiliului Uniunii Europene, începând cu 1 ianuarie 2019, aspect ce va implica un efort susținut și din partea instituțiilor sistemului judiciar.    </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line="276" w:lineRule="auto"/>
        <w:ind w:firstLine="708"/>
        <w:jc w:val="both"/>
        <w:rPr>
          <w:rFonts w:ascii="Calibri" w:eastAsia="SimSun" w:hAnsi="Calibri" w:cs="Mangal"/>
          <w:b/>
          <w:kern w:val="2"/>
          <w:lang w:val="ro-RO" w:eastAsia="zh-CN" w:bidi="hi-IN"/>
        </w:rPr>
      </w:pPr>
      <w:r w:rsidRPr="00DB7106">
        <w:rPr>
          <w:rFonts w:ascii="Calibri" w:eastAsia="SimSun" w:hAnsi="Calibri" w:cs="Mangal"/>
          <w:b/>
          <w:kern w:val="2"/>
          <w:lang w:val="ro-RO" w:eastAsia="zh-CN" w:bidi="hi-IN"/>
        </w:rPr>
        <w:t>Propuneri de politici perioada 2019 – 2021</w:t>
      </w:r>
    </w:p>
    <w:p w:rsidR="00DB7106" w:rsidRPr="00DB7106" w:rsidRDefault="00DB7106" w:rsidP="00DB7106">
      <w:pPr>
        <w:widowControl w:val="0"/>
        <w:suppressAutoHyphens/>
        <w:spacing w:line="276" w:lineRule="auto"/>
        <w:ind w:firstLine="708"/>
        <w:jc w:val="both"/>
        <w:rPr>
          <w:rFonts w:ascii="Calibri" w:eastAsia="SimSun" w:hAnsi="Calibri" w:cs="Mangal"/>
          <w:b/>
          <w:kern w:val="2"/>
          <w:lang w:val="ro-RO" w:eastAsia="zh-CN" w:bidi="hi-IN"/>
        </w:rPr>
      </w:pPr>
      <w:r w:rsidRPr="00DB7106">
        <w:rPr>
          <w:rFonts w:ascii="Calibri" w:eastAsia="SimSun" w:hAnsi="Calibri" w:cs="Mangal"/>
          <w:kern w:val="2"/>
          <w:lang w:val="ro-RO" w:eastAsia="zh-CN" w:bidi="hi-IN"/>
        </w:rPr>
        <w:t>Priorități strategice:</w:t>
      </w:r>
    </w:p>
    <w:p w:rsidR="00DB7106" w:rsidRPr="00DB7106" w:rsidRDefault="00DB7106" w:rsidP="00DB7106">
      <w:pPr>
        <w:widowControl w:val="0"/>
        <w:numPr>
          <w:ilvl w:val="0"/>
          <w:numId w:val="39"/>
        </w:numPr>
        <w:suppressAutoHyphens/>
        <w:spacing w:before="60" w:line="276" w:lineRule="auto"/>
        <w:ind w:left="0"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 xml:space="preserve">Consolidarea capacității administrative a instanțelor judecătorești și facilitarea </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 xml:space="preserve">          accesului la justiție; </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2.</w:t>
      </w:r>
      <w:r w:rsidRPr="00DB7106">
        <w:rPr>
          <w:rFonts w:ascii="Calibri" w:eastAsiaTheme="minorHAnsi" w:hAnsi="Calibri" w:cstheme="minorBidi"/>
          <w:lang w:val="ro-RO"/>
        </w:rPr>
        <w:tab/>
        <w:t xml:space="preserve">Consolidarea cadrului normativ și instituțional  necesar bunei desfășurări a Ministerului </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ab/>
        <w:t>Justiției ca furnizor de servicii publice</w:t>
      </w:r>
      <w:r w:rsidRPr="003964D3">
        <w:rPr>
          <w:rFonts w:ascii="Calibri" w:eastAsiaTheme="minorHAnsi" w:hAnsi="Calibri" w:cstheme="minorBidi"/>
          <w:lang w:val="fr-FR"/>
        </w:rPr>
        <w:t>;</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 xml:space="preserve">3. </w:t>
      </w:r>
      <w:r w:rsidRPr="00DB7106">
        <w:rPr>
          <w:rFonts w:ascii="Calibri" w:eastAsiaTheme="minorHAnsi" w:hAnsi="Calibri" w:cstheme="minorBidi"/>
          <w:lang w:val="ro-RO"/>
        </w:rPr>
        <w:tab/>
        <w:t>Coordonarea sistemului penitenciar;</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4.</w:t>
      </w:r>
      <w:r w:rsidRPr="00DB7106">
        <w:rPr>
          <w:rFonts w:ascii="Calibri" w:eastAsiaTheme="minorHAnsi" w:hAnsi="Calibri" w:cstheme="minorBidi"/>
          <w:lang w:val="ro-RO"/>
        </w:rPr>
        <w:tab/>
        <w:t>Dezvoltarea sistemului de probațiune;</w:t>
      </w:r>
    </w:p>
    <w:p w:rsidR="00DB7106" w:rsidRPr="00DB7106" w:rsidRDefault="00DB7106" w:rsidP="00DB7106">
      <w:pPr>
        <w:spacing w:before="60" w:line="276" w:lineRule="auto"/>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 xml:space="preserve">5.       Consolidarea capacității administrative a celorlalte instituții subordonate. </w:t>
      </w:r>
    </w:p>
    <w:p w:rsidR="00DB7106" w:rsidRPr="00DB7106" w:rsidRDefault="00DB7106" w:rsidP="00DB7106">
      <w:pPr>
        <w:widowControl w:val="0"/>
        <w:suppressAutoHyphens/>
        <w:spacing w:before="60" w:line="276" w:lineRule="auto"/>
        <w:ind w:firstLine="708"/>
        <w:jc w:val="both"/>
        <w:rPr>
          <w:rFonts w:ascii="Calibri" w:eastAsiaTheme="minorHAnsi" w:hAnsi="Calibri" w:cstheme="minorBidi"/>
          <w:lang w:val="ro-RO"/>
        </w:rPr>
      </w:pPr>
    </w:p>
    <w:p w:rsidR="00DB7106" w:rsidRPr="00DB7106" w:rsidRDefault="00DB7106" w:rsidP="00DB7106">
      <w:pPr>
        <w:widowControl w:val="0"/>
        <w:suppressAutoHyphens/>
        <w:spacing w:before="60" w:line="276" w:lineRule="auto"/>
        <w:ind w:firstLine="708"/>
        <w:jc w:val="both"/>
        <w:rPr>
          <w:rFonts w:ascii="Calibri" w:eastAsia="SimSun" w:hAnsi="Calibri" w:cs="Mangal"/>
          <w:b/>
          <w:kern w:val="2"/>
          <w:lang w:val="ro-RO" w:eastAsia="zh-CN" w:bidi="hi-IN"/>
        </w:rPr>
      </w:pPr>
      <w:r w:rsidRPr="00DB7106">
        <w:rPr>
          <w:rFonts w:ascii="Calibri" w:eastAsia="SimSun" w:hAnsi="Calibri" w:cs="Mangal"/>
          <w:b/>
          <w:kern w:val="2"/>
          <w:lang w:val="ro-RO" w:eastAsia="zh-CN" w:bidi="hi-IN"/>
        </w:rPr>
        <w:t>Principalele obiective ale politicilor sectoriale:</w:t>
      </w:r>
    </w:p>
    <w:p w:rsidR="00DB7106" w:rsidRPr="00DB7106" w:rsidRDefault="00DB7106" w:rsidP="00DB7106">
      <w:pPr>
        <w:widowControl w:val="0"/>
        <w:numPr>
          <w:ilvl w:val="0"/>
          <w:numId w:val="41"/>
        </w:numPr>
        <w:suppressAutoHyphens/>
        <w:spacing w:after="160"/>
        <w:ind w:left="0" w:firstLine="708"/>
        <w:contextualSpacing/>
        <w:jc w:val="both"/>
        <w:rPr>
          <w:rFonts w:ascii="Calibri" w:eastAsiaTheme="minorHAnsi" w:hAnsi="Calibri" w:cstheme="minorBidi"/>
          <w:b/>
          <w:lang w:val="ro-RO"/>
        </w:rPr>
      </w:pPr>
      <w:r w:rsidRPr="00DB7106">
        <w:rPr>
          <w:rFonts w:ascii="Calibri" w:eastAsiaTheme="minorHAnsi" w:hAnsi="Calibri" w:cstheme="minorBidi"/>
          <w:b/>
          <w:lang w:val="ro-RO"/>
        </w:rPr>
        <w:t>Consolidarea capacității administrative a instanțelor judecătorești și facilitarea accesului la justiție</w:t>
      </w:r>
    </w:p>
    <w:p w:rsidR="00DB7106" w:rsidRPr="00DB7106" w:rsidRDefault="00DB7106" w:rsidP="00DB7106">
      <w:pPr>
        <w:spacing w:after="160"/>
        <w:ind w:firstLine="708"/>
        <w:contextualSpacing/>
        <w:jc w:val="both"/>
        <w:rPr>
          <w:rFonts w:ascii="Calibri" w:eastAsiaTheme="minorHAnsi" w:hAnsi="Calibri" w:cstheme="minorBidi"/>
          <w:b/>
          <w:lang w:val="ro-RO"/>
        </w:rPr>
      </w:pPr>
    </w:p>
    <w:p w:rsidR="00DB7106" w:rsidRPr="00DB7106" w:rsidRDefault="00DB7106" w:rsidP="00DB7106">
      <w:pPr>
        <w:spacing w:after="160"/>
        <w:ind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Obiectivele generale ce vizează activitatea instanțelor judecătorești, pentru perioada  2019 – 2021, au fost fundamentate pe baza Programului de guvernare 2017 – 2020 și a Planului de acțiuni pentru implementarea Strategiei de dezvoltare a justiției ca serviciu public  , astfel:</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lang w:val="ro-RO"/>
        </w:rPr>
      </w:pPr>
      <w:r w:rsidRPr="00DB7106">
        <w:rPr>
          <w:rFonts w:ascii="Calibri" w:eastAsiaTheme="minorHAnsi" w:hAnsi="Calibri" w:cstheme="minorBidi"/>
          <w:bCs/>
          <w:lang w:val="ro-RO"/>
        </w:rPr>
        <w:t xml:space="preserve">     Implementarea la nivel național a proiectului </w:t>
      </w:r>
      <w:r w:rsidRPr="00DB7106">
        <w:rPr>
          <w:rFonts w:ascii="Calibri" w:eastAsiaTheme="minorHAnsi" w:hAnsi="Calibri" w:cstheme="minorBidi"/>
          <w:bCs/>
          <w:i/>
          <w:iCs/>
          <w:lang w:val="ro-RO"/>
        </w:rPr>
        <w:t>Dosarul electronic</w:t>
      </w:r>
      <w:r w:rsidRPr="00DB7106">
        <w:rPr>
          <w:rFonts w:ascii="Calibri" w:eastAsiaTheme="minorHAnsi" w:hAnsi="Calibri" w:cstheme="minorBidi"/>
          <w:bCs/>
          <w:iCs/>
          <w:lang w:val="ro-RO"/>
        </w:rPr>
        <w:t xml:space="preserve">;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lang w:val="ro-RO"/>
        </w:rPr>
      </w:pPr>
      <w:r w:rsidRPr="00DB7106">
        <w:rPr>
          <w:rFonts w:ascii="Calibri" w:eastAsiaTheme="minorHAnsi" w:hAnsi="Calibri" w:cstheme="minorBidi"/>
          <w:bCs/>
          <w:iCs/>
          <w:lang w:val="ro-RO"/>
        </w:rPr>
        <w:t>Continuarea Programului Național de investiții în infrastructura instanțelor din capitalele de județ;</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lang w:val="ro-RO"/>
        </w:rPr>
      </w:pPr>
      <w:r w:rsidRPr="00DB7106">
        <w:rPr>
          <w:rFonts w:ascii="Calibri" w:eastAsiaTheme="minorHAnsi" w:hAnsi="Calibri" w:cstheme="minorBidi"/>
          <w:bCs/>
          <w:iCs/>
          <w:lang w:val="ro-RO"/>
        </w:rPr>
        <w:t xml:space="preserve">Implementarea Proiectului Îmbunătățirea Serviciilor Judiciare, finanțat de BIRD;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 xml:space="preserve">Continuarea procesului de rearondare teritorială, ca formă de reducere a volumului mare de cauze de soluționat la unele instanțe, precum și identificarea împreună cu reprezentanții sistemului judiciar a unor noi forme de degrevare;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 xml:space="preserve">Realizarea </w:t>
      </w:r>
      <w:r w:rsidRPr="00DB7106">
        <w:rPr>
          <w:rFonts w:ascii="Calibri" w:eastAsiaTheme="minorHAnsi" w:hAnsi="Calibri" w:cstheme="minorBidi"/>
          <w:bCs/>
          <w:i/>
          <w:iCs/>
          <w:lang w:val="ro-RO"/>
        </w:rPr>
        <w:t>Cartierului pentru Justiție– Justice District</w:t>
      </w:r>
      <w:r w:rsidRPr="00DB7106">
        <w:rPr>
          <w:rFonts w:ascii="Calibri" w:eastAsiaTheme="minorHAnsi" w:hAnsi="Calibri" w:cstheme="minorBidi"/>
          <w:bCs/>
          <w:lang w:val="ro-RO"/>
        </w:rPr>
        <w:t xml:space="preserve">din București </w:t>
      </w:r>
      <w:r w:rsidRPr="00DB7106">
        <w:rPr>
          <w:rFonts w:ascii="Calibri" w:eastAsiaTheme="minorHAnsi" w:hAnsi="Calibri" w:cstheme="minorBidi"/>
          <w:lang w:val="ro-RO"/>
        </w:rPr>
        <w:t xml:space="preserve">pentru a soluționa problema lipsei spațiilor necesare instanțelor și parchetelor din capitală, în baza Memorandumului cu tema: „ Acordul de principiu privind contractarea unui împrumut de la Banca Internațională pentru Reconstrucție și Dezvoltare (BIRD) , în vederea sprijinirii proiectului </w:t>
      </w:r>
      <w:r w:rsidRPr="003964D3">
        <w:rPr>
          <w:rFonts w:ascii="Calibri" w:eastAsiaTheme="minorHAnsi" w:hAnsi="Calibri" w:cstheme="minorBidi"/>
          <w:lang w:val="ro-RO"/>
        </w:rPr>
        <w:t>“Cartierul pentru justi</w:t>
      </w:r>
      <w:r w:rsidRPr="00DB7106">
        <w:rPr>
          <w:rFonts w:ascii="Calibri" w:eastAsiaTheme="minorHAnsi" w:hAnsi="Calibri" w:cstheme="minorBidi"/>
          <w:lang w:val="ro-RO"/>
        </w:rPr>
        <w:t>ție”;</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lang w:val="ro-RO"/>
        </w:rPr>
        <w:t>Inițierea unui program național în vederea creării a 15 centre regionale de arhivă, la nivelul fiecărei curți de apel</w:t>
      </w:r>
      <w:r w:rsidRPr="003964D3">
        <w:rPr>
          <w:rFonts w:ascii="Calibri" w:eastAsiaTheme="minorHAnsi" w:hAnsi="Calibri" w:cstheme="minorBidi"/>
          <w:lang w:val="fr-FR"/>
        </w:rPr>
        <w:t>;</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lang w:val="ro-RO"/>
        </w:rPr>
        <w:t>Revizuirea statutului personalului auxiliar în acord cu cerințele noilor coduri, precum și standardizarea schemelor de personal în funcție de dimensiunea/volumul de activitate al instanței sau parchetului;</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Extinderea numărului de instanțe specializate în materie comercială de la 3 (Cluj, Pitești și Târgu Mureș) la 15, respectiv în București și în reședințele de județ în care funcționează curți de apel, instanțe unde își vor desfășura activitatea judecători specializați;</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Înființarea unei instanțe pilot în materie de contencios administrativ și fiscal care să funcționeze în capitala țării;</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Reducerea taxelor judiciare de timbru atunci când obiectul acestora este evaluabil în bani</w:t>
      </w:r>
      <w:r w:rsidRPr="00DB7106">
        <w:rPr>
          <w:rFonts w:ascii="Calibri" w:eastAsiaTheme="minorHAnsi" w:hAnsi="Calibri" w:cstheme="minorBidi"/>
          <w:bCs/>
        </w:rPr>
        <w:t>;</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lang w:val="ro-RO"/>
        </w:rPr>
      </w:pPr>
      <w:r w:rsidRPr="00DB7106">
        <w:rPr>
          <w:rFonts w:ascii="Calibri" w:eastAsiaTheme="minorHAnsi" w:hAnsi="Calibri" w:cstheme="minorBidi"/>
          <w:bCs/>
          <w:lang w:val="ro-RO"/>
        </w:rPr>
        <w:t xml:space="preserve">Echilibrarea, împreună cu CSM a schemelor de judecători și în mod special a posturilor de personal  auxiliar de specialitate, astfel încât să se ajungă la un raport de 1,5 – 2 grefieri/judecător, în acord cu standardele europene.   </w:t>
      </w:r>
    </w:p>
    <w:p w:rsidR="00DB7106" w:rsidRPr="00DB7106" w:rsidRDefault="00DB7106" w:rsidP="00DB7106">
      <w:pPr>
        <w:widowControl w:val="0"/>
        <w:suppressAutoHyphens/>
        <w:spacing w:before="60"/>
        <w:ind w:firstLine="708"/>
        <w:jc w:val="both"/>
        <w:rPr>
          <w:rFonts w:ascii="Calibri" w:eastAsia="SimSun" w:hAnsi="Calibri" w:cs="Mangal"/>
          <w:bCs/>
          <w:kern w:val="2"/>
          <w:lang w:val="ro-RO" w:eastAsia="zh-CN" w:bidi="hi-IN"/>
        </w:rPr>
      </w:pPr>
    </w:p>
    <w:p w:rsidR="00DB7106" w:rsidRPr="00DB7106" w:rsidRDefault="00DB7106" w:rsidP="00DB7106">
      <w:pPr>
        <w:widowControl w:val="0"/>
        <w:numPr>
          <w:ilvl w:val="0"/>
          <w:numId w:val="41"/>
        </w:numPr>
        <w:suppressAutoHyphens/>
        <w:spacing w:before="240"/>
        <w:ind w:left="0" w:firstLine="708"/>
        <w:jc w:val="both"/>
        <w:rPr>
          <w:rFonts w:ascii="Calibri" w:eastAsiaTheme="minorHAnsi" w:hAnsi="Calibri" w:cstheme="minorBidi"/>
          <w:b/>
          <w:bCs/>
          <w:lang w:val="ro-RO"/>
        </w:rPr>
      </w:pPr>
      <w:r w:rsidRPr="00DB7106">
        <w:rPr>
          <w:rFonts w:ascii="Calibri" w:eastAsiaTheme="minorHAnsi" w:hAnsi="Calibri" w:cstheme="minorBidi"/>
          <w:b/>
          <w:lang w:val="ro-RO"/>
        </w:rPr>
        <w:t xml:space="preserve">Consolidarea cadrului normativ și instituțional necesar bunei desfășurări a Ministerului Justiției ca furnizor de servicii publice </w:t>
      </w:r>
    </w:p>
    <w:p w:rsidR="00DB7106" w:rsidRPr="00DB7106" w:rsidRDefault="00DB7106" w:rsidP="00DB7106">
      <w:pPr>
        <w:widowControl w:val="0"/>
        <w:suppressAutoHyphens/>
        <w:spacing w:before="60"/>
        <w:ind w:firstLine="708"/>
        <w:jc w:val="both"/>
        <w:rPr>
          <w:rFonts w:ascii="Calibri" w:eastAsia="SimSun" w:hAnsi="Calibri" w:cs="Mangal"/>
          <w:bCs/>
          <w:kern w:val="2"/>
          <w:lang w:val="ro-RO" w:eastAsia="zh-CN" w:bidi="hi-IN"/>
        </w:rPr>
      </w:pPr>
      <w:r w:rsidRPr="00DB7106">
        <w:rPr>
          <w:rFonts w:ascii="Calibri" w:eastAsia="SimSun" w:hAnsi="Calibri" w:cs="Mangal"/>
          <w:bCs/>
          <w:kern w:val="2"/>
          <w:lang w:val="ro-RO" w:eastAsia="zh-CN" w:bidi="hi-IN"/>
        </w:rPr>
        <w:t xml:space="preserve">Luând în calcul progresele României și atingerea benchmarkurilor, reperele inițiale ale MCV, Guvernul și CE vor coopera pentru ridicarea MCV în mandatul actualei Comisii. </w:t>
      </w:r>
    </w:p>
    <w:p w:rsidR="00DB7106" w:rsidRPr="00DB7106" w:rsidRDefault="00DB7106" w:rsidP="00DB7106">
      <w:pPr>
        <w:widowControl w:val="0"/>
        <w:suppressAutoHyphens/>
        <w:spacing w:before="60"/>
        <w:ind w:firstLine="708"/>
        <w:jc w:val="both"/>
        <w:rPr>
          <w:rFonts w:ascii="Calibri" w:eastAsia="SimSun" w:hAnsi="Calibri" w:cs="Mangal"/>
          <w:bCs/>
          <w:kern w:val="2"/>
          <w:lang w:val="ro-RO" w:eastAsia="zh-CN" w:bidi="hi-IN"/>
        </w:rPr>
      </w:pPr>
      <w:r w:rsidRPr="00DB7106">
        <w:rPr>
          <w:rFonts w:ascii="Calibri" w:eastAsia="SimSun" w:hAnsi="Calibri" w:cs="Mangal"/>
          <w:kern w:val="2"/>
          <w:lang w:val="ro-RO" w:eastAsia="zh-CN" w:bidi="hi-IN"/>
        </w:rPr>
        <w:t xml:space="preserve">Proiectul de </w:t>
      </w:r>
      <w:r w:rsidRPr="00DB7106">
        <w:rPr>
          <w:rFonts w:ascii="Calibri" w:eastAsia="SimSun" w:hAnsi="Calibri" w:cs="Mangal"/>
          <w:i/>
          <w:kern w:val="2"/>
          <w:lang w:val="ro-RO" w:eastAsia="zh-CN" w:bidi="hi-IN"/>
        </w:rPr>
        <w:t>Îmbunătățire a Serviciilor Judiciare (PISJ),</w:t>
      </w:r>
      <w:r w:rsidRPr="00DB7106">
        <w:rPr>
          <w:rFonts w:ascii="Calibri" w:eastAsia="SimSun" w:hAnsi="Calibri" w:cs="Mangal"/>
          <w:kern w:val="2"/>
          <w:lang w:val="ro-RO" w:eastAsia="zh-CN" w:bidi="hi-IN"/>
        </w:rPr>
        <w:t xml:space="preserve"> finanțat de BIRD prin acordul de împrumut nr. RO - 8695, ratificat prin Legea 173/2017 a fost inițiat, negociat și aprobat, deoarece Raportul Comisiei Europene privind progresele înregistrate de România în cadrul MCV din 27.01.2016, specifica faptul că investițiile în sediile și infrastructura IT a instanțelor trebuie continuate și în anii următori. Astfel, raportul MCV menționează că: “Reforma structurală a sistemului judiciar trebuie, de asemenea, să fie însoțită de modernizarea clădirilor și a sistemelor informatice: sunt în curs de desfășurare o serie de lucrări de construcție sau de reabilitare a instanțelor, finanțate prin intermediul împrumuturilor acordate de Banca Mondială.” Astfel, peste 80% din valoarea împrumutului aferent PISJ este dedicată pentru modernizarea sistemelor informatice la nivelul sistemului judiciar (instanțe, parchete, ONRC) și pentru reabilitarea/construirea a șase judecătorii în zonele sărace, respectiv finalizarea lucrărilor la cele trei sedii de instanțe preluate din Proiectul Reforma Sistemului Judiciar. Din acest motiv, implementarea cu succes a PISJ va contribui, alături de celelalte realizări la nivel de Guvern, în procesul de cooperare cu CE pentru ridicarea MCV.</w:t>
      </w:r>
    </w:p>
    <w:p w:rsidR="00DB7106" w:rsidRPr="00DB7106" w:rsidRDefault="00DB7106" w:rsidP="00DB7106">
      <w:pPr>
        <w:widowControl w:val="0"/>
        <w:suppressAutoHyphens/>
        <w:spacing w:before="60"/>
        <w:ind w:firstLine="708"/>
        <w:jc w:val="both"/>
        <w:rPr>
          <w:rFonts w:ascii="Calibri" w:eastAsia="SimSun" w:hAnsi="Calibri" w:cs="Mangal"/>
          <w:bCs/>
          <w:kern w:val="2"/>
          <w:lang w:val="ro-RO" w:eastAsia="zh-CN" w:bidi="hi-IN"/>
        </w:rPr>
      </w:pPr>
      <w:r w:rsidRPr="00DB7106">
        <w:rPr>
          <w:rFonts w:ascii="Calibri" w:eastAsia="SimSun" w:hAnsi="Calibri" w:cs="Mangal"/>
          <w:bCs/>
          <w:kern w:val="2"/>
          <w:lang w:val="ro-RO" w:eastAsia="zh-CN" w:bidi="hi-IN"/>
        </w:rPr>
        <w:t>O altă prioritate o constituie și continuarea proiectului „Educația juridică în școli”, pornind de la Protocolul semnat în 2013 între Ministerul Justiției, CSM, Ministerul Public și Ministerul Educației Naționale.</w:t>
      </w:r>
    </w:p>
    <w:p w:rsidR="00DB7106" w:rsidRPr="00DB7106" w:rsidRDefault="00DB7106" w:rsidP="00DB7106">
      <w:pPr>
        <w:widowControl w:val="0"/>
        <w:numPr>
          <w:ilvl w:val="0"/>
          <w:numId w:val="41"/>
        </w:numPr>
        <w:suppressAutoHyphens/>
        <w:spacing w:before="240"/>
        <w:ind w:left="0" w:firstLine="708"/>
        <w:jc w:val="both"/>
        <w:rPr>
          <w:rFonts w:ascii="Calibri" w:eastAsiaTheme="minorHAnsi" w:hAnsi="Calibri" w:cstheme="minorBidi"/>
          <w:b/>
          <w:lang w:val="ro-RO"/>
        </w:rPr>
      </w:pPr>
      <w:r w:rsidRPr="00DB7106">
        <w:rPr>
          <w:rFonts w:ascii="Calibri" w:eastAsiaTheme="minorHAnsi" w:hAnsi="Calibri" w:cstheme="minorBidi"/>
          <w:b/>
          <w:lang w:val="ro-RO"/>
        </w:rPr>
        <w:t xml:space="preserve">Coordonarea sistemului penitenciar                                                                                                                                       </w:t>
      </w:r>
    </w:p>
    <w:p w:rsidR="00DB7106" w:rsidRPr="00DB7106" w:rsidRDefault="00DB7106" w:rsidP="00DB7106">
      <w:pPr>
        <w:widowControl w:val="0"/>
        <w:suppressAutoHyphens/>
        <w:ind w:firstLine="708"/>
        <w:jc w:val="both"/>
        <w:rPr>
          <w:rFonts w:ascii="Calibri" w:eastAsia="SimSun" w:hAnsi="Calibri" w:cs="Mangal"/>
          <w:b/>
          <w:kern w:val="2"/>
          <w:lang w:val="ro-RO" w:eastAsia="zh-CN" w:bidi="hi-IN"/>
        </w:rPr>
      </w:pPr>
      <w:r w:rsidRPr="00DB7106">
        <w:rPr>
          <w:rFonts w:ascii="Calibri" w:eastAsia="SimSun" w:hAnsi="Calibri" w:cs="Mangal"/>
          <w:kern w:val="2"/>
          <w:lang w:val="ro-RO" w:eastAsia="zh-CN" w:bidi="hi-IN"/>
        </w:rPr>
        <w:t xml:space="preserve">Sistemul penitenciar românesc este o componentă a sistemului de ordine publică și siguranță națională a României al cărui scop principal este acela de dezvoltare a unui serviciu public, transparent și sigur pentru comunitate, bazat pe garantarea siguranței locurilor de detenție și pe reintegrarea socială a persoanelor condamnate la pedepse privative de libertate.  </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Administrația Națională a Penitenciarelor aplică în domeniile sale  de competența, politica Guvernului României privind executarea pedepselor și măsurilor privative de libertate pronunțate de instanțele judecătorești, propunându-și realizarea următoarelor obiective prioritare:</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contextualSpacing/>
        <w:jc w:val="both"/>
        <w:rPr>
          <w:rFonts w:ascii="Calibri" w:eastAsia="SimSun" w:hAnsi="Calibri" w:cs="Mangal"/>
          <w:b/>
          <w:i/>
          <w:kern w:val="2"/>
          <w:lang w:val="ro-RO" w:eastAsia="zh-CN" w:bidi="hi-IN"/>
        </w:rPr>
      </w:pPr>
      <w:r w:rsidRPr="00DB7106">
        <w:rPr>
          <w:rFonts w:ascii="Calibri" w:eastAsia="SimSun" w:hAnsi="Calibri" w:cs="Mangal"/>
          <w:b/>
          <w:kern w:val="2"/>
          <w:lang w:val="ro-RO" w:eastAsia="zh-CN" w:bidi="hi-IN"/>
        </w:rPr>
        <w:t xml:space="preserve">3.1  </w:t>
      </w:r>
      <w:r w:rsidRPr="00DB7106">
        <w:rPr>
          <w:rFonts w:ascii="Calibri" w:eastAsia="SimSun" w:hAnsi="Calibri" w:cs="Mangal"/>
          <w:b/>
          <w:i/>
          <w:kern w:val="2"/>
          <w:lang w:val="ro-RO" w:eastAsia="zh-CN" w:bidi="hi-IN"/>
        </w:rPr>
        <w:t>Modernizarea și dezvoltarea infrastructurii sistemului penitenciar</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Asigurarea unor condiții optime de detenție și de transport, în conformitate cu standardele internaționale, reprezintă o prioritate a sistemului administrației penitenciare. </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În ședința din data de 17 ianuarie 2018, Guvernul României a  aprobat, prin Memorandum, Calendarul de măsuri 2018 – 2024 pentru soluționarea supraaglomerării carcerale și a condițiilor de detenție , în executarea hotărârii – pilot Rezmives și alții împotriva României, pronunțată de Curtea Europeană a Drepturilor Omului la 25 aprilie 2017, în vederea înaintării acestuia către Consiliul Europei.</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Ca urmare a aplicării prevederilor Legii nr. 169/2017 privind modificarea și completarea Legii nr.254/2013, prin care s-a instituit un mecanism compensatoriu, pentru acordarea unui beneficiu de 6 zile considerate executate suplimentar pentru un număr de 30 de zile de custodie în spații de detenție necorespunzătoare, deficitul de locuri de cazare a înregistrat un trend descendent. La data de 19.06.2018, sistemul penitenciar avea în custodie 22.502 persoane private de libertate și înregistra un deficit de 3.951 locuri de cazare, calculat la 4 mp pentru fiecare deținut.       </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Actualul plan de măsuri prevede extinderea capacității de cazare a sistemului penitenciar, fiind avute în vedere mai multe aspecte, precum:</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lang w:val="ro-RO"/>
        </w:rPr>
      </w:pPr>
      <w:r w:rsidRPr="00DB7106">
        <w:rPr>
          <w:rFonts w:ascii="Calibri" w:eastAsiaTheme="minorHAnsi" w:hAnsi="Calibri" w:cstheme="minorBidi"/>
          <w:lang w:val="ro-RO"/>
        </w:rPr>
        <w:t>gradul de uzură al unora dintre clădiri, care poate determina condiții improprii de cazare pentru deținuți și ar impune scoaterea acestora din folosință</w:t>
      </w:r>
      <w:r w:rsidRPr="003964D3">
        <w:rPr>
          <w:rFonts w:ascii="Calibri" w:eastAsiaTheme="minorHAnsi" w:hAnsi="Calibri" w:cstheme="minorBidi"/>
          <w:lang w:val="ro-RO"/>
        </w:rPr>
        <w:t>;</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lang w:val="ro-RO"/>
        </w:rPr>
      </w:pPr>
      <w:r w:rsidRPr="003964D3">
        <w:rPr>
          <w:rFonts w:ascii="Calibri" w:eastAsiaTheme="minorHAnsi" w:hAnsi="Calibri" w:cstheme="minorBidi"/>
          <w:lang w:val="ro-RO"/>
        </w:rPr>
        <w:t>modernizarea locurilor de cazare presupune recompartimentarea spa</w:t>
      </w:r>
      <w:r w:rsidRPr="00DB7106">
        <w:rPr>
          <w:rFonts w:ascii="Calibri" w:eastAsiaTheme="minorHAnsi" w:hAnsi="Calibri" w:cstheme="minorBidi"/>
          <w:lang w:val="ro-RO"/>
        </w:rPr>
        <w:t>țiilor, conform normelor europene și conduce, în mod inevitabil, la scăderea capacității de cazare</w:t>
      </w:r>
      <w:r w:rsidRPr="003964D3">
        <w:rPr>
          <w:rFonts w:ascii="Calibri" w:eastAsiaTheme="minorHAnsi" w:hAnsi="Calibri" w:cstheme="minorBidi"/>
          <w:lang w:val="ro-RO"/>
        </w:rPr>
        <w:t>;</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lang w:val="ro-RO"/>
        </w:rPr>
      </w:pPr>
      <w:r w:rsidRPr="003964D3">
        <w:rPr>
          <w:rFonts w:ascii="Calibri" w:eastAsiaTheme="minorHAnsi" w:hAnsi="Calibri" w:cstheme="minorBidi"/>
          <w:lang w:val="ro-RO"/>
        </w:rPr>
        <w:t>nu poate fi estimat</w:t>
      </w:r>
      <w:r w:rsidRPr="00DB7106">
        <w:rPr>
          <w:rFonts w:ascii="Calibri" w:eastAsiaTheme="minorHAnsi" w:hAnsi="Calibri" w:cstheme="minorBidi"/>
          <w:lang w:val="ro-RO"/>
        </w:rPr>
        <w:t xml:space="preserve">ă evoluția efectivului de deținuți custodiat de sistemul penitenciar (ex: noul Cod Penal stabilește pedepse mai mari pentru recidiviști, de beneficiul instituției liberării condiționate se bucură doar condamnații repartizați în regimurile deschis și semideschis etc.).    </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Aplicarea măsurilor stabilite în plan va asigura crearea unui număr de 8.095 locuri noi de cazare și modernizarea a 1.351 locuri de cazare.      </w:t>
      </w:r>
    </w:p>
    <w:p w:rsidR="00DB7106" w:rsidRPr="00DB7106" w:rsidRDefault="00DB7106" w:rsidP="00DB7106">
      <w:pPr>
        <w:widowControl w:val="0"/>
        <w:suppressAutoHyphens/>
        <w:spacing w:line="276" w:lineRule="auto"/>
        <w:ind w:firstLine="708"/>
        <w:jc w:val="both"/>
        <w:rPr>
          <w:rFonts w:ascii="Arial" w:eastAsia="SimSun" w:hAnsi="Arial" w:cs="Arial"/>
          <w:b/>
          <w:bCs/>
          <w:color w:val="500050"/>
          <w:kern w:val="2"/>
          <w:shd w:val="clear" w:color="auto" w:fill="FFFFFF"/>
          <w:lang w:val="ro-RO" w:eastAsia="zh-CN" w:bidi="hi-IN"/>
        </w:rPr>
      </w:pPr>
    </w:p>
    <w:p w:rsidR="00DB7106" w:rsidRPr="00DB7106" w:rsidRDefault="00DB7106" w:rsidP="00DB7106">
      <w:pPr>
        <w:widowControl w:val="0"/>
        <w:suppressAutoHyphens/>
        <w:spacing w:line="276" w:lineRule="auto"/>
        <w:ind w:firstLine="708"/>
        <w:jc w:val="both"/>
        <w:rPr>
          <w:rFonts w:ascii="Calibri" w:eastAsia="SimSun" w:hAnsi="Calibri" w:cs="Mangal"/>
          <w:b/>
          <w:i/>
          <w:kern w:val="2"/>
          <w:lang w:val="ro-RO" w:eastAsia="zh-CN" w:bidi="hi-IN"/>
        </w:rPr>
      </w:pPr>
      <w:r w:rsidRPr="00DB7106">
        <w:rPr>
          <w:rFonts w:ascii="Calibri" w:eastAsia="SimSun" w:hAnsi="Calibri" w:cs="Mangal"/>
          <w:b/>
          <w:i/>
          <w:kern w:val="2"/>
          <w:lang w:val="ro-RO" w:eastAsia="zh-CN" w:bidi="hi-IN"/>
        </w:rPr>
        <w:t>3.2 Garantarea siguranței sistemului administrației penitenciare și uniformizarea modului de aplicare a regimului penitenciar</w:t>
      </w:r>
    </w:p>
    <w:p w:rsidR="00DB7106" w:rsidRPr="00DB7106" w:rsidRDefault="00DB7106" w:rsidP="00DB7106">
      <w:pPr>
        <w:widowControl w:val="0"/>
        <w:suppressAutoHyphens/>
        <w:ind w:firstLine="708"/>
        <w:jc w:val="both"/>
        <w:rPr>
          <w:rFonts w:ascii="Calibri" w:eastAsia="SimSun" w:hAnsi="Calibri" w:cs="Mangal"/>
          <w:b/>
          <w:i/>
          <w:kern w:val="2"/>
          <w:lang w:val="ro-RO" w:eastAsia="zh-CN" w:bidi="hi-IN"/>
        </w:rPr>
      </w:pPr>
      <w:r w:rsidRPr="00DB7106">
        <w:rPr>
          <w:rFonts w:ascii="Calibri" w:eastAsia="SimSun" w:hAnsi="Calibri" w:cs="Mangal"/>
          <w:kern w:val="2"/>
          <w:lang w:val="ro-RO" w:eastAsia="zh-CN" w:bidi="hi-IN"/>
        </w:rPr>
        <w:t>Realizarea acestui obiectiv strategic este condiționată de următoarele aspecte: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completarea cadrului normativ ca urmare a modificării legii execuțional-penale</w:t>
      </w:r>
      <w:r w:rsidRPr="00DB7106">
        <w:rPr>
          <w:rFonts w:ascii="Calibri" w:eastAsiaTheme="minorHAnsi" w:hAnsi="Calibri" w:cstheme="minorBidi"/>
          <w:bCs/>
        </w:rPr>
        <w:t>;</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asigurarea și respectarea drepturilor deținuților;</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calificarea deținuților în diferite meserii și includerea lor în activități lucrative prin intermediul atelierelor de producție/gospodăriilor agrozootehnice.</w:t>
      </w:r>
    </w:p>
    <w:p w:rsidR="00DB7106" w:rsidRPr="00DB7106" w:rsidRDefault="00DB7106" w:rsidP="00DB7106">
      <w:pPr>
        <w:spacing w:after="160"/>
        <w:ind w:firstLine="708"/>
        <w:contextualSpacing/>
        <w:jc w:val="both"/>
        <w:rPr>
          <w:rFonts w:ascii="Calibri" w:eastAsiaTheme="minorHAnsi" w:hAnsi="Calibri" w:cstheme="minorBidi"/>
          <w:b/>
          <w:i/>
          <w:sz w:val="22"/>
          <w:szCs w:val="22"/>
          <w:lang w:val="ro-RO"/>
        </w:rPr>
      </w:pPr>
    </w:p>
    <w:p w:rsidR="00DB7106" w:rsidRPr="00DB7106" w:rsidRDefault="00DB7106" w:rsidP="00DB7106">
      <w:pPr>
        <w:widowControl w:val="0"/>
        <w:suppressAutoHyphens/>
        <w:ind w:firstLine="708"/>
        <w:jc w:val="both"/>
        <w:rPr>
          <w:rFonts w:ascii="Calibri" w:eastAsia="SimSun" w:hAnsi="Calibri" w:cs="Arial"/>
          <w:kern w:val="2"/>
          <w:lang w:val="ro-RO" w:eastAsia="zh-CN" w:bidi="hi-IN"/>
        </w:rPr>
      </w:pPr>
      <w:r w:rsidRPr="00DB7106">
        <w:rPr>
          <w:rFonts w:ascii="Calibri" w:eastAsia="SimSun" w:hAnsi="Calibri" w:cs="Arial"/>
          <w:kern w:val="2"/>
          <w:lang w:val="ro-RO" w:eastAsia="zh-CN" w:bidi="hi-IN"/>
        </w:rPr>
        <w:t xml:space="preserve">   Acest obiectiv are ca rezultat îmbunătățirea capacității de supraveghere, control şi limitarea</w:t>
      </w:r>
    </w:p>
    <w:p w:rsidR="00DB7106" w:rsidRPr="00DB7106" w:rsidRDefault="00DB7106" w:rsidP="00DB7106">
      <w:pPr>
        <w:widowControl w:val="0"/>
        <w:suppressAutoHyphens/>
        <w:ind w:firstLine="708"/>
        <w:jc w:val="both"/>
        <w:rPr>
          <w:rFonts w:ascii="Calibri" w:eastAsia="SimSun" w:hAnsi="Calibri" w:cs="Arial"/>
          <w:kern w:val="2"/>
          <w:lang w:val="ro-RO" w:eastAsia="zh-CN" w:bidi="hi-IN"/>
        </w:rPr>
      </w:pPr>
      <w:r w:rsidRPr="00DB7106">
        <w:rPr>
          <w:rFonts w:ascii="Calibri" w:eastAsia="SimSun" w:hAnsi="Calibri" w:cs="Arial"/>
          <w:kern w:val="2"/>
          <w:lang w:val="ro-RO" w:eastAsia="zh-CN" w:bidi="hi-IN"/>
        </w:rPr>
        <w:t xml:space="preserve">   sustragerilor de la executarea pedepselor şi presupune: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 xml:space="preserve">implementarea sistemelor integrate de pază, supraveghere video și control acces (Penitenciarele Constanța Poarta Albă, Ploieşti, Satu-Mare, Baia-Mare, Bistriţa, Deva, Drobeta Turnu Severin, Târgu Jiu, Vaslui, Jilava); </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dotarea adecvată a personalului care execută misiuni de pază, supraveghere, escortare şi intervenţie cu mijloace şi echipamente specifice;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achiziţionarea şi dotarea tuturor unităţilor penitenciare cu mijloace pentru efectuarea controlului antiterorist şi de specialitate;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continuarea achiziţionării şi dotării întregului personal cu ţinută de serviciu;</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implementarea la nivelul sistemului penitenciar a unui sistem de supraveghere electronică de la distanţă a deţinuţilor care ies din penitenciar fără supraveghere;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blocarea/diminuarea semnalului GSM în unităţile subordonate Administraţiei Naţionale a Penitenciarelor, în vederea eliminării/reducerii posibilităţii de utilizare în mod ilegal a telefoniei mobile de către deţinuţi;</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organizarea de exerciții de alarmare și de efectuare a unor exerciții tactico-aplicative, cu participarea unor efective din mai multe penitenciare și din celelalte structuri din sistemul de ordine publică și siguranță națională</w:t>
      </w:r>
      <w:r w:rsidRPr="003964D3">
        <w:rPr>
          <w:rFonts w:ascii="Calibri" w:eastAsiaTheme="minorHAnsi" w:hAnsi="Calibri" w:cstheme="minorBidi"/>
          <w:bCs/>
          <w:lang w:val="fr-FR"/>
        </w:rPr>
        <w:t>;</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rPr>
        <w:t>achizi</w:t>
      </w:r>
      <w:r w:rsidRPr="00DB7106">
        <w:rPr>
          <w:rFonts w:ascii="Calibri" w:eastAsiaTheme="minorHAnsi" w:hAnsi="Calibri" w:cstheme="minorBidi"/>
          <w:bCs/>
          <w:lang w:val="ro-RO"/>
        </w:rPr>
        <w:t xml:space="preserve">ționarea și implementarea sistemelor tip </w:t>
      </w:r>
      <w:r w:rsidRPr="00DB7106">
        <w:rPr>
          <w:rFonts w:ascii="Calibri" w:eastAsiaTheme="minorHAnsi" w:hAnsi="Calibri" w:cstheme="minorBidi"/>
          <w:bCs/>
        </w:rPr>
        <w:t>“Body Cam”;</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rPr>
        <w:t xml:space="preserve">modernizarea </w:t>
      </w:r>
      <w:r w:rsidRPr="00DB7106">
        <w:rPr>
          <w:rFonts w:ascii="Calibri" w:eastAsiaTheme="minorHAnsi" w:hAnsi="Calibri" w:cstheme="minorBidi"/>
          <w:bCs/>
          <w:lang w:val="ro-RO"/>
        </w:rPr>
        <w:t>și asigurarea funcționalității sistemelor de protecție valori umane „Mandown”;</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implementarea unor sisteme electronice de gestionare a unor documente și activități specifice siguranței deținerii și aplicării regimului penitenciar</w:t>
      </w:r>
      <w:r w:rsidRPr="00DB7106">
        <w:rPr>
          <w:rFonts w:ascii="Calibri" w:eastAsiaTheme="minorHAnsi" w:hAnsi="Calibri" w:cstheme="minorBidi"/>
          <w:bCs/>
        </w:rPr>
        <w:t>;</w:t>
      </w:r>
    </w:p>
    <w:p w:rsidR="00DB7106" w:rsidRPr="008D4CBC"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lang w:val="ro-RO"/>
        </w:rPr>
      </w:pPr>
      <w:r w:rsidRPr="00DB7106">
        <w:rPr>
          <w:rFonts w:ascii="Calibri" w:eastAsiaTheme="minorHAnsi" w:hAnsi="Calibri" w:cstheme="minorBidi"/>
          <w:bCs/>
          <w:lang w:val="ro-RO"/>
        </w:rPr>
        <w:t>încheierea şi implementarea protocoalelor de colaborare cu instanţele judecătoreşti (citare electronică şi videoconferință).</w:t>
      </w:r>
    </w:p>
    <w:p w:rsidR="008D4CBC" w:rsidRPr="00DB7106" w:rsidRDefault="008D4CBC" w:rsidP="008D4CBC">
      <w:pPr>
        <w:widowControl w:val="0"/>
        <w:suppressAutoHyphens/>
        <w:spacing w:after="160"/>
        <w:ind w:left="708"/>
        <w:contextualSpacing/>
        <w:jc w:val="both"/>
        <w:rPr>
          <w:rFonts w:ascii="Calibri" w:eastAsiaTheme="minorHAnsi" w:hAnsi="Calibri" w:cstheme="minorBidi"/>
          <w:b/>
          <w:i/>
          <w:sz w:val="22"/>
          <w:szCs w:val="22"/>
          <w:lang w:val="ro-RO"/>
        </w:rPr>
      </w:pPr>
    </w:p>
    <w:p w:rsidR="00DB7106" w:rsidRPr="00DB7106" w:rsidRDefault="00DB7106" w:rsidP="00DB7106">
      <w:pPr>
        <w:widowControl w:val="0"/>
        <w:suppressAutoHyphens/>
        <w:spacing w:line="276" w:lineRule="auto"/>
        <w:ind w:firstLine="708"/>
        <w:jc w:val="both"/>
        <w:rPr>
          <w:rFonts w:ascii="Calibri" w:eastAsia="SimSun" w:hAnsi="Calibri" w:cs="Mangal"/>
          <w:b/>
          <w:i/>
          <w:kern w:val="2"/>
          <w:lang w:val="ro-RO" w:eastAsia="zh-CN" w:bidi="hi-IN"/>
        </w:rPr>
      </w:pPr>
      <w:r w:rsidRPr="00DB7106">
        <w:rPr>
          <w:rFonts w:ascii="Calibri" w:eastAsia="SimSun" w:hAnsi="Calibri" w:cs="Mangal"/>
          <w:b/>
          <w:i/>
          <w:kern w:val="2"/>
          <w:lang w:val="ro-RO" w:eastAsia="zh-CN" w:bidi="hi-IN"/>
        </w:rPr>
        <w:t>3.3 Educație, asistența psihologică și asistență socială adaptate nevoilor deținuților, în vederea creșterii șanselor de reintegrare sociala a deținuților</w:t>
      </w:r>
    </w:p>
    <w:p w:rsidR="00DB7106" w:rsidRPr="00DB7106" w:rsidRDefault="00DB7106" w:rsidP="00DB7106">
      <w:pPr>
        <w:widowControl w:val="0"/>
        <w:suppressAutoHyphens/>
        <w:spacing w:before="60"/>
        <w:ind w:firstLine="708"/>
        <w:jc w:val="both"/>
        <w:rPr>
          <w:rFonts w:ascii="Calibri" w:eastAsia="SimSun" w:hAnsi="Calibri" w:cs="Mangal"/>
          <w:kern w:val="2"/>
          <w:sz w:val="22"/>
          <w:szCs w:val="22"/>
          <w:lang w:val="ro-RO" w:eastAsia="zh-CN" w:bidi="hi-IN"/>
        </w:rPr>
      </w:pPr>
      <w:r w:rsidRPr="00DB7106">
        <w:rPr>
          <w:rFonts w:ascii="Calibri" w:eastAsia="SimSun" w:hAnsi="Calibri" w:cs="Mangal"/>
          <w:kern w:val="2"/>
          <w:lang w:val="ro-RO" w:eastAsia="zh-CN" w:bidi="hi-IN"/>
        </w:rPr>
        <w:t xml:space="preserve">Prin Hotărârea de Guvern nr. 389/2015 privind Strategia naţională de reintegrare socială a persoanelor private de libertate 2015-2019 s-a creat, la nivel naţional, mecanismul interinstituţional de acţiune necesar pentru actorii sociali, cu rol în etapele succesive ale procesului de reintegrare socială. În acest mecanism, serviciul penitenciar are un rol esenţial în pregătirea pentru perioada post-detenţie și reintegrarea socială a </w:t>
      </w:r>
      <w:r w:rsidRPr="00DB7106">
        <w:rPr>
          <w:rFonts w:ascii="Calibri" w:eastAsia="SimSun" w:hAnsi="Calibri" w:cs="Mangal"/>
          <w:kern w:val="2"/>
          <w:sz w:val="22"/>
          <w:szCs w:val="22"/>
          <w:lang w:val="ro-RO" w:eastAsia="zh-CN" w:bidi="hi-IN"/>
        </w:rPr>
        <w:t>persoanelor private de libertate.</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Pentru concretizarea acestui obiectiv este necesară corelarea nevoilor persoanelor private de</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libertate cu demersurile recuperative aferente domeniilor educațional, psihologic, social.</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În acest sens, una dintre prioritățile sistemului penitenciar constă în dezvoltarea și adaptarea metodologiilor și instrumentelor de intervenție la specificul dinamic al populației carcerale, în contextul planificării individualizate a pedepselor privative de libertate și a asigurării regimului progresiv de executare, care trebuie să permită accesarea vocației de liberare condiționată.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Demersurile specifice de educaţie, asistenţă psihologică şi asistenţă socială sunt destinate pregătirii deţinuţilor în vederea reintegrării socio-profesionale a acestora, sprijinul în perioada postdetenţie fiind absolut necesare pentru reducerea ratei recidivei.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Aplicarea </w:t>
      </w:r>
      <w:r w:rsidRPr="00DB7106">
        <w:rPr>
          <w:rFonts w:ascii="Calibri" w:eastAsia="SimSun" w:hAnsi="Calibri" w:cs="Mangal"/>
          <w:i/>
          <w:kern w:val="2"/>
          <w:lang w:val="ro-RO" w:eastAsia="zh-CN" w:bidi="hi-IN"/>
        </w:rPr>
        <w:t>Strategiei de reintegrare socială a persoanelor private de libertate</w:t>
      </w:r>
      <w:r w:rsidRPr="00DB7106">
        <w:rPr>
          <w:rFonts w:ascii="Calibri" w:eastAsia="SimSun" w:hAnsi="Calibri" w:cs="Mangal"/>
          <w:kern w:val="2"/>
          <w:lang w:val="ro-RO" w:eastAsia="zh-CN" w:bidi="hi-IN"/>
        </w:rPr>
        <w:t xml:space="preserve"> , figurează printre măsurile cuprinse în Programul de guvernare, subsumate capitolului Justiție.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Sunt avute în vedere pentru anii următori continuarea procesului de standardizare a domeniului reintegrare socială, revizuirea ofertei de programe și activități, consolidarea implementării acestora, actualizarea metodologiilor și a procedurilor, pentru a eficientiza asistența asigurată persoanelor custodiate, la nivelul fiecărei unități de deținere din sistemul penitenciar.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jc w:val="both"/>
        <w:rPr>
          <w:rFonts w:ascii="Calibri" w:eastAsia="SimSun" w:hAnsi="Calibri" w:cs="Mangal"/>
          <w:b/>
          <w:kern w:val="2"/>
          <w:lang w:val="ro-RO" w:eastAsia="zh-CN" w:bidi="hi-IN"/>
        </w:rPr>
      </w:pPr>
      <w:r w:rsidRPr="00DB7106">
        <w:rPr>
          <w:rFonts w:ascii="Calibri" w:eastAsia="SimSun" w:hAnsi="Calibri" w:cs="Mangal"/>
          <w:b/>
          <w:kern w:val="2"/>
          <w:lang w:val="ro-RO" w:eastAsia="zh-CN" w:bidi="hi-IN"/>
        </w:rPr>
        <w:t xml:space="preserve">4. </w:t>
      </w:r>
      <w:r w:rsidRPr="00DB7106">
        <w:rPr>
          <w:rFonts w:ascii="Calibri" w:eastAsia="SimSun" w:hAnsi="Calibri" w:cs="Mangal"/>
          <w:b/>
          <w:kern w:val="2"/>
          <w:lang w:val="ro-RO" w:eastAsia="zh-CN" w:bidi="hi-IN"/>
        </w:rPr>
        <w:tab/>
        <w:t xml:space="preserve">Dezvoltarea sistemului de probațiune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Extinderea rolului serviciilor de probațiune în sfera execuțional penală impune continuarea în următorii ani a procesului de consolidare a sistemului de probațiune, a mecanismelor de lucru la nivelul sistemului de probațiune în vederea aplicării prevederilor cadrului normativ în materia sancțiunilor și măsurilor neprivative de libertate, precum și a tuturor proceselor aferente asigurării infrastructurii, a resurselor umane și financiare necesare activității serviciilor de probațiune.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 xml:space="preserve">Aceste procese sunt subsumate obiectivelor și măsurilor cuprinse în </w:t>
      </w:r>
      <w:r w:rsidRPr="00DB7106">
        <w:rPr>
          <w:rFonts w:ascii="Calibri" w:eastAsia="SimSun" w:hAnsi="Calibri" w:cs="Mangal"/>
          <w:i/>
          <w:kern w:val="2"/>
          <w:lang w:val="ro-RO" w:eastAsia="zh-CN" w:bidi="hi-IN"/>
        </w:rPr>
        <w:t xml:space="preserve">Programul de Guvernare 2017 – 2020 </w:t>
      </w:r>
      <w:r w:rsidRPr="00DB7106">
        <w:rPr>
          <w:rFonts w:ascii="Calibri" w:eastAsia="SimSun" w:hAnsi="Calibri" w:cs="Mangal"/>
          <w:kern w:val="2"/>
          <w:lang w:val="ro-RO" w:eastAsia="zh-CN" w:bidi="hi-IN"/>
        </w:rPr>
        <w:t xml:space="preserve">precum și în cadrul </w:t>
      </w:r>
      <w:r w:rsidRPr="00DB7106">
        <w:rPr>
          <w:rFonts w:ascii="Calibri" w:eastAsia="SimSun" w:hAnsi="Calibri" w:cs="Mangal"/>
          <w:i/>
          <w:kern w:val="2"/>
          <w:lang w:val="ro-RO" w:eastAsia="zh-CN" w:bidi="hi-IN"/>
        </w:rPr>
        <w:t>Planului de acțiune pentru implementarea Strategiei de dezvoltare a sistemului judiciar 2015 – 2020</w:t>
      </w:r>
      <w:r w:rsidRPr="00DB7106">
        <w:rPr>
          <w:rFonts w:ascii="Calibri" w:eastAsia="SimSun" w:hAnsi="Calibri" w:cs="Mangal"/>
          <w:kern w:val="2"/>
          <w:lang w:val="ro-RO" w:eastAsia="zh-CN" w:bidi="hi-IN"/>
        </w:rPr>
        <w:t xml:space="preserve">, care vizează consolidarea sistemului de probațiune ca formă de diminuare a populației din penitenciare (Măsura 23 din Capitolul Justiție), revizuirea Statutului consilierilor de probațiune, precum și a Strategiei naționale în acest domeniu (Măsura 25 din Capitolul Justiție). În cuprinsul Calendarului de măsuri              2018 – 2024 pentru soluționarea supra-aglomerării carcerale și a condițiilor de detenție, în executarea hotărârii – pilot Rezmiveș și alții împotriva României, aprobat prin memorandum al Guvernului României au fost incluse o serie de acțiuni care sunt în strânsă corelare cu documentele strategice menționate.              </w:t>
      </w:r>
    </w:p>
    <w:p w:rsidR="00DB7106" w:rsidRPr="00DB7106" w:rsidRDefault="00DB7106" w:rsidP="00DB7106">
      <w:pPr>
        <w:widowControl w:val="0"/>
        <w:suppressAutoHyphens/>
        <w:spacing w:before="60"/>
        <w:ind w:firstLine="708"/>
        <w:jc w:val="both"/>
        <w:rPr>
          <w:rFonts w:ascii="Calibri" w:eastAsia="SimSun" w:hAnsi="Calibri" w:cs="Mangal"/>
          <w:i/>
          <w:kern w:val="2"/>
          <w:lang w:val="ro-RO" w:eastAsia="zh-CN" w:bidi="hi-IN"/>
        </w:rPr>
      </w:pPr>
      <w:r w:rsidRPr="00DB7106">
        <w:rPr>
          <w:rFonts w:ascii="Calibri" w:eastAsia="SimSun" w:hAnsi="Calibri" w:cs="Mangal"/>
          <w:i/>
          <w:kern w:val="2"/>
          <w:lang w:val="ro-RO" w:eastAsia="zh-CN" w:bidi="hi-IN"/>
        </w:rPr>
        <w:t xml:space="preserve">Obiective la nivel </w:t>
      </w:r>
      <w:r w:rsidRPr="00DB7106">
        <w:rPr>
          <w:rFonts w:ascii="Calibri" w:eastAsia="SimSun" w:hAnsi="Calibri" w:cs="Mangal"/>
          <w:b/>
          <w:i/>
          <w:kern w:val="2"/>
          <w:lang w:val="ro-RO" w:eastAsia="zh-CN" w:bidi="hi-IN"/>
        </w:rPr>
        <w:t>legislativ:</w:t>
      </w:r>
    </w:p>
    <w:p w:rsidR="00DB7106" w:rsidRPr="00DB7106" w:rsidRDefault="00DB7106" w:rsidP="00DB7106">
      <w:pPr>
        <w:widowControl w:val="0"/>
        <w:suppressAutoHyphens/>
        <w:spacing w:before="60"/>
        <w:ind w:firstLine="708"/>
        <w:jc w:val="both"/>
        <w:rPr>
          <w:rFonts w:ascii="Calibri" w:eastAsia="SimSun" w:hAnsi="Calibri" w:cs="Mangal"/>
          <w:i/>
          <w:kern w:val="2"/>
          <w:lang w:val="ro-RO" w:eastAsia="zh-CN" w:bidi="hi-IN"/>
        </w:rPr>
      </w:pPr>
      <w:r w:rsidRPr="00DB7106">
        <w:rPr>
          <w:rFonts w:ascii="Calibri" w:eastAsia="SimSun" w:hAnsi="Calibri" w:cs="Mangal"/>
          <w:i/>
          <w:kern w:val="2"/>
          <w:lang w:val="ro-RO" w:eastAsia="zh-CN" w:bidi="hi-IN"/>
        </w:rPr>
        <w:t>-</w:t>
      </w:r>
      <w:r w:rsidRPr="00DB7106">
        <w:rPr>
          <w:rFonts w:ascii="Calibri" w:eastAsia="SimSun" w:hAnsi="Calibri" w:cs="Mangal"/>
          <w:i/>
          <w:kern w:val="2"/>
          <w:lang w:val="ro-RO" w:eastAsia="zh-CN" w:bidi="hi-IN"/>
        </w:rPr>
        <w:tab/>
      </w:r>
      <w:r w:rsidRPr="00DB7106">
        <w:rPr>
          <w:rFonts w:ascii="Calibri" w:eastAsia="SimSun" w:hAnsi="Calibri" w:cs="Mangal"/>
          <w:kern w:val="2"/>
          <w:lang w:val="ro-RO" w:eastAsia="zh-CN" w:bidi="hi-IN"/>
        </w:rPr>
        <w:t xml:space="preserve">Promovarea statutului personalului de probațiune, in aplicarea dispozițiilor art. 121 alin.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(1) din Legea nr. 252/2013 privind organizarea și funcționarea sistemului de probațiune, cu modificările și completările ulterioare. Adoptarea noului statut al personalului de probațiune reprezintă o etapa esențiala și cu caracter de urgență, în asigurarea sustenabilității procesului de reorganizare a sistemului de probațiune;</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r w:rsidRPr="00DB7106">
        <w:rPr>
          <w:rFonts w:ascii="Calibri" w:eastAsia="SimSun" w:hAnsi="Calibri" w:cs="Mangal"/>
          <w:kern w:val="2"/>
          <w:lang w:val="ro-RO" w:eastAsia="zh-CN" w:bidi="hi-IN"/>
        </w:rPr>
        <w:t>-</w:t>
      </w:r>
      <w:r w:rsidRPr="00DB7106">
        <w:rPr>
          <w:rFonts w:ascii="Calibri" w:eastAsia="SimSun" w:hAnsi="Calibri" w:cs="Mangal"/>
          <w:kern w:val="2"/>
          <w:lang w:val="ro-RO" w:eastAsia="zh-CN" w:bidi="hi-IN"/>
        </w:rPr>
        <w:tab/>
      </w:r>
      <w:r w:rsidRPr="00DB7106">
        <w:rPr>
          <w:rFonts w:ascii="Calibri" w:eastAsia="SimSun" w:hAnsi="Calibri" w:cs="Mangal"/>
          <w:bCs/>
          <w:kern w:val="2"/>
          <w:lang w:val="ro-RO" w:eastAsia="zh-CN" w:bidi="hi-IN"/>
        </w:rPr>
        <w:t>Aprobarea prin hotărâre de guvern a standardelor minime de lucru în probațiune pentru instituțiile din comunitate;</w:t>
      </w:r>
    </w:p>
    <w:p w:rsidR="00DB7106" w:rsidRPr="00DB7106" w:rsidRDefault="00DB7106" w:rsidP="00DB7106">
      <w:pPr>
        <w:widowControl w:val="0"/>
        <w:numPr>
          <w:ilvl w:val="0"/>
          <w:numId w:val="42"/>
        </w:numPr>
        <w:suppressAutoHyphens/>
        <w:spacing w:before="60"/>
        <w:ind w:left="0" w:firstLine="708"/>
        <w:contextualSpacing/>
        <w:jc w:val="both"/>
        <w:rPr>
          <w:rFonts w:asciiTheme="minorHAnsi" w:eastAsiaTheme="minorHAnsi" w:hAnsiTheme="minorHAnsi" w:cstheme="minorBidi"/>
          <w:lang w:val="ro-RO"/>
        </w:rPr>
      </w:pPr>
      <w:r w:rsidRPr="00DB7106">
        <w:rPr>
          <w:rFonts w:asciiTheme="minorHAnsi" w:eastAsiaTheme="minorHAnsi" w:hAnsiTheme="minorHAnsi" w:cstheme="minorBidi"/>
          <w:bCs/>
          <w:lang w:val="ro-RO"/>
        </w:rPr>
        <w:t>Aprobarea prin hotărâre de guvern a Strategiei naționale de reabilitare a persoanelor față de care s-au dispus sancțiuni și măsuri comunitare, aplicată în sistemul de probațiune;</w:t>
      </w:r>
    </w:p>
    <w:p w:rsidR="00DB7106" w:rsidRPr="00DB7106" w:rsidRDefault="00DB7106" w:rsidP="00DB7106">
      <w:pPr>
        <w:widowControl w:val="0"/>
        <w:numPr>
          <w:ilvl w:val="0"/>
          <w:numId w:val="42"/>
        </w:numPr>
        <w:suppressAutoHyphens/>
        <w:spacing w:before="60"/>
        <w:ind w:left="0" w:firstLine="708"/>
        <w:contextualSpacing/>
        <w:jc w:val="both"/>
        <w:rPr>
          <w:rFonts w:asciiTheme="minorHAnsi" w:eastAsiaTheme="minorHAnsi" w:hAnsiTheme="minorHAnsi" w:cstheme="minorBidi"/>
          <w:lang w:val="ro-RO"/>
        </w:rPr>
      </w:pPr>
      <w:r w:rsidRPr="00DB7106">
        <w:rPr>
          <w:rFonts w:asciiTheme="minorHAnsi" w:eastAsiaTheme="minorHAnsi" w:hAnsiTheme="minorHAnsi" w:cstheme="minorBidi"/>
          <w:bCs/>
          <w:lang w:val="ro-RO"/>
        </w:rPr>
        <w:t xml:space="preserve">Aprobarea  prin hotărâre de guvern a Strategiei de dezvoltare a sistemului de probațiune 2018 - 2020. </w:t>
      </w:r>
    </w:p>
    <w:p w:rsidR="00DB7106" w:rsidRDefault="00DB7106" w:rsidP="00DB7106">
      <w:pPr>
        <w:spacing w:before="60"/>
        <w:ind w:firstLine="708"/>
        <w:contextualSpacing/>
        <w:jc w:val="both"/>
        <w:rPr>
          <w:rFonts w:asciiTheme="minorHAnsi" w:eastAsiaTheme="minorHAnsi" w:hAnsiTheme="minorHAnsi" w:cstheme="minorBidi"/>
          <w:bCs/>
          <w:lang w:val="ro-RO"/>
        </w:rPr>
      </w:pPr>
    </w:p>
    <w:p w:rsidR="00AA62AF" w:rsidRDefault="00AA62AF" w:rsidP="00DB7106">
      <w:pPr>
        <w:spacing w:before="60"/>
        <w:ind w:firstLine="708"/>
        <w:contextualSpacing/>
        <w:jc w:val="both"/>
        <w:rPr>
          <w:rFonts w:asciiTheme="minorHAnsi" w:eastAsiaTheme="minorHAnsi" w:hAnsiTheme="minorHAnsi" w:cstheme="minorBidi"/>
          <w:bCs/>
          <w:lang w:val="ro-RO"/>
        </w:rPr>
      </w:pPr>
    </w:p>
    <w:p w:rsidR="00AA62AF" w:rsidRDefault="00AA62AF" w:rsidP="00DB7106">
      <w:pPr>
        <w:spacing w:before="60"/>
        <w:ind w:firstLine="708"/>
        <w:contextualSpacing/>
        <w:jc w:val="both"/>
        <w:rPr>
          <w:rFonts w:asciiTheme="minorHAnsi" w:eastAsiaTheme="minorHAnsi" w:hAnsiTheme="minorHAnsi" w:cstheme="minorBidi"/>
          <w:bCs/>
          <w:lang w:val="ro-RO"/>
        </w:rPr>
      </w:pPr>
    </w:p>
    <w:p w:rsidR="00AA62AF" w:rsidRPr="00DB7106" w:rsidRDefault="00AA62AF" w:rsidP="00DB7106">
      <w:pPr>
        <w:spacing w:before="60"/>
        <w:ind w:firstLine="708"/>
        <w:contextualSpacing/>
        <w:jc w:val="both"/>
        <w:rPr>
          <w:rFonts w:asciiTheme="minorHAnsi" w:eastAsiaTheme="minorHAnsi" w:hAnsiTheme="minorHAnsi" w:cstheme="minorBidi"/>
          <w:bCs/>
          <w:lang w:val="ro-RO"/>
        </w:rPr>
      </w:pPr>
    </w:p>
    <w:p w:rsidR="00DB7106" w:rsidRPr="00DB7106" w:rsidRDefault="00DB7106" w:rsidP="00DB7106">
      <w:pPr>
        <w:spacing w:before="60"/>
        <w:ind w:firstLine="708"/>
        <w:contextualSpacing/>
        <w:jc w:val="both"/>
        <w:rPr>
          <w:rFonts w:asciiTheme="minorHAnsi" w:eastAsiaTheme="minorHAnsi" w:hAnsiTheme="minorHAnsi" w:cstheme="minorBidi"/>
          <w:lang w:val="ro-RO"/>
        </w:rPr>
      </w:pPr>
      <w:r w:rsidRPr="00DB7106">
        <w:rPr>
          <w:rFonts w:ascii="Calibri" w:eastAsiaTheme="minorHAnsi" w:hAnsi="Calibri" w:cstheme="minorBidi"/>
          <w:i/>
          <w:lang w:val="ro-RO"/>
        </w:rPr>
        <w:t xml:space="preserve">Obiective ce vizează </w:t>
      </w:r>
      <w:r w:rsidRPr="00DB7106">
        <w:rPr>
          <w:rFonts w:ascii="Calibri" w:eastAsiaTheme="minorHAnsi" w:hAnsi="Calibri" w:cstheme="minorBidi"/>
          <w:b/>
          <w:i/>
          <w:lang w:val="ro-RO"/>
        </w:rPr>
        <w:t>resursele umane si infrastructura:</w:t>
      </w:r>
    </w:p>
    <w:p w:rsidR="00DB7106" w:rsidRPr="00DB7106" w:rsidRDefault="00DB7106" w:rsidP="00DB7106">
      <w:pPr>
        <w:spacing w:before="60"/>
        <w:ind w:firstLine="708"/>
        <w:contextualSpacing/>
        <w:jc w:val="both"/>
        <w:rPr>
          <w:rFonts w:asciiTheme="minorHAnsi" w:eastAsiaTheme="minorHAnsi" w:hAnsiTheme="minorHAnsi" w:cstheme="minorBidi"/>
          <w:bCs/>
          <w:lang w:val="ro-RO"/>
        </w:rPr>
      </w:pPr>
      <w:r w:rsidRPr="00DB7106">
        <w:rPr>
          <w:rFonts w:ascii="Calibri" w:eastAsiaTheme="minorHAnsi" w:hAnsi="Calibri" w:cstheme="minorBidi"/>
          <w:i/>
          <w:lang w:val="ro-RO"/>
        </w:rPr>
        <w:t xml:space="preserve">- </w:t>
      </w:r>
      <w:r w:rsidRPr="00DB7106">
        <w:rPr>
          <w:rFonts w:asciiTheme="minorHAnsi" w:eastAsiaTheme="minorHAnsi" w:hAnsiTheme="minorHAnsi" w:cstheme="minorBidi"/>
          <w:bCs/>
          <w:lang w:val="ro-RO"/>
        </w:rPr>
        <w:t>Scoaterea la concurs a posturilor vacante de personal de probațiune, gradual, pentru a asigura derularea în condiții normale a procesului de punere în executare a sancțiunilor și măsurilor neprivative dispuse de instanțele judecătorești în cauzele penale;</w:t>
      </w:r>
    </w:p>
    <w:p w:rsidR="00DB7106" w:rsidRPr="00DB7106" w:rsidRDefault="00DB7106" w:rsidP="00DB7106">
      <w:pPr>
        <w:spacing w:before="60"/>
        <w:ind w:firstLine="708"/>
        <w:contextualSpacing/>
        <w:jc w:val="both"/>
        <w:rPr>
          <w:rFonts w:asciiTheme="minorHAnsi" w:eastAsiaTheme="minorHAnsi" w:hAnsiTheme="minorHAnsi" w:cstheme="minorBidi"/>
          <w:bCs/>
          <w:lang w:val="ro-RO"/>
        </w:rPr>
      </w:pPr>
      <w:r w:rsidRPr="00DB7106">
        <w:rPr>
          <w:rFonts w:ascii="Calibri" w:eastAsiaTheme="minorHAnsi" w:hAnsi="Calibri" w:cstheme="minorBidi"/>
          <w:i/>
          <w:lang w:val="ro-RO"/>
        </w:rPr>
        <w:t>-</w:t>
      </w:r>
      <w:r w:rsidRPr="00DB7106">
        <w:rPr>
          <w:rFonts w:asciiTheme="minorHAnsi" w:eastAsiaTheme="minorHAnsi" w:hAnsiTheme="minorHAnsi" w:cstheme="minorBidi"/>
          <w:bCs/>
          <w:lang w:val="ro-RO"/>
        </w:rPr>
        <w:t xml:space="preserve">  Asigurarea condițiilor de lucru personalului angajat, identificarea de spații pentru a fi utilizate ca sedii ale serviciilor de probațiune, inclusiv prin închiriere, achiziționarea de echipamente IT și de mobilier din fondurile de la bugetul de stat, precum și din fonduri externe nerambursabile. </w:t>
      </w:r>
    </w:p>
    <w:p w:rsidR="00DB7106" w:rsidRPr="00DB7106" w:rsidRDefault="00DB7106" w:rsidP="00DB7106">
      <w:pPr>
        <w:spacing w:before="60"/>
        <w:ind w:firstLine="708"/>
        <w:contextualSpacing/>
        <w:jc w:val="both"/>
        <w:rPr>
          <w:rFonts w:asciiTheme="minorHAnsi" w:eastAsiaTheme="minorHAnsi" w:hAnsiTheme="minorHAnsi" w:cstheme="minorBidi"/>
          <w:bCs/>
          <w:lang w:val="ro-RO"/>
        </w:rPr>
      </w:pPr>
    </w:p>
    <w:p w:rsidR="00DB7106" w:rsidRPr="00DB7106" w:rsidRDefault="00DB7106" w:rsidP="00DB7106">
      <w:pPr>
        <w:spacing w:before="60"/>
        <w:ind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 xml:space="preserve">5.  </w:t>
      </w:r>
      <w:r w:rsidRPr="00DB7106">
        <w:rPr>
          <w:rFonts w:ascii="Calibri" w:eastAsiaTheme="minorHAnsi" w:hAnsi="Calibri" w:cstheme="minorBidi"/>
          <w:b/>
          <w:lang w:val="ro-RO"/>
        </w:rPr>
        <w:t>Consolidarea capacității administrative a celorlalte instituții subordonate</w:t>
      </w:r>
    </w:p>
    <w:p w:rsidR="00DB7106" w:rsidRPr="00DB7106" w:rsidRDefault="00DB7106" w:rsidP="00DB7106">
      <w:pPr>
        <w:widowControl w:val="0"/>
        <w:suppressAutoHyphens/>
        <w:spacing w:before="60"/>
        <w:ind w:firstLine="708"/>
        <w:jc w:val="both"/>
        <w:rPr>
          <w:rFonts w:ascii="Calibri" w:eastAsia="SimSun" w:hAnsi="Calibri" w:cs="Mangal"/>
          <w:kern w:val="2"/>
          <w:u w:val="single"/>
          <w:lang w:val="ro-RO" w:eastAsia="zh-CN" w:bidi="hi-IN"/>
        </w:rPr>
      </w:pPr>
      <w:r w:rsidRPr="00DB7106">
        <w:rPr>
          <w:rFonts w:ascii="Calibri" w:eastAsia="SimSun" w:hAnsi="Calibri" w:cs="Mangal"/>
          <w:kern w:val="2"/>
          <w:u w:val="single"/>
          <w:lang w:val="ro-RO" w:eastAsia="zh-CN" w:bidi="hi-IN"/>
        </w:rPr>
        <w:t>Institutul Național de Criminologie</w:t>
      </w:r>
    </w:p>
    <w:p w:rsidR="00DB7106" w:rsidRPr="00DB7106" w:rsidRDefault="00DB7106" w:rsidP="00DB7106">
      <w:pPr>
        <w:spacing w:after="160"/>
        <w:ind w:firstLine="708"/>
        <w:contextualSpacing/>
        <w:jc w:val="both"/>
        <w:rPr>
          <w:rFonts w:asciiTheme="minorHAnsi" w:eastAsiaTheme="minorHAnsi" w:hAnsiTheme="minorHAnsi" w:cstheme="minorBidi"/>
          <w:lang w:val="ro-RO"/>
        </w:rPr>
      </w:pPr>
      <w:r w:rsidRPr="00DB7106">
        <w:rPr>
          <w:rFonts w:asciiTheme="minorHAnsi" w:eastAsiaTheme="minorHAnsi" w:hAnsiTheme="minorHAnsi" w:cstheme="minorBidi"/>
          <w:bCs/>
          <w:lang w:val="ro-RO"/>
        </w:rPr>
        <w:t xml:space="preserve">Institutul Național de Criminologie a fost reînființat prin H.G nr.14/2017 din 12 ianuarie 2017, ca organ de specialitate în subordinea Ministerului  Justiției, cu scopul de a asigura prevenirea și controlul criminalității. </w:t>
      </w:r>
    </w:p>
    <w:p w:rsidR="00DB7106" w:rsidRPr="00DB7106" w:rsidRDefault="00DB7106" w:rsidP="00DB7106">
      <w:pPr>
        <w:spacing w:after="160"/>
        <w:ind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 xml:space="preserve">Obiectivul general pentru perioada 2019 – 2021 este operaționalizarea deplină a acestei instituții în vederea îndeplinirii unui rol eficient în cercetarea fenomenului criminalității. </w:t>
      </w:r>
    </w:p>
    <w:p w:rsidR="00DB7106" w:rsidRPr="00DB7106" w:rsidRDefault="00DB7106" w:rsidP="00DB7106">
      <w:pPr>
        <w:spacing w:after="160"/>
        <w:ind w:firstLine="708"/>
        <w:contextualSpacing/>
        <w:jc w:val="both"/>
        <w:rPr>
          <w:rFonts w:asciiTheme="minorHAnsi" w:eastAsiaTheme="minorHAnsi" w:hAnsiTheme="minorHAnsi" w:cstheme="minorBidi"/>
          <w:bCs/>
          <w:u w:val="single"/>
          <w:lang w:val="ro-RO"/>
        </w:rPr>
      </w:pPr>
      <w:r w:rsidRPr="00DB7106">
        <w:rPr>
          <w:rFonts w:asciiTheme="minorHAnsi" w:eastAsiaTheme="minorHAnsi" w:hAnsiTheme="minorHAnsi" w:cstheme="minorBidi"/>
          <w:bCs/>
          <w:lang w:val="ro-RO"/>
        </w:rPr>
        <w:tab/>
      </w:r>
      <w:r w:rsidRPr="00DB7106">
        <w:rPr>
          <w:rFonts w:asciiTheme="minorHAnsi" w:eastAsiaTheme="minorHAnsi" w:hAnsiTheme="minorHAnsi" w:cstheme="minorBidi"/>
          <w:bCs/>
          <w:u w:val="single"/>
          <w:lang w:val="ro-RO"/>
        </w:rPr>
        <w:t>Oficiul Național al Registrului Comerțului</w:t>
      </w:r>
    </w:p>
    <w:p w:rsidR="00DB7106" w:rsidRPr="00DB7106" w:rsidRDefault="00DB7106" w:rsidP="00DB7106">
      <w:pPr>
        <w:spacing w:after="160"/>
        <w:ind w:firstLine="708"/>
        <w:contextualSpacing/>
        <w:jc w:val="both"/>
        <w:rPr>
          <w:rFonts w:asciiTheme="minorHAnsi" w:eastAsiaTheme="minorHAnsi" w:hAnsiTheme="minorHAnsi" w:cstheme="minorBidi"/>
          <w:lang w:val="ro-RO"/>
        </w:rPr>
      </w:pPr>
      <w:r w:rsidRPr="00DB7106">
        <w:rPr>
          <w:rFonts w:asciiTheme="minorHAnsi" w:eastAsiaTheme="minorHAnsi" w:hAnsiTheme="minorHAnsi" w:cstheme="minorBidi"/>
          <w:lang w:val="ro-RO"/>
        </w:rPr>
        <w:t xml:space="preserve">Conform Programului de Guvernare 2018 – 2020 și Planului de acțiuni al Strategiei de dezvoltare a sistemului judiciar 2015 – 2020, pentru activitatea desfășurată, Oficiul Național al Registrului Comerțului trebuie să aducă la îndeplinire, următoarele obiective: </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lang w:val="ro-RO"/>
        </w:rPr>
        <w:t>Simplificarea accesului la serviciile Registrului Comerțului și preluarea de către această instituție a unor proceduri, vizând societățile comerciale, derulate în prezent la nivelul instanțelor;</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lang w:val="ro-RO"/>
        </w:rPr>
        <w:t>Consolidarea capacității instituționale a ONRC, a sistemului registrului comerțului și a sistemului informatic integrat al ONRC prin: îmbunătățirea cadrului legislativ ce reglementează activitatea de înregistrare în registrul comerțului și dezvoltarea instituțională necesară aplicării viitoarelor soluții legislative</w:t>
      </w:r>
      <w:r w:rsidRPr="003964D3">
        <w:rPr>
          <w:rFonts w:ascii="Calibri" w:eastAsiaTheme="minorHAnsi" w:hAnsi="Calibri" w:cstheme="minorBidi"/>
          <w:bCs/>
          <w:lang w:val="ro-RO"/>
        </w:rPr>
        <w:t>;</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rPr>
        <w:t xml:space="preserve">Reglementarea, dezvoltarea </w:t>
      </w:r>
      <w:r w:rsidRPr="00DB7106">
        <w:rPr>
          <w:rFonts w:ascii="Calibri" w:eastAsiaTheme="minorHAnsi" w:hAnsi="Calibri" w:cstheme="minorBidi"/>
          <w:bCs/>
          <w:lang w:val="ro-RO"/>
        </w:rPr>
        <w:t>și implementarea soluției privind buletinul electronic al registrului comerțului și arhivarea electronică a documentelor gestionate de ONRC</w:t>
      </w:r>
      <w:r w:rsidRPr="00DB7106">
        <w:rPr>
          <w:rFonts w:ascii="Calibri" w:eastAsiaTheme="minorHAnsi" w:hAnsi="Calibri" w:cstheme="minorBidi"/>
          <w:bCs/>
        </w:rPr>
        <w:t>;</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rPr>
        <w:t>Extinderea Buletinului Procedurilor de Insolven</w:t>
      </w:r>
      <w:r w:rsidRPr="00DB7106">
        <w:rPr>
          <w:rFonts w:ascii="Calibri" w:eastAsiaTheme="minorHAnsi" w:hAnsi="Calibri" w:cstheme="minorBidi"/>
          <w:bCs/>
          <w:lang w:val="ro-RO"/>
        </w:rPr>
        <w:t>ță</w:t>
      </w:r>
      <w:r w:rsidRPr="00DB7106">
        <w:rPr>
          <w:rFonts w:ascii="Calibri" w:eastAsiaTheme="minorHAnsi" w:hAnsi="Calibri" w:cstheme="minorBidi"/>
          <w:bCs/>
        </w:rPr>
        <w:t>;</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lang w:val="ro-RO"/>
        </w:rPr>
        <w:t>Dezvoltarea și implementarea soluțiilor privind extinderea, optimizarea, dezvoltarea și interconectarea portalului de servicii on-line și a sistemului informatic integrat al ONRC cu sistemul ECRIS instanțe și parchete, portalul e-justice și alte sisteme</w:t>
      </w:r>
      <w:r w:rsidRPr="003964D3">
        <w:rPr>
          <w:rFonts w:ascii="Calibri" w:eastAsiaTheme="minorHAnsi" w:hAnsi="Calibri" w:cstheme="minorBidi"/>
          <w:bCs/>
          <w:lang w:val="ro-RO"/>
        </w:rPr>
        <w:t>;</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rPr>
        <w:t>Formarea profesional</w:t>
      </w:r>
      <w:r w:rsidRPr="00DB7106">
        <w:rPr>
          <w:rFonts w:ascii="Calibri" w:eastAsiaTheme="minorHAnsi" w:hAnsi="Calibri" w:cstheme="minorBidi"/>
          <w:bCs/>
          <w:lang w:val="ro-RO"/>
        </w:rPr>
        <w:t>ă a personalului ONRC</w:t>
      </w:r>
      <w:r w:rsidRPr="00DB7106">
        <w:rPr>
          <w:rFonts w:ascii="Calibri" w:eastAsiaTheme="minorHAnsi" w:hAnsi="Calibri" w:cstheme="minorBidi"/>
          <w:bCs/>
        </w:rPr>
        <w:t>;</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3964D3">
        <w:rPr>
          <w:rFonts w:ascii="Calibri" w:eastAsiaTheme="minorHAnsi" w:hAnsi="Calibri" w:cstheme="minorBidi"/>
          <w:bCs/>
          <w:lang w:val="fr-FR"/>
        </w:rPr>
        <w:t xml:space="preserve">Elaborarea </w:t>
      </w:r>
      <w:r w:rsidRPr="00DB7106">
        <w:rPr>
          <w:rFonts w:ascii="Calibri" w:eastAsiaTheme="minorHAnsi" w:hAnsi="Calibri" w:cstheme="minorBidi"/>
          <w:bCs/>
          <w:lang w:val="ro-RO"/>
        </w:rPr>
        <w:t xml:space="preserve">și </w:t>
      </w:r>
      <w:r w:rsidRPr="003964D3">
        <w:rPr>
          <w:rFonts w:ascii="Calibri" w:eastAsiaTheme="minorHAnsi" w:hAnsi="Calibri" w:cstheme="minorBidi"/>
          <w:bCs/>
          <w:lang w:val="fr-FR"/>
        </w:rPr>
        <w:t>implementarea de soluții de management al calității la nivelul ONRC;</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rPr>
        <w:t xml:space="preserve">Asigurarea infrastructurii hardware ONRC. </w:t>
      </w:r>
    </w:p>
    <w:p w:rsidR="00DB7106" w:rsidRPr="00DB7106" w:rsidRDefault="00DB7106" w:rsidP="00DB7106">
      <w:pPr>
        <w:spacing w:after="160"/>
        <w:ind w:firstLine="708"/>
        <w:contextualSpacing/>
        <w:jc w:val="both"/>
        <w:rPr>
          <w:rFonts w:ascii="Calibri" w:eastAsiaTheme="minorHAnsi" w:hAnsi="Calibri" w:cstheme="minorBidi"/>
          <w:bCs/>
          <w:u w:val="single"/>
          <w:lang w:val="ro-RO"/>
        </w:rPr>
      </w:pPr>
      <w:r w:rsidRPr="00DB7106">
        <w:rPr>
          <w:rFonts w:ascii="Calibri" w:eastAsiaTheme="minorHAnsi" w:hAnsi="Calibri" w:cstheme="minorBidi"/>
          <w:bCs/>
          <w:u w:val="single"/>
          <w:lang w:val="ro-RO"/>
        </w:rPr>
        <w:t>Institutul Național de Expertiză Criminalistică</w:t>
      </w:r>
    </w:p>
    <w:p w:rsidR="00DB7106" w:rsidRPr="00DB7106" w:rsidRDefault="00DB7106" w:rsidP="00DB7106">
      <w:pPr>
        <w:spacing w:after="160"/>
        <w:ind w:firstLine="708"/>
        <w:contextualSpacing/>
        <w:jc w:val="both"/>
        <w:rPr>
          <w:rFonts w:ascii="Calibri" w:eastAsiaTheme="minorHAnsi" w:hAnsi="Calibri" w:cstheme="minorBidi"/>
          <w:lang w:val="ro-RO"/>
        </w:rPr>
      </w:pPr>
      <w:r w:rsidRPr="00DB7106">
        <w:rPr>
          <w:rFonts w:ascii="Calibri" w:eastAsiaTheme="minorHAnsi" w:hAnsi="Calibri" w:cstheme="minorBidi"/>
          <w:bCs/>
          <w:lang w:val="ro-RO"/>
        </w:rPr>
        <w:t>În vederea eficientizării activității de expertiză criminalistică, în perioada 2019-2021,  Institutul Național de Expertize Criminalistice are ca obiective generale: implementarea de noi specialități de expertiză criminalistică, continuarea dotării institutului cu echipamente și programe moderne, menținerea acreditării ISO/CEI 17025 și creșterea numărului expertizelor criminalistice efectuate prin utilizarea de echipamente performante și angajarea de experți criminaliști</w:t>
      </w:r>
      <w:r w:rsidRPr="00DB7106">
        <w:rPr>
          <w:rFonts w:ascii="Calibri" w:eastAsiaTheme="minorHAnsi" w:hAnsi="Calibri" w:cstheme="minorBidi"/>
          <w:lang w:val="ro-RO"/>
        </w:rPr>
        <w:t>;</w:t>
      </w:r>
    </w:p>
    <w:p w:rsidR="00DB7106" w:rsidRPr="00DB7106" w:rsidRDefault="00DB7106" w:rsidP="00DB7106">
      <w:pPr>
        <w:spacing w:after="160"/>
        <w:ind w:firstLine="708"/>
        <w:contextualSpacing/>
        <w:jc w:val="both"/>
        <w:rPr>
          <w:rFonts w:ascii="Calibri" w:eastAsiaTheme="minorHAnsi" w:hAnsi="Calibri" w:cstheme="minorBidi"/>
          <w:u w:val="single"/>
          <w:lang w:val="ro-RO"/>
        </w:rPr>
      </w:pPr>
      <w:r w:rsidRPr="00DB7106">
        <w:rPr>
          <w:rFonts w:ascii="Calibri" w:eastAsiaTheme="minorHAnsi" w:hAnsi="Calibri" w:cstheme="minorBidi"/>
          <w:u w:val="single"/>
          <w:lang w:val="ro-RO"/>
        </w:rPr>
        <w:t>Autoritatea Națională pentru Cetățenie</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lang w:val="ro-RO"/>
        </w:rPr>
      </w:pPr>
      <w:r w:rsidRPr="00DB7106">
        <w:rPr>
          <w:rFonts w:ascii="Calibri" w:eastAsiaTheme="minorHAnsi" w:hAnsi="Calibri" w:cstheme="minorBidi"/>
          <w:bCs/>
          <w:lang w:val="ro-RO"/>
        </w:rPr>
        <w:t>Autoritatea Națională pentru Cetățenie are ca obiective principale pentru perioada  2019 – 2021: (1) consolidarea cadrului organizatoric și funcțional necesar prelucrării cererilor de acordare, redobândire, renunțare la cetățenia română, (2) continuarea procesului de organizare și planificare la nivelul fiecărui compartiment funcțional din structura ANC, conform atribuțiilor stabilite prin Regulamentul de organizare și funcționare și de coordonare a acțiunilor interne, inclusiv la nivel decizional, in vederea realizării obiectivelor specifice asumate, (3) asigurarea implicării/participării în/la elaborarea, actualizarea sau inițierea unor modificări/completări ale cadrului legal și de colaborare/cooperare interinstituțională, in limita competentelor proprii.</w:t>
      </w:r>
    </w:p>
    <w:p w:rsidR="00DB7106" w:rsidRPr="00DB7106" w:rsidRDefault="00DB7106" w:rsidP="00DB7106">
      <w:pPr>
        <w:spacing w:after="160"/>
        <w:ind w:firstLine="708"/>
        <w:contextualSpacing/>
        <w:jc w:val="both"/>
        <w:rPr>
          <w:rFonts w:ascii="Calibri" w:eastAsiaTheme="minorHAnsi" w:hAnsi="Calibri" w:cstheme="minorBidi"/>
          <w:bCs/>
          <w:u w:val="single"/>
          <w:lang w:val="ro-RO"/>
        </w:rPr>
      </w:pPr>
      <w:r w:rsidRPr="00DB7106">
        <w:rPr>
          <w:rFonts w:ascii="Calibri" w:eastAsiaTheme="minorHAnsi" w:hAnsi="Calibri" w:cstheme="minorBidi"/>
          <w:bCs/>
          <w:u w:val="single"/>
          <w:lang w:val="ro-RO"/>
        </w:rPr>
        <w:t>Agenția de Administrare a Bunurilor Indisponibilizate</w:t>
      </w:r>
    </w:p>
    <w:p w:rsidR="00DB7106" w:rsidRPr="00DB7106" w:rsidRDefault="00DB7106" w:rsidP="00DB7106">
      <w:pPr>
        <w:spacing w:after="160"/>
        <w:ind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 xml:space="preserve">Prin înființarea Agenției Naționale de Administrare a Bunurilor Indisponibilizate (ANABI), România are o abordare integrată a recuperării activelor provenite din infracțiuni combinând funcțiile suport pentru organele de urmărire penală și instanțe cu cele de cooperare internațională, de gestionare efectivă a bunurilor indisponibilizate și de reutilizare socială a bunurilor și valorilor confiscate. </w:t>
      </w:r>
    </w:p>
    <w:p w:rsidR="00DB7106" w:rsidRPr="00DB7106" w:rsidRDefault="00DB7106" w:rsidP="00DB7106">
      <w:pPr>
        <w:spacing w:after="160"/>
        <w:ind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 xml:space="preserve">Scopul final al ANABI este acela de a asigura o creştere a ratei de executare a ordinelor de confiscare dispuse în materie penală, printr-o administrare eficientă a bunurilor sechestrate care sunt repartizate Agenţiei de procurori și judecători. Corelativ, vor creşte veniturile aduse la bugetul de stat, precum şi cele prin care se asigură despăgubirea victimelor infracţiunilor, inclusiv ale statului, când acesta s-a constituit parte civilă în procesul penal. </w:t>
      </w:r>
    </w:p>
    <w:p w:rsidR="00DB7106" w:rsidRPr="00DB7106" w:rsidRDefault="00DB7106" w:rsidP="00DB7106">
      <w:pPr>
        <w:spacing w:after="160"/>
        <w:ind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În perioada previzionată, se vor aloca resurse bugetare pentru atingerea cu prioritate a următoarelor obiective și proiecte:</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Finalizarea procesului de operaționalizare, în subordinea Ministerului Justiției, a Agenției Naționale de Administrare a Bunurilor Indisponibilizate (ANABI) și consolidarea acesteia</w:t>
      </w:r>
      <w:r w:rsidRPr="003964D3">
        <w:rPr>
          <w:rFonts w:asciiTheme="minorHAnsi" w:eastAsiaTheme="minorHAnsi" w:hAnsiTheme="minorHAnsi" w:cstheme="minorBidi"/>
          <w:bCs/>
          <w:lang w:val="ro-RO"/>
        </w:rPr>
        <w:t>;</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lang w:val="ro-RO"/>
        </w:rPr>
      </w:pPr>
      <w:r w:rsidRPr="003964D3">
        <w:rPr>
          <w:rFonts w:asciiTheme="minorHAnsi" w:eastAsiaTheme="minorHAnsi" w:hAnsiTheme="minorHAnsi" w:cstheme="minorBidi"/>
          <w:bCs/>
          <w:lang w:val="fr-FR"/>
        </w:rPr>
        <w:t>Cre</w:t>
      </w:r>
      <w:r w:rsidRPr="00DB7106">
        <w:rPr>
          <w:rFonts w:asciiTheme="minorHAnsi" w:eastAsiaTheme="minorHAnsi" w:hAnsiTheme="minorHAnsi" w:cstheme="minorBidi"/>
          <w:bCs/>
          <w:lang w:val="ro-RO"/>
        </w:rPr>
        <w:t>șterea gradului de recuperare a produselor infracțiunilor urmând cele mai bune practici din alte state membre UE și consolidarea practicii judiciare;</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lang w:val="ro-RO"/>
        </w:rPr>
      </w:pPr>
      <w:r w:rsidRPr="00DB7106">
        <w:rPr>
          <w:rFonts w:asciiTheme="minorHAnsi" w:eastAsiaTheme="minorHAnsi" w:hAnsiTheme="minorHAnsi" w:cstheme="minorBidi"/>
          <w:bCs/>
          <w:lang w:val="ro-RO"/>
        </w:rPr>
        <w:t xml:space="preserve">O recunoaștere la nivel internațional a încrederii acordate Agenției este reprezentată de preluarea de către ANABI, în anul 2019, a președinției rețelei CARIN (Camden Asset Recovery Inter-Agency Network – rețeaua internațională specializată în cooperarea internațională în vederea confiscării produselor provenite din săvârșirea de infracțiuni).    </w:t>
      </w:r>
    </w:p>
    <w:p w:rsidR="00DB7106" w:rsidRPr="00DB7106" w:rsidRDefault="00DB7106" w:rsidP="00DB7106">
      <w:pPr>
        <w:widowControl w:val="0"/>
        <w:suppressAutoHyphens/>
        <w:ind w:firstLine="708"/>
        <w:jc w:val="both"/>
        <w:rPr>
          <w:rFonts w:ascii="Calibri" w:eastAsia="SimSun" w:hAnsi="Calibri" w:cs="Mangal"/>
          <w:bCs/>
          <w:kern w:val="2"/>
          <w:lang w:val="ro-RO" w:eastAsia="zh-CN" w:bidi="hi-IN"/>
        </w:rPr>
      </w:pPr>
      <w:r w:rsidRPr="00DB7106">
        <w:rPr>
          <w:rFonts w:ascii="Calibri" w:eastAsia="SimSun" w:hAnsi="Calibri" w:cs="Mangal"/>
          <w:bCs/>
          <w:i/>
          <w:kern w:val="2"/>
          <w:lang w:val="ro-RO" w:eastAsia="zh-CN" w:bidi="hi-IN"/>
        </w:rPr>
        <w:t xml:space="preserve">Obiectivele și măsurile preconizate sunt parte integrantă a Strategiei Naționale de Dezvoltare a Sistemului Judiciar 2015 – 2020.  </w:t>
      </w:r>
    </w:p>
    <w:p w:rsidR="00DB7106" w:rsidRPr="00DB7106" w:rsidRDefault="00DB7106" w:rsidP="00DB7106">
      <w:pPr>
        <w:widowControl w:val="0"/>
        <w:suppressAutoHyphens/>
        <w:ind w:firstLine="708"/>
        <w:jc w:val="both"/>
        <w:rPr>
          <w:rFonts w:asciiTheme="minorHAnsi" w:eastAsia="SimSun" w:hAnsiTheme="minorHAnsi" w:cs="Mangal"/>
          <w:bCs/>
          <w:i/>
          <w:kern w:val="2"/>
          <w:lang w:val="ro-RO" w:eastAsia="zh-CN" w:bidi="hi-IN"/>
        </w:rPr>
      </w:pPr>
    </w:p>
    <w:p w:rsidR="000F7718" w:rsidRPr="000F7718" w:rsidRDefault="000F7718" w:rsidP="000F7718">
      <w:pPr>
        <w:widowControl w:val="0"/>
        <w:suppressAutoHyphens/>
        <w:jc w:val="both"/>
        <w:rPr>
          <w:rFonts w:ascii="Calibri" w:eastAsia="SimSun" w:hAnsi="Calibri" w:cs="Mangal"/>
          <w:kern w:val="2"/>
          <w:lang w:val="ro-RO" w:eastAsia="zh-CN" w:bidi="hi-IN"/>
        </w:rPr>
      </w:pPr>
    </w:p>
    <w:p w:rsidR="000F7718" w:rsidRPr="000F7718" w:rsidRDefault="000F7718" w:rsidP="000F7718">
      <w:pPr>
        <w:widowControl w:val="0"/>
        <w:suppressAutoHyphens/>
        <w:jc w:val="both"/>
        <w:rPr>
          <w:rFonts w:ascii="Calibri" w:eastAsia="SimSun" w:hAnsi="Calibri" w:cs="Mangal"/>
          <w:bCs/>
          <w:kern w:val="2"/>
          <w:lang w:val="ro-RO" w:eastAsia="zh-CN" w:bidi="hi-IN"/>
        </w:rPr>
      </w:pPr>
    </w:p>
    <w:p w:rsidR="007218F3" w:rsidRPr="00C86702" w:rsidRDefault="007218F3" w:rsidP="000058BD">
      <w:pPr>
        <w:rPr>
          <w:rFonts w:ascii="Calibri" w:hAnsi="Calibri" w:cs="Arial Narrow"/>
          <w:lang w:val="ro-RO"/>
        </w:rPr>
      </w:pPr>
    </w:p>
    <w:p w:rsidR="000058BD" w:rsidRPr="00C86702" w:rsidRDefault="000058BD" w:rsidP="007B3867">
      <w:pPr>
        <w:keepLines/>
        <w:widowControl w:val="0"/>
        <w:shd w:val="clear" w:color="auto" w:fill="99CCFF"/>
        <w:tabs>
          <w:tab w:val="right" w:pos="8640"/>
        </w:tabs>
        <w:spacing w:line="320" w:lineRule="exact"/>
        <w:jc w:val="both"/>
        <w:rPr>
          <w:rFonts w:ascii="Calibri" w:hAnsi="Calibri" w:cs="Arial Narrow"/>
          <w:lang w:val="ro-RO"/>
        </w:rPr>
      </w:pPr>
      <w:r w:rsidRPr="00C86702">
        <w:rPr>
          <w:rFonts w:ascii="Calibri" w:hAnsi="Calibri" w:cs="Arial Narrow"/>
          <w:b/>
          <w:color w:val="000080"/>
          <w:lang w:val="ro-RO"/>
        </w:rPr>
        <w:t>Politica în domeniul afacerilor interne</w:t>
      </w:r>
      <w:r w:rsidRPr="00C86702">
        <w:rPr>
          <w:rFonts w:ascii="Calibri" w:hAnsi="Calibri" w:cs="Arial Narrow"/>
          <w:b/>
          <w:color w:val="000080"/>
          <w:lang w:val="ro-RO"/>
        </w:rPr>
        <w:tab/>
      </w:r>
    </w:p>
    <w:p w:rsidR="00A064B6" w:rsidRPr="00A064B6" w:rsidRDefault="00A064B6" w:rsidP="00A064B6">
      <w:pPr>
        <w:tabs>
          <w:tab w:val="left" w:pos="1418"/>
        </w:tabs>
        <w:suppressAutoHyphens/>
        <w:ind w:right="-1080"/>
        <w:jc w:val="both"/>
        <w:rPr>
          <w:rFonts w:ascii="Calibri" w:hAnsi="Calibri" w:cs="Arial Narrow"/>
          <w:color w:val="FF0000"/>
          <w:lang w:val="ro-RO" w:eastAsia="zh-CN"/>
        </w:rPr>
      </w:pPr>
    </w:p>
    <w:p w:rsidR="00A064B6" w:rsidRPr="00A064B6" w:rsidRDefault="00A064B6" w:rsidP="00A064B6">
      <w:pPr>
        <w:tabs>
          <w:tab w:val="left" w:pos="1418"/>
        </w:tabs>
        <w:suppressAutoHyphens/>
        <w:ind w:firstLine="709"/>
        <w:jc w:val="both"/>
        <w:rPr>
          <w:rFonts w:asciiTheme="minorHAnsi" w:hAnsiTheme="minorHAnsi" w:cs="Calibri"/>
          <w:lang w:val="it-IT" w:eastAsia="zh-CN"/>
        </w:rPr>
      </w:pPr>
      <w:r w:rsidRPr="00A064B6">
        <w:rPr>
          <w:rFonts w:asciiTheme="minorHAnsi" w:hAnsiTheme="minorHAnsi" w:cs="Calibri"/>
          <w:lang w:val="it-IT" w:eastAsia="zh-CN"/>
        </w:rPr>
        <w:t xml:space="preserve">În acord cu </w:t>
      </w:r>
      <w:r w:rsidR="00045D63">
        <w:rPr>
          <w:rFonts w:asciiTheme="minorHAnsi" w:hAnsiTheme="minorHAnsi" w:cs="Calibri"/>
          <w:lang w:val="ro-RO" w:eastAsia="zh-CN"/>
        </w:rPr>
        <w:t>Programul de Guvernare 2018</w:t>
      </w:r>
      <w:r w:rsidRPr="003964D3">
        <w:rPr>
          <w:rFonts w:asciiTheme="minorHAnsi" w:hAnsiTheme="minorHAnsi" w:cs="Calibri"/>
          <w:lang w:val="ro-RO" w:eastAsia="zh-CN"/>
        </w:rPr>
        <w:t xml:space="preserve"> - 2020,</w:t>
      </w:r>
      <w:r w:rsidRPr="00A064B6">
        <w:rPr>
          <w:rFonts w:asciiTheme="minorHAnsi" w:hAnsiTheme="minorHAnsi" w:cs="Calibri"/>
          <w:lang w:val="it-IT" w:eastAsia="zh-CN"/>
        </w:rPr>
        <w:t xml:space="preserve"> eforturile întreprinse de Ministerul Afacerilor Interne, se concentrează pe siguranța cetățenilor, cu accent pe limitarea drastică a evenimentelor soldate cu pierderi de vieți omenești, cu afectarea stării de sănătate a populației, precum și cu daune de ordin material asupra statului și proprietății private.   </w:t>
      </w:r>
    </w:p>
    <w:p w:rsidR="00A064B6" w:rsidRPr="00A064B6" w:rsidRDefault="00A064B6" w:rsidP="00A064B6">
      <w:pPr>
        <w:tabs>
          <w:tab w:val="left" w:pos="1418"/>
        </w:tabs>
        <w:suppressAutoHyphens/>
        <w:ind w:firstLine="709"/>
        <w:jc w:val="both"/>
        <w:rPr>
          <w:rFonts w:asciiTheme="minorHAnsi" w:hAnsiTheme="minorHAnsi" w:cs="Calibri"/>
          <w:lang w:val="it-IT" w:eastAsia="zh-CN"/>
        </w:rPr>
      </w:pPr>
      <w:r w:rsidRPr="00A064B6">
        <w:rPr>
          <w:rFonts w:asciiTheme="minorHAnsi" w:hAnsiTheme="minorHAnsi" w:cs="Calibri"/>
          <w:lang w:val="it-IT" w:eastAsia="zh-CN"/>
        </w:rPr>
        <w:t>Prin implementarea Planului Strategic Instituțional pentr</w:t>
      </w:r>
      <w:r w:rsidR="00F229EF">
        <w:rPr>
          <w:rFonts w:asciiTheme="minorHAnsi" w:hAnsiTheme="minorHAnsi" w:cs="Calibri"/>
          <w:lang w:val="it-IT" w:eastAsia="zh-CN"/>
        </w:rPr>
        <w:t xml:space="preserve">u perioada </w:t>
      </w:r>
      <w:r w:rsidRPr="00A064B6">
        <w:rPr>
          <w:rFonts w:asciiTheme="minorHAnsi" w:hAnsiTheme="minorHAnsi" w:cs="Calibri"/>
          <w:lang w:val="it-IT" w:eastAsia="zh-CN"/>
        </w:rPr>
        <w:t xml:space="preserve">2019 - 2021, </w:t>
      </w:r>
      <w:r w:rsidRPr="003964D3">
        <w:rPr>
          <w:rFonts w:asciiTheme="minorHAnsi" w:hAnsiTheme="minorHAnsi" w:cs="Calibri"/>
          <w:lang w:val="fr-FR" w:eastAsia="zh-CN"/>
        </w:rPr>
        <w:t xml:space="preserve">Ministerul Afacerilor Interne acționează pentru îndeplinirea a </w:t>
      </w:r>
      <w:r w:rsidRPr="003964D3">
        <w:rPr>
          <w:rFonts w:asciiTheme="minorHAnsi" w:hAnsiTheme="minorHAnsi" w:cs="Calibri"/>
          <w:i/>
          <w:lang w:val="fr-FR" w:eastAsia="zh-CN"/>
        </w:rPr>
        <w:t xml:space="preserve">trei obiective strategice </w:t>
      </w:r>
      <w:r w:rsidRPr="003964D3">
        <w:rPr>
          <w:rFonts w:asciiTheme="minorHAnsi" w:hAnsiTheme="minorHAnsi" w:cs="Calibri"/>
          <w:lang w:val="fr-FR" w:eastAsia="zh-CN"/>
        </w:rPr>
        <w:t>stabilite în cuprinsul documentului, astfel:</w:t>
      </w:r>
    </w:p>
    <w:p w:rsidR="00A064B6" w:rsidRPr="003964D3" w:rsidRDefault="00A064B6" w:rsidP="00A064B6">
      <w:pPr>
        <w:suppressAutoHyphens/>
        <w:ind w:firstLine="708"/>
        <w:jc w:val="both"/>
        <w:rPr>
          <w:rFonts w:asciiTheme="minorHAnsi" w:hAnsiTheme="minorHAnsi" w:cs="Calibri"/>
          <w:lang w:val="fr-FR" w:eastAsia="zh-CN"/>
        </w:rPr>
      </w:pPr>
    </w:p>
    <w:p w:rsidR="00F229EF" w:rsidRPr="003964D3" w:rsidRDefault="00A064B6" w:rsidP="007D3E9E">
      <w:pPr>
        <w:numPr>
          <w:ilvl w:val="0"/>
          <w:numId w:val="46"/>
        </w:numPr>
        <w:suppressAutoHyphens/>
        <w:ind w:left="1418" w:hanging="861"/>
        <w:jc w:val="both"/>
        <w:rPr>
          <w:rFonts w:asciiTheme="minorHAnsi" w:hAnsiTheme="minorHAnsi" w:cs="Calibri"/>
          <w:lang w:val="fr-FR" w:eastAsia="zh-CN"/>
        </w:rPr>
      </w:pPr>
      <w:r w:rsidRPr="003964D3">
        <w:rPr>
          <w:rFonts w:asciiTheme="minorHAnsi" w:hAnsiTheme="minorHAnsi" w:cs="Calibri"/>
          <w:lang w:val="fr-FR" w:eastAsia="zh-CN"/>
        </w:rPr>
        <w:t>Asigurarea unui grad ridicat de siguranță a persoanelor și de protecție a</w:t>
      </w:r>
    </w:p>
    <w:p w:rsidR="00A064B6" w:rsidRPr="00F229EF" w:rsidRDefault="00A064B6" w:rsidP="00A60A85">
      <w:pPr>
        <w:suppressAutoHyphens/>
        <w:ind w:left="1440"/>
        <w:jc w:val="both"/>
        <w:rPr>
          <w:rFonts w:asciiTheme="minorHAnsi" w:hAnsiTheme="minorHAnsi" w:cs="Calibri"/>
          <w:lang w:eastAsia="zh-CN"/>
        </w:rPr>
      </w:pPr>
      <w:r w:rsidRPr="00F229EF">
        <w:rPr>
          <w:rFonts w:asciiTheme="minorHAnsi" w:hAnsiTheme="minorHAnsi" w:cs="Calibri"/>
          <w:lang w:eastAsia="zh-CN"/>
        </w:rPr>
        <w:t>patrimoniului;</w:t>
      </w:r>
    </w:p>
    <w:p w:rsidR="00A064B6" w:rsidRPr="003964D3" w:rsidRDefault="00A064B6" w:rsidP="009F7237">
      <w:pPr>
        <w:numPr>
          <w:ilvl w:val="0"/>
          <w:numId w:val="46"/>
        </w:numPr>
        <w:suppressAutoHyphens/>
        <w:ind w:left="1276" w:hanging="719"/>
        <w:jc w:val="both"/>
        <w:rPr>
          <w:rFonts w:asciiTheme="minorHAnsi" w:hAnsiTheme="minorHAnsi" w:cs="Calibri"/>
          <w:lang w:val="fr-FR" w:eastAsia="zh-CN"/>
        </w:rPr>
      </w:pPr>
      <w:r w:rsidRPr="003964D3">
        <w:rPr>
          <w:rFonts w:asciiTheme="minorHAnsi" w:hAnsiTheme="minorHAnsi" w:cs="Calibri"/>
          <w:lang w:val="fr-FR" w:eastAsia="zh-CN"/>
        </w:rPr>
        <w:t xml:space="preserve">     Creșterea capacității MAI de gestionare a evenimentelor majore;</w:t>
      </w:r>
    </w:p>
    <w:p w:rsidR="00A064B6" w:rsidRPr="00A064B6" w:rsidRDefault="00A064B6" w:rsidP="009F7237">
      <w:pPr>
        <w:numPr>
          <w:ilvl w:val="0"/>
          <w:numId w:val="46"/>
        </w:numPr>
        <w:suppressAutoHyphens/>
        <w:ind w:left="1276" w:hanging="719"/>
        <w:jc w:val="both"/>
        <w:rPr>
          <w:rFonts w:asciiTheme="minorHAnsi" w:hAnsiTheme="minorHAnsi" w:cs="Calibri"/>
          <w:lang w:eastAsia="zh-CN"/>
        </w:rPr>
      </w:pPr>
      <w:r w:rsidRPr="00A064B6">
        <w:rPr>
          <w:rFonts w:asciiTheme="minorHAnsi" w:hAnsiTheme="minorHAnsi" w:cs="Calibri"/>
          <w:lang w:eastAsia="zh-CN"/>
        </w:rPr>
        <w:t>Creșterea eficienței și capacității administrative a MAI.</w:t>
      </w:r>
    </w:p>
    <w:p w:rsidR="00A064B6" w:rsidRPr="00A064B6" w:rsidRDefault="00A064B6" w:rsidP="00A064B6">
      <w:pPr>
        <w:suppressAutoHyphens/>
        <w:ind w:left="1428"/>
        <w:jc w:val="both"/>
        <w:rPr>
          <w:rFonts w:asciiTheme="minorHAnsi" w:hAnsiTheme="minorHAnsi" w:cs="Calibri"/>
          <w:lang w:eastAsia="zh-CN"/>
        </w:rPr>
      </w:pPr>
    </w:p>
    <w:p w:rsidR="00A064B6" w:rsidRPr="00A064B6" w:rsidRDefault="00A064B6" w:rsidP="00AA62AF">
      <w:pPr>
        <w:suppressAutoHyphens/>
        <w:ind w:firstLine="720"/>
        <w:jc w:val="both"/>
        <w:rPr>
          <w:rFonts w:asciiTheme="minorHAnsi" w:hAnsiTheme="minorHAnsi" w:cs="Calibri"/>
          <w:lang w:eastAsia="zh-CN"/>
        </w:rPr>
      </w:pPr>
      <w:r w:rsidRPr="00A064B6">
        <w:rPr>
          <w:rFonts w:asciiTheme="minorHAnsi" w:hAnsiTheme="minorHAnsi" w:cs="Calibri"/>
          <w:lang w:eastAsia="zh-CN"/>
        </w:rPr>
        <w:t>Totodată, Planul Strategic In</w:t>
      </w:r>
      <w:r w:rsidR="00F229EF">
        <w:rPr>
          <w:rFonts w:asciiTheme="minorHAnsi" w:hAnsiTheme="minorHAnsi" w:cs="Calibri"/>
          <w:lang w:eastAsia="zh-CN"/>
        </w:rPr>
        <w:t>stituțional pentru perioada 2019</w:t>
      </w:r>
      <w:r w:rsidRPr="00A064B6">
        <w:rPr>
          <w:rFonts w:asciiTheme="minorHAnsi" w:hAnsiTheme="minorHAnsi" w:cs="Calibri"/>
          <w:lang w:eastAsia="zh-CN"/>
        </w:rPr>
        <w:t xml:space="preserve"> – 2021, propune ca cele 3 obiective strategice menționate, să fie derivate într-un număr de </w:t>
      </w:r>
      <w:r w:rsidRPr="00A064B6">
        <w:rPr>
          <w:rFonts w:asciiTheme="minorHAnsi" w:hAnsiTheme="minorHAnsi" w:cs="Calibri"/>
          <w:b/>
          <w:lang w:eastAsia="zh-CN"/>
        </w:rPr>
        <w:t xml:space="preserve">5 programe bugetare, </w:t>
      </w:r>
      <w:r w:rsidRPr="00A064B6">
        <w:rPr>
          <w:rFonts w:asciiTheme="minorHAnsi" w:hAnsiTheme="minorHAnsi" w:cs="Calibri"/>
          <w:lang w:eastAsia="zh-CN"/>
        </w:rPr>
        <w:t>dup</w:t>
      </w:r>
      <w:r w:rsidRPr="00A064B6">
        <w:rPr>
          <w:rFonts w:asciiTheme="minorHAnsi" w:hAnsiTheme="minorHAnsi" w:cs="Calibri"/>
          <w:lang w:val="ro-RO" w:eastAsia="zh-CN"/>
        </w:rPr>
        <w:t>ă cum urmează</w:t>
      </w:r>
      <w:r w:rsidRPr="00A064B6">
        <w:rPr>
          <w:rFonts w:asciiTheme="minorHAnsi" w:hAnsiTheme="minorHAnsi" w:cs="Calibri"/>
          <w:lang w:eastAsia="zh-CN"/>
        </w:rPr>
        <w:t>:</w:t>
      </w:r>
    </w:p>
    <w:p w:rsidR="00A064B6" w:rsidRPr="00A064B6" w:rsidRDefault="00A064B6" w:rsidP="009F7237">
      <w:pPr>
        <w:numPr>
          <w:ilvl w:val="0"/>
          <w:numId w:val="51"/>
        </w:numPr>
        <w:suppressAutoHyphens/>
        <w:contextualSpacing/>
        <w:jc w:val="both"/>
        <w:rPr>
          <w:rFonts w:asciiTheme="minorHAnsi" w:eastAsia="Calibri" w:hAnsiTheme="minorHAnsi" w:cs="Calibri"/>
          <w:lang w:eastAsia="zh-CN"/>
        </w:rPr>
      </w:pPr>
      <w:r w:rsidRPr="00A064B6">
        <w:rPr>
          <w:rFonts w:asciiTheme="minorHAnsi" w:eastAsia="Calibri" w:hAnsiTheme="minorHAnsi" w:cs="Calibri"/>
          <w:lang w:eastAsia="zh-CN"/>
        </w:rPr>
        <w:t xml:space="preserve">Programul 1 “Ordine și siguranță publică ” </w:t>
      </w:r>
    </w:p>
    <w:p w:rsidR="00A064B6" w:rsidRPr="00715536" w:rsidRDefault="00A064B6" w:rsidP="009F7237">
      <w:pPr>
        <w:numPr>
          <w:ilvl w:val="0"/>
          <w:numId w:val="51"/>
        </w:numPr>
        <w:suppressAutoHyphens/>
        <w:contextualSpacing/>
        <w:jc w:val="both"/>
        <w:rPr>
          <w:rFonts w:asciiTheme="minorHAnsi" w:eastAsia="Calibri" w:hAnsiTheme="minorHAnsi" w:cs="Calibri"/>
          <w:lang w:val="fr-FR" w:eastAsia="zh-CN"/>
        </w:rPr>
      </w:pPr>
      <w:r w:rsidRPr="00715536">
        <w:rPr>
          <w:rFonts w:asciiTheme="minorHAnsi" w:eastAsia="Calibri" w:hAnsiTheme="minorHAnsi" w:cs="Calibri"/>
          <w:lang w:val="fr-FR" w:eastAsia="zh-CN"/>
        </w:rPr>
        <w:t xml:space="preserve">Programul 2 </w:t>
      </w:r>
      <w:r w:rsidRPr="003964D3">
        <w:rPr>
          <w:rFonts w:asciiTheme="minorHAnsi" w:eastAsia="Calibri" w:hAnsiTheme="minorHAnsi" w:cs="Calibri"/>
          <w:lang w:val="fr-FR" w:eastAsia="zh-CN"/>
        </w:rPr>
        <w:t xml:space="preserve">“Siguranța frontierei de stat, migrație, azil și integrare” </w:t>
      </w:r>
    </w:p>
    <w:p w:rsidR="00A064B6" w:rsidRPr="00A064B6" w:rsidRDefault="00A064B6" w:rsidP="009F7237">
      <w:pPr>
        <w:numPr>
          <w:ilvl w:val="0"/>
          <w:numId w:val="51"/>
        </w:numPr>
        <w:suppressAutoHyphens/>
        <w:contextualSpacing/>
        <w:jc w:val="both"/>
        <w:rPr>
          <w:rFonts w:asciiTheme="minorHAnsi" w:eastAsia="Calibri" w:hAnsiTheme="minorHAnsi" w:cs="Calibri"/>
          <w:lang w:eastAsia="zh-CN"/>
        </w:rPr>
      </w:pPr>
      <w:r w:rsidRPr="00A064B6">
        <w:rPr>
          <w:rFonts w:asciiTheme="minorHAnsi" w:eastAsia="Calibri" w:hAnsiTheme="minorHAnsi" w:cs="Calibri"/>
          <w:lang w:eastAsia="zh-CN"/>
        </w:rPr>
        <w:t xml:space="preserve">Programul 3 “ Protecție civilă și sprijin acordat comunității”  </w:t>
      </w:r>
    </w:p>
    <w:p w:rsidR="00A064B6" w:rsidRPr="00715536" w:rsidRDefault="00A064B6" w:rsidP="009F7237">
      <w:pPr>
        <w:numPr>
          <w:ilvl w:val="0"/>
          <w:numId w:val="51"/>
        </w:numPr>
        <w:suppressAutoHyphens/>
        <w:contextualSpacing/>
        <w:jc w:val="both"/>
        <w:rPr>
          <w:rFonts w:asciiTheme="minorHAnsi" w:eastAsia="Calibri" w:hAnsiTheme="minorHAnsi" w:cs="Calibri"/>
          <w:lang w:val="fr-FR" w:eastAsia="zh-CN"/>
        </w:rPr>
      </w:pPr>
      <w:r w:rsidRPr="00715536">
        <w:rPr>
          <w:rFonts w:asciiTheme="minorHAnsi" w:eastAsia="Calibri" w:hAnsiTheme="minorHAnsi" w:cs="Calibri"/>
          <w:lang w:val="fr-FR" w:eastAsia="zh-CN"/>
        </w:rPr>
        <w:t xml:space="preserve">Programul 4 </w:t>
      </w:r>
      <w:r w:rsidRPr="003964D3">
        <w:rPr>
          <w:rFonts w:asciiTheme="minorHAnsi" w:eastAsia="Calibri" w:hAnsiTheme="minorHAnsi" w:cs="Calibri"/>
          <w:lang w:val="fr-FR" w:eastAsia="zh-CN"/>
        </w:rPr>
        <w:t>“ Servicii pentru cet</w:t>
      </w:r>
      <w:r w:rsidRPr="00715536">
        <w:rPr>
          <w:rFonts w:asciiTheme="minorHAnsi" w:eastAsia="Calibri" w:hAnsiTheme="minorHAnsi" w:cs="Calibri"/>
          <w:lang w:val="fr-FR" w:eastAsia="zh-CN"/>
        </w:rPr>
        <w:t>ățeni și persoane juridice</w:t>
      </w:r>
      <w:r w:rsidRPr="003964D3">
        <w:rPr>
          <w:rFonts w:asciiTheme="minorHAnsi" w:eastAsia="Calibri" w:hAnsiTheme="minorHAnsi" w:cs="Calibri"/>
          <w:lang w:val="fr-FR" w:eastAsia="zh-CN"/>
        </w:rPr>
        <w:t>”</w:t>
      </w:r>
    </w:p>
    <w:p w:rsidR="00A064B6" w:rsidRPr="00A064B6" w:rsidRDefault="00A064B6" w:rsidP="009F7237">
      <w:pPr>
        <w:numPr>
          <w:ilvl w:val="0"/>
          <w:numId w:val="51"/>
        </w:numPr>
        <w:suppressAutoHyphens/>
        <w:contextualSpacing/>
        <w:jc w:val="both"/>
        <w:rPr>
          <w:rFonts w:asciiTheme="minorHAnsi" w:eastAsia="Calibri" w:hAnsiTheme="minorHAnsi" w:cs="Calibri"/>
          <w:lang w:eastAsia="zh-CN"/>
        </w:rPr>
      </w:pPr>
      <w:r w:rsidRPr="00A064B6">
        <w:rPr>
          <w:rFonts w:asciiTheme="minorHAnsi" w:eastAsia="Calibri" w:hAnsiTheme="minorHAnsi" w:cs="Calibri"/>
          <w:lang w:eastAsia="zh-CN"/>
        </w:rPr>
        <w:t>Programul 5 “Capacitate administrativă și sprijin operațional”</w:t>
      </w:r>
    </w:p>
    <w:p w:rsidR="00A064B6" w:rsidRPr="00A064B6" w:rsidRDefault="00A064B6" w:rsidP="00A064B6">
      <w:pPr>
        <w:suppressAutoHyphens/>
        <w:jc w:val="both"/>
        <w:rPr>
          <w:rFonts w:asciiTheme="minorHAnsi" w:hAnsiTheme="minorHAnsi" w:cs="Calibri"/>
          <w:lang w:eastAsia="zh-CN"/>
        </w:rPr>
      </w:pPr>
    </w:p>
    <w:p w:rsidR="00A064B6" w:rsidRPr="00A064B6" w:rsidRDefault="00A064B6" w:rsidP="00A064B6">
      <w:pPr>
        <w:suppressAutoHyphens/>
        <w:ind w:firstLine="708"/>
        <w:jc w:val="both"/>
        <w:rPr>
          <w:rFonts w:asciiTheme="minorHAnsi" w:hAnsiTheme="minorHAnsi" w:cs="Calibri"/>
          <w:lang w:eastAsia="zh-CN"/>
        </w:rPr>
      </w:pPr>
      <w:r w:rsidRPr="00A064B6">
        <w:rPr>
          <w:rFonts w:asciiTheme="minorHAnsi" w:hAnsiTheme="minorHAnsi" w:cs="Calibri"/>
          <w:lang w:eastAsia="zh-CN"/>
        </w:rPr>
        <w:t xml:space="preserve">În cuprinsul celor  </w:t>
      </w:r>
      <w:r w:rsidRPr="00A064B6">
        <w:rPr>
          <w:rFonts w:asciiTheme="minorHAnsi" w:hAnsiTheme="minorHAnsi" w:cs="Calibri"/>
          <w:b/>
          <w:lang w:eastAsia="zh-CN"/>
        </w:rPr>
        <w:t>5 programe bugetare</w:t>
      </w:r>
      <w:r w:rsidRPr="00A064B6">
        <w:rPr>
          <w:rFonts w:asciiTheme="minorHAnsi" w:hAnsiTheme="minorHAnsi" w:cs="Calibri"/>
          <w:lang w:eastAsia="zh-CN"/>
        </w:rPr>
        <w:t xml:space="preserve"> sunt stabilite </w:t>
      </w:r>
      <w:r w:rsidRPr="00A064B6">
        <w:rPr>
          <w:rFonts w:asciiTheme="minorHAnsi" w:hAnsiTheme="minorHAnsi" w:cs="Calibri"/>
          <w:b/>
          <w:lang w:eastAsia="zh-CN"/>
        </w:rPr>
        <w:t>măsuri</w:t>
      </w:r>
      <w:r w:rsidRPr="00A064B6">
        <w:rPr>
          <w:rFonts w:asciiTheme="minorHAnsi" w:hAnsiTheme="minorHAnsi" w:cs="Calibri"/>
          <w:lang w:eastAsia="zh-CN"/>
        </w:rPr>
        <w:t xml:space="preserve">, precum și </w:t>
      </w:r>
      <w:r w:rsidRPr="00A064B6">
        <w:rPr>
          <w:rFonts w:asciiTheme="minorHAnsi" w:hAnsiTheme="minorHAnsi" w:cs="Calibri"/>
          <w:b/>
          <w:lang w:eastAsia="zh-CN"/>
        </w:rPr>
        <w:t>rezultate așteptate</w:t>
      </w:r>
      <w:r w:rsidRPr="00A064B6">
        <w:rPr>
          <w:rFonts w:asciiTheme="minorHAnsi" w:hAnsiTheme="minorHAnsi" w:cs="Calibri"/>
          <w:lang w:eastAsia="zh-CN"/>
        </w:rPr>
        <w:t xml:space="preserve">, astfel:  </w:t>
      </w:r>
    </w:p>
    <w:p w:rsidR="00A064B6" w:rsidRPr="00A064B6" w:rsidRDefault="00A064B6" w:rsidP="00A064B6">
      <w:pPr>
        <w:suppressAutoHyphens/>
        <w:jc w:val="both"/>
        <w:rPr>
          <w:rFonts w:asciiTheme="minorHAnsi" w:hAnsiTheme="minorHAnsi"/>
          <w:b/>
        </w:rPr>
      </w:pPr>
    </w:p>
    <w:p w:rsidR="00A064B6" w:rsidRPr="00A064B6" w:rsidRDefault="00A064B6" w:rsidP="00A064B6">
      <w:pPr>
        <w:suppressAutoHyphens/>
        <w:jc w:val="both"/>
        <w:rPr>
          <w:rFonts w:asciiTheme="minorHAnsi" w:hAnsiTheme="minorHAnsi"/>
          <w:b/>
          <w:lang w:eastAsia="zh-CN"/>
        </w:rPr>
      </w:pPr>
      <w:r w:rsidRPr="00A064B6">
        <w:rPr>
          <w:rFonts w:asciiTheme="minorHAnsi" w:hAnsiTheme="minorHAnsi"/>
          <w:b/>
          <w:lang w:eastAsia="zh-CN"/>
        </w:rPr>
        <w:t>PROGRAMUL 1 “ORDINE ȘI SIGURANȚĂ PUBLICĂ”</w:t>
      </w:r>
    </w:p>
    <w:p w:rsidR="00A064B6" w:rsidRPr="003964D3" w:rsidRDefault="00A064B6" w:rsidP="009F7237">
      <w:pPr>
        <w:numPr>
          <w:ilvl w:val="1"/>
          <w:numId w:val="47"/>
        </w:numPr>
        <w:suppressAutoHyphens/>
        <w:jc w:val="both"/>
        <w:rPr>
          <w:rFonts w:asciiTheme="minorHAnsi" w:hAnsiTheme="minorHAnsi"/>
          <w:i/>
          <w:lang w:val="fr-FR" w:eastAsia="zh-CN"/>
        </w:rPr>
      </w:pPr>
      <w:r w:rsidRPr="003964D3">
        <w:rPr>
          <w:rFonts w:asciiTheme="minorHAnsi" w:hAnsiTheme="minorHAnsi"/>
          <w:b/>
          <w:lang w:val="fr-FR" w:eastAsia="zh-CN"/>
        </w:rPr>
        <w:t xml:space="preserve">Obiectiv program -  </w:t>
      </w:r>
      <w:r w:rsidRPr="003964D3">
        <w:rPr>
          <w:rFonts w:asciiTheme="minorHAnsi" w:hAnsiTheme="minorHAnsi"/>
          <w:i/>
          <w:lang w:val="fr-FR" w:eastAsia="zh-CN"/>
        </w:rPr>
        <w:t>Asigurarea unui grad ridicat de siguranță a persoanelor și de protecție a patrimoniului</w:t>
      </w:r>
    </w:p>
    <w:p w:rsidR="00A064B6" w:rsidRPr="003964D3" w:rsidRDefault="00A064B6" w:rsidP="00A064B6">
      <w:pPr>
        <w:suppressAutoHyphens/>
        <w:ind w:left="384"/>
        <w:jc w:val="both"/>
        <w:rPr>
          <w:rFonts w:asciiTheme="minorHAnsi" w:hAnsiTheme="minorHAnsi"/>
          <w:lang w:val="fr-FR" w:eastAsia="zh-CN"/>
        </w:rPr>
      </w:pPr>
    </w:p>
    <w:p w:rsidR="00A064B6" w:rsidRPr="00A064B6" w:rsidRDefault="00A064B6" w:rsidP="009F7237">
      <w:pPr>
        <w:numPr>
          <w:ilvl w:val="1"/>
          <w:numId w:val="47"/>
        </w:numPr>
        <w:suppressAutoHyphens/>
        <w:jc w:val="both"/>
        <w:rPr>
          <w:rFonts w:asciiTheme="minorHAnsi" w:hAnsiTheme="minorHAnsi"/>
          <w:b/>
          <w:lang w:eastAsia="zh-CN"/>
        </w:rPr>
      </w:pPr>
      <w:r w:rsidRPr="00A064B6">
        <w:rPr>
          <w:rFonts w:asciiTheme="minorHAnsi" w:hAnsiTheme="minorHAnsi"/>
          <w:b/>
          <w:lang w:eastAsia="zh-CN"/>
        </w:rPr>
        <w:t>Măsuri program:</w:t>
      </w:r>
    </w:p>
    <w:p w:rsidR="00A064B6" w:rsidRPr="00A064B6" w:rsidRDefault="00A064B6" w:rsidP="009F7237">
      <w:pPr>
        <w:numPr>
          <w:ilvl w:val="0"/>
          <w:numId w:val="59"/>
        </w:numPr>
        <w:suppressAutoHyphens/>
        <w:ind w:left="714" w:hanging="357"/>
        <w:jc w:val="both"/>
        <w:rPr>
          <w:rFonts w:asciiTheme="minorHAnsi" w:hAnsiTheme="minorHAnsi"/>
          <w:b/>
          <w:lang w:eastAsia="zh-CN"/>
        </w:rPr>
      </w:pPr>
      <w:r w:rsidRPr="00A064B6">
        <w:rPr>
          <w:rFonts w:asciiTheme="minorHAnsi" w:hAnsiTheme="minorHAnsi"/>
          <w:lang w:eastAsia="ja-JP"/>
        </w:rPr>
        <w:t>Prevenirea și combaterea infracțiunilor contra persoanei</w:t>
      </w:r>
    </w:p>
    <w:p w:rsidR="00A064B6" w:rsidRPr="003964D3" w:rsidRDefault="00A064B6" w:rsidP="009F7237">
      <w:pPr>
        <w:numPr>
          <w:ilvl w:val="0"/>
          <w:numId w:val="59"/>
        </w:numPr>
        <w:suppressAutoHyphens/>
        <w:ind w:left="714" w:hanging="357"/>
        <w:jc w:val="both"/>
        <w:rPr>
          <w:rFonts w:asciiTheme="minorHAnsi" w:hAnsiTheme="minorHAnsi"/>
          <w:b/>
          <w:lang w:val="fr-FR" w:eastAsia="zh-CN"/>
        </w:rPr>
      </w:pPr>
      <w:r w:rsidRPr="003964D3">
        <w:rPr>
          <w:rFonts w:asciiTheme="minorHAnsi" w:hAnsiTheme="minorHAnsi"/>
          <w:lang w:val="fr-FR" w:eastAsia="ja-JP"/>
        </w:rPr>
        <w:t xml:space="preserve">Prevenirea și combaterea infracțiunilor contra patrimoniului </w:t>
      </w:r>
    </w:p>
    <w:p w:rsidR="00A064B6" w:rsidRPr="00A064B6" w:rsidRDefault="00A064B6" w:rsidP="009F7237">
      <w:pPr>
        <w:numPr>
          <w:ilvl w:val="0"/>
          <w:numId w:val="59"/>
        </w:numPr>
        <w:suppressAutoHyphens/>
        <w:ind w:left="714" w:hanging="357"/>
        <w:jc w:val="both"/>
        <w:rPr>
          <w:rFonts w:asciiTheme="minorHAnsi" w:hAnsiTheme="minorHAnsi"/>
          <w:lang w:eastAsia="ja-JP"/>
        </w:rPr>
      </w:pPr>
      <w:r w:rsidRPr="00A064B6">
        <w:rPr>
          <w:rFonts w:asciiTheme="minorHAnsi" w:hAnsiTheme="minorHAnsi"/>
          <w:lang w:eastAsia="ja-JP"/>
        </w:rPr>
        <w:t>Prevenirea și combaterea infracțiunilor la regimul armelor și munițiilor, materialelor nucleare, al materiilor explozive, precum și al substanțelor periculoase</w:t>
      </w:r>
    </w:p>
    <w:p w:rsidR="00A064B6" w:rsidRPr="003964D3" w:rsidRDefault="00A064B6" w:rsidP="009F7237">
      <w:pPr>
        <w:numPr>
          <w:ilvl w:val="0"/>
          <w:numId w:val="59"/>
        </w:numPr>
        <w:suppressAutoHyphens/>
        <w:ind w:left="714" w:hanging="357"/>
        <w:jc w:val="both"/>
        <w:rPr>
          <w:rFonts w:asciiTheme="minorHAnsi" w:hAnsiTheme="minorHAnsi"/>
          <w:lang w:val="fr-FR" w:eastAsia="ja-JP"/>
        </w:rPr>
      </w:pPr>
      <w:r w:rsidRPr="00A064B6">
        <w:rPr>
          <w:rFonts w:asciiTheme="minorHAnsi" w:hAnsiTheme="minorHAnsi"/>
          <w:lang w:val="fr-FR" w:eastAsia="ja-JP"/>
        </w:rPr>
        <w:t>Combaterea criminalității organizate pe linia traficului de persoane</w:t>
      </w:r>
    </w:p>
    <w:p w:rsidR="00A064B6" w:rsidRPr="003964D3" w:rsidRDefault="00A064B6" w:rsidP="009F7237">
      <w:pPr>
        <w:numPr>
          <w:ilvl w:val="0"/>
          <w:numId w:val="59"/>
        </w:numPr>
        <w:suppressAutoHyphens/>
        <w:ind w:left="714" w:hanging="357"/>
        <w:jc w:val="both"/>
        <w:rPr>
          <w:rFonts w:asciiTheme="minorHAnsi" w:hAnsiTheme="minorHAnsi"/>
          <w:lang w:val="fr-FR" w:eastAsia="ja-JP"/>
        </w:rPr>
      </w:pPr>
      <w:r w:rsidRPr="003964D3">
        <w:rPr>
          <w:rFonts w:asciiTheme="minorHAnsi" w:hAnsiTheme="minorHAnsi"/>
          <w:lang w:val="fr-FR" w:eastAsia="ja-JP"/>
        </w:rPr>
        <w:t xml:space="preserve">Combaterea criminalității organizate pe linia traficului de droguri </w:t>
      </w:r>
    </w:p>
    <w:p w:rsidR="00A064B6" w:rsidRPr="00A064B6" w:rsidRDefault="00A064B6" w:rsidP="009F7237">
      <w:pPr>
        <w:numPr>
          <w:ilvl w:val="0"/>
          <w:numId w:val="59"/>
        </w:numPr>
        <w:suppressAutoHyphens/>
        <w:ind w:left="714" w:hanging="357"/>
        <w:jc w:val="both"/>
        <w:rPr>
          <w:rFonts w:asciiTheme="minorHAnsi" w:hAnsiTheme="minorHAnsi"/>
          <w:lang w:eastAsia="ja-JP"/>
        </w:rPr>
      </w:pPr>
      <w:r w:rsidRPr="00A064B6">
        <w:rPr>
          <w:rFonts w:asciiTheme="minorHAnsi" w:hAnsiTheme="minorHAnsi"/>
          <w:lang w:eastAsia="ja-JP"/>
        </w:rPr>
        <w:t>Combaterea criminalității informatice</w:t>
      </w:r>
    </w:p>
    <w:p w:rsidR="00A064B6" w:rsidRPr="00A064B6" w:rsidRDefault="00A064B6" w:rsidP="009F7237">
      <w:pPr>
        <w:numPr>
          <w:ilvl w:val="0"/>
          <w:numId w:val="59"/>
        </w:numPr>
        <w:suppressAutoHyphens/>
        <w:ind w:left="714" w:hanging="357"/>
        <w:jc w:val="both"/>
        <w:rPr>
          <w:rFonts w:asciiTheme="minorHAnsi" w:hAnsiTheme="minorHAnsi"/>
          <w:lang w:eastAsia="ja-JP"/>
        </w:rPr>
      </w:pPr>
      <w:r w:rsidRPr="00A064B6">
        <w:rPr>
          <w:rFonts w:asciiTheme="minorHAnsi" w:hAnsiTheme="minorHAnsi"/>
          <w:lang w:eastAsia="ja-JP"/>
        </w:rPr>
        <w:t>Combaterea criminalității organizate pe linia finanțării terorismului și spălării banilor</w:t>
      </w:r>
    </w:p>
    <w:p w:rsidR="00A064B6" w:rsidRPr="00A064B6" w:rsidRDefault="00A064B6" w:rsidP="009F7237">
      <w:pPr>
        <w:numPr>
          <w:ilvl w:val="0"/>
          <w:numId w:val="59"/>
        </w:numPr>
        <w:suppressAutoHyphens/>
        <w:ind w:left="714" w:hanging="357"/>
        <w:jc w:val="both"/>
        <w:rPr>
          <w:rFonts w:asciiTheme="minorHAnsi" w:hAnsiTheme="minorHAnsi"/>
          <w:lang w:eastAsia="ja-JP"/>
        </w:rPr>
      </w:pPr>
      <w:r w:rsidRPr="00A064B6">
        <w:rPr>
          <w:rFonts w:asciiTheme="minorHAnsi" w:hAnsiTheme="minorHAnsi"/>
          <w:lang w:eastAsia="ja-JP"/>
        </w:rPr>
        <w:t>Prevenirea traficului de persoane</w:t>
      </w:r>
    </w:p>
    <w:p w:rsidR="00A064B6" w:rsidRPr="003964D3" w:rsidRDefault="00A064B6" w:rsidP="009F7237">
      <w:pPr>
        <w:numPr>
          <w:ilvl w:val="0"/>
          <w:numId w:val="59"/>
        </w:numPr>
        <w:suppressAutoHyphens/>
        <w:ind w:left="714" w:hanging="357"/>
        <w:jc w:val="both"/>
        <w:rPr>
          <w:rFonts w:asciiTheme="minorHAnsi" w:hAnsiTheme="minorHAnsi"/>
          <w:lang w:val="fr-FR" w:eastAsia="ja-JP"/>
        </w:rPr>
      </w:pPr>
      <w:r w:rsidRPr="003964D3">
        <w:rPr>
          <w:rFonts w:asciiTheme="minorHAnsi" w:hAnsiTheme="minorHAnsi"/>
          <w:lang w:val="fr-FR" w:eastAsia="ja-JP"/>
        </w:rPr>
        <w:t>Acordarea de sprijin victimelor traficului de persoane</w:t>
      </w:r>
    </w:p>
    <w:p w:rsidR="00A064B6" w:rsidRPr="00A064B6" w:rsidRDefault="00A064B6" w:rsidP="009F7237">
      <w:pPr>
        <w:numPr>
          <w:ilvl w:val="0"/>
          <w:numId w:val="59"/>
        </w:numPr>
        <w:suppressAutoHyphens/>
        <w:ind w:left="714" w:hanging="357"/>
        <w:jc w:val="both"/>
        <w:rPr>
          <w:rFonts w:asciiTheme="minorHAnsi" w:hAnsiTheme="minorHAnsi"/>
          <w:lang w:eastAsia="ja-JP"/>
        </w:rPr>
      </w:pPr>
      <w:r w:rsidRPr="00A064B6">
        <w:rPr>
          <w:rFonts w:asciiTheme="minorHAnsi" w:hAnsiTheme="minorHAnsi"/>
          <w:lang w:eastAsia="ja-JP"/>
        </w:rPr>
        <w:t>Prevenirea consumului de droguri</w:t>
      </w:r>
    </w:p>
    <w:p w:rsidR="00A064B6" w:rsidRPr="003964D3" w:rsidRDefault="00A064B6" w:rsidP="009F7237">
      <w:pPr>
        <w:numPr>
          <w:ilvl w:val="0"/>
          <w:numId w:val="59"/>
        </w:numPr>
        <w:suppressAutoHyphens/>
        <w:ind w:left="714" w:hanging="357"/>
        <w:jc w:val="both"/>
        <w:rPr>
          <w:rFonts w:asciiTheme="minorHAnsi" w:hAnsiTheme="minorHAnsi"/>
          <w:lang w:val="fr-FR" w:eastAsia="ja-JP"/>
        </w:rPr>
      </w:pPr>
      <w:r w:rsidRPr="003964D3">
        <w:rPr>
          <w:rFonts w:asciiTheme="minorHAnsi" w:hAnsiTheme="minorHAnsi"/>
          <w:lang w:val="fr-FR" w:eastAsia="ja-JP"/>
        </w:rPr>
        <w:t>Acordarea de asistență consumatorilor de droguri</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evaziunii fiscale</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contrabandei</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criminalității în domeniul drepturilor de proprietate intelectuală</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principalelor cauze generatoare de accidente rutiere</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abaterilor și infracțiunilor contra siguranței circulației pe căile ferate</w:t>
      </w:r>
    </w:p>
    <w:p w:rsidR="00A064B6" w:rsidRPr="003964D3" w:rsidRDefault="00A064B6" w:rsidP="009F7237">
      <w:pPr>
        <w:numPr>
          <w:ilvl w:val="0"/>
          <w:numId w:val="59"/>
        </w:numPr>
        <w:suppressAutoHyphens/>
        <w:jc w:val="both"/>
        <w:rPr>
          <w:rFonts w:asciiTheme="minorHAnsi" w:hAnsiTheme="minorHAnsi"/>
          <w:lang w:val="fr-FR" w:eastAsia="ja-JP"/>
        </w:rPr>
      </w:pPr>
      <w:r w:rsidRPr="003964D3">
        <w:rPr>
          <w:rFonts w:asciiTheme="minorHAnsi" w:hAnsiTheme="minorHAnsi"/>
          <w:lang w:val="fr-FR" w:eastAsia="ja-JP"/>
        </w:rPr>
        <w:t>Prevenirea și combaterea  abaterilor și infracțiunilor la regimul transportului naval</w:t>
      </w:r>
    </w:p>
    <w:p w:rsidR="00A064B6" w:rsidRPr="003964D3" w:rsidRDefault="00A064B6" w:rsidP="009F7237">
      <w:pPr>
        <w:numPr>
          <w:ilvl w:val="0"/>
          <w:numId w:val="59"/>
        </w:numPr>
        <w:suppressAutoHyphens/>
        <w:jc w:val="both"/>
        <w:rPr>
          <w:rFonts w:asciiTheme="minorHAnsi" w:hAnsiTheme="minorHAnsi"/>
          <w:lang w:val="fr-FR" w:eastAsia="ja-JP"/>
        </w:rPr>
      </w:pPr>
      <w:r w:rsidRPr="003964D3">
        <w:rPr>
          <w:rFonts w:asciiTheme="minorHAnsi" w:hAnsiTheme="minorHAnsi"/>
          <w:lang w:val="fr-FR" w:eastAsia="ja-JP"/>
        </w:rPr>
        <w:t>Prevenirea și combaterea infracțiunilor la regimul protejării patrimoniului cultural național</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infracțiunilor silvice</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infracțiunilor privind fondul piscicol, pescuitul și acvacultura</w:t>
      </w:r>
    </w:p>
    <w:p w:rsidR="00A064B6" w:rsidRPr="003964D3" w:rsidRDefault="00A064B6" w:rsidP="009F7237">
      <w:pPr>
        <w:numPr>
          <w:ilvl w:val="0"/>
          <w:numId w:val="59"/>
        </w:numPr>
        <w:suppressAutoHyphens/>
        <w:jc w:val="both"/>
        <w:rPr>
          <w:rFonts w:asciiTheme="minorHAnsi" w:hAnsiTheme="minorHAnsi"/>
          <w:lang w:val="fr-FR" w:eastAsia="ja-JP"/>
        </w:rPr>
      </w:pPr>
      <w:r w:rsidRPr="003964D3">
        <w:rPr>
          <w:rFonts w:asciiTheme="minorHAnsi" w:hAnsiTheme="minorHAnsi"/>
          <w:lang w:val="fr-FR" w:eastAsia="ja-JP"/>
        </w:rPr>
        <w:t xml:space="preserve">Participarea reprezentanților Inspectoratului General al Poliției Române (IGPR) la misiuni și activități internaționale </w:t>
      </w:r>
    </w:p>
    <w:p w:rsidR="00A064B6" w:rsidRPr="003964D3" w:rsidRDefault="00A064B6" w:rsidP="009F7237">
      <w:pPr>
        <w:numPr>
          <w:ilvl w:val="0"/>
          <w:numId w:val="59"/>
        </w:numPr>
        <w:suppressAutoHyphens/>
        <w:jc w:val="both"/>
        <w:rPr>
          <w:rFonts w:asciiTheme="minorHAnsi" w:hAnsiTheme="minorHAnsi"/>
          <w:lang w:val="fr-FR" w:eastAsia="ja-JP"/>
        </w:rPr>
      </w:pPr>
      <w:r w:rsidRPr="003964D3">
        <w:rPr>
          <w:rFonts w:asciiTheme="minorHAnsi" w:hAnsiTheme="minorHAnsi"/>
          <w:lang w:val="fr-FR" w:eastAsia="ja-JP"/>
        </w:rPr>
        <w:t>Desfășurarea formării profesionale inițială și continuă a polițiștilor în cadrul Școlii de Agenți de Poliție ”Vasile Lascăr”, Câmpina și a Școlii de Agenți de Poliție ”Septimiu Mureșan”, Cluj–Napoca</w:t>
      </w:r>
    </w:p>
    <w:p w:rsidR="00A064B6" w:rsidRPr="00A064B6" w:rsidRDefault="00A064B6" w:rsidP="009F7237">
      <w:pPr>
        <w:numPr>
          <w:ilvl w:val="0"/>
          <w:numId w:val="59"/>
        </w:numPr>
        <w:suppressAutoHyphens/>
        <w:jc w:val="both"/>
        <w:rPr>
          <w:rFonts w:asciiTheme="minorHAnsi" w:hAnsiTheme="minorHAnsi"/>
          <w:lang w:eastAsia="ja-JP"/>
        </w:rPr>
      </w:pPr>
      <w:r w:rsidRPr="003964D3">
        <w:rPr>
          <w:rFonts w:asciiTheme="minorHAnsi" w:hAnsiTheme="minorHAnsi"/>
          <w:lang w:val="fr-FR" w:eastAsia="ja-JP"/>
        </w:rPr>
        <w:t xml:space="preserve">Desfășurarea formării continue a polițiștilor în cadrul Centrului de Formare și Perfecționare a Polițiștilor ”Nicolae Golescu” Slatina și a Centrului Chinologic “ dr. </w:t>
      </w:r>
      <w:r w:rsidRPr="00A064B6">
        <w:rPr>
          <w:rFonts w:asciiTheme="minorHAnsi" w:hAnsiTheme="minorHAnsi"/>
          <w:lang w:eastAsia="ja-JP"/>
        </w:rPr>
        <w:t>Aurel Greblea” Sibiu</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Asigurarea unor intervenții operative la apelurile primite în centrele operaționale ale structurilor teritoriale ale MAI</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Asigurarea pazei, protecției, supravegherii și intervenției</w:t>
      </w:r>
    </w:p>
    <w:p w:rsidR="00A064B6" w:rsidRPr="003964D3" w:rsidRDefault="00A064B6" w:rsidP="009F7237">
      <w:pPr>
        <w:numPr>
          <w:ilvl w:val="0"/>
          <w:numId w:val="59"/>
        </w:numPr>
        <w:suppressAutoHyphens/>
        <w:jc w:val="both"/>
        <w:rPr>
          <w:rFonts w:asciiTheme="minorHAnsi" w:hAnsiTheme="minorHAnsi"/>
          <w:lang w:val="fr-FR" w:eastAsia="ja-JP"/>
        </w:rPr>
      </w:pPr>
      <w:r w:rsidRPr="003964D3">
        <w:rPr>
          <w:rFonts w:asciiTheme="minorHAnsi" w:hAnsiTheme="minorHAnsi"/>
          <w:lang w:val="fr-FR" w:eastAsia="ja-JP"/>
        </w:rPr>
        <w:t>Desfășurarea de misiuni de menținere și asigurare a ordinii publice</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Prevenirea și combaterea terorismului</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val="fr-FR" w:eastAsia="ja-JP"/>
        </w:rPr>
        <w:t>Participarea</w:t>
      </w:r>
      <w:r w:rsidRPr="00A064B6">
        <w:rPr>
          <w:rFonts w:asciiTheme="minorHAnsi" w:hAnsiTheme="minorHAnsi"/>
          <w:lang w:eastAsia="ja-JP"/>
        </w:rPr>
        <w:t xml:space="preserve"> reprezentanților Inspectoratului General al Jandarmeriei Române (IGJR)</w:t>
      </w:r>
      <w:r w:rsidRPr="00A064B6">
        <w:rPr>
          <w:rFonts w:asciiTheme="minorHAnsi" w:hAnsiTheme="minorHAnsi"/>
          <w:lang w:val="fr-FR" w:eastAsia="ja-JP"/>
        </w:rPr>
        <w:t xml:space="preserve"> la misiuni și activități internaționale</w:t>
      </w:r>
    </w:p>
    <w:p w:rsidR="00A064B6" w:rsidRPr="00A064B6" w:rsidRDefault="00A064B6" w:rsidP="009F7237">
      <w:pPr>
        <w:numPr>
          <w:ilvl w:val="0"/>
          <w:numId w:val="59"/>
        </w:numPr>
        <w:suppressAutoHyphens/>
        <w:jc w:val="both"/>
        <w:rPr>
          <w:rFonts w:asciiTheme="minorHAnsi" w:hAnsiTheme="minorHAnsi"/>
          <w:lang w:eastAsia="ja-JP"/>
        </w:rPr>
      </w:pPr>
      <w:r w:rsidRPr="00A064B6">
        <w:rPr>
          <w:rFonts w:asciiTheme="minorHAnsi" w:hAnsiTheme="minorHAnsi"/>
          <w:lang w:eastAsia="ja-JP"/>
        </w:rPr>
        <w:t>Desfășurarea formării profesionale inițială și continuă  a jandarmilor în cadrul Școlii Militare de Subofițeri de Jandarmi “Grigore Alexandru Ghica”, Drăgășani și a Școlii Militare de Subofițeri de Jandarmi, Fălticeni</w:t>
      </w:r>
    </w:p>
    <w:p w:rsidR="00A064B6" w:rsidRPr="00A064B6" w:rsidRDefault="00A064B6" w:rsidP="009F7237">
      <w:pPr>
        <w:numPr>
          <w:ilvl w:val="0"/>
          <w:numId w:val="59"/>
        </w:numPr>
        <w:suppressAutoHyphens/>
        <w:jc w:val="both"/>
        <w:rPr>
          <w:rFonts w:asciiTheme="minorHAnsi" w:hAnsiTheme="minorHAnsi"/>
          <w:i/>
          <w:lang w:eastAsia="ja-JP"/>
        </w:rPr>
      </w:pPr>
      <w:r w:rsidRPr="00A064B6">
        <w:rPr>
          <w:rFonts w:asciiTheme="minorHAnsi" w:hAnsiTheme="minorHAnsi"/>
          <w:lang w:eastAsia="ja-JP"/>
        </w:rPr>
        <w:t xml:space="preserve">Desfășurarea formării profesionale continuă </w:t>
      </w:r>
      <w:r w:rsidRPr="003964D3">
        <w:rPr>
          <w:rFonts w:asciiTheme="minorHAnsi" w:hAnsiTheme="minorHAnsi"/>
          <w:lang w:eastAsia="ja-JP"/>
        </w:rPr>
        <w:t xml:space="preserve">a </w:t>
      </w:r>
      <w:r w:rsidRPr="00A064B6">
        <w:rPr>
          <w:rFonts w:asciiTheme="minorHAnsi" w:hAnsiTheme="minorHAnsi"/>
          <w:lang w:eastAsia="ja-JP"/>
        </w:rPr>
        <w:t xml:space="preserve">jandarmilor </w:t>
      </w:r>
      <w:r w:rsidRPr="003964D3">
        <w:rPr>
          <w:rFonts w:asciiTheme="minorHAnsi" w:hAnsiTheme="minorHAnsi"/>
          <w:lang w:eastAsia="ja-JP"/>
        </w:rPr>
        <w:t>în cadrul Școlii de Aplicație pentru ofițeri ”Mihai Viteazul” București, Centrului de Pregătire și Perfecționare Gheorghieni, Centrului de Pregătire și Perfecționare Montan Sinaia și Centrului de Pregătire și Perfecționare Ochiuri</w:t>
      </w:r>
    </w:p>
    <w:p w:rsidR="00A064B6" w:rsidRPr="00A064B6" w:rsidRDefault="00A064B6" w:rsidP="009F7237">
      <w:pPr>
        <w:numPr>
          <w:ilvl w:val="0"/>
          <w:numId w:val="59"/>
        </w:numPr>
        <w:suppressAutoHyphens/>
        <w:jc w:val="both"/>
        <w:rPr>
          <w:rFonts w:asciiTheme="minorHAnsi" w:hAnsiTheme="minorHAnsi"/>
          <w:i/>
          <w:lang w:eastAsia="ja-JP"/>
        </w:rPr>
      </w:pPr>
      <w:r w:rsidRPr="003964D3">
        <w:rPr>
          <w:rFonts w:asciiTheme="minorHAnsi" w:hAnsiTheme="minorHAnsi"/>
          <w:lang w:eastAsia="ja-JP"/>
        </w:rPr>
        <w:t>Desfășurarea de activități informativ-operative pentru identificarea, prevenirea și contracararea amenințărilor, vulnerabilităților și a factorilor de risc care potconduce la tulburarea gravă a ordinii publice</w:t>
      </w:r>
    </w:p>
    <w:p w:rsidR="00A064B6" w:rsidRPr="00A064B6" w:rsidRDefault="00A064B6" w:rsidP="00A064B6">
      <w:pPr>
        <w:ind w:left="720"/>
        <w:jc w:val="both"/>
        <w:rPr>
          <w:rFonts w:asciiTheme="minorHAnsi" w:hAnsiTheme="minorHAnsi"/>
          <w:i/>
          <w:lang w:eastAsia="ja-JP"/>
        </w:rPr>
      </w:pPr>
    </w:p>
    <w:p w:rsidR="00A064B6" w:rsidRPr="00A064B6" w:rsidRDefault="00A064B6" w:rsidP="009F7237">
      <w:pPr>
        <w:numPr>
          <w:ilvl w:val="1"/>
          <w:numId w:val="47"/>
        </w:numPr>
        <w:suppressAutoHyphens/>
        <w:jc w:val="both"/>
        <w:rPr>
          <w:rFonts w:asciiTheme="minorHAnsi" w:eastAsia="Calibri" w:hAnsiTheme="minorHAnsi"/>
          <w:b/>
          <w:lang w:eastAsia="zh-CN"/>
        </w:rPr>
      </w:pPr>
      <w:r w:rsidRPr="00A064B6">
        <w:rPr>
          <w:rFonts w:asciiTheme="minorHAnsi" w:eastAsia="Calibri" w:hAnsiTheme="minorHAnsi"/>
          <w:b/>
          <w:lang w:eastAsia="zh-CN"/>
        </w:rPr>
        <w:t>Rezultate așteptate:</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Prevenirea și combaterea infracțiunilor comise contra persoanei, a patrimoniului, precum și la regimul armelor, munițiilor, materialelor nucleare, al materiilor explozive și substanțelor periculoase</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Destructurarea grupurilor infracționale organizate</w:t>
      </w:r>
    </w:p>
    <w:p w:rsidR="00A064B6" w:rsidRPr="003964D3" w:rsidRDefault="00A064B6" w:rsidP="009F7237">
      <w:pPr>
        <w:numPr>
          <w:ilvl w:val="0"/>
          <w:numId w:val="58"/>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Creșterea capacității de autoprotecție a populației împotriva victimizării și revictimizării prin trafic de persoane</w:t>
      </w:r>
    </w:p>
    <w:p w:rsidR="00A064B6" w:rsidRPr="003964D3" w:rsidRDefault="00A064B6" w:rsidP="009F7237">
      <w:pPr>
        <w:numPr>
          <w:ilvl w:val="0"/>
          <w:numId w:val="58"/>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Reducere cererii și ofertei de droguri</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Reducerea evaziunii fiscale și a altor forme ale criminalității economico-financiare</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Reducerea abaterilor și infracțiunilor care generează risc rutier, feroviar și naval</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Protecția patrimoniului cultural național și a ecosistemelor naturale naționale</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Extinderea cooperării cu partenerii externi în domeniiile specific IGPR</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resursei umane specializate – formarea ințială continuă a personalului IGPR</w:t>
      </w:r>
    </w:p>
    <w:p w:rsidR="00A064B6" w:rsidRPr="003964D3" w:rsidRDefault="00A064B6" w:rsidP="009F7237">
      <w:pPr>
        <w:numPr>
          <w:ilvl w:val="0"/>
          <w:numId w:val="58"/>
        </w:numPr>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Menținerea unui procent ridicat al intervențiilor cu timp de răspuns sub 10 min la apelurilor SNUAU 112</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Reducerea incidentelor înregistrate la obiectivele, bunurile, valorile și transporturile din responsabilitatea Jandarmeriei Române</w:t>
      </w:r>
    </w:p>
    <w:p w:rsidR="00A064B6" w:rsidRPr="003964D3" w:rsidRDefault="00A064B6" w:rsidP="009F7237">
      <w:pPr>
        <w:numPr>
          <w:ilvl w:val="0"/>
          <w:numId w:val="58"/>
        </w:numPr>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Reducerea num</w:t>
      </w:r>
      <w:r w:rsidRPr="00715536">
        <w:rPr>
          <w:rFonts w:asciiTheme="minorHAnsi" w:eastAsia="Calibri" w:hAnsiTheme="minorHAnsi"/>
          <w:lang w:val="fr-FR" w:eastAsia="ja-JP"/>
        </w:rPr>
        <w:t>ărului de fapte antisociale comise în segmentul stradal</w:t>
      </w:r>
    </w:p>
    <w:p w:rsidR="00A064B6" w:rsidRPr="003964D3" w:rsidRDefault="00A064B6" w:rsidP="009F7237">
      <w:pPr>
        <w:numPr>
          <w:ilvl w:val="0"/>
          <w:numId w:val="58"/>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Contribuție la menținerea amenințării teroriste la un nivel scăzut</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Extinderea cooperării cu partenerii externi în domeniile specifice IGJR</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resursei umane specializate – formare inițială și continuă a personalului IGJR</w:t>
      </w:r>
    </w:p>
    <w:p w:rsidR="00A064B6" w:rsidRPr="00A064B6" w:rsidRDefault="00A064B6" w:rsidP="009F7237">
      <w:pPr>
        <w:numPr>
          <w:ilvl w:val="0"/>
          <w:numId w:val="58"/>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suportului decizional în activitatea de asigurare și restabilire a ordinii publice</w:t>
      </w:r>
    </w:p>
    <w:p w:rsidR="00A064B6" w:rsidRPr="00A064B6" w:rsidRDefault="00A064B6" w:rsidP="00A064B6">
      <w:pPr>
        <w:tabs>
          <w:tab w:val="left" w:pos="0"/>
        </w:tabs>
        <w:jc w:val="both"/>
        <w:rPr>
          <w:rFonts w:asciiTheme="minorHAnsi" w:hAnsiTheme="minorHAnsi"/>
          <w:lang w:eastAsia="zh-CN"/>
        </w:rPr>
      </w:pPr>
    </w:p>
    <w:p w:rsidR="00A064B6" w:rsidRPr="003964D3" w:rsidRDefault="00A064B6" w:rsidP="00A064B6">
      <w:pPr>
        <w:tabs>
          <w:tab w:val="left" w:pos="0"/>
        </w:tabs>
        <w:jc w:val="both"/>
        <w:rPr>
          <w:rFonts w:asciiTheme="minorHAnsi" w:hAnsiTheme="minorHAnsi"/>
          <w:b/>
          <w:lang w:val="fr-FR" w:eastAsia="zh-CN"/>
        </w:rPr>
      </w:pPr>
      <w:r w:rsidRPr="003964D3">
        <w:rPr>
          <w:rFonts w:asciiTheme="minorHAnsi" w:hAnsiTheme="minorHAnsi"/>
          <w:b/>
          <w:lang w:val="fr-FR" w:eastAsia="zh-CN"/>
        </w:rPr>
        <w:t xml:space="preserve">1.4 Indicatori de impact ai Programului 1“ Ordine </w:t>
      </w:r>
      <w:r w:rsidRPr="00A064B6">
        <w:rPr>
          <w:rFonts w:asciiTheme="minorHAnsi" w:hAnsiTheme="minorHAnsi"/>
          <w:b/>
          <w:lang w:val="ro-RO" w:eastAsia="zh-CN"/>
        </w:rPr>
        <w:t>și siguranță publică</w:t>
      </w:r>
      <w:r w:rsidRPr="003964D3">
        <w:rPr>
          <w:rFonts w:asciiTheme="minorHAnsi" w:hAnsiTheme="minorHAnsi"/>
          <w:b/>
          <w:lang w:val="fr-FR" w:eastAsia="zh-CN"/>
        </w:rPr>
        <w:t>”:</w:t>
      </w:r>
    </w:p>
    <w:p w:rsidR="00A064B6" w:rsidRPr="00AA62AF" w:rsidRDefault="00A064B6" w:rsidP="00A064B6">
      <w:pPr>
        <w:tabs>
          <w:tab w:val="left" w:pos="0"/>
        </w:tabs>
        <w:ind w:left="384"/>
        <w:jc w:val="both"/>
        <w:rPr>
          <w:rFonts w:asciiTheme="minorHAnsi" w:hAnsiTheme="minorHAnsi"/>
          <w:sz w:val="16"/>
          <w:szCs w:val="16"/>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122"/>
        <w:gridCol w:w="891"/>
        <w:gridCol w:w="2275"/>
      </w:tblGrid>
      <w:tr w:rsidR="00A064B6" w:rsidRPr="00A064B6" w:rsidTr="00842BC9">
        <w:trPr>
          <w:jc w:val="center"/>
        </w:trPr>
        <w:tc>
          <w:tcPr>
            <w:tcW w:w="245"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Nr.crt</w:t>
            </w:r>
          </w:p>
        </w:tc>
        <w:tc>
          <w:tcPr>
            <w:tcW w:w="6154"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Denumire indicator</w:t>
            </w:r>
          </w:p>
        </w:tc>
        <w:tc>
          <w:tcPr>
            <w:tcW w:w="893"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U.M</w:t>
            </w:r>
          </w:p>
        </w:tc>
        <w:tc>
          <w:tcPr>
            <w:tcW w:w="2285"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Țintă 2021</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1.</w:t>
            </w:r>
          </w:p>
        </w:tc>
        <w:tc>
          <w:tcPr>
            <w:tcW w:w="6154"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Ponderea populației care consideră România ca fiind total sau foarte  nesigură în ceea ce privește securitatea indivizilor</w:t>
            </w:r>
          </w:p>
        </w:tc>
        <w:tc>
          <w:tcPr>
            <w:tcW w:w="89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w:t>
            </w:r>
          </w:p>
        </w:tc>
        <w:tc>
          <w:tcPr>
            <w:tcW w:w="228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6%</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2.</w:t>
            </w:r>
          </w:p>
        </w:tc>
        <w:tc>
          <w:tcPr>
            <w:tcW w:w="6154" w:type="dxa"/>
            <w:shd w:val="clear" w:color="auto" w:fill="auto"/>
          </w:tcPr>
          <w:p w:rsidR="00A064B6" w:rsidRPr="003964D3" w:rsidRDefault="00A064B6" w:rsidP="00A064B6">
            <w:pPr>
              <w:suppressAutoHyphens/>
              <w:jc w:val="both"/>
              <w:rPr>
                <w:rFonts w:asciiTheme="minorHAnsi" w:eastAsia="Calibri" w:hAnsiTheme="minorHAnsi"/>
                <w:lang w:val="fr-FR" w:eastAsia="zh-CN"/>
              </w:rPr>
            </w:pPr>
            <w:r w:rsidRPr="003964D3">
              <w:rPr>
                <w:rFonts w:asciiTheme="minorHAnsi" w:eastAsia="Calibri" w:hAnsiTheme="minorHAnsi"/>
                <w:lang w:val="fr-FR" w:eastAsia="zh-CN"/>
              </w:rPr>
              <w:t>Numărul de infracțiuni la 100.000 de locuitori</w:t>
            </w:r>
          </w:p>
        </w:tc>
        <w:tc>
          <w:tcPr>
            <w:tcW w:w="89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Nr</w:t>
            </w:r>
          </w:p>
        </w:tc>
        <w:tc>
          <w:tcPr>
            <w:tcW w:w="228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1.467</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3.</w:t>
            </w:r>
          </w:p>
        </w:tc>
        <w:tc>
          <w:tcPr>
            <w:tcW w:w="6154" w:type="dxa"/>
            <w:shd w:val="clear" w:color="auto" w:fill="auto"/>
          </w:tcPr>
          <w:p w:rsidR="00A064B6" w:rsidRPr="003964D3" w:rsidRDefault="00A064B6" w:rsidP="00A064B6">
            <w:pPr>
              <w:suppressAutoHyphens/>
              <w:jc w:val="both"/>
              <w:rPr>
                <w:rFonts w:asciiTheme="minorHAnsi" w:eastAsia="Calibri" w:hAnsiTheme="minorHAnsi"/>
                <w:lang w:val="fr-FR" w:eastAsia="zh-CN"/>
              </w:rPr>
            </w:pPr>
            <w:r w:rsidRPr="003964D3">
              <w:rPr>
                <w:rFonts w:asciiTheme="minorHAnsi" w:eastAsia="Calibri" w:hAnsiTheme="minorHAnsi"/>
                <w:lang w:val="fr-FR" w:eastAsia="zh-CN"/>
              </w:rPr>
              <w:t>Nivelul de încredere al populației în structurile MAI (Poliția Română)</w:t>
            </w:r>
          </w:p>
        </w:tc>
        <w:tc>
          <w:tcPr>
            <w:tcW w:w="89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w:t>
            </w:r>
          </w:p>
        </w:tc>
        <w:tc>
          <w:tcPr>
            <w:tcW w:w="2285"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52%</w:t>
            </w:r>
          </w:p>
          <w:p w:rsidR="00A064B6" w:rsidRPr="00A064B6" w:rsidRDefault="00A064B6" w:rsidP="00A064B6">
            <w:pPr>
              <w:suppressAutoHyphens/>
              <w:jc w:val="both"/>
              <w:rPr>
                <w:rFonts w:asciiTheme="minorHAnsi" w:eastAsia="Calibri" w:hAnsiTheme="minorHAnsi"/>
                <w:lang w:eastAsia="zh-CN"/>
              </w:rPr>
            </w:pPr>
          </w:p>
        </w:tc>
      </w:tr>
    </w:tbl>
    <w:p w:rsidR="00A064B6" w:rsidRDefault="00A064B6" w:rsidP="00A064B6">
      <w:pPr>
        <w:tabs>
          <w:tab w:val="left" w:pos="0"/>
        </w:tabs>
        <w:jc w:val="both"/>
        <w:rPr>
          <w:rFonts w:asciiTheme="minorHAnsi" w:hAnsiTheme="minorHAnsi"/>
          <w:lang w:eastAsia="zh-CN"/>
        </w:rPr>
      </w:pPr>
    </w:p>
    <w:p w:rsidR="00960BA6" w:rsidRPr="00A064B6" w:rsidRDefault="00960BA6" w:rsidP="00A064B6">
      <w:pPr>
        <w:tabs>
          <w:tab w:val="left" w:pos="0"/>
        </w:tabs>
        <w:jc w:val="both"/>
        <w:rPr>
          <w:rFonts w:asciiTheme="minorHAnsi" w:hAnsiTheme="minorHAnsi"/>
          <w:lang w:eastAsia="zh-CN"/>
        </w:rPr>
      </w:pPr>
    </w:p>
    <w:p w:rsidR="00A064B6" w:rsidRPr="003964D3" w:rsidRDefault="00A064B6" w:rsidP="00A064B6">
      <w:pPr>
        <w:suppressAutoHyphens/>
        <w:jc w:val="both"/>
        <w:rPr>
          <w:rFonts w:asciiTheme="minorHAnsi" w:hAnsiTheme="minorHAnsi"/>
          <w:b/>
          <w:lang w:val="fr-FR" w:eastAsia="zh-CN"/>
        </w:rPr>
      </w:pPr>
      <w:r w:rsidRPr="003964D3">
        <w:rPr>
          <w:rFonts w:asciiTheme="minorHAnsi" w:hAnsiTheme="minorHAnsi"/>
          <w:b/>
          <w:lang w:val="fr-FR" w:eastAsia="zh-CN"/>
        </w:rPr>
        <w:t>PROGRAMUL 2 “SIGURANȚA FRONTIEREI DE STAT, MIGRAȚIE, AZIL ȘI INTEGRARE”</w:t>
      </w:r>
    </w:p>
    <w:p w:rsidR="00A064B6" w:rsidRPr="003964D3" w:rsidRDefault="00A064B6" w:rsidP="00A064B6">
      <w:pPr>
        <w:suppressAutoHyphens/>
        <w:jc w:val="both"/>
        <w:rPr>
          <w:rFonts w:asciiTheme="minorHAnsi" w:hAnsiTheme="minorHAnsi"/>
          <w:i/>
          <w:lang w:val="fr-FR" w:eastAsia="zh-CN"/>
        </w:rPr>
      </w:pPr>
      <w:r w:rsidRPr="003964D3">
        <w:rPr>
          <w:rFonts w:asciiTheme="minorHAnsi" w:hAnsiTheme="minorHAnsi"/>
          <w:b/>
          <w:lang w:val="fr-FR" w:eastAsia="zh-CN"/>
        </w:rPr>
        <w:t xml:space="preserve">2.1 Obiectiv program – </w:t>
      </w:r>
      <w:r w:rsidRPr="003964D3">
        <w:rPr>
          <w:rFonts w:asciiTheme="minorHAnsi" w:hAnsiTheme="minorHAnsi"/>
          <w:i/>
          <w:lang w:val="fr-FR" w:eastAsia="zh-CN"/>
        </w:rPr>
        <w:t>Asigurarea unui grad ridicat de siguranță a persoanelor și de protecție a patrimoniului</w:t>
      </w:r>
    </w:p>
    <w:p w:rsidR="00A064B6" w:rsidRPr="003964D3" w:rsidRDefault="00A064B6" w:rsidP="00A064B6">
      <w:pPr>
        <w:suppressAutoHyphens/>
        <w:jc w:val="both"/>
        <w:rPr>
          <w:rFonts w:asciiTheme="minorHAnsi" w:hAnsiTheme="minorHAnsi"/>
          <w:i/>
          <w:lang w:val="fr-FR" w:eastAsia="zh-CN"/>
        </w:rPr>
      </w:pPr>
    </w:p>
    <w:p w:rsidR="00A064B6" w:rsidRPr="00A064B6" w:rsidRDefault="00A064B6" w:rsidP="00A064B6">
      <w:pPr>
        <w:tabs>
          <w:tab w:val="left" w:pos="993"/>
        </w:tabs>
        <w:contextualSpacing/>
        <w:jc w:val="both"/>
        <w:rPr>
          <w:rFonts w:asciiTheme="minorHAnsi" w:eastAsia="Calibri" w:hAnsiTheme="minorHAnsi"/>
          <w:b/>
          <w:lang w:eastAsia="zh-CN"/>
        </w:rPr>
      </w:pPr>
      <w:r w:rsidRPr="00A064B6">
        <w:rPr>
          <w:rFonts w:asciiTheme="minorHAnsi" w:hAnsiTheme="minorHAnsi"/>
          <w:b/>
          <w:lang w:eastAsia="zh-CN"/>
        </w:rPr>
        <w:t xml:space="preserve">2.2 </w:t>
      </w:r>
      <w:r w:rsidRPr="00A064B6">
        <w:rPr>
          <w:rFonts w:asciiTheme="minorHAnsi" w:eastAsia="Calibri" w:hAnsiTheme="minorHAnsi"/>
          <w:b/>
          <w:lang w:eastAsia="zh-CN"/>
        </w:rPr>
        <w:t>Măsuri program:</w:t>
      </w:r>
    </w:p>
    <w:p w:rsidR="00A064B6" w:rsidRPr="003964D3" w:rsidRDefault="00A064B6" w:rsidP="009F7237">
      <w:pPr>
        <w:numPr>
          <w:ilvl w:val="0"/>
          <w:numId w:val="57"/>
        </w:numPr>
        <w:suppressAutoHyphens/>
        <w:contextualSpacing/>
        <w:jc w:val="both"/>
        <w:rPr>
          <w:rFonts w:asciiTheme="minorHAnsi" w:hAnsiTheme="minorHAnsi"/>
          <w:lang w:val="fr-FR" w:eastAsia="zh-CN"/>
        </w:rPr>
      </w:pPr>
      <w:r w:rsidRPr="00A064B6">
        <w:rPr>
          <w:rFonts w:asciiTheme="minorHAnsi" w:eastAsia="+mn-ea" w:hAnsiTheme="minorHAnsi"/>
          <w:lang w:val="fr-FR" w:eastAsia="zh-CN"/>
        </w:rPr>
        <w:t>Supravegherea și controlul trecerii frontierei de stat</w:t>
      </w:r>
    </w:p>
    <w:p w:rsidR="00A064B6" w:rsidRPr="00A064B6" w:rsidRDefault="00A064B6" w:rsidP="009F7237">
      <w:pPr>
        <w:numPr>
          <w:ilvl w:val="0"/>
          <w:numId w:val="57"/>
        </w:numPr>
        <w:suppressAutoHyphens/>
        <w:contextualSpacing/>
        <w:jc w:val="both"/>
        <w:rPr>
          <w:rFonts w:asciiTheme="minorHAnsi" w:hAnsiTheme="minorHAnsi"/>
          <w:lang w:eastAsia="zh-CN"/>
        </w:rPr>
      </w:pPr>
      <w:r w:rsidRPr="00A064B6">
        <w:rPr>
          <w:rFonts w:asciiTheme="minorHAnsi" w:eastAsia="+mn-ea" w:hAnsiTheme="minorHAnsi"/>
          <w:lang w:val="fr-FR" w:eastAsia="zh-CN"/>
        </w:rPr>
        <w:t>Combaterea trecerii frauduloase a frontierei</w:t>
      </w:r>
    </w:p>
    <w:p w:rsidR="00A064B6" w:rsidRPr="00A064B6" w:rsidRDefault="00A064B6" w:rsidP="009F7237">
      <w:pPr>
        <w:numPr>
          <w:ilvl w:val="0"/>
          <w:numId w:val="57"/>
        </w:numPr>
        <w:suppressAutoHyphens/>
        <w:contextualSpacing/>
        <w:jc w:val="both"/>
        <w:rPr>
          <w:rFonts w:asciiTheme="minorHAnsi" w:hAnsiTheme="minorHAnsi"/>
          <w:lang w:eastAsia="zh-CN"/>
        </w:rPr>
      </w:pPr>
      <w:r w:rsidRPr="00A064B6">
        <w:rPr>
          <w:rFonts w:asciiTheme="minorHAnsi" w:eastAsia="+mn-ea" w:hAnsiTheme="minorHAnsi"/>
          <w:lang w:val="fr-FR" w:eastAsia="zh-CN"/>
        </w:rPr>
        <w:t>Combaterea traficului de migranți</w:t>
      </w:r>
    </w:p>
    <w:p w:rsidR="00A064B6" w:rsidRPr="003964D3" w:rsidRDefault="00A064B6" w:rsidP="009F7237">
      <w:pPr>
        <w:numPr>
          <w:ilvl w:val="0"/>
          <w:numId w:val="57"/>
        </w:numPr>
        <w:suppressAutoHyphens/>
        <w:contextualSpacing/>
        <w:jc w:val="both"/>
        <w:rPr>
          <w:rFonts w:asciiTheme="minorHAnsi" w:hAnsiTheme="minorHAnsi"/>
          <w:lang w:val="fr-FR" w:eastAsia="zh-CN"/>
        </w:rPr>
      </w:pPr>
      <w:r w:rsidRPr="00A064B6">
        <w:rPr>
          <w:rFonts w:asciiTheme="minorHAnsi" w:eastAsia="+mn-ea" w:hAnsiTheme="minorHAnsi"/>
          <w:lang w:val="fr-FR" w:eastAsia="zh-CN"/>
        </w:rPr>
        <w:t xml:space="preserve">Participarea </w:t>
      </w:r>
      <w:r w:rsidRPr="00715536">
        <w:rPr>
          <w:rFonts w:asciiTheme="minorHAnsi" w:eastAsia="+mn-ea" w:hAnsiTheme="minorHAnsi"/>
          <w:lang w:val="fr-FR" w:eastAsia="zh-CN"/>
        </w:rPr>
        <w:t xml:space="preserve">reprezentanților Inspectoratului General al Poliției de Frontieră (IGPF) </w:t>
      </w:r>
      <w:r w:rsidRPr="00A064B6">
        <w:rPr>
          <w:rFonts w:asciiTheme="minorHAnsi" w:eastAsia="+mn-ea" w:hAnsiTheme="minorHAnsi"/>
          <w:lang w:val="fr-FR" w:eastAsia="zh-CN"/>
        </w:rPr>
        <w:t>la misiuni și activități internaționale (exclusiv cele sub egida FRONTEX)</w:t>
      </w:r>
    </w:p>
    <w:p w:rsidR="00A064B6" w:rsidRPr="00A064B6" w:rsidRDefault="00A064B6" w:rsidP="009F7237">
      <w:pPr>
        <w:numPr>
          <w:ilvl w:val="0"/>
          <w:numId w:val="57"/>
        </w:numPr>
        <w:suppressAutoHyphens/>
        <w:contextualSpacing/>
        <w:jc w:val="both"/>
        <w:rPr>
          <w:rFonts w:asciiTheme="minorHAnsi" w:hAnsiTheme="minorHAnsi"/>
          <w:lang w:eastAsia="zh-CN"/>
        </w:rPr>
      </w:pPr>
      <w:r w:rsidRPr="00A064B6">
        <w:rPr>
          <w:rFonts w:asciiTheme="minorHAnsi" w:eastAsia="+mn-ea" w:hAnsiTheme="minorHAnsi"/>
          <w:lang w:val="fr-FR" w:eastAsia="zh-CN"/>
        </w:rPr>
        <w:t xml:space="preserve">Participarea </w:t>
      </w:r>
      <w:r w:rsidRPr="00A064B6">
        <w:rPr>
          <w:rFonts w:asciiTheme="minorHAnsi" w:eastAsia="+mn-ea" w:hAnsiTheme="minorHAnsi"/>
          <w:lang w:eastAsia="zh-CN"/>
        </w:rPr>
        <w:t xml:space="preserve">reprezentanților IGPF </w:t>
      </w:r>
      <w:r w:rsidRPr="00A064B6">
        <w:rPr>
          <w:rFonts w:asciiTheme="minorHAnsi" w:eastAsia="+mn-ea" w:hAnsiTheme="minorHAnsi"/>
          <w:lang w:val="fr-FR" w:eastAsia="zh-CN"/>
        </w:rPr>
        <w:t>la operațiuni comune sub egida FRONTEX</w:t>
      </w:r>
    </w:p>
    <w:p w:rsidR="00A064B6" w:rsidRPr="003964D3" w:rsidRDefault="00A064B6" w:rsidP="009F7237">
      <w:pPr>
        <w:numPr>
          <w:ilvl w:val="0"/>
          <w:numId w:val="57"/>
        </w:numPr>
        <w:suppressAutoHyphens/>
        <w:contextualSpacing/>
        <w:jc w:val="both"/>
        <w:rPr>
          <w:rFonts w:asciiTheme="minorHAnsi" w:hAnsiTheme="minorHAnsi"/>
          <w:lang w:val="fr-FR" w:eastAsia="zh-CN"/>
        </w:rPr>
      </w:pPr>
      <w:r w:rsidRPr="003964D3">
        <w:rPr>
          <w:rFonts w:asciiTheme="minorHAnsi" w:eastAsia="+mn-ea" w:hAnsiTheme="minorHAnsi"/>
          <w:lang w:val="fr-FR" w:eastAsia="zh-CN"/>
        </w:rPr>
        <w:t xml:space="preserve">Participarea </w:t>
      </w:r>
      <w:r w:rsidRPr="00715536">
        <w:rPr>
          <w:rFonts w:asciiTheme="minorHAnsi" w:eastAsia="+mn-ea" w:hAnsiTheme="minorHAnsi"/>
          <w:lang w:val="fr-FR" w:eastAsia="zh-CN"/>
        </w:rPr>
        <w:t>reprezentanților Inspectoratului General de Aviație al Ministerului Afacerilor Interne (</w:t>
      </w:r>
      <w:r w:rsidRPr="003964D3">
        <w:rPr>
          <w:rFonts w:asciiTheme="minorHAnsi" w:eastAsia="+mn-ea" w:hAnsiTheme="minorHAnsi"/>
          <w:lang w:val="fr-FR" w:eastAsia="zh-CN"/>
        </w:rPr>
        <w:t>IGAv) la acțiuni internaționale sub egida FRONTEX</w:t>
      </w:r>
    </w:p>
    <w:p w:rsidR="00A064B6" w:rsidRPr="003964D3" w:rsidRDefault="00A064B6" w:rsidP="009F7237">
      <w:pPr>
        <w:numPr>
          <w:ilvl w:val="0"/>
          <w:numId w:val="57"/>
        </w:numPr>
        <w:suppressAutoHyphens/>
        <w:contextualSpacing/>
        <w:jc w:val="both"/>
        <w:rPr>
          <w:rFonts w:asciiTheme="minorHAnsi" w:hAnsiTheme="minorHAnsi"/>
          <w:lang w:val="fr-FR" w:eastAsia="zh-CN"/>
        </w:rPr>
      </w:pPr>
      <w:r w:rsidRPr="00715536">
        <w:rPr>
          <w:rFonts w:asciiTheme="minorHAnsi" w:eastAsia="+mn-ea" w:hAnsiTheme="minorHAnsi"/>
          <w:lang w:val="fr-FR" w:eastAsia="zh-CN"/>
        </w:rPr>
        <w:t>Desfășurarea formării profesionale inițială și continuă a agen</w:t>
      </w:r>
      <w:r w:rsidRPr="003964D3">
        <w:rPr>
          <w:rFonts w:asciiTheme="minorHAnsi" w:eastAsia="+mn-ea" w:hAnsiTheme="minorHAnsi"/>
          <w:lang w:val="fr-FR" w:eastAsia="zh-CN"/>
        </w:rPr>
        <w:t xml:space="preserve">ților de poliție de frontieră </w:t>
      </w:r>
      <w:r w:rsidRPr="00715536">
        <w:rPr>
          <w:rFonts w:asciiTheme="minorHAnsi" w:eastAsia="+mn-ea" w:hAnsiTheme="minorHAnsi"/>
          <w:lang w:val="fr-FR" w:eastAsia="zh-CN"/>
        </w:rPr>
        <w:t>în cadrul</w:t>
      </w:r>
      <w:r w:rsidRPr="003964D3">
        <w:rPr>
          <w:rFonts w:asciiTheme="minorHAnsi" w:eastAsia="+mn-ea" w:hAnsiTheme="minorHAnsi"/>
          <w:lang w:val="fr-FR" w:eastAsia="zh-CN"/>
        </w:rPr>
        <w:t xml:space="preserve"> Școl</w:t>
      </w:r>
      <w:r w:rsidRPr="00715536">
        <w:rPr>
          <w:rFonts w:asciiTheme="minorHAnsi" w:eastAsia="+mn-ea" w:hAnsiTheme="minorHAnsi"/>
          <w:lang w:val="fr-FR" w:eastAsia="zh-CN"/>
        </w:rPr>
        <w:t>ii</w:t>
      </w:r>
      <w:r w:rsidRPr="003964D3">
        <w:rPr>
          <w:rFonts w:asciiTheme="minorHAnsi" w:eastAsia="+mn-ea" w:hAnsiTheme="minorHAnsi"/>
          <w:lang w:val="fr-FR" w:eastAsia="zh-CN"/>
        </w:rPr>
        <w:t xml:space="preserve"> de pregătire a agenților poliției de frontieră ”Avram Iancu” Oradea</w:t>
      </w:r>
    </w:p>
    <w:p w:rsidR="00A064B6" w:rsidRPr="003964D3" w:rsidRDefault="00A064B6" w:rsidP="009F7237">
      <w:pPr>
        <w:numPr>
          <w:ilvl w:val="0"/>
          <w:numId w:val="57"/>
        </w:numPr>
        <w:suppressAutoHyphens/>
        <w:contextualSpacing/>
        <w:jc w:val="both"/>
        <w:rPr>
          <w:rFonts w:asciiTheme="minorHAnsi" w:hAnsiTheme="minorHAnsi"/>
          <w:lang w:val="fr-FR" w:eastAsia="zh-CN"/>
        </w:rPr>
      </w:pPr>
      <w:r w:rsidRPr="00715536">
        <w:rPr>
          <w:rFonts w:asciiTheme="minorHAnsi" w:eastAsia="+mn-ea" w:hAnsiTheme="minorHAnsi"/>
          <w:lang w:val="fr-FR" w:eastAsia="zh-CN"/>
        </w:rPr>
        <w:t xml:space="preserve">Desfășurarea formării  continue  </w:t>
      </w:r>
      <w:r w:rsidRPr="003964D3">
        <w:rPr>
          <w:rFonts w:asciiTheme="minorHAnsi" w:eastAsia="+mn-ea" w:hAnsiTheme="minorHAnsi"/>
          <w:lang w:val="fr-FR" w:eastAsia="zh-CN"/>
        </w:rPr>
        <w:t>a polițiștilor de frontieră  în cadrul Centrelor de Pregătire ale Poliției de Frontieră din Iași, Drobeta Turnu Severin și Agigea</w:t>
      </w:r>
    </w:p>
    <w:p w:rsidR="00A064B6" w:rsidRPr="00A064B6" w:rsidRDefault="00A064B6" w:rsidP="009F7237">
      <w:pPr>
        <w:numPr>
          <w:ilvl w:val="0"/>
          <w:numId w:val="57"/>
        </w:numPr>
        <w:suppressAutoHyphens/>
        <w:contextualSpacing/>
        <w:jc w:val="both"/>
        <w:rPr>
          <w:rFonts w:asciiTheme="minorHAnsi" w:eastAsia="+mn-ea" w:hAnsiTheme="minorHAnsi"/>
          <w:lang w:eastAsia="zh-CN"/>
        </w:rPr>
      </w:pPr>
      <w:r w:rsidRPr="00A064B6">
        <w:rPr>
          <w:rFonts w:asciiTheme="minorHAnsi" w:eastAsia="+mn-ea" w:hAnsiTheme="minorHAnsi"/>
          <w:lang w:eastAsia="zh-CN"/>
        </w:rPr>
        <w:t>Prevenirea și combaterea șederii ilegale și a muncii nedeclarate a resortisanților statelor terțe</w:t>
      </w:r>
    </w:p>
    <w:p w:rsidR="00A064B6" w:rsidRPr="003964D3" w:rsidRDefault="00A064B6" w:rsidP="009F7237">
      <w:pPr>
        <w:numPr>
          <w:ilvl w:val="0"/>
          <w:numId w:val="57"/>
        </w:numPr>
        <w:suppressAutoHyphens/>
        <w:contextualSpacing/>
        <w:jc w:val="both"/>
        <w:rPr>
          <w:rFonts w:asciiTheme="minorHAnsi" w:eastAsia="+mn-ea" w:hAnsiTheme="minorHAnsi"/>
          <w:lang w:val="fr-FR" w:eastAsia="zh-CN"/>
        </w:rPr>
      </w:pPr>
      <w:r w:rsidRPr="003964D3">
        <w:rPr>
          <w:rFonts w:asciiTheme="minorHAnsi" w:eastAsia="+mn-ea" w:hAnsiTheme="minorHAnsi"/>
          <w:lang w:val="fr-FR" w:eastAsia="zh-CN"/>
        </w:rPr>
        <w:t>Acordarea de asistență pentru solicitanții de azil și beneficiarii unei forme de protecție internațională</w:t>
      </w:r>
    </w:p>
    <w:p w:rsidR="00A064B6" w:rsidRPr="003964D3" w:rsidRDefault="00A064B6" w:rsidP="009F7237">
      <w:pPr>
        <w:numPr>
          <w:ilvl w:val="0"/>
          <w:numId w:val="57"/>
        </w:numPr>
        <w:suppressAutoHyphens/>
        <w:contextualSpacing/>
        <w:jc w:val="both"/>
        <w:rPr>
          <w:rFonts w:asciiTheme="minorHAnsi" w:eastAsia="+mn-ea" w:hAnsiTheme="minorHAnsi" w:cs="+mn-cs"/>
          <w:color w:val="000000"/>
          <w:lang w:val="fr-FR" w:eastAsia="zh-CN"/>
        </w:rPr>
      </w:pPr>
      <w:r w:rsidRPr="003964D3">
        <w:rPr>
          <w:rFonts w:asciiTheme="minorHAnsi" w:eastAsia="+mn-ea" w:hAnsiTheme="minorHAnsi"/>
          <w:lang w:val="fr-FR" w:eastAsia="zh-CN"/>
        </w:rPr>
        <w:t>Avizarea cererilor de viză și acordarea/prelungirea dreptului de ședere al resortisanților statelor terțe în România</w:t>
      </w:r>
    </w:p>
    <w:p w:rsidR="00A064B6" w:rsidRPr="003964D3" w:rsidRDefault="00A064B6" w:rsidP="00A064B6">
      <w:pPr>
        <w:jc w:val="both"/>
        <w:rPr>
          <w:rFonts w:asciiTheme="minorHAnsi" w:hAnsiTheme="minorHAnsi"/>
          <w:lang w:val="fr-FR" w:eastAsia="zh-CN"/>
        </w:rPr>
      </w:pPr>
    </w:p>
    <w:p w:rsidR="00A064B6" w:rsidRPr="00A064B6" w:rsidRDefault="00A064B6" w:rsidP="00A064B6">
      <w:pPr>
        <w:jc w:val="both"/>
        <w:rPr>
          <w:rFonts w:asciiTheme="minorHAnsi" w:hAnsiTheme="minorHAnsi"/>
          <w:b/>
          <w:lang w:eastAsia="zh-CN"/>
        </w:rPr>
      </w:pPr>
      <w:r w:rsidRPr="00A064B6">
        <w:rPr>
          <w:rFonts w:asciiTheme="minorHAnsi" w:hAnsiTheme="minorHAnsi"/>
          <w:b/>
          <w:lang w:eastAsia="zh-CN"/>
        </w:rPr>
        <w:t>2.3  Rezultate așteptate:</w:t>
      </w:r>
    </w:p>
    <w:p w:rsidR="00A064B6" w:rsidRPr="003964D3" w:rsidRDefault="00A064B6" w:rsidP="009F7237">
      <w:pPr>
        <w:numPr>
          <w:ilvl w:val="0"/>
          <w:numId w:val="56"/>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Gestionarea procesului de trecere a frontierei de stat</w:t>
      </w:r>
    </w:p>
    <w:p w:rsidR="00A064B6" w:rsidRPr="00A064B6" w:rsidRDefault="00A064B6" w:rsidP="009F7237">
      <w:pPr>
        <w:numPr>
          <w:ilvl w:val="0"/>
          <w:numId w:val="56"/>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Menținerea cooperării cu partenerii externi în domeniile specifice IGPF</w:t>
      </w:r>
    </w:p>
    <w:p w:rsidR="00A064B6" w:rsidRPr="00A064B6" w:rsidRDefault="00A064B6" w:rsidP="009F7237">
      <w:pPr>
        <w:numPr>
          <w:ilvl w:val="0"/>
          <w:numId w:val="56"/>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resursei umane specializate -formare inițială și continuă a personalului IGPF</w:t>
      </w:r>
    </w:p>
    <w:p w:rsidR="00A064B6" w:rsidRPr="00A064B6" w:rsidRDefault="00A064B6" w:rsidP="009F7237">
      <w:pPr>
        <w:numPr>
          <w:ilvl w:val="0"/>
          <w:numId w:val="56"/>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Reducerea numărului de resortisanți ai statelor terțe care locuiesc/muncesc fără forme legale pe teritoriul României</w:t>
      </w:r>
    </w:p>
    <w:p w:rsidR="00A064B6" w:rsidRPr="00A064B6" w:rsidRDefault="00A064B6" w:rsidP="009F7237">
      <w:pPr>
        <w:numPr>
          <w:ilvl w:val="0"/>
          <w:numId w:val="56"/>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Implementarea politicilor în domeniul protecției internaționale și integrării străinilor</w:t>
      </w:r>
    </w:p>
    <w:p w:rsidR="00A064B6" w:rsidRPr="00A064B6" w:rsidRDefault="00A064B6" w:rsidP="009F7237">
      <w:pPr>
        <w:numPr>
          <w:ilvl w:val="0"/>
          <w:numId w:val="56"/>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 xml:space="preserve">Admisia și șederea legală pe teritoriul României a resortisanților țărilor terțe </w:t>
      </w:r>
    </w:p>
    <w:p w:rsidR="00A064B6" w:rsidRPr="00A064B6" w:rsidRDefault="00A064B6" w:rsidP="00A064B6">
      <w:pPr>
        <w:contextualSpacing/>
        <w:jc w:val="both"/>
        <w:rPr>
          <w:rFonts w:asciiTheme="minorHAnsi" w:eastAsia="Calibri" w:hAnsiTheme="minorHAnsi"/>
          <w:lang w:eastAsia="ja-JP"/>
        </w:rPr>
      </w:pPr>
    </w:p>
    <w:p w:rsidR="00A064B6" w:rsidRPr="00715536" w:rsidRDefault="00A064B6" w:rsidP="00A064B6">
      <w:pPr>
        <w:contextualSpacing/>
        <w:jc w:val="both"/>
        <w:rPr>
          <w:rFonts w:asciiTheme="minorHAnsi" w:eastAsia="Calibri" w:hAnsiTheme="minorHAnsi"/>
          <w:lang w:val="fr-FR" w:eastAsia="ja-JP"/>
        </w:rPr>
      </w:pPr>
      <w:r w:rsidRPr="003964D3">
        <w:rPr>
          <w:rFonts w:asciiTheme="minorHAnsi" w:eastAsia="Calibri" w:hAnsiTheme="minorHAnsi"/>
          <w:b/>
          <w:lang w:val="fr-FR" w:eastAsia="ja-JP"/>
        </w:rPr>
        <w:t>2.4</w:t>
      </w:r>
      <w:r w:rsidRPr="00715536">
        <w:rPr>
          <w:rFonts w:asciiTheme="minorHAnsi" w:eastAsia="Calibri" w:hAnsiTheme="minorHAnsi" w:cs="Calibri"/>
          <w:b/>
          <w:lang w:val="fr-FR" w:eastAsia="zh-CN"/>
        </w:rPr>
        <w:t>Indicatori de impact ai Programului</w:t>
      </w:r>
      <w:r w:rsidRPr="00A064B6">
        <w:rPr>
          <w:rFonts w:asciiTheme="minorHAnsi" w:eastAsia="Calibri" w:hAnsiTheme="minorHAnsi" w:cs="Calibri"/>
          <w:b/>
          <w:lang w:val="ro-RO" w:eastAsia="zh-CN"/>
        </w:rPr>
        <w:t xml:space="preserve"> 2</w:t>
      </w:r>
      <w:r w:rsidRPr="00715536">
        <w:rPr>
          <w:rFonts w:asciiTheme="minorHAnsi" w:eastAsia="Calibri" w:hAnsiTheme="minorHAnsi" w:cs="Calibri"/>
          <w:b/>
          <w:lang w:val="fr-FR" w:eastAsia="zh-CN"/>
        </w:rPr>
        <w:t xml:space="preserve"> “Siguranța frontierei de stat, migrație, azil și integrare”:</w:t>
      </w:r>
    </w:p>
    <w:p w:rsidR="00A064B6" w:rsidRPr="00715536" w:rsidRDefault="00A064B6" w:rsidP="00A064B6">
      <w:pPr>
        <w:ind w:left="810"/>
        <w:contextualSpacing/>
        <w:jc w:val="both"/>
        <w:rPr>
          <w:rFonts w:asciiTheme="minorHAnsi" w:eastAsia="Calibri" w:hAnsiTheme="minorHAnsi"/>
          <w:lang w:val="fr-FR" w:eastAsia="ja-JP"/>
        </w:rPr>
      </w:pPr>
    </w:p>
    <w:p w:rsidR="00A064B6" w:rsidRPr="003964D3" w:rsidRDefault="00A064B6" w:rsidP="00A064B6">
      <w:pPr>
        <w:suppressAutoHyphens/>
        <w:ind w:left="284"/>
        <w:jc w:val="both"/>
        <w:rPr>
          <w:rFonts w:asciiTheme="minorHAnsi" w:hAnsiTheme="minorHAnsi"/>
          <w:lang w:val="fr-FR" w:eastAsia="zh-CN"/>
        </w:rPr>
      </w:pPr>
      <w:r w:rsidRPr="003964D3">
        <w:rPr>
          <w:rFonts w:asciiTheme="minorHAnsi" w:hAnsiTheme="minorHAnsi"/>
          <w:b/>
          <w:lang w:val="fr-FR" w:eastAsia="zh-CN"/>
        </w:rPr>
        <w:t xml:space="preserve">Programul 2 </w:t>
      </w:r>
      <w:r w:rsidRPr="003964D3">
        <w:rPr>
          <w:rFonts w:asciiTheme="minorHAnsi" w:hAnsiTheme="minorHAnsi"/>
          <w:lang w:val="fr-FR" w:eastAsia="zh-CN"/>
        </w:rPr>
        <w:t xml:space="preserve">finanțează același obiectiv ca și </w:t>
      </w:r>
      <w:r w:rsidRPr="003964D3">
        <w:rPr>
          <w:rFonts w:asciiTheme="minorHAnsi" w:hAnsiTheme="minorHAnsi"/>
          <w:b/>
          <w:lang w:val="fr-FR" w:eastAsia="zh-CN"/>
        </w:rPr>
        <w:t xml:space="preserve">Programul 1. </w:t>
      </w:r>
      <w:r w:rsidRPr="003964D3">
        <w:rPr>
          <w:rFonts w:asciiTheme="minorHAnsi" w:hAnsiTheme="minorHAnsi"/>
          <w:lang w:val="fr-FR" w:eastAsia="zh-CN"/>
        </w:rPr>
        <w:t xml:space="preserve">Indicatorii de impact ai </w:t>
      </w:r>
    </w:p>
    <w:p w:rsidR="00A064B6" w:rsidRPr="003964D3" w:rsidRDefault="00A064B6" w:rsidP="00A064B6">
      <w:pPr>
        <w:suppressAutoHyphens/>
        <w:jc w:val="both"/>
        <w:rPr>
          <w:rFonts w:asciiTheme="minorHAnsi" w:hAnsiTheme="minorHAnsi"/>
          <w:b/>
          <w:lang w:val="fr-FR" w:eastAsia="zh-CN"/>
        </w:rPr>
      </w:pPr>
      <w:r w:rsidRPr="003964D3">
        <w:rPr>
          <w:rFonts w:asciiTheme="minorHAnsi" w:hAnsiTheme="minorHAnsi"/>
          <w:b/>
          <w:lang w:val="fr-FR" w:eastAsia="zh-CN"/>
        </w:rPr>
        <w:t>Programului 2</w:t>
      </w:r>
      <w:r w:rsidRPr="003964D3">
        <w:rPr>
          <w:rFonts w:asciiTheme="minorHAnsi" w:hAnsiTheme="minorHAnsi"/>
          <w:lang w:val="fr-FR" w:eastAsia="zh-CN"/>
        </w:rPr>
        <w:t xml:space="preserve">, împreună cu țintele pentru 2021 sunt detaliați în cadrul </w:t>
      </w:r>
      <w:r w:rsidRPr="003964D3">
        <w:rPr>
          <w:rFonts w:asciiTheme="minorHAnsi" w:hAnsiTheme="minorHAnsi"/>
          <w:b/>
          <w:lang w:val="fr-FR" w:eastAsia="zh-CN"/>
        </w:rPr>
        <w:t>Programului 1.</w:t>
      </w:r>
    </w:p>
    <w:p w:rsidR="00A064B6" w:rsidRPr="00A064B6" w:rsidRDefault="00A064B6" w:rsidP="00A064B6">
      <w:pPr>
        <w:suppressAutoHyphens/>
        <w:jc w:val="both"/>
        <w:rPr>
          <w:rFonts w:asciiTheme="minorHAnsi" w:hAnsiTheme="minorHAnsi"/>
          <w:b/>
          <w:lang w:eastAsia="zh-CN"/>
        </w:rPr>
      </w:pPr>
      <w:r w:rsidRPr="00A064B6">
        <w:rPr>
          <w:rFonts w:asciiTheme="minorHAnsi" w:hAnsiTheme="minorHAnsi"/>
          <w:b/>
          <w:lang w:eastAsia="zh-CN"/>
        </w:rPr>
        <w:t>PROGRAMUL 3 “PROTECȚIE CIVILĂ ȘI SPRIJIN ACORDAT COMUNITĂȚII”</w:t>
      </w:r>
    </w:p>
    <w:p w:rsidR="00A064B6" w:rsidRPr="003964D3" w:rsidRDefault="00A064B6" w:rsidP="009F7237">
      <w:pPr>
        <w:numPr>
          <w:ilvl w:val="1"/>
          <w:numId w:val="48"/>
        </w:numPr>
        <w:suppressAutoHyphens/>
        <w:contextualSpacing/>
        <w:jc w:val="both"/>
        <w:rPr>
          <w:rFonts w:asciiTheme="minorHAnsi" w:eastAsia="Calibri" w:hAnsiTheme="minorHAnsi"/>
          <w:i/>
          <w:lang w:val="fr-FR" w:eastAsia="zh-CN"/>
        </w:rPr>
      </w:pPr>
      <w:r w:rsidRPr="003964D3">
        <w:rPr>
          <w:rFonts w:asciiTheme="minorHAnsi" w:eastAsia="Calibri" w:hAnsiTheme="minorHAnsi"/>
          <w:b/>
          <w:lang w:val="fr-FR" w:eastAsia="zh-CN"/>
        </w:rPr>
        <w:t xml:space="preserve">Obiectiv program- </w:t>
      </w:r>
      <w:r w:rsidRPr="003964D3">
        <w:rPr>
          <w:rFonts w:asciiTheme="minorHAnsi" w:eastAsia="Calibri" w:hAnsiTheme="minorHAnsi"/>
          <w:i/>
          <w:lang w:val="fr-FR" w:eastAsia="zh-CN"/>
        </w:rPr>
        <w:t>Creșterea capacității MAI de gestionare a evenimentelor majore</w:t>
      </w:r>
    </w:p>
    <w:p w:rsidR="00A064B6" w:rsidRPr="003964D3" w:rsidRDefault="00A064B6" w:rsidP="00A064B6">
      <w:pPr>
        <w:contextualSpacing/>
        <w:jc w:val="both"/>
        <w:rPr>
          <w:rFonts w:asciiTheme="minorHAnsi" w:eastAsia="Calibri" w:hAnsiTheme="minorHAnsi"/>
          <w:b/>
          <w:lang w:val="fr-FR" w:eastAsia="zh-CN"/>
        </w:rPr>
      </w:pPr>
    </w:p>
    <w:p w:rsidR="00A064B6" w:rsidRPr="00A064B6" w:rsidRDefault="00A064B6" w:rsidP="009F7237">
      <w:pPr>
        <w:numPr>
          <w:ilvl w:val="1"/>
          <w:numId w:val="48"/>
        </w:numPr>
        <w:suppressAutoHyphens/>
        <w:contextualSpacing/>
        <w:jc w:val="both"/>
        <w:rPr>
          <w:rFonts w:asciiTheme="minorHAnsi" w:eastAsia="Calibri" w:hAnsiTheme="minorHAnsi"/>
          <w:b/>
          <w:lang w:eastAsia="zh-CN"/>
        </w:rPr>
      </w:pPr>
      <w:r w:rsidRPr="00A064B6">
        <w:rPr>
          <w:rFonts w:asciiTheme="minorHAnsi" w:eastAsia="Calibri" w:hAnsiTheme="minorHAnsi"/>
          <w:b/>
          <w:lang w:eastAsia="zh-CN"/>
        </w:rPr>
        <w:t>Măsuri program:</w:t>
      </w:r>
    </w:p>
    <w:p w:rsidR="00A064B6" w:rsidRPr="00A064B6" w:rsidRDefault="00A064B6" w:rsidP="009F7237">
      <w:pPr>
        <w:numPr>
          <w:ilvl w:val="0"/>
          <w:numId w:val="55"/>
        </w:numPr>
        <w:tabs>
          <w:tab w:val="left" w:pos="360"/>
        </w:tabs>
        <w:suppressAutoHyphens/>
        <w:contextualSpacing/>
        <w:jc w:val="both"/>
        <w:rPr>
          <w:rFonts w:asciiTheme="minorHAnsi" w:hAnsiTheme="minorHAnsi"/>
          <w:lang w:eastAsia="zh-CN"/>
        </w:rPr>
      </w:pPr>
      <w:r w:rsidRPr="00A064B6">
        <w:rPr>
          <w:rFonts w:asciiTheme="minorHAnsi" w:eastAsia="+mn-ea" w:hAnsiTheme="minorHAnsi"/>
          <w:color w:val="000000"/>
          <w:lang w:eastAsia="zh-CN"/>
        </w:rPr>
        <w:t>Prevenirea riscurilor asociate situațiilor de urgență și dezastrelor și îmbunătățirea eficacității intervenției</w:t>
      </w:r>
    </w:p>
    <w:p w:rsidR="00A064B6" w:rsidRPr="00A064B6" w:rsidRDefault="00A064B6" w:rsidP="009F7237">
      <w:pPr>
        <w:numPr>
          <w:ilvl w:val="0"/>
          <w:numId w:val="55"/>
        </w:numPr>
        <w:tabs>
          <w:tab w:val="left" w:pos="360"/>
        </w:tabs>
        <w:suppressAutoHyphens/>
        <w:contextualSpacing/>
        <w:jc w:val="both"/>
        <w:rPr>
          <w:rFonts w:asciiTheme="minorHAnsi" w:hAnsiTheme="minorHAnsi"/>
          <w:lang w:eastAsia="zh-CN"/>
        </w:rPr>
      </w:pPr>
      <w:r w:rsidRPr="00A064B6">
        <w:rPr>
          <w:rFonts w:asciiTheme="minorHAnsi" w:eastAsia="+mn-ea" w:hAnsiTheme="minorHAnsi"/>
          <w:color w:val="000000"/>
          <w:lang w:eastAsia="zh-CN"/>
        </w:rPr>
        <w:t>Acordarea de prim ajutor calificat și asistență medicală de urgență</w:t>
      </w:r>
    </w:p>
    <w:p w:rsidR="00A064B6" w:rsidRPr="00A064B6" w:rsidRDefault="00A064B6" w:rsidP="009F7237">
      <w:pPr>
        <w:numPr>
          <w:ilvl w:val="0"/>
          <w:numId w:val="55"/>
        </w:numPr>
        <w:tabs>
          <w:tab w:val="left" w:pos="270"/>
        </w:tabs>
        <w:suppressAutoHyphens/>
        <w:contextualSpacing/>
        <w:jc w:val="both"/>
        <w:rPr>
          <w:rFonts w:asciiTheme="minorHAnsi" w:hAnsiTheme="minorHAnsi"/>
          <w:lang w:eastAsia="zh-CN"/>
        </w:rPr>
      </w:pPr>
      <w:r w:rsidRPr="00A064B6">
        <w:rPr>
          <w:rFonts w:asciiTheme="minorHAnsi" w:eastAsia="+mn-ea" w:hAnsiTheme="minorHAnsi"/>
          <w:color w:val="000000"/>
          <w:lang w:eastAsia="zh-CN"/>
        </w:rPr>
        <w:t>Pregătirea populației, economiei și a teritoriului pentru apărare și asigurarea rezervelor de stat</w:t>
      </w:r>
    </w:p>
    <w:p w:rsidR="00A064B6" w:rsidRPr="00A064B6" w:rsidRDefault="00A064B6" w:rsidP="009F7237">
      <w:pPr>
        <w:numPr>
          <w:ilvl w:val="0"/>
          <w:numId w:val="55"/>
        </w:numPr>
        <w:suppressAutoHyphens/>
        <w:contextualSpacing/>
        <w:jc w:val="both"/>
        <w:rPr>
          <w:rFonts w:asciiTheme="minorHAnsi" w:hAnsiTheme="minorHAnsi"/>
          <w:lang w:eastAsia="zh-CN"/>
        </w:rPr>
      </w:pPr>
      <w:r w:rsidRPr="00A064B6">
        <w:rPr>
          <w:rFonts w:asciiTheme="minorHAnsi" w:eastAsia="+mn-ea" w:hAnsiTheme="minorHAnsi"/>
          <w:color w:val="000000"/>
          <w:lang w:eastAsia="zh-CN"/>
        </w:rPr>
        <w:t>Desfășurarea formării profesionale inițială și continuă în cadrul Școlii de Subofițeri Pompieri și Protecție Civilă ”Pavel Zăgănescu”  Boldești</w:t>
      </w:r>
    </w:p>
    <w:p w:rsidR="00A064B6" w:rsidRPr="00A064B6" w:rsidRDefault="00A064B6" w:rsidP="009F7237">
      <w:pPr>
        <w:numPr>
          <w:ilvl w:val="0"/>
          <w:numId w:val="55"/>
        </w:numPr>
        <w:tabs>
          <w:tab w:val="left" w:pos="360"/>
        </w:tabs>
        <w:suppressAutoHyphens/>
        <w:contextualSpacing/>
        <w:jc w:val="both"/>
        <w:rPr>
          <w:rFonts w:asciiTheme="minorHAnsi" w:hAnsiTheme="minorHAnsi"/>
          <w:lang w:eastAsia="zh-CN"/>
        </w:rPr>
      </w:pPr>
      <w:r w:rsidRPr="00A064B6">
        <w:rPr>
          <w:rFonts w:asciiTheme="minorHAnsi" w:eastAsia="+mn-ea" w:hAnsiTheme="minorHAnsi"/>
          <w:color w:val="000000"/>
          <w:lang w:eastAsia="zh-CN"/>
        </w:rPr>
        <w:t>Desfășurarea formării continue a pompierilor în cadrul Centrului Național de Perfecționare a Pregătirii pentru Managementul Situațiilor de Urgență Ciolpani și a centrelor de pregătire/antrenament</w:t>
      </w:r>
    </w:p>
    <w:p w:rsidR="00A064B6" w:rsidRPr="00A064B6" w:rsidRDefault="00A064B6" w:rsidP="009F7237">
      <w:pPr>
        <w:numPr>
          <w:ilvl w:val="0"/>
          <w:numId w:val="55"/>
        </w:numPr>
        <w:tabs>
          <w:tab w:val="left" w:pos="360"/>
        </w:tabs>
        <w:suppressAutoHyphens/>
        <w:contextualSpacing/>
        <w:jc w:val="both"/>
        <w:rPr>
          <w:rFonts w:asciiTheme="minorHAnsi" w:hAnsiTheme="minorHAnsi"/>
          <w:lang w:eastAsia="zh-CN"/>
        </w:rPr>
      </w:pPr>
      <w:r w:rsidRPr="00A064B6">
        <w:rPr>
          <w:rFonts w:asciiTheme="minorHAnsi" w:eastAsia="+mn-ea" w:hAnsiTheme="minorHAnsi"/>
          <w:color w:val="000000"/>
          <w:lang w:eastAsia="zh-CN"/>
        </w:rPr>
        <w:t>Pregătirea reprezentanților instituțiilor prefectului și a personalului cu funcții de conducere și atribuții în domeniul situațiilor de urgență din administrația publică locală, servicii descentralizate și deconcentrate</w:t>
      </w:r>
    </w:p>
    <w:p w:rsidR="00A064B6" w:rsidRPr="00A064B6" w:rsidRDefault="00A064B6" w:rsidP="00DA7859">
      <w:pPr>
        <w:jc w:val="both"/>
        <w:rPr>
          <w:rFonts w:asciiTheme="minorHAnsi" w:hAnsiTheme="minorHAnsi"/>
          <w:lang w:eastAsia="zh-CN"/>
        </w:rPr>
      </w:pPr>
    </w:p>
    <w:p w:rsidR="00A064B6" w:rsidRPr="00A064B6" w:rsidRDefault="00A064B6" w:rsidP="009F7237">
      <w:pPr>
        <w:numPr>
          <w:ilvl w:val="1"/>
          <w:numId w:val="48"/>
        </w:numPr>
        <w:suppressAutoHyphens/>
        <w:ind w:left="426" w:hanging="426"/>
        <w:jc w:val="both"/>
        <w:rPr>
          <w:rFonts w:asciiTheme="minorHAnsi" w:hAnsiTheme="minorHAnsi"/>
          <w:b/>
          <w:lang w:eastAsia="zh-CN"/>
        </w:rPr>
      </w:pPr>
      <w:r w:rsidRPr="00A064B6">
        <w:rPr>
          <w:rFonts w:asciiTheme="minorHAnsi" w:hAnsiTheme="minorHAnsi"/>
          <w:b/>
          <w:lang w:eastAsia="zh-CN"/>
        </w:rPr>
        <w:t>Rezultate așteptate:</w:t>
      </w:r>
    </w:p>
    <w:p w:rsidR="00A064B6" w:rsidRPr="00A064B6" w:rsidRDefault="00A064B6" w:rsidP="009F7237">
      <w:pPr>
        <w:numPr>
          <w:ilvl w:val="0"/>
          <w:numId w:val="52"/>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protecției populației și diminuarea efectelor asociate situațiilor de urgență și dezastrelor</w:t>
      </w:r>
    </w:p>
    <w:p w:rsidR="00A064B6" w:rsidRPr="00A064B6" w:rsidRDefault="00A064B6" w:rsidP="009F7237">
      <w:pPr>
        <w:numPr>
          <w:ilvl w:val="0"/>
          <w:numId w:val="52"/>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resursei umane specializate - formare inițială și continuă a personalului propriu și a personalului cu atribuții în situații de urgență din administrația publică locală, servicii descentralizate și deconcentrate</w:t>
      </w:r>
    </w:p>
    <w:p w:rsidR="00A064B6" w:rsidRPr="00A064B6" w:rsidRDefault="00A064B6" w:rsidP="00A064B6">
      <w:pPr>
        <w:ind w:left="426"/>
        <w:jc w:val="both"/>
        <w:rPr>
          <w:rFonts w:asciiTheme="minorHAnsi" w:hAnsiTheme="minorHAnsi"/>
          <w:b/>
          <w:lang w:eastAsia="zh-CN"/>
        </w:rPr>
      </w:pPr>
    </w:p>
    <w:p w:rsidR="00A064B6" w:rsidRPr="003964D3" w:rsidRDefault="00A064B6" w:rsidP="00A064B6">
      <w:pPr>
        <w:tabs>
          <w:tab w:val="left" w:pos="0"/>
        </w:tabs>
        <w:suppressAutoHyphens/>
        <w:jc w:val="both"/>
        <w:rPr>
          <w:rFonts w:asciiTheme="minorHAnsi" w:hAnsiTheme="minorHAnsi"/>
          <w:b/>
          <w:lang w:val="fr-FR" w:eastAsia="zh-CN"/>
        </w:rPr>
      </w:pPr>
      <w:r w:rsidRPr="003964D3">
        <w:rPr>
          <w:rFonts w:asciiTheme="minorHAnsi" w:hAnsiTheme="minorHAnsi"/>
          <w:b/>
          <w:lang w:val="fr-FR" w:eastAsia="zh-CN"/>
        </w:rPr>
        <w:t>3.4 Indicatori de impact ai programului 3  “Protec</w:t>
      </w:r>
      <w:r w:rsidRPr="00A064B6">
        <w:rPr>
          <w:rFonts w:asciiTheme="minorHAnsi" w:hAnsiTheme="minorHAnsi"/>
          <w:b/>
          <w:lang w:val="ro-RO" w:eastAsia="zh-CN"/>
        </w:rPr>
        <w:t>ție civilă și sprijin acordat comunității</w:t>
      </w:r>
      <w:r w:rsidRPr="003964D3">
        <w:rPr>
          <w:rFonts w:asciiTheme="minorHAnsi" w:hAnsiTheme="minorHAnsi"/>
          <w:b/>
          <w:lang w:val="fr-FR" w:eastAsia="zh-CN"/>
        </w:rPr>
        <w:t>”:</w:t>
      </w:r>
    </w:p>
    <w:p w:rsidR="00A064B6" w:rsidRPr="003964D3" w:rsidRDefault="00A064B6" w:rsidP="00A064B6">
      <w:pPr>
        <w:tabs>
          <w:tab w:val="left" w:pos="0"/>
        </w:tabs>
        <w:suppressAutoHyphens/>
        <w:jc w:val="both"/>
        <w:rPr>
          <w:rFonts w:asciiTheme="minorHAnsi" w:hAnsiTheme="minorHAnsi"/>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703"/>
        <w:gridCol w:w="873"/>
        <w:gridCol w:w="2147"/>
      </w:tblGrid>
      <w:tr w:rsidR="00A064B6" w:rsidRPr="00A064B6" w:rsidTr="00842BC9">
        <w:trPr>
          <w:jc w:val="center"/>
        </w:trPr>
        <w:tc>
          <w:tcPr>
            <w:tcW w:w="849"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Nr.crt</w:t>
            </w:r>
          </w:p>
        </w:tc>
        <w:tc>
          <w:tcPr>
            <w:tcW w:w="5703"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Denumire indicator</w:t>
            </w:r>
          </w:p>
        </w:tc>
        <w:tc>
          <w:tcPr>
            <w:tcW w:w="873"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U.M</w:t>
            </w:r>
          </w:p>
        </w:tc>
        <w:tc>
          <w:tcPr>
            <w:tcW w:w="2147"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Țintă 2021</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1.</w:t>
            </w:r>
          </w:p>
        </w:tc>
        <w:tc>
          <w:tcPr>
            <w:tcW w:w="570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Nivelul de încredere al populației în structurile MAI cu atribuții în prevenirea și gestionarea situațiilor de urgență (Pompieri)</w:t>
            </w:r>
          </w:p>
        </w:tc>
        <w:tc>
          <w:tcPr>
            <w:tcW w:w="87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85%</w:t>
            </w:r>
          </w:p>
        </w:tc>
      </w:tr>
    </w:tbl>
    <w:p w:rsidR="00A064B6" w:rsidRPr="00A064B6" w:rsidRDefault="00A064B6" w:rsidP="00A064B6">
      <w:pPr>
        <w:tabs>
          <w:tab w:val="left" w:pos="0"/>
        </w:tabs>
        <w:suppressAutoHyphens/>
        <w:jc w:val="both"/>
        <w:rPr>
          <w:rFonts w:asciiTheme="minorHAnsi" w:hAnsiTheme="minorHAnsi"/>
          <w:lang w:eastAsia="zh-CN"/>
        </w:rPr>
      </w:pPr>
    </w:p>
    <w:p w:rsidR="00A064B6" w:rsidRPr="003964D3" w:rsidRDefault="00A064B6" w:rsidP="00A064B6">
      <w:pPr>
        <w:suppressAutoHyphens/>
        <w:jc w:val="both"/>
        <w:rPr>
          <w:rFonts w:asciiTheme="minorHAnsi" w:hAnsiTheme="minorHAnsi"/>
          <w:b/>
          <w:lang w:val="fr-FR" w:eastAsia="zh-CN"/>
        </w:rPr>
      </w:pPr>
      <w:r w:rsidRPr="003964D3">
        <w:rPr>
          <w:rFonts w:asciiTheme="minorHAnsi" w:hAnsiTheme="minorHAnsi"/>
          <w:b/>
          <w:lang w:val="fr-FR" w:eastAsia="zh-CN"/>
        </w:rPr>
        <w:t>PROGRAMUL 4 “SERVICII PENTRU CETĂȚENI ȘI PERSOANE JURIDICE”</w:t>
      </w:r>
    </w:p>
    <w:p w:rsidR="00A064B6" w:rsidRPr="007F2AB6" w:rsidRDefault="00A064B6" w:rsidP="00A064B6">
      <w:pPr>
        <w:suppressAutoHyphens/>
        <w:jc w:val="both"/>
        <w:rPr>
          <w:rFonts w:asciiTheme="minorHAnsi" w:hAnsiTheme="minorHAnsi"/>
          <w:b/>
          <w:sz w:val="16"/>
          <w:szCs w:val="16"/>
          <w:lang w:val="fr-FR" w:eastAsia="zh-CN"/>
        </w:rPr>
      </w:pPr>
    </w:p>
    <w:p w:rsidR="00A064B6" w:rsidRPr="00A064B6" w:rsidRDefault="00A064B6" w:rsidP="00A064B6">
      <w:pPr>
        <w:suppressAutoHyphens/>
        <w:jc w:val="both"/>
        <w:rPr>
          <w:rFonts w:asciiTheme="minorHAnsi" w:hAnsiTheme="minorHAnsi"/>
          <w:i/>
          <w:lang w:eastAsia="zh-CN"/>
        </w:rPr>
      </w:pPr>
      <w:r w:rsidRPr="00A064B6">
        <w:rPr>
          <w:rFonts w:asciiTheme="minorHAnsi" w:hAnsiTheme="minorHAnsi"/>
          <w:b/>
          <w:lang w:eastAsia="zh-CN"/>
        </w:rPr>
        <w:t xml:space="preserve">4.1 Obiectiv program- </w:t>
      </w:r>
      <w:r w:rsidRPr="00A064B6">
        <w:rPr>
          <w:rFonts w:asciiTheme="minorHAnsi" w:hAnsiTheme="minorHAnsi"/>
          <w:i/>
          <w:lang w:eastAsia="zh-CN"/>
        </w:rPr>
        <w:t>Creșterea eficienței și capacității administrative a MAI</w:t>
      </w:r>
    </w:p>
    <w:p w:rsidR="00A064B6" w:rsidRPr="00A064B6" w:rsidRDefault="00A064B6" w:rsidP="00A064B6">
      <w:pPr>
        <w:suppressAutoHyphens/>
        <w:jc w:val="both"/>
        <w:rPr>
          <w:rFonts w:asciiTheme="minorHAnsi" w:hAnsiTheme="minorHAnsi"/>
          <w:b/>
          <w:lang w:eastAsia="zh-CN"/>
        </w:rPr>
      </w:pPr>
      <w:r w:rsidRPr="00A064B6">
        <w:rPr>
          <w:rFonts w:asciiTheme="minorHAnsi" w:hAnsiTheme="minorHAnsi"/>
          <w:b/>
          <w:lang w:eastAsia="zh-CN"/>
        </w:rPr>
        <w:t>4.2 Măsuri program:</w:t>
      </w:r>
    </w:p>
    <w:p w:rsidR="00A064B6" w:rsidRPr="007F2AB6" w:rsidRDefault="00A064B6" w:rsidP="00A064B6">
      <w:pPr>
        <w:suppressAutoHyphens/>
        <w:jc w:val="both"/>
        <w:rPr>
          <w:rFonts w:asciiTheme="minorHAnsi" w:hAnsiTheme="minorHAnsi"/>
          <w:b/>
          <w:sz w:val="16"/>
          <w:szCs w:val="16"/>
          <w:lang w:eastAsia="zh-CN"/>
        </w:rPr>
      </w:pPr>
    </w:p>
    <w:p w:rsidR="00A064B6" w:rsidRPr="00A064B6" w:rsidRDefault="00A064B6" w:rsidP="009F7237">
      <w:pPr>
        <w:numPr>
          <w:ilvl w:val="0"/>
          <w:numId w:val="53"/>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Eliberarea documentelor din competența Direcției pentru Evidența Persoanelor și Administrarea Bazelor de Date (DEPABD)</w:t>
      </w:r>
    </w:p>
    <w:p w:rsidR="00A064B6" w:rsidRPr="00A064B6" w:rsidRDefault="00A064B6" w:rsidP="009F7237">
      <w:pPr>
        <w:numPr>
          <w:ilvl w:val="0"/>
          <w:numId w:val="53"/>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Eliberarea documentelor din competența Direcției Generale de Pașapoarte (DGP)</w:t>
      </w:r>
    </w:p>
    <w:p w:rsidR="00A064B6" w:rsidRPr="00A064B6" w:rsidRDefault="00A064B6" w:rsidP="009F7237">
      <w:pPr>
        <w:numPr>
          <w:ilvl w:val="0"/>
          <w:numId w:val="53"/>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Emiterea permiselor de conducere și a documentelor de înmatriculare a vehiculelor</w:t>
      </w:r>
    </w:p>
    <w:p w:rsidR="00A064B6" w:rsidRPr="00A064B6" w:rsidRDefault="00A064B6" w:rsidP="009F7237">
      <w:pPr>
        <w:numPr>
          <w:ilvl w:val="0"/>
          <w:numId w:val="53"/>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Preluarea arhivelor de la terți</w:t>
      </w:r>
    </w:p>
    <w:p w:rsidR="00A064B6" w:rsidRPr="00A064B6" w:rsidRDefault="00A064B6" w:rsidP="00AC3EC8">
      <w:pPr>
        <w:numPr>
          <w:ilvl w:val="0"/>
          <w:numId w:val="53"/>
        </w:numPr>
        <w:suppressAutoHyphens/>
        <w:spacing w:after="120"/>
        <w:ind w:left="714" w:hanging="357"/>
        <w:jc w:val="both"/>
        <w:rPr>
          <w:rFonts w:asciiTheme="minorHAnsi" w:eastAsia="Calibri" w:hAnsiTheme="minorHAnsi"/>
          <w:lang w:eastAsia="ja-JP"/>
        </w:rPr>
      </w:pPr>
      <w:r w:rsidRPr="00A064B6">
        <w:rPr>
          <w:rFonts w:asciiTheme="minorHAnsi" w:eastAsia="Calibri" w:hAnsiTheme="minorHAnsi"/>
          <w:lang w:eastAsia="ja-JP"/>
        </w:rPr>
        <w:t>Eliberarea documentelor din competența Arhivelor Naționale (AN)</w:t>
      </w:r>
    </w:p>
    <w:p w:rsidR="00A064B6" w:rsidRPr="00A064B6" w:rsidRDefault="00A064B6" w:rsidP="00AC3EC8">
      <w:pPr>
        <w:numPr>
          <w:ilvl w:val="1"/>
          <w:numId w:val="49"/>
        </w:numPr>
        <w:suppressAutoHyphens/>
        <w:spacing w:before="120"/>
        <w:ind w:left="425" w:hanging="357"/>
        <w:jc w:val="both"/>
        <w:rPr>
          <w:rFonts w:asciiTheme="minorHAnsi" w:eastAsia="Calibri" w:hAnsiTheme="minorHAnsi"/>
          <w:b/>
          <w:lang w:eastAsia="zh-CN"/>
        </w:rPr>
      </w:pPr>
      <w:r w:rsidRPr="00A064B6">
        <w:rPr>
          <w:rFonts w:asciiTheme="minorHAnsi" w:eastAsia="Calibri" w:hAnsiTheme="minorHAnsi"/>
          <w:b/>
          <w:lang w:eastAsia="zh-CN"/>
        </w:rPr>
        <w:t>Rezulate așteptate:</w:t>
      </w:r>
    </w:p>
    <w:p w:rsidR="00A064B6" w:rsidRPr="00A064B6" w:rsidRDefault="00A064B6" w:rsidP="009F7237">
      <w:pPr>
        <w:numPr>
          <w:ilvl w:val="0"/>
          <w:numId w:val="54"/>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procesului de eliberare a documentelor din competența DEPAD</w:t>
      </w:r>
    </w:p>
    <w:p w:rsidR="00A064B6" w:rsidRPr="00A064B6" w:rsidRDefault="00A064B6" w:rsidP="009F7237">
      <w:pPr>
        <w:numPr>
          <w:ilvl w:val="0"/>
          <w:numId w:val="54"/>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procesului de furnizare a serviciilor publice din competența DGP</w:t>
      </w:r>
    </w:p>
    <w:p w:rsidR="00A064B6" w:rsidRPr="00A064B6" w:rsidRDefault="00A064B6" w:rsidP="009F7237">
      <w:pPr>
        <w:numPr>
          <w:ilvl w:val="0"/>
          <w:numId w:val="54"/>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procesului de emitere a documentelor și a plăcilor cu numere de înmatriculare din competența Direcției Regim Permise de Conducere și Înmatriculare a Vehiculelor</w:t>
      </w:r>
    </w:p>
    <w:p w:rsidR="00A064B6" w:rsidRPr="00A064B6" w:rsidRDefault="00A064B6" w:rsidP="009F7237">
      <w:pPr>
        <w:numPr>
          <w:ilvl w:val="0"/>
          <w:numId w:val="54"/>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activității AN</w:t>
      </w:r>
    </w:p>
    <w:p w:rsidR="00A064B6" w:rsidRPr="00A064B6" w:rsidRDefault="00A064B6" w:rsidP="00A064B6">
      <w:pPr>
        <w:tabs>
          <w:tab w:val="left" w:pos="0"/>
        </w:tabs>
        <w:jc w:val="both"/>
        <w:rPr>
          <w:rFonts w:asciiTheme="minorHAnsi" w:hAnsiTheme="minorHAnsi"/>
          <w:lang w:eastAsia="zh-CN"/>
        </w:rPr>
      </w:pPr>
    </w:p>
    <w:p w:rsidR="00A064B6" w:rsidRPr="003964D3" w:rsidRDefault="00A064B6" w:rsidP="00A064B6">
      <w:pPr>
        <w:tabs>
          <w:tab w:val="left" w:pos="0"/>
        </w:tabs>
        <w:jc w:val="both"/>
        <w:rPr>
          <w:rFonts w:asciiTheme="minorHAnsi" w:hAnsiTheme="minorHAnsi"/>
          <w:b/>
          <w:lang w:val="fr-FR" w:eastAsia="zh-CN"/>
        </w:rPr>
      </w:pPr>
      <w:r w:rsidRPr="003964D3">
        <w:rPr>
          <w:rFonts w:asciiTheme="minorHAnsi" w:hAnsiTheme="minorHAnsi"/>
          <w:b/>
          <w:lang w:val="fr-FR" w:eastAsia="zh-CN"/>
        </w:rPr>
        <w:t>4.4 Indicatori de impact ai programului 4 “Servicii pentru cet</w:t>
      </w:r>
      <w:r w:rsidRPr="00A064B6">
        <w:rPr>
          <w:rFonts w:asciiTheme="minorHAnsi" w:hAnsiTheme="minorHAnsi"/>
          <w:b/>
          <w:lang w:val="ro-RO" w:eastAsia="zh-CN"/>
        </w:rPr>
        <w:t>ățeni și persoane juridice</w:t>
      </w:r>
      <w:r w:rsidRPr="003964D3">
        <w:rPr>
          <w:rFonts w:asciiTheme="minorHAnsi" w:hAnsiTheme="minorHAnsi"/>
          <w:b/>
          <w:lang w:val="fr-FR" w:eastAsia="zh-CN"/>
        </w:rPr>
        <w:t>”</w:t>
      </w:r>
    </w:p>
    <w:p w:rsidR="00A064B6" w:rsidRPr="003964D3" w:rsidRDefault="00A064B6" w:rsidP="00A064B6">
      <w:pPr>
        <w:tabs>
          <w:tab w:val="left" w:pos="0"/>
        </w:tabs>
        <w:jc w:val="both"/>
        <w:rPr>
          <w:rFonts w:asciiTheme="minorHAnsi" w:hAnsiTheme="minorHAnsi"/>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703"/>
        <w:gridCol w:w="873"/>
        <w:gridCol w:w="2147"/>
      </w:tblGrid>
      <w:tr w:rsidR="00A064B6" w:rsidRPr="00A064B6" w:rsidTr="00842BC9">
        <w:trPr>
          <w:jc w:val="center"/>
        </w:trPr>
        <w:tc>
          <w:tcPr>
            <w:tcW w:w="849"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Nr.crt</w:t>
            </w:r>
          </w:p>
        </w:tc>
        <w:tc>
          <w:tcPr>
            <w:tcW w:w="5703"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Denumire indicator</w:t>
            </w:r>
          </w:p>
        </w:tc>
        <w:tc>
          <w:tcPr>
            <w:tcW w:w="873"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U.M</w:t>
            </w:r>
          </w:p>
        </w:tc>
        <w:tc>
          <w:tcPr>
            <w:tcW w:w="2147" w:type="dxa"/>
            <w:shd w:val="clear" w:color="auto" w:fill="E2EFD9"/>
          </w:tcPr>
          <w:p w:rsidR="00A064B6" w:rsidRPr="00A064B6" w:rsidRDefault="00A064B6" w:rsidP="00A064B6">
            <w:pPr>
              <w:suppressAutoHyphens/>
              <w:jc w:val="both"/>
              <w:rPr>
                <w:rFonts w:asciiTheme="minorHAnsi" w:eastAsia="Calibri" w:hAnsiTheme="minorHAnsi"/>
                <w:b/>
                <w:lang w:eastAsia="zh-CN"/>
              </w:rPr>
            </w:pPr>
            <w:r w:rsidRPr="00A064B6">
              <w:rPr>
                <w:rFonts w:asciiTheme="minorHAnsi" w:eastAsia="Calibri" w:hAnsiTheme="minorHAnsi"/>
                <w:b/>
                <w:lang w:eastAsia="zh-CN"/>
              </w:rPr>
              <w:t>Țintă 2021</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1.</w:t>
            </w:r>
          </w:p>
        </w:tc>
        <w:tc>
          <w:tcPr>
            <w:tcW w:w="570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 xml:space="preserve">Satisfacția beneficiarilor legată de absolvenții școlilor MAI </w:t>
            </w:r>
          </w:p>
        </w:tc>
        <w:tc>
          <w:tcPr>
            <w:tcW w:w="87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70%</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2.</w:t>
            </w:r>
          </w:p>
        </w:tc>
        <w:tc>
          <w:tcPr>
            <w:tcW w:w="5703" w:type="dxa"/>
            <w:shd w:val="clear" w:color="auto" w:fill="auto"/>
          </w:tcPr>
          <w:p w:rsidR="00A064B6" w:rsidRPr="003964D3" w:rsidRDefault="00A064B6" w:rsidP="00A064B6">
            <w:pPr>
              <w:suppressAutoHyphens/>
              <w:jc w:val="both"/>
              <w:rPr>
                <w:rFonts w:asciiTheme="minorHAnsi" w:eastAsia="Calibri" w:hAnsiTheme="minorHAnsi"/>
                <w:lang w:val="fr-FR" w:eastAsia="zh-CN"/>
              </w:rPr>
            </w:pPr>
            <w:r w:rsidRPr="003964D3">
              <w:rPr>
                <w:rFonts w:asciiTheme="minorHAnsi" w:eastAsia="Calibri" w:hAnsiTheme="minorHAnsi"/>
                <w:lang w:val="fr-FR" w:eastAsia="zh-CN"/>
              </w:rPr>
              <w:t xml:space="preserve">Alocarea bugetară totală gestionată de către MAI </w:t>
            </w:r>
          </w:p>
        </w:tc>
        <w:tc>
          <w:tcPr>
            <w:tcW w:w="873"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lang w:eastAsia="zh-CN"/>
              </w:rPr>
            </w:pPr>
            <w:r w:rsidRPr="00A064B6">
              <w:rPr>
                <w:rFonts w:asciiTheme="minorHAnsi" w:eastAsia="Calibri" w:hAnsiTheme="minorHAnsi"/>
                <w:lang w:eastAsia="zh-CN"/>
              </w:rPr>
              <w:t>10%</w:t>
            </w:r>
          </w:p>
        </w:tc>
      </w:tr>
    </w:tbl>
    <w:p w:rsidR="00A064B6" w:rsidRPr="00A064B6" w:rsidRDefault="00A064B6" w:rsidP="00A064B6">
      <w:pPr>
        <w:tabs>
          <w:tab w:val="left" w:pos="0"/>
        </w:tabs>
        <w:jc w:val="both"/>
        <w:rPr>
          <w:rFonts w:asciiTheme="minorHAnsi" w:hAnsiTheme="minorHAnsi"/>
          <w:lang w:eastAsia="zh-CN"/>
        </w:rPr>
      </w:pPr>
    </w:p>
    <w:p w:rsidR="00A064B6" w:rsidRPr="00A064B6" w:rsidRDefault="00A064B6" w:rsidP="00A064B6">
      <w:pPr>
        <w:tabs>
          <w:tab w:val="left" w:pos="0"/>
        </w:tabs>
        <w:jc w:val="both"/>
        <w:rPr>
          <w:rFonts w:asciiTheme="minorHAnsi" w:hAnsiTheme="minorHAnsi"/>
          <w:lang w:eastAsia="zh-CN"/>
        </w:rPr>
      </w:pPr>
    </w:p>
    <w:p w:rsidR="00A064B6" w:rsidRPr="00A064B6" w:rsidRDefault="00A064B6" w:rsidP="00A064B6">
      <w:pPr>
        <w:suppressAutoHyphens/>
        <w:jc w:val="both"/>
        <w:rPr>
          <w:rFonts w:asciiTheme="minorHAnsi" w:hAnsiTheme="minorHAnsi"/>
          <w:b/>
          <w:lang w:eastAsia="zh-CN"/>
        </w:rPr>
      </w:pPr>
      <w:r w:rsidRPr="00A064B6">
        <w:rPr>
          <w:rFonts w:asciiTheme="minorHAnsi" w:hAnsiTheme="minorHAnsi"/>
          <w:b/>
          <w:lang w:eastAsia="zh-CN"/>
        </w:rPr>
        <w:t>PROGRAMUL 5 “CAPACITATE ADMINISTRATIVĂ ȘI SPRIJIN OPERAȚIONAL”</w:t>
      </w:r>
    </w:p>
    <w:p w:rsidR="00A064B6" w:rsidRPr="00A064B6" w:rsidRDefault="00A064B6" w:rsidP="009F7237">
      <w:pPr>
        <w:numPr>
          <w:ilvl w:val="1"/>
          <w:numId w:val="50"/>
        </w:numPr>
        <w:suppressAutoHyphens/>
        <w:jc w:val="both"/>
        <w:rPr>
          <w:rFonts w:asciiTheme="minorHAnsi" w:hAnsiTheme="minorHAnsi"/>
          <w:i/>
          <w:lang w:eastAsia="zh-CN"/>
        </w:rPr>
      </w:pPr>
      <w:r w:rsidRPr="00A064B6">
        <w:rPr>
          <w:rFonts w:asciiTheme="minorHAnsi" w:hAnsiTheme="minorHAnsi"/>
          <w:b/>
          <w:lang w:eastAsia="zh-CN"/>
        </w:rPr>
        <w:t xml:space="preserve">Obiectiv program- </w:t>
      </w:r>
      <w:r w:rsidRPr="00A064B6">
        <w:rPr>
          <w:rFonts w:asciiTheme="minorHAnsi" w:hAnsiTheme="minorHAnsi"/>
          <w:i/>
          <w:lang w:eastAsia="zh-CN"/>
        </w:rPr>
        <w:t>Creșterea eficienței și a capacității administrative a MAI</w:t>
      </w:r>
    </w:p>
    <w:p w:rsidR="00A064B6" w:rsidRPr="00A064B6" w:rsidRDefault="00A064B6" w:rsidP="009F7237">
      <w:pPr>
        <w:numPr>
          <w:ilvl w:val="1"/>
          <w:numId w:val="50"/>
        </w:numPr>
        <w:suppressAutoHyphens/>
        <w:contextualSpacing/>
        <w:jc w:val="both"/>
        <w:rPr>
          <w:rFonts w:asciiTheme="minorHAnsi" w:eastAsia="Calibri" w:hAnsiTheme="minorHAnsi"/>
          <w:b/>
          <w:lang w:eastAsia="zh-CN"/>
        </w:rPr>
      </w:pPr>
      <w:r w:rsidRPr="00A064B6">
        <w:rPr>
          <w:rFonts w:asciiTheme="minorHAnsi" w:eastAsia="Calibri" w:hAnsiTheme="minorHAnsi"/>
          <w:b/>
          <w:lang w:eastAsia="zh-CN"/>
        </w:rPr>
        <w:t>Măsuri program:</w:t>
      </w:r>
    </w:p>
    <w:p w:rsidR="00A064B6" w:rsidRPr="003964D3"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 xml:space="preserve">Respectarea prevederilor legale referitoare la  promovarea proiectelor de </w:t>
      </w:r>
      <w:r w:rsidRPr="003964D3">
        <w:rPr>
          <w:rFonts w:asciiTheme="minorHAnsi" w:eastAsia="Calibri" w:hAnsiTheme="minorHAnsi"/>
          <w:lang w:val="fr-FR" w:eastAsia="ja-JP"/>
        </w:rPr>
        <w:t>documente de politici publice</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Respectarea prevederilor legale referitoare la  promovarea proiectelor de acte normative</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Îmbunătățirea eficienței și eficacității actului de control la nivelul MAI</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Îmbunătățirea eficienței și eficacității auditului public intern la nivelul MAI</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Eficientizarea procesului de planificare, conducere și coordonare necesar răspunsului integrat în cazul apariției situațiilor speciale și de criză</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fondurilor alocate pentru a crea premisele desfășurării în condiții optime a activității structurilor ministerului</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Efectuarea plății drepturilor de pensie și a altor drepturi de asigurări sociale cuvenite beneficiarilor Legii nr. 223/2015</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resurselor logistice necesare bunei funcționări a structurilor ministerului</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Perfecționarea sistemelor TIC și asigurarea mentenanței infrastructurii existente</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resurselor umane necesare bunei funcționări a structurilor ministerului</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Instruirea personalului MAI pentru dobândirea de expertiză în domenii specifice</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de sprijin aerian pentru restabilirea ordinii publice, supravegherea frontierei și intervenții în situații de urgență</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Accesarea de fonduri externe nerambursabile</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Prevenirea și combaterea corupției la nivelul MAI</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Informarea cu operativitate a mass-mediei și cetățenilor</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Formarea de specialiști cu pregătire universitară pentru structurile MAI</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Adaptarea programelor de formare în corelare cu evoluția fenomenelor din domeniul ordinii și siguranței publice</w:t>
      </w:r>
    </w:p>
    <w:p w:rsidR="00A064B6" w:rsidRPr="00A064B6" w:rsidRDefault="00A064B6" w:rsidP="009F7237">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Asigurarea suportului metodologic instituțiilor prefectului</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Asigurarea participării la Consiliile JAI, la misiuni de evaluare Schengen și la activități de cooperare internațională derulate în cadru bi și multilateral</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Dezvoltarea relațiilor de cooperare la nivel internațional în scopul realizării schimbului de date și informații cu privire la procesul de identificare și protecție a infrastructurilor critice naționale/europene</w:t>
      </w:r>
    </w:p>
    <w:p w:rsidR="00A064B6" w:rsidRPr="00715536" w:rsidRDefault="00A064B6" w:rsidP="009F7237">
      <w:pPr>
        <w:numPr>
          <w:ilvl w:val="0"/>
          <w:numId w:val="60"/>
        </w:numPr>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Asigurarea participării personalului MAI la activități sportive internaționale</w:t>
      </w:r>
    </w:p>
    <w:p w:rsidR="00A064B6" w:rsidRPr="00AC3EC8" w:rsidRDefault="00A064B6" w:rsidP="00AC3EC8">
      <w:pPr>
        <w:numPr>
          <w:ilvl w:val="0"/>
          <w:numId w:val="60"/>
        </w:numPr>
        <w:suppressAutoHyphens/>
        <w:contextualSpacing/>
        <w:jc w:val="both"/>
        <w:rPr>
          <w:rFonts w:asciiTheme="minorHAnsi" w:eastAsia="Calibri" w:hAnsiTheme="minorHAnsi"/>
          <w:lang w:eastAsia="ja-JP"/>
        </w:rPr>
      </w:pPr>
      <w:r w:rsidRPr="00A064B6">
        <w:rPr>
          <w:rFonts w:asciiTheme="minorHAnsi" w:eastAsia="Calibri" w:hAnsiTheme="minorHAnsi"/>
          <w:lang w:eastAsia="ja-JP"/>
        </w:rPr>
        <w:t>Pregătirea personalului MAI implicat în organizarea și derularea PRES UE</w:t>
      </w:r>
    </w:p>
    <w:p w:rsidR="00A064B6" w:rsidRPr="00A064B6" w:rsidRDefault="00A064B6" w:rsidP="009F7237">
      <w:pPr>
        <w:numPr>
          <w:ilvl w:val="1"/>
          <w:numId w:val="50"/>
        </w:numPr>
        <w:suppressAutoHyphens/>
        <w:jc w:val="both"/>
        <w:rPr>
          <w:rFonts w:asciiTheme="minorHAnsi" w:hAnsiTheme="minorHAnsi"/>
          <w:b/>
          <w:lang w:eastAsia="zh-CN"/>
        </w:rPr>
      </w:pPr>
      <w:r w:rsidRPr="00A064B6">
        <w:rPr>
          <w:rFonts w:asciiTheme="minorHAnsi" w:hAnsiTheme="minorHAnsi"/>
          <w:b/>
          <w:lang w:eastAsia="zh-CN"/>
        </w:rPr>
        <w:t xml:space="preserve">Rezulate așteptate: </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eastAsia="ja-JP"/>
        </w:rPr>
      </w:pPr>
      <w:r w:rsidRPr="00A064B6">
        <w:rPr>
          <w:rFonts w:asciiTheme="minorHAnsi" w:eastAsia="Calibri" w:hAnsiTheme="minorHAnsi"/>
          <w:lang w:eastAsia="ja-JP"/>
        </w:rPr>
        <w:t xml:space="preserve"> Asigurarea respectării prevederilor legale în procesul de elaborare și promovare a</w:t>
      </w:r>
    </w:p>
    <w:p w:rsidR="00A064B6" w:rsidRPr="00715536" w:rsidRDefault="00A064B6" w:rsidP="00A064B6">
      <w:pPr>
        <w:tabs>
          <w:tab w:val="left" w:pos="540"/>
          <w:tab w:val="left" w:pos="630"/>
          <w:tab w:val="left" w:pos="4590"/>
        </w:tabs>
        <w:ind w:left="360"/>
        <w:contextualSpacing/>
        <w:jc w:val="both"/>
        <w:rPr>
          <w:rFonts w:asciiTheme="minorHAnsi" w:eastAsia="Calibri" w:hAnsiTheme="minorHAnsi"/>
          <w:lang w:val="fr-FR" w:eastAsia="ja-JP"/>
        </w:rPr>
      </w:pPr>
      <w:r w:rsidRPr="00A064B6">
        <w:rPr>
          <w:rFonts w:asciiTheme="minorHAnsi" w:eastAsia="Calibri" w:hAnsiTheme="minorHAnsi"/>
          <w:lang w:eastAsia="ja-JP"/>
        </w:rPr>
        <w:t xml:space="preserve"> </w:t>
      </w:r>
      <w:r w:rsidRPr="00715536">
        <w:rPr>
          <w:rFonts w:asciiTheme="minorHAnsi" w:eastAsia="Calibri" w:hAnsiTheme="minorHAnsi"/>
          <w:lang w:val="fr-FR" w:eastAsia="ja-JP"/>
        </w:rPr>
        <w:t>documentelor de politici publice/acte normative</w:t>
      </w:r>
    </w:p>
    <w:p w:rsidR="00A064B6" w:rsidRPr="0071553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715536">
        <w:rPr>
          <w:rFonts w:asciiTheme="minorHAnsi" w:eastAsia="Calibri" w:hAnsiTheme="minorHAnsi"/>
          <w:lang w:val="fr-FR" w:eastAsia="ja-JP"/>
        </w:rPr>
        <w:t>Dezvoltarea capacității de control și audit la nivelul MAI</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eastAsia="ja-JP"/>
        </w:rPr>
      </w:pPr>
      <w:r w:rsidRPr="00A064B6">
        <w:rPr>
          <w:rFonts w:asciiTheme="minorHAnsi" w:eastAsia="Calibri" w:hAnsiTheme="minorHAnsi"/>
          <w:lang w:eastAsia="ja-JP"/>
        </w:rPr>
        <w:t>Consolidarea capacității manageriale pentru gestionarea situațiilor speciale și de</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lang w:eastAsia="ja-JP"/>
        </w:rPr>
      </w:pPr>
      <w:r w:rsidRPr="00A064B6">
        <w:rPr>
          <w:rFonts w:asciiTheme="minorHAnsi" w:eastAsia="Calibri" w:hAnsiTheme="minorHAnsi"/>
          <w:lang w:eastAsia="ja-JP"/>
        </w:rPr>
        <w:t>crizăAsigurarea managementului resurselor financiare, logistice, TIC și umane</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eastAsia="ja-JP"/>
        </w:rPr>
      </w:pPr>
      <w:r w:rsidRPr="00A064B6">
        <w:rPr>
          <w:rFonts w:asciiTheme="minorHAnsi" w:eastAsia="Calibri" w:hAnsiTheme="minorHAnsi"/>
          <w:lang w:eastAsia="ja-JP"/>
        </w:rPr>
        <w:t>Gestionarea acțiunilor/intervențiilor cu sprijin aerian</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eastAsia="ja-JP"/>
        </w:rPr>
      </w:pPr>
      <w:r w:rsidRPr="00A064B6">
        <w:rPr>
          <w:rFonts w:asciiTheme="minorHAnsi" w:eastAsia="Calibri" w:hAnsiTheme="minorHAnsi"/>
          <w:lang w:eastAsia="ja-JP"/>
        </w:rPr>
        <w:t xml:space="preserve"> Eficientizarea procesului de atragere a fondurilor nerambursabile</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 xml:space="preserve"> Consolidarea mediului de integritate la nivelul MAI</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 xml:space="preserve"> Eficientizarea comunicării publice a MAI cu privire la activitățile derulate de</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lang w:eastAsia="ja-JP"/>
        </w:rPr>
      </w:pPr>
      <w:r w:rsidRPr="00A064B6">
        <w:rPr>
          <w:rFonts w:asciiTheme="minorHAnsi" w:eastAsia="Calibri" w:hAnsiTheme="minorHAnsi"/>
          <w:lang w:eastAsia="ja-JP"/>
        </w:rPr>
        <w:t>structurile MAI</w:t>
      </w:r>
    </w:p>
    <w:p w:rsidR="00A064B6" w:rsidRPr="0071553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 xml:space="preserve"> Creșterea calității actului educațional al Academiei de Poliție</w:t>
      </w:r>
      <w:r w:rsidRPr="00715536">
        <w:rPr>
          <w:rFonts w:asciiTheme="minorHAnsi" w:eastAsia="Calibri" w:hAnsiTheme="minorHAnsi"/>
          <w:lang w:val="fr-FR" w:eastAsia="ja-JP"/>
        </w:rPr>
        <w:t xml:space="preserve"> și Institutului de</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lang w:eastAsia="ja-JP"/>
        </w:rPr>
      </w:pPr>
      <w:r w:rsidRPr="00A064B6">
        <w:rPr>
          <w:rFonts w:asciiTheme="minorHAnsi" w:eastAsia="Calibri" w:hAnsiTheme="minorHAnsi"/>
          <w:lang w:eastAsia="ja-JP"/>
        </w:rPr>
        <w:t>Studii pentru Ordine Publică</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eastAsia="ja-JP"/>
        </w:rPr>
      </w:pPr>
      <w:r w:rsidRPr="00A064B6">
        <w:rPr>
          <w:rFonts w:asciiTheme="minorHAnsi" w:eastAsia="Calibri" w:hAnsiTheme="minorHAnsi"/>
          <w:lang w:eastAsia="ja-JP"/>
        </w:rPr>
        <w:t xml:space="preserve"> Asigurarea coordonării unitare a activității instituțiilor prefectului</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Creșterea vizibilității MAI la nivel european și international</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lang w:val="fr-FR" w:eastAsia="ja-JP"/>
        </w:rPr>
      </w:pPr>
      <w:r w:rsidRPr="003964D3">
        <w:rPr>
          <w:rFonts w:asciiTheme="minorHAnsi" w:eastAsia="Calibri" w:hAnsiTheme="minorHAnsi"/>
          <w:lang w:val="fr-FR" w:eastAsia="ja-JP"/>
        </w:rPr>
        <w:t xml:space="preserve"> Participarea activă a MAI la pregătirile pentru exercitarea în cele mai bune condiții</w:t>
      </w:r>
    </w:p>
    <w:p w:rsidR="00A064B6" w:rsidRPr="003964D3" w:rsidRDefault="00A064B6" w:rsidP="00A064B6">
      <w:pPr>
        <w:tabs>
          <w:tab w:val="left" w:pos="540"/>
          <w:tab w:val="left" w:pos="630"/>
          <w:tab w:val="left" w:pos="4590"/>
        </w:tabs>
        <w:ind w:left="360"/>
        <w:contextualSpacing/>
        <w:jc w:val="both"/>
        <w:rPr>
          <w:rFonts w:asciiTheme="minorHAnsi" w:eastAsia="Calibri" w:hAnsiTheme="minorHAnsi"/>
          <w:lang w:val="fr-FR" w:eastAsia="ja-JP"/>
        </w:rPr>
      </w:pPr>
      <w:r w:rsidRPr="003964D3">
        <w:rPr>
          <w:rFonts w:asciiTheme="minorHAnsi" w:eastAsia="Calibri" w:hAnsiTheme="minorHAnsi"/>
          <w:lang w:val="fr-FR" w:eastAsia="ja-JP"/>
        </w:rPr>
        <w:t xml:space="preserve">    de către România a Președinției Consiliului UE în semestrul I al anului 2019</w:t>
      </w: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tabs>
          <w:tab w:val="left" w:pos="0"/>
        </w:tabs>
        <w:jc w:val="both"/>
        <w:rPr>
          <w:rFonts w:asciiTheme="minorHAnsi" w:hAnsiTheme="minorHAnsi"/>
          <w:b/>
          <w:lang w:val="fr-FR" w:eastAsia="zh-CN"/>
        </w:rPr>
      </w:pPr>
      <w:r w:rsidRPr="003964D3">
        <w:rPr>
          <w:rFonts w:asciiTheme="minorHAnsi" w:hAnsiTheme="minorHAnsi"/>
          <w:b/>
          <w:lang w:val="fr-FR" w:eastAsia="zh-CN"/>
        </w:rPr>
        <w:t>5.4 Indicatori de impact ai programului 5 “Capacitate administrativ</w:t>
      </w:r>
      <w:r w:rsidRPr="00A064B6">
        <w:rPr>
          <w:rFonts w:asciiTheme="minorHAnsi" w:hAnsiTheme="minorHAnsi"/>
          <w:b/>
          <w:lang w:val="ro-RO" w:eastAsia="zh-CN"/>
        </w:rPr>
        <w:t>ă</w:t>
      </w:r>
      <w:r w:rsidRPr="003964D3">
        <w:rPr>
          <w:rFonts w:asciiTheme="minorHAnsi" w:hAnsiTheme="minorHAnsi"/>
          <w:b/>
          <w:lang w:val="fr-FR" w:eastAsia="zh-CN"/>
        </w:rPr>
        <w:t xml:space="preserve"> și sprijin operațional”</w:t>
      </w: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suppressAutoHyphens/>
        <w:ind w:firstLine="720"/>
        <w:jc w:val="both"/>
        <w:rPr>
          <w:rFonts w:asciiTheme="minorHAnsi" w:hAnsiTheme="minorHAnsi"/>
          <w:lang w:val="fr-FR" w:eastAsia="zh-CN"/>
        </w:rPr>
      </w:pPr>
      <w:r w:rsidRPr="003964D3">
        <w:rPr>
          <w:rFonts w:asciiTheme="minorHAnsi" w:hAnsiTheme="minorHAnsi"/>
          <w:b/>
          <w:lang w:val="fr-FR" w:eastAsia="zh-CN"/>
        </w:rPr>
        <w:t xml:space="preserve">Programul 5 </w:t>
      </w:r>
      <w:r w:rsidRPr="003964D3">
        <w:rPr>
          <w:rFonts w:asciiTheme="minorHAnsi" w:hAnsiTheme="minorHAnsi"/>
          <w:lang w:val="fr-FR" w:eastAsia="zh-CN"/>
        </w:rPr>
        <w:t>finanț</w:t>
      </w:r>
      <w:r w:rsidR="00DA7859" w:rsidRPr="003964D3">
        <w:rPr>
          <w:rFonts w:asciiTheme="minorHAnsi" w:hAnsiTheme="minorHAnsi"/>
          <w:lang w:val="fr-FR" w:eastAsia="zh-CN"/>
        </w:rPr>
        <w:t>ează același obiectiv strategic</w:t>
      </w:r>
      <w:r w:rsidRPr="003964D3">
        <w:rPr>
          <w:rFonts w:asciiTheme="minorHAnsi" w:hAnsiTheme="minorHAnsi"/>
          <w:lang w:val="fr-FR" w:eastAsia="zh-CN"/>
        </w:rPr>
        <w:t xml:space="preserve"> ca și </w:t>
      </w:r>
      <w:r w:rsidRPr="003964D3">
        <w:rPr>
          <w:rFonts w:asciiTheme="minorHAnsi" w:hAnsiTheme="minorHAnsi"/>
          <w:b/>
          <w:lang w:val="fr-FR" w:eastAsia="zh-CN"/>
        </w:rPr>
        <w:t>Programul 4</w:t>
      </w:r>
      <w:r w:rsidRPr="003964D3">
        <w:rPr>
          <w:rFonts w:asciiTheme="minorHAnsi" w:hAnsiTheme="minorHAnsi"/>
          <w:lang w:val="fr-FR" w:eastAsia="zh-CN"/>
        </w:rPr>
        <w:t xml:space="preserve">. Indicatorii de impact ai Programului 5, împreună cu țintele pentru anul 2021 sunt detaliați în cadrul </w:t>
      </w:r>
      <w:r w:rsidRPr="003964D3">
        <w:rPr>
          <w:rFonts w:asciiTheme="minorHAnsi" w:hAnsiTheme="minorHAnsi"/>
          <w:b/>
          <w:lang w:val="fr-FR" w:eastAsia="zh-CN"/>
        </w:rPr>
        <w:t>Programului 4.</w:t>
      </w:r>
    </w:p>
    <w:p w:rsidR="00A064B6" w:rsidRPr="003964D3" w:rsidRDefault="00A064B6" w:rsidP="00A064B6">
      <w:pPr>
        <w:suppressAutoHyphens/>
        <w:jc w:val="both"/>
        <w:rPr>
          <w:rFonts w:asciiTheme="minorHAnsi" w:hAnsiTheme="minorHAnsi"/>
          <w:i/>
          <w:lang w:val="fr-FR" w:eastAsia="ja-JP"/>
        </w:rPr>
      </w:pPr>
    </w:p>
    <w:p w:rsidR="00A064B6" w:rsidRPr="003964D3" w:rsidRDefault="00A064B6" w:rsidP="00A064B6">
      <w:pPr>
        <w:suppressAutoHyphens/>
        <w:jc w:val="both"/>
        <w:rPr>
          <w:rFonts w:ascii="Calibri" w:hAnsi="Calibri"/>
          <w:b/>
          <w:lang w:val="fr-FR" w:eastAsia="zh-CN"/>
        </w:rPr>
      </w:pPr>
    </w:p>
    <w:p w:rsidR="00A60A85" w:rsidRPr="003964D3" w:rsidRDefault="00A60A85" w:rsidP="00A064B6">
      <w:pPr>
        <w:suppressAutoHyphens/>
        <w:jc w:val="both"/>
        <w:rPr>
          <w:rFonts w:ascii="Calibri" w:hAnsi="Calibri"/>
          <w:b/>
          <w:lang w:val="fr-FR" w:eastAsia="zh-CN"/>
        </w:rPr>
      </w:pPr>
    </w:p>
    <w:p w:rsidR="00A60A85" w:rsidRPr="003964D3" w:rsidRDefault="00A60A85" w:rsidP="00A064B6">
      <w:pPr>
        <w:suppressAutoHyphens/>
        <w:jc w:val="both"/>
        <w:rPr>
          <w:rFonts w:ascii="Calibri" w:hAnsi="Calibri"/>
          <w:b/>
          <w:lang w:val="fr-FR" w:eastAsia="zh-CN"/>
        </w:rPr>
      </w:pPr>
    </w:p>
    <w:p w:rsidR="0017780B" w:rsidRPr="00C86702" w:rsidRDefault="0017780B" w:rsidP="00CC6C94">
      <w:pPr>
        <w:suppressAutoHyphens/>
        <w:ind w:right="-1080"/>
        <w:jc w:val="both"/>
        <w:rPr>
          <w:rFonts w:ascii="Calibri" w:hAnsi="Calibri" w:cs="Arial Narrow"/>
          <w:lang w:val="ro-RO" w:eastAsia="zh-CN"/>
        </w:rPr>
      </w:pPr>
    </w:p>
    <w:p w:rsidR="001128CD" w:rsidRPr="00C86702" w:rsidRDefault="001128CD" w:rsidP="001128CD">
      <w:pPr>
        <w:jc w:val="both"/>
        <w:rPr>
          <w:rFonts w:ascii="Arial Narrow" w:hAnsi="Arial Narrow" w:cs="Arial Narrow"/>
          <w:lang w:val="ro-RO"/>
        </w:rPr>
      </w:pPr>
    </w:p>
    <w:tbl>
      <w:tblPr>
        <w:tblW w:w="5000" w:type="pct"/>
        <w:tblLook w:val="0000" w:firstRow="0" w:lastRow="0" w:firstColumn="0" w:lastColumn="0" w:noHBand="0" w:noVBand="0"/>
      </w:tblPr>
      <w:tblGrid>
        <w:gridCol w:w="10081"/>
      </w:tblGrid>
      <w:tr w:rsidR="001128CD" w:rsidRPr="00C86702" w:rsidTr="001C7118">
        <w:tc>
          <w:tcPr>
            <w:tcW w:w="5000" w:type="pct"/>
            <w:shd w:val="clear" w:color="auto" w:fill="99CCFF"/>
          </w:tcPr>
          <w:p w:rsidR="001128CD" w:rsidRPr="00C86702" w:rsidRDefault="001128CD" w:rsidP="001128CD">
            <w:pPr>
              <w:keepLines/>
              <w:widowControl w:val="0"/>
              <w:shd w:val="clear" w:color="auto" w:fill="99CCFF"/>
              <w:suppressAutoHyphens/>
              <w:spacing w:line="320" w:lineRule="exact"/>
              <w:jc w:val="both"/>
              <w:rPr>
                <w:rFonts w:ascii="Calibri" w:hAnsi="Calibri"/>
                <w:lang w:val="ro-RO" w:eastAsia="zh-CN"/>
              </w:rPr>
            </w:pPr>
            <w:r w:rsidRPr="00C86702">
              <w:rPr>
                <w:rFonts w:ascii="Calibri" w:hAnsi="Calibri" w:cs="Arial Narrow"/>
                <w:b/>
                <w:color w:val="000080"/>
                <w:lang w:val="ro-RO"/>
              </w:rPr>
              <w:t xml:space="preserve">Politica în </w:t>
            </w:r>
            <w:r w:rsidR="00CC6C94" w:rsidRPr="00C86702">
              <w:rPr>
                <w:rFonts w:ascii="Calibri" w:hAnsi="Calibri" w:cs="Arial Narrow"/>
                <w:b/>
                <w:color w:val="000080"/>
                <w:lang w:val="ro-RO"/>
              </w:rPr>
              <w:t xml:space="preserve">domeniul </w:t>
            </w:r>
            <w:r w:rsidR="003C0BA0" w:rsidRPr="00C86702">
              <w:rPr>
                <w:rFonts w:ascii="Calibri" w:hAnsi="Calibri" w:cs="Arial Narrow"/>
                <w:b/>
                <w:color w:val="000080"/>
                <w:lang w:val="ro-RO"/>
              </w:rPr>
              <w:t>apărării naţionale</w:t>
            </w:r>
          </w:p>
        </w:tc>
      </w:tr>
    </w:tbl>
    <w:p w:rsidR="00BD58B2" w:rsidRDefault="00BD58B2" w:rsidP="00E4771D">
      <w:pPr>
        <w:shd w:val="clear" w:color="auto" w:fill="FFFFFF"/>
        <w:ind w:right="-2"/>
        <w:rPr>
          <w:rFonts w:ascii="Calibri" w:hAnsi="Calibri" w:cs="Arial"/>
          <w:b/>
          <w:color w:val="000080"/>
          <w:lang w:val="ro-RO"/>
        </w:rPr>
      </w:pPr>
    </w:p>
    <w:p w:rsidR="00842BC9" w:rsidRPr="00842BC9" w:rsidRDefault="00842BC9" w:rsidP="00842BC9">
      <w:pPr>
        <w:suppressAutoHyphens/>
        <w:ind w:firstLine="266"/>
        <w:jc w:val="both"/>
        <w:rPr>
          <w:rFonts w:ascii="Calibri" w:hAnsi="Calibri" w:cs="Arial Narrow"/>
          <w:lang w:val="pl-PL" w:eastAsia="zh-CN"/>
        </w:rPr>
      </w:pPr>
      <w:r w:rsidRPr="00842BC9">
        <w:rPr>
          <w:rFonts w:ascii="Calibri" w:hAnsi="Calibri" w:cs="Arial Narrow"/>
          <w:b/>
          <w:lang w:val="pl-PL" w:eastAsia="zh-CN"/>
        </w:rPr>
        <w:t xml:space="preserve">            Obiectivul strategical politicii de apărare</w:t>
      </w:r>
      <w:r w:rsidRPr="00842BC9">
        <w:rPr>
          <w:rFonts w:ascii="Calibri" w:hAnsi="Calibri" w:cs="Arial Narrow"/>
          <w:lang w:val="pl-PL" w:eastAsia="zh-CN"/>
        </w:rPr>
        <w:t xml:space="preserve"> pentru perioada 2019 - 2021 îl reprezintă modernizarea și adaptarea Armatei României la riscurile și provocările specifice actualului context geopolitic, cât și consolidarea profilului de partener strategic relevant al României la nivelul NATO, al UE și în parteneriatul strategic cu SUA.</w:t>
      </w:r>
    </w:p>
    <w:p w:rsidR="00842BC9" w:rsidRPr="00842BC9" w:rsidRDefault="00842BC9" w:rsidP="00842BC9">
      <w:pPr>
        <w:ind w:firstLine="266"/>
        <w:jc w:val="both"/>
        <w:rPr>
          <w:rFonts w:ascii="Calibri" w:hAnsi="Calibri" w:cs="Arial"/>
          <w:lang w:val="ro-RO"/>
        </w:rPr>
      </w:pPr>
    </w:p>
    <w:p w:rsidR="00842BC9" w:rsidRPr="00842BC9" w:rsidRDefault="00842BC9" w:rsidP="00842BC9">
      <w:pPr>
        <w:spacing w:before="120" w:after="120"/>
        <w:ind w:right="709"/>
        <w:jc w:val="both"/>
        <w:rPr>
          <w:rFonts w:ascii="Calibri" w:hAnsi="Calibri" w:cs="Arial"/>
          <w:b/>
          <w:bCs/>
          <w:iCs/>
          <w:spacing w:val="-5"/>
          <w:lang w:val="ro-RO"/>
        </w:rPr>
      </w:pPr>
      <w:r w:rsidRPr="00842BC9">
        <w:rPr>
          <w:rFonts w:ascii="Calibri" w:hAnsi="Calibri" w:cs="Arial"/>
          <w:b/>
          <w:bCs/>
          <w:spacing w:val="-5"/>
          <w:lang w:val="ro-RO"/>
        </w:rPr>
        <w:t xml:space="preserve">                  A.  </w:t>
      </w:r>
      <w:r w:rsidRPr="00842BC9">
        <w:rPr>
          <w:rFonts w:ascii="Calibri" w:hAnsi="Calibri" w:cs="Arial"/>
          <w:b/>
          <w:bCs/>
          <w:iCs/>
          <w:spacing w:val="-5"/>
          <w:lang w:val="ro-RO"/>
        </w:rPr>
        <w:t>Obiectivele politicii de apărare</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Continuitate strategică în cadrul NATO și UE ;</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Creşterea capacității operaționale a forțelor armate</w:t>
      </w:r>
      <w:r w:rsidRPr="00842BC9">
        <w:rPr>
          <w:rFonts w:ascii="Calibri" w:hAnsi="Calibri" w:cs="Arial"/>
          <w:bCs/>
          <w:spacing w:val="-5"/>
        </w:rPr>
        <w:t>;</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Revitalizarea industriei naționale de apărare;</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Pregătirea profesională și calitatea vieții personalului militar;</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Pregătirea populației și teritoriului și gestionarea interinstituțională a crizelor de tip militar sau de securitate;</w:t>
      </w:r>
    </w:p>
    <w:p w:rsidR="00842BC9" w:rsidRPr="00842BC9" w:rsidRDefault="00842BC9" w:rsidP="009F7237">
      <w:pPr>
        <w:numPr>
          <w:ilvl w:val="0"/>
          <w:numId w:val="45"/>
        </w:numPr>
        <w:suppressAutoHyphens/>
        <w:rPr>
          <w:rFonts w:ascii="Calibri" w:hAnsi="Calibri" w:cs="Arial"/>
          <w:bCs/>
          <w:spacing w:val="-5"/>
          <w:lang w:val="ro-RO"/>
        </w:rPr>
      </w:pPr>
      <w:r w:rsidRPr="00842BC9">
        <w:rPr>
          <w:rFonts w:ascii="Calibri" w:hAnsi="Calibri" w:cs="Arial"/>
          <w:bCs/>
          <w:spacing w:val="-5"/>
          <w:lang w:val="ro-RO"/>
        </w:rPr>
        <w:t>Implementarea unui management optim al resurselor de apărare.</w:t>
      </w:r>
    </w:p>
    <w:p w:rsidR="00842BC9" w:rsidRPr="00842BC9" w:rsidRDefault="00842BC9" w:rsidP="00842BC9">
      <w:pPr>
        <w:ind w:firstLine="266"/>
        <w:rPr>
          <w:rFonts w:ascii="Calibri" w:hAnsi="Calibri" w:cs="Arial"/>
          <w:bCs/>
          <w:spacing w:val="-5"/>
          <w:lang w:val="ro-RO"/>
        </w:rPr>
      </w:pPr>
    </w:p>
    <w:p w:rsidR="00842BC9" w:rsidRPr="00842BC9" w:rsidRDefault="00842BC9" w:rsidP="00842BC9">
      <w:pPr>
        <w:ind w:firstLine="266"/>
        <w:rPr>
          <w:rFonts w:ascii="Calibri" w:hAnsi="Calibri" w:cs="Arial"/>
          <w:bCs/>
          <w:spacing w:val="-5"/>
          <w:lang w:val="ro-RO"/>
        </w:rPr>
      </w:pPr>
    </w:p>
    <w:p w:rsidR="00842BC9" w:rsidRPr="00842BC9" w:rsidRDefault="00842BC9" w:rsidP="00842BC9">
      <w:pPr>
        <w:suppressAutoHyphens/>
        <w:ind w:firstLine="600"/>
        <w:jc w:val="both"/>
        <w:rPr>
          <w:rFonts w:ascii="Calibri" w:hAnsi="Calibri"/>
          <w:lang w:val="ro-RO"/>
        </w:rPr>
      </w:pPr>
      <w:r w:rsidRPr="003964D3">
        <w:rPr>
          <w:rFonts w:ascii="Calibri" w:hAnsi="Calibri" w:cs="Arial"/>
          <w:b/>
          <w:bCs/>
          <w:lang w:val="fr-FR" w:eastAsia="zh-CN"/>
        </w:rPr>
        <w:t xml:space="preserve">      B.  </w:t>
      </w:r>
      <w:r w:rsidRPr="00842BC9">
        <w:rPr>
          <w:rFonts w:ascii="Calibri" w:hAnsi="Calibri"/>
          <w:b/>
          <w:bCs/>
          <w:lang w:val="ro-RO" w:eastAsia="zh-CN"/>
        </w:rPr>
        <w:t>Direcţii principale de dezvoltare a capabilităților militare</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În scopul realizării graduale a capabilităţilor militare, politica de apărare trebuie să conducă la asigurarea condiţiilor pentru implementarea „Programului privind transformarea, dezvoltarea și înzestrarea Armatei României până în anul 2026 și în perspectivă.”</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Alocările bugetare pentru MApN în perioada 2019 - 2021 trebuie să reconfirme deciziile adoptate în urma Summit-ului din Ţara Galilor, precum şi Pactul Politic Naţional, semnat de Partidele Parlamentare. Îndeplinirea acestui deziderat conduce la necesitatea continuării asigurării nivelului de 2% din PIB pentru perioada de referinţă, în conformitate cu prevederile Programului de guvernare 2018 - 2020.</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 xml:space="preserve">Capabilităţile Armatei României se dezvoltă în următoarele domenii: comandă, control şi comunicaţii, angajare, informaţii, proiecţia forţei, protecţie şi susţinere. </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Constituirea, dezvoltarea şi menţinerea capabilităţilor se realizează având în vedere cerinţele şi acţiunile cuprinzând  elemente de: doctrină, organizare, pregătire, comandă, echipamente, personal, infrastructură şi interoperabilitate (DOTLMPFI);</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 xml:space="preserve">În funcţie de domeniile de acţiune, Armata României dezvoltă următoarele capabilităţi:  </w:t>
      </w: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comandă, control şi comunicaţii</w:t>
      </w:r>
      <w:r w:rsidRPr="00842BC9">
        <w:rPr>
          <w:rFonts w:ascii="Calibri" w:hAnsi="Calibri"/>
          <w:spacing w:val="-5"/>
          <w:lang w:val="ro-RO" w:eastAsia="zh-CN"/>
        </w:rPr>
        <w:t xml:space="preserve"> de </w:t>
      </w:r>
      <w:r w:rsidRPr="00842BC9">
        <w:rPr>
          <w:rFonts w:ascii="Calibri" w:hAnsi="Calibri"/>
          <w:iCs/>
          <w:spacing w:val="-5"/>
          <w:lang w:val="ro-RO" w:eastAsia="zh-CN"/>
        </w:rPr>
        <w:t>nivel strategic, operativ şi tactic,</w:t>
      </w:r>
      <w:r w:rsidRPr="00842BC9">
        <w:rPr>
          <w:rFonts w:ascii="Calibri" w:hAnsi="Calibri"/>
          <w:bCs/>
          <w:spacing w:val="-5"/>
          <w:lang w:val="ro-RO" w:eastAsia="zh-CN"/>
        </w:rPr>
        <w:t xml:space="preserve"> centre de comunicaţii şi informatică şi unităţi de sprijin în domeniul comunicaţiilor şi informaticii/CIS ale structurii de forţe;</w:t>
      </w: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angajare</w:t>
      </w:r>
      <w:r w:rsidRPr="00842BC9">
        <w:rPr>
          <w:rFonts w:ascii="Calibri" w:hAnsi="Calibri"/>
          <w:spacing w:val="-5"/>
          <w:lang w:val="ro-RO" w:eastAsia="zh-CN"/>
        </w:rPr>
        <w:t>: mari unităţi şi unităţi mecanizate, de infanterie, tancuri, vânători de munte, artilerie, forţe speciale, aviaţie de luptă, elicoptere de luptă, nave de luptă la mare şi fluviu, infanterie marină, poliţie militară şi operaţii psihologice;</w:t>
      </w: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informaţii</w:t>
      </w:r>
      <w:r w:rsidRPr="00842BC9">
        <w:rPr>
          <w:rFonts w:ascii="Calibri" w:hAnsi="Calibri"/>
          <w:spacing w:val="-5"/>
          <w:lang w:val="ro-RO" w:eastAsia="zh-CN"/>
        </w:rPr>
        <w:t>: mari unităţi şi unităţi de informaţii militare,  supraveghere şi cercetare;</w:t>
      </w: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proiecţia forţei</w:t>
      </w:r>
      <w:r w:rsidRPr="00842BC9">
        <w:rPr>
          <w:rFonts w:ascii="Calibri" w:hAnsi="Calibri"/>
          <w:spacing w:val="-5"/>
          <w:lang w:val="ro-RO" w:eastAsia="zh-CN"/>
        </w:rPr>
        <w:t>: mari unităţi şi unităţi de transport aerian tactic, de nave de sprijin  şi de transport terestru;</w:t>
      </w:r>
    </w:p>
    <w:p w:rsidR="00842BC9" w:rsidRPr="00842BC9" w:rsidRDefault="00842BC9" w:rsidP="00842BC9">
      <w:pPr>
        <w:spacing w:before="120"/>
        <w:ind w:left="1080"/>
        <w:jc w:val="both"/>
        <w:rPr>
          <w:rFonts w:ascii="Calibri" w:hAnsi="Calibri"/>
          <w:lang w:val="ro-RO" w:eastAsia="zh-CN"/>
        </w:rPr>
      </w:pP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protecţie</w:t>
      </w:r>
      <w:r w:rsidRPr="00842BC9">
        <w:rPr>
          <w:rFonts w:ascii="Calibri" w:hAnsi="Calibri"/>
          <w:spacing w:val="-5"/>
          <w:lang w:val="ro-RO" w:eastAsia="zh-CN"/>
        </w:rPr>
        <w:t>: mari unităţi şi unităţi de rachete sol aer, de apărare antiaeriană, de geniu de luptă, de CBRN, EOD, minare/deminare şi pentru protecţia demnitarilor militari români şi străini pe teritoriul naţional;</w:t>
      </w:r>
    </w:p>
    <w:p w:rsidR="00842BC9" w:rsidRPr="00842BC9" w:rsidRDefault="00842BC9" w:rsidP="009F7237">
      <w:pPr>
        <w:numPr>
          <w:ilvl w:val="0"/>
          <w:numId w:val="62"/>
        </w:numPr>
        <w:suppressAutoHyphens/>
        <w:spacing w:before="120"/>
        <w:jc w:val="both"/>
        <w:rPr>
          <w:rFonts w:ascii="Calibri" w:hAnsi="Calibri"/>
          <w:lang w:val="ro-RO" w:eastAsia="zh-CN"/>
        </w:rPr>
      </w:pPr>
      <w:r w:rsidRPr="00842BC9">
        <w:rPr>
          <w:rFonts w:ascii="Calibri" w:hAnsi="Calibri"/>
          <w:b/>
          <w:spacing w:val="-5"/>
          <w:lang w:val="ro-RO" w:eastAsia="zh-CN"/>
        </w:rPr>
        <w:t>susţinere</w:t>
      </w:r>
      <w:r w:rsidRPr="00842BC9">
        <w:rPr>
          <w:rFonts w:ascii="Calibri" w:hAnsi="Calibri"/>
          <w:spacing w:val="-5"/>
          <w:lang w:val="ro-RO" w:eastAsia="zh-CN"/>
        </w:rPr>
        <w:t>: mari unităţi şi unităţi de logistică operaţională şi de susţinere.</w:t>
      </w:r>
    </w:p>
    <w:p w:rsidR="00842BC9" w:rsidRPr="00842BC9" w:rsidRDefault="00842BC9" w:rsidP="00842BC9">
      <w:pPr>
        <w:tabs>
          <w:tab w:val="left" w:pos="284"/>
        </w:tabs>
        <w:jc w:val="both"/>
        <w:rPr>
          <w:rFonts w:ascii="Calibri" w:hAnsi="Calibri"/>
          <w:spacing w:val="-5"/>
          <w:lang w:val="ro-RO" w:eastAsia="zh-CN"/>
        </w:rPr>
      </w:pPr>
    </w:p>
    <w:p w:rsidR="00842BC9" w:rsidRPr="00842BC9" w:rsidRDefault="00842BC9" w:rsidP="009F7237">
      <w:pPr>
        <w:numPr>
          <w:ilvl w:val="0"/>
          <w:numId w:val="45"/>
        </w:numPr>
        <w:suppressAutoHyphens/>
        <w:spacing w:before="120"/>
        <w:jc w:val="both"/>
        <w:rPr>
          <w:rFonts w:ascii="Calibri" w:hAnsi="Calibri"/>
          <w:lang w:val="ro-RO"/>
        </w:rPr>
      </w:pPr>
      <w:r w:rsidRPr="00842BC9">
        <w:rPr>
          <w:rFonts w:ascii="Calibri" w:hAnsi="Calibri"/>
          <w:lang w:val="ro-RO" w:eastAsia="zh-CN"/>
        </w:rPr>
        <w:t>Dezvoltarea de capabilităţi militare se va realiza gradual, cu accent pe cele critice, configurate atât pentru apărarea naţională, cât şi pentru cea colectivă. Astfel de capabilităţi critice vor viza: capabilităţi eficiente de comandă şi control; capabilităţi de informații, supraveghere şi recunoaştere, în baza dezvoltărilor la nivelul NATO pe această dimensiune, care să asigure segmentul de avertizare timpurie; capabilităţi de contracarare a sistemelor A2AD. De asemenea, se va urmări dezvoltarea capabilităţilor necesare contracarării ameninţărilor de tip asimetric sau a abordărilor ostile de tip hibrid; capabilităţilor de transport intra-teatru; capabilităţilor logistice şi medicale, capabilităţilor de apărare cibernetică ale Armatei României şi integrarea acestora în sistemul naţional de apărare cibernetică;</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În procesul de dezvoltare a capabilităţilor se va urmări cu precădere îndeplinirea angajamentelor asumate în cadrul procesului NATO de planificare a apărării (NDPP) prin Ţintele de Capabilităţi 2017, în primul rând prin implementarea setului de măsuri imediate aprobate de ministrul apărării naţionale în vederea dezvoltării capabilităţilor stabilite ca fiind prioritare pentru România cu ocazia Reuniunii miniştrilor apărării din statele membre NATO din iulie 2017;</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Un accent important se va pune pe modernizarea/reconfigurarea infrastructurii militare (instrucţie şi cartiruire) în funcţie de potenţialele scenarii ale unei agresiuni militare convenţionale, inclusiv cu luarea în considerare a operaţionalizării structurilor aliate de comandă şi control constituite pe teritoriul naţional, respectiv a necesităţilor legate de asigurarea sprijinului națiunii gazdă pentru eventuale forţe NATO dislocate în România în situaţia unei agresiuni militare, precum și pentru pre-poziționarea acestora. În acest sens, se acordă o atenție deosebită investițiilor realizate prin intermediul Programului NATO de Investiții în Securitate (NSIP).  Un element important din această perspectivă îl reprezintă proiectele de modernizare a infrastructurii militare pe teritoriul naţional în cadrul Iniţiativei pentru Descurajare Europeană şi în cadrul Setului de Activităţi Europene, respectiv continuarea colaborării în domeniul dotării prin achiziţia unor echipamente declarate EDA de către SUA;</w:t>
      </w:r>
    </w:p>
    <w:p w:rsidR="00842BC9" w:rsidRPr="00842BC9" w:rsidRDefault="00842BC9" w:rsidP="009F7237">
      <w:pPr>
        <w:numPr>
          <w:ilvl w:val="0"/>
          <w:numId w:val="45"/>
        </w:numPr>
        <w:suppressAutoHyphens/>
        <w:spacing w:before="120"/>
        <w:ind w:left="714" w:hanging="357"/>
        <w:jc w:val="both"/>
        <w:rPr>
          <w:rFonts w:ascii="Calibri" w:hAnsi="Calibri"/>
          <w:lang w:val="ro-RO" w:eastAsia="zh-CN"/>
        </w:rPr>
      </w:pPr>
      <w:r w:rsidRPr="00842BC9">
        <w:rPr>
          <w:rFonts w:ascii="Calibri" w:hAnsi="Calibri"/>
          <w:lang w:val="ro-RO" w:eastAsia="zh-CN"/>
        </w:rPr>
        <w:t>Totodată, o atenţie deosebită se va acorda participării la proiectele de dezvoltare a capabilităţilor pentru apărare propuse în contextul Cooperării structurate permanente (PESCO) în domeniul apărării la nivelul UE, pentru care România a identificat un potenţial de implicare, în conformitate cu prevederile Memorandumului cu tema „</w:t>
      </w:r>
      <w:r w:rsidRPr="00842BC9">
        <w:rPr>
          <w:rFonts w:ascii="Calibri" w:hAnsi="Calibri"/>
          <w:i/>
          <w:lang w:val="ro-RO" w:eastAsia="zh-CN"/>
        </w:rPr>
        <w:t>Cooperarea structuratǎ permanentǎ (PESCO) în domeniul apǎrǎrii la nivelul UE</w:t>
      </w:r>
      <w:r w:rsidRPr="00842BC9">
        <w:rPr>
          <w:rFonts w:ascii="Calibri" w:hAnsi="Calibri"/>
          <w:lang w:val="ro-RO" w:eastAsia="zh-CN"/>
        </w:rPr>
        <w:t>”, aprobat de CSAT în data de 17.10.2017;</w:t>
      </w:r>
    </w:p>
    <w:p w:rsidR="00842BC9" w:rsidRPr="00842BC9" w:rsidRDefault="00842BC9" w:rsidP="009F7237">
      <w:pPr>
        <w:numPr>
          <w:ilvl w:val="0"/>
          <w:numId w:val="45"/>
        </w:numPr>
        <w:suppressAutoHyphens/>
        <w:spacing w:before="120"/>
        <w:ind w:left="714" w:hanging="357"/>
        <w:jc w:val="both"/>
        <w:rPr>
          <w:rFonts w:ascii="Calibri" w:hAnsi="Calibri"/>
          <w:lang w:val="ro-RO" w:eastAsia="zh-CN"/>
        </w:rPr>
      </w:pPr>
      <w:r w:rsidRPr="00842BC9">
        <w:rPr>
          <w:rFonts w:ascii="Calibri" w:hAnsi="Calibri"/>
          <w:lang w:val="ro-RO" w:eastAsia="zh-CN"/>
        </w:rPr>
        <w:t>Creşterea atractivităţii domeniului militar prin îmbunătăţirea sistemului de salarizare şi pensii şi a ofertei de pregătire profesională continuă să fie una dintre direcţiile principale de acţiune pentru creşterea performanţei organizaţionale;</w:t>
      </w:r>
    </w:p>
    <w:p w:rsidR="00842BC9" w:rsidRPr="00842BC9" w:rsidRDefault="00842BC9" w:rsidP="009F7237">
      <w:pPr>
        <w:numPr>
          <w:ilvl w:val="0"/>
          <w:numId w:val="45"/>
        </w:numPr>
        <w:suppressAutoHyphens/>
        <w:spacing w:before="120"/>
        <w:jc w:val="both"/>
        <w:rPr>
          <w:rFonts w:ascii="Calibri" w:hAnsi="Calibri"/>
          <w:lang w:val="ro-RO" w:eastAsia="zh-CN"/>
        </w:rPr>
      </w:pPr>
      <w:r w:rsidRPr="00842BC9">
        <w:rPr>
          <w:rFonts w:ascii="Calibri" w:hAnsi="Calibri"/>
          <w:lang w:val="ro-RO" w:eastAsia="zh-CN"/>
        </w:rPr>
        <w:t>Un alt obiectiv avut în vedere de MApN pentru perioada de referință este creşterea calităţii vieţii personalului militar şi civil prin asigurarea de facilităţi locative, precum și asigurarea asistenţei medicale a personalului armatei şi a cadrelor militare în rezervă şi în retragere.</w:t>
      </w:r>
    </w:p>
    <w:p w:rsidR="00842BC9" w:rsidRPr="00842BC9" w:rsidRDefault="00842BC9" w:rsidP="00842BC9">
      <w:pPr>
        <w:tabs>
          <w:tab w:val="left" w:pos="284"/>
        </w:tabs>
        <w:ind w:left="1259"/>
        <w:jc w:val="both"/>
        <w:rPr>
          <w:rFonts w:ascii="Calibri" w:hAnsi="Calibri"/>
          <w:spacing w:val="-5"/>
          <w:lang w:val="ro-RO" w:eastAsia="zh-CN"/>
        </w:rPr>
      </w:pPr>
    </w:p>
    <w:p w:rsidR="00842BC9" w:rsidRPr="00842BC9" w:rsidRDefault="00842BC9" w:rsidP="00842BC9">
      <w:pPr>
        <w:tabs>
          <w:tab w:val="left" w:pos="284"/>
        </w:tabs>
        <w:jc w:val="both"/>
        <w:rPr>
          <w:rFonts w:ascii="Calibri" w:hAnsi="Calibri"/>
          <w:spacing w:val="-5"/>
          <w:lang w:val="ro-RO" w:eastAsia="zh-CN"/>
        </w:rPr>
      </w:pPr>
    </w:p>
    <w:p w:rsidR="00875C1A" w:rsidRPr="00C86702" w:rsidRDefault="00875C1A" w:rsidP="00E4771D">
      <w:pPr>
        <w:shd w:val="clear" w:color="auto" w:fill="FFFFFF"/>
        <w:ind w:right="-2"/>
        <w:rPr>
          <w:rFonts w:ascii="Calibri" w:hAnsi="Calibri" w:cs="Arial"/>
          <w:b/>
          <w:color w:val="000080"/>
          <w:lang w:val="ro-RO"/>
        </w:rPr>
      </w:pPr>
    </w:p>
    <w:p w:rsidR="00A37269" w:rsidRPr="00C86702" w:rsidRDefault="00A37269" w:rsidP="00A37269">
      <w:pPr>
        <w:shd w:val="clear" w:color="auto" w:fill="99CCFF"/>
        <w:ind w:right="-2"/>
        <w:rPr>
          <w:rFonts w:ascii="Calibri" w:hAnsi="Calibri" w:cs="Arial"/>
          <w:b/>
          <w:color w:val="000080"/>
          <w:lang w:val="ro-RO"/>
        </w:rPr>
      </w:pPr>
      <w:r w:rsidRPr="00C86702">
        <w:rPr>
          <w:rFonts w:ascii="Calibri" w:hAnsi="Calibri" w:cs="Arial"/>
          <w:b/>
          <w:color w:val="000080"/>
          <w:lang w:val="ro-RO"/>
        </w:rPr>
        <w:t>Politica în domeniul  sănătăţii</w:t>
      </w:r>
    </w:p>
    <w:tbl>
      <w:tblPr>
        <w:tblW w:w="9975" w:type="dxa"/>
        <w:tblInd w:w="222" w:type="dxa"/>
        <w:tblLook w:val="01E0" w:firstRow="1" w:lastRow="1" w:firstColumn="1" w:lastColumn="1" w:noHBand="0" w:noVBand="0"/>
      </w:tblPr>
      <w:tblGrid>
        <w:gridCol w:w="2324"/>
        <w:gridCol w:w="7651"/>
      </w:tblGrid>
      <w:tr w:rsidR="000219DE" w:rsidRPr="00AC4302" w:rsidTr="00DB7106">
        <w:tc>
          <w:tcPr>
            <w:tcW w:w="9975" w:type="dxa"/>
            <w:gridSpan w:val="2"/>
            <w:shd w:val="clear" w:color="auto" w:fill="auto"/>
          </w:tcPr>
          <w:p w:rsidR="000219DE" w:rsidRDefault="000219DE" w:rsidP="00DB7106">
            <w:pPr>
              <w:autoSpaceDE w:val="0"/>
              <w:autoSpaceDN w:val="0"/>
              <w:adjustRightInd w:val="0"/>
              <w:jc w:val="both"/>
              <w:rPr>
                <w:rFonts w:ascii="Calibri" w:hAnsi="Calibri" w:cs="Arial"/>
                <w:color w:val="FF0000"/>
                <w:lang w:val="ro-RO"/>
              </w:rPr>
            </w:pPr>
          </w:p>
          <w:p w:rsidR="000219DE" w:rsidRPr="003E3428" w:rsidRDefault="000219DE" w:rsidP="000219DE">
            <w:pPr>
              <w:numPr>
                <w:ilvl w:val="0"/>
                <w:numId w:val="29"/>
              </w:numPr>
              <w:tabs>
                <w:tab w:val="left" w:pos="993"/>
              </w:tabs>
              <w:jc w:val="both"/>
              <w:rPr>
                <w:rFonts w:ascii="Calibri" w:hAnsi="Calibri" w:cs="Arial"/>
                <w:b/>
                <w:lang w:val="ro-RO"/>
              </w:rPr>
            </w:pPr>
            <w:r w:rsidRPr="003E3428">
              <w:rPr>
                <w:rFonts w:ascii="Calibri" w:hAnsi="Calibri" w:cs="Arial"/>
                <w:b/>
                <w:lang w:val="ro-RO"/>
              </w:rPr>
              <w:t>MISIUNE</w:t>
            </w:r>
          </w:p>
          <w:p w:rsidR="000219DE" w:rsidRPr="003E3428" w:rsidRDefault="000219DE" w:rsidP="00DB7106">
            <w:pPr>
              <w:autoSpaceDE w:val="0"/>
              <w:autoSpaceDN w:val="0"/>
              <w:adjustRightInd w:val="0"/>
              <w:jc w:val="both"/>
              <w:rPr>
                <w:rFonts w:ascii="Calibri" w:hAnsi="Calibri" w:cs="Arial"/>
                <w:color w:val="FF0000"/>
                <w:lang w:val="ro-RO"/>
              </w:rPr>
            </w:pPr>
          </w:p>
          <w:p w:rsidR="000219DE" w:rsidRPr="009C5DFE" w:rsidRDefault="000219DE" w:rsidP="00DB7106">
            <w:pPr>
              <w:autoSpaceDE w:val="0"/>
              <w:autoSpaceDN w:val="0"/>
              <w:adjustRightInd w:val="0"/>
              <w:jc w:val="both"/>
              <w:rPr>
                <w:rFonts w:ascii="Calibri" w:hAnsi="Calibri" w:cs="Arial"/>
                <w:lang w:val="ro-RO"/>
              </w:rPr>
            </w:pPr>
            <w:r w:rsidRPr="009C5DFE">
              <w:rPr>
                <w:rFonts w:ascii="Calibri" w:hAnsi="Calibri" w:cs="Arial"/>
                <w:lang w:val="ro-RO"/>
              </w:rPr>
              <w:t xml:space="preserve">        Sistemul nostru de îngrijire a sănătăţii, cu instituţiile sale şi profesioniştii din sănătate, aşează pacientul în centrul preocupărilor sale. Conceptul social pe care se fundamentează sistemul de sănătate este bazat pe principiile de acces universal la asistenţă medicală de calitate şi, prin urmare, presupune aplicarea principiului solidarităţii în finanţare.</w:t>
            </w:r>
          </w:p>
          <w:p w:rsidR="000219DE" w:rsidRPr="009C5DFE" w:rsidRDefault="000219DE" w:rsidP="00DB7106">
            <w:pPr>
              <w:autoSpaceDE w:val="0"/>
              <w:autoSpaceDN w:val="0"/>
              <w:adjustRightInd w:val="0"/>
              <w:jc w:val="both"/>
              <w:rPr>
                <w:rFonts w:ascii="Calibri" w:hAnsi="Calibri" w:cs="Arial"/>
                <w:lang w:val="ro-RO"/>
              </w:rPr>
            </w:pPr>
            <w:r w:rsidRPr="009C5DFE">
              <w:rPr>
                <w:rFonts w:ascii="Calibri" w:hAnsi="Calibri" w:cs="Arial"/>
                <w:lang w:val="ro-RO"/>
              </w:rPr>
              <w:t xml:space="preserve">       Trebuie redată cetăţenilor încrederea în sistemul de sănătate, prin accesul civilizat la serviciile medicale de care au nevoie, precum şi redarea demnităţii personalului medical.</w:t>
            </w:r>
          </w:p>
          <w:p w:rsidR="000219DE" w:rsidRPr="00B43E45" w:rsidRDefault="000219DE" w:rsidP="00DB7106">
            <w:pPr>
              <w:autoSpaceDE w:val="0"/>
              <w:autoSpaceDN w:val="0"/>
              <w:adjustRightInd w:val="0"/>
              <w:jc w:val="both"/>
              <w:rPr>
                <w:rFonts w:ascii="Calibri" w:hAnsi="Calibri" w:cs="Arial"/>
                <w:lang w:val="ro-RO"/>
              </w:rPr>
            </w:pPr>
          </w:p>
        </w:tc>
      </w:tr>
      <w:tr w:rsidR="000219DE" w:rsidRPr="00AC4302" w:rsidTr="00DB7106">
        <w:tc>
          <w:tcPr>
            <w:tcW w:w="9975" w:type="dxa"/>
            <w:gridSpan w:val="2"/>
            <w:shd w:val="clear" w:color="auto" w:fill="auto"/>
          </w:tcPr>
          <w:p w:rsidR="000219DE" w:rsidRPr="005A6572" w:rsidRDefault="000219DE" w:rsidP="00DB7106">
            <w:pPr>
              <w:autoSpaceDE w:val="0"/>
              <w:autoSpaceDN w:val="0"/>
              <w:adjustRightInd w:val="0"/>
              <w:jc w:val="both"/>
              <w:rPr>
                <w:rFonts w:ascii="Calibri" w:hAnsi="Calibri"/>
                <w:lang w:val="ro-RO" w:eastAsia="en-GB"/>
              </w:rPr>
            </w:pPr>
          </w:p>
          <w:p w:rsidR="000219DE" w:rsidRPr="005A6572" w:rsidRDefault="000219DE" w:rsidP="00DB7106">
            <w:pPr>
              <w:ind w:left="1710"/>
              <w:jc w:val="both"/>
              <w:rPr>
                <w:rFonts w:ascii="Calibri" w:hAnsi="Calibri" w:cs="Arial"/>
                <w:lang w:val="ro-RO"/>
              </w:rPr>
            </w:pPr>
            <w:r>
              <w:rPr>
                <w:rFonts w:ascii="Calibri" w:hAnsi="Calibri" w:cs="Arial"/>
                <w:b/>
                <w:lang w:val="ro-RO"/>
              </w:rPr>
              <w:t xml:space="preserve"> I</w:t>
            </w:r>
            <w:r w:rsidRPr="005A6572">
              <w:rPr>
                <w:rFonts w:ascii="Calibri" w:hAnsi="Calibri" w:cs="Arial"/>
                <w:b/>
                <w:lang w:val="ro-RO"/>
              </w:rPr>
              <w:t>I. PRIORITĂȚI STRATEGICE PE TERMEN MEDIU</w:t>
            </w:r>
          </w:p>
          <w:p w:rsidR="000219DE" w:rsidRPr="005A6572" w:rsidRDefault="000219DE" w:rsidP="00DB7106">
            <w:pPr>
              <w:autoSpaceDE w:val="0"/>
              <w:autoSpaceDN w:val="0"/>
              <w:adjustRightInd w:val="0"/>
              <w:ind w:firstLine="708"/>
              <w:jc w:val="both"/>
              <w:rPr>
                <w:rFonts w:ascii="Calibri" w:hAnsi="Calibri" w:cs="Arial"/>
                <w:lang w:val="ro-RO" w:eastAsia="en-GB"/>
              </w:rPr>
            </w:pPr>
          </w:p>
          <w:p w:rsidR="000219DE" w:rsidRPr="005A6572" w:rsidRDefault="000219DE" w:rsidP="00DB7106">
            <w:pPr>
              <w:autoSpaceDE w:val="0"/>
              <w:autoSpaceDN w:val="0"/>
              <w:adjustRightInd w:val="0"/>
              <w:ind w:firstLine="708"/>
              <w:jc w:val="both"/>
              <w:rPr>
                <w:rFonts w:ascii="Calibri" w:hAnsi="Calibri"/>
                <w:b/>
                <w:color w:val="5B9BD5" w:themeColor="accent1"/>
                <w:lang w:val="ro-RO" w:eastAsia="en-GB"/>
              </w:rPr>
            </w:pPr>
            <w:r w:rsidRPr="005A6572">
              <w:rPr>
                <w:rFonts w:ascii="Calibri" w:hAnsi="Calibri"/>
                <w:b/>
                <w:color w:val="5B9BD5" w:themeColor="accent1"/>
                <w:lang w:val="ro-RO" w:eastAsia="en-GB"/>
              </w:rPr>
              <w:t>Obiectiv general</w:t>
            </w:r>
          </w:p>
          <w:p w:rsidR="000219DE" w:rsidRPr="005A6572" w:rsidRDefault="000219DE" w:rsidP="00DB7106">
            <w:pPr>
              <w:autoSpaceDE w:val="0"/>
              <w:autoSpaceDN w:val="0"/>
              <w:adjustRightInd w:val="0"/>
              <w:ind w:firstLine="708"/>
              <w:jc w:val="both"/>
              <w:rPr>
                <w:rFonts w:ascii="Calibri" w:hAnsi="Calibri" w:cs="Arial"/>
                <w:lang w:val="ro-RO" w:eastAsia="en-GB"/>
              </w:rPr>
            </w:pPr>
            <w:r w:rsidRPr="005A6572">
              <w:rPr>
                <w:rFonts w:ascii="Calibri" w:hAnsi="Calibri" w:cs="Arial"/>
                <w:lang w:val="ro-RO" w:eastAsia="en-GB"/>
              </w:rPr>
              <w:t>Un sistem de sănătate care sprijină şi oferă posibilitatea cetăţenilor să atingă o stare cât mai bună de sănătate şi care contribuie la creşterea calităţii vieţii acestora.</w:t>
            </w:r>
          </w:p>
          <w:p w:rsidR="000219DE" w:rsidRPr="005A6572" w:rsidRDefault="000219DE" w:rsidP="00DB7106">
            <w:pPr>
              <w:autoSpaceDE w:val="0"/>
              <w:autoSpaceDN w:val="0"/>
              <w:adjustRightInd w:val="0"/>
              <w:jc w:val="both"/>
              <w:rPr>
                <w:rFonts w:ascii="Calibri" w:hAnsi="Calibri" w:cs="Arial"/>
                <w:b/>
                <w:lang w:val="ro-RO" w:eastAsia="en-GB"/>
              </w:rPr>
            </w:pPr>
          </w:p>
          <w:p w:rsidR="000219DE" w:rsidRPr="00086F06" w:rsidRDefault="000219DE" w:rsidP="00DB7106">
            <w:pPr>
              <w:autoSpaceDE w:val="0"/>
              <w:autoSpaceDN w:val="0"/>
              <w:adjustRightInd w:val="0"/>
              <w:ind w:firstLine="741"/>
              <w:jc w:val="both"/>
              <w:rPr>
                <w:rFonts w:ascii="Calibri" w:hAnsi="Calibri"/>
                <w:b/>
                <w:color w:val="5B9BD5" w:themeColor="accent1"/>
                <w:lang w:val="ro-RO" w:eastAsia="en-GB"/>
              </w:rPr>
            </w:pPr>
            <w:r w:rsidRPr="00086F06">
              <w:rPr>
                <w:rFonts w:ascii="Calibri" w:hAnsi="Calibri"/>
                <w:b/>
                <w:color w:val="5B9BD5" w:themeColor="accent1"/>
                <w:lang w:val="ro-RO" w:eastAsia="en-GB"/>
              </w:rPr>
              <w:t>Obiective specifice:</w:t>
            </w:r>
          </w:p>
          <w:p w:rsidR="000219DE" w:rsidRPr="00FC4945" w:rsidRDefault="000219DE" w:rsidP="00DB7106">
            <w:pPr>
              <w:autoSpaceDE w:val="0"/>
              <w:autoSpaceDN w:val="0"/>
              <w:adjustRightInd w:val="0"/>
              <w:ind w:firstLine="708"/>
              <w:jc w:val="both"/>
              <w:rPr>
                <w:rFonts w:ascii="Calibri" w:hAnsi="Calibri"/>
                <w:lang w:val="ro-RO" w:eastAsia="en-GB"/>
              </w:rPr>
            </w:pPr>
            <w:r w:rsidRPr="00FC4945">
              <w:rPr>
                <w:rFonts w:ascii="Calibri" w:hAnsi="Calibri"/>
                <w:lang w:val="ro-RO" w:eastAsia="en-GB"/>
              </w:rPr>
              <w:t>Unul dintre obiectivele fundamentale pe care şi le asumă şi promovează Guvernul României este continuarea reformei sectorului de sănătate prin implementarea Strategiei Naţionale de Sănătate 2014-2020. Acesta presupune o serie de reforme în sistemul public de asistenţă medicală, esenţiale pentru îmbunătățirea stării de sănătate a popula</w:t>
            </w:r>
            <w:r w:rsidRPr="00FC4945">
              <w:rPr>
                <w:rFonts w:ascii="Calibri" w:hAnsi="Calibri" w:cs="Arial"/>
                <w:lang w:val="ro-RO" w:eastAsia="en-GB"/>
              </w:rPr>
              <w:t>ț</w:t>
            </w:r>
            <w:r>
              <w:rPr>
                <w:rFonts w:ascii="Calibri" w:hAnsi="Calibri"/>
                <w:lang w:val="ro-RO" w:eastAsia="en-GB"/>
              </w:rPr>
              <w:t>iei, creşterea</w:t>
            </w:r>
            <w:r w:rsidRPr="00FC4945">
              <w:rPr>
                <w:rFonts w:ascii="Calibri" w:hAnsi="Calibri"/>
                <w:lang w:val="ro-RO" w:eastAsia="en-GB"/>
              </w:rPr>
              <w:t xml:space="preserve"> calităţii şi eficienţei serviciilor de sănătate şi îmbunătăţirea accesului populaţiei la îngrijirile de sănătate. Politicile se vor reflecta în cre</w:t>
            </w:r>
            <w:r w:rsidRPr="00FC4945">
              <w:rPr>
                <w:rFonts w:ascii="Calibri" w:hAnsi="Calibri" w:cs="Arial"/>
                <w:lang w:val="ro-RO" w:eastAsia="en-GB"/>
              </w:rPr>
              <w:t>ș</w:t>
            </w:r>
            <w:r w:rsidRPr="00FC4945">
              <w:rPr>
                <w:rFonts w:ascii="Calibri" w:hAnsi="Calibri"/>
                <w:lang w:val="ro-RO" w:eastAsia="en-GB"/>
              </w:rPr>
              <w:t>terea speran</w:t>
            </w:r>
            <w:r w:rsidRPr="00FC4945">
              <w:rPr>
                <w:rFonts w:ascii="Calibri" w:hAnsi="Calibri" w:cs="Arial"/>
                <w:lang w:val="ro-RO" w:eastAsia="en-GB"/>
              </w:rPr>
              <w:t>ț</w:t>
            </w:r>
            <w:r w:rsidRPr="00FC4945">
              <w:rPr>
                <w:rFonts w:ascii="Calibri" w:hAnsi="Calibri"/>
                <w:lang w:val="ro-RO" w:eastAsia="en-GB"/>
              </w:rPr>
              <w:t>ei de via</w:t>
            </w:r>
            <w:r w:rsidRPr="00FC4945">
              <w:rPr>
                <w:rFonts w:ascii="Calibri" w:hAnsi="Calibri" w:cs="Arial"/>
                <w:lang w:val="ro-RO" w:eastAsia="en-GB"/>
              </w:rPr>
              <w:t>ț</w:t>
            </w:r>
            <w:r w:rsidRPr="00FC4945">
              <w:rPr>
                <w:rFonts w:ascii="Calibri" w:hAnsi="Calibri"/>
                <w:lang w:val="ro-RO" w:eastAsia="en-GB"/>
              </w:rPr>
              <w:t>ă, reducerea poverii îmbolnăvirilor, dizabilită</w:t>
            </w:r>
            <w:r w:rsidRPr="00FC4945">
              <w:rPr>
                <w:rFonts w:ascii="Calibri" w:hAnsi="Calibri" w:cs="Arial"/>
                <w:lang w:val="ro-RO" w:eastAsia="en-GB"/>
              </w:rPr>
              <w:t>ț</w:t>
            </w:r>
            <w:r w:rsidRPr="00FC4945">
              <w:rPr>
                <w:rFonts w:ascii="Calibri" w:hAnsi="Calibri"/>
                <w:lang w:val="ro-RO" w:eastAsia="en-GB"/>
              </w:rPr>
              <w:t xml:space="preserve">ii </w:t>
            </w:r>
            <w:r w:rsidRPr="00FC4945">
              <w:rPr>
                <w:rFonts w:ascii="Calibri" w:hAnsi="Calibri" w:cs="Arial"/>
                <w:lang w:val="ro-RO" w:eastAsia="en-GB"/>
              </w:rPr>
              <w:t>ș</w:t>
            </w:r>
            <w:r w:rsidRPr="00FC4945">
              <w:rPr>
                <w:rFonts w:ascii="Calibri" w:hAnsi="Calibri"/>
                <w:lang w:val="ro-RO" w:eastAsia="en-GB"/>
              </w:rPr>
              <w:t xml:space="preserve">i a deceselor premature </w:t>
            </w:r>
            <w:r w:rsidRPr="00FC4945">
              <w:rPr>
                <w:rFonts w:ascii="Calibri" w:hAnsi="Calibri" w:cs="Arial"/>
                <w:lang w:val="ro-RO" w:eastAsia="en-GB"/>
              </w:rPr>
              <w:t>ș</w:t>
            </w:r>
            <w:r w:rsidRPr="00FC4945">
              <w:rPr>
                <w:rFonts w:ascii="Calibri" w:hAnsi="Calibri"/>
                <w:lang w:val="ro-RO" w:eastAsia="en-GB"/>
              </w:rPr>
              <w:t>i, implicit, în cre</w:t>
            </w:r>
            <w:r w:rsidRPr="00FC4945">
              <w:rPr>
                <w:rFonts w:ascii="Calibri" w:hAnsi="Calibri" w:cs="Arial"/>
                <w:lang w:val="ro-RO" w:eastAsia="en-GB"/>
              </w:rPr>
              <w:t>ș</w:t>
            </w:r>
            <w:r w:rsidRPr="00FC4945">
              <w:rPr>
                <w:rFonts w:ascii="Calibri" w:hAnsi="Calibri"/>
                <w:lang w:val="ro-RO" w:eastAsia="en-GB"/>
              </w:rPr>
              <w:t>terea calită</w:t>
            </w:r>
            <w:r w:rsidRPr="00FC4945">
              <w:rPr>
                <w:rFonts w:ascii="Calibri" w:hAnsi="Calibri" w:cs="Arial"/>
                <w:lang w:val="ro-RO" w:eastAsia="en-GB"/>
              </w:rPr>
              <w:t>ț</w:t>
            </w:r>
            <w:r w:rsidRPr="00FC4945">
              <w:rPr>
                <w:rFonts w:ascii="Calibri" w:hAnsi="Calibri"/>
                <w:lang w:val="ro-RO" w:eastAsia="en-GB"/>
              </w:rPr>
              <w:t>ii vie</w:t>
            </w:r>
            <w:r w:rsidRPr="00FC4945">
              <w:rPr>
                <w:rFonts w:ascii="Calibri" w:hAnsi="Calibri" w:cs="Arial"/>
                <w:lang w:val="ro-RO" w:eastAsia="en-GB"/>
              </w:rPr>
              <w:t>ț</w:t>
            </w:r>
            <w:r w:rsidRPr="00FC4945">
              <w:rPr>
                <w:rFonts w:ascii="Calibri" w:hAnsi="Calibri"/>
                <w:lang w:val="ro-RO" w:eastAsia="en-GB"/>
              </w:rPr>
              <w:t>ii.</w:t>
            </w:r>
          </w:p>
          <w:p w:rsidR="000219DE" w:rsidRPr="005A6572" w:rsidRDefault="000219DE" w:rsidP="00DB7106">
            <w:pPr>
              <w:autoSpaceDE w:val="0"/>
              <w:autoSpaceDN w:val="0"/>
              <w:adjustRightInd w:val="0"/>
              <w:ind w:firstLine="708"/>
              <w:jc w:val="both"/>
              <w:rPr>
                <w:rFonts w:ascii="Calibri" w:hAnsi="Calibri"/>
                <w:lang w:val="ro-RO" w:eastAsia="en-GB"/>
              </w:rPr>
            </w:pPr>
            <w:r w:rsidRPr="00FC4945">
              <w:rPr>
                <w:rFonts w:ascii="Calibri" w:hAnsi="Calibri"/>
                <w:lang w:val="ro-RO" w:eastAsia="en-GB"/>
              </w:rPr>
              <w:tab/>
              <w:t>Stabilirea priorită</w:t>
            </w:r>
            <w:r w:rsidRPr="00FC4945">
              <w:rPr>
                <w:rFonts w:ascii="Calibri" w:hAnsi="Calibri" w:cs="Arial"/>
                <w:lang w:val="ro-RO" w:eastAsia="en-GB"/>
              </w:rPr>
              <w:t>ț</w:t>
            </w:r>
            <w:r w:rsidRPr="00FC4945">
              <w:rPr>
                <w:rFonts w:ascii="Calibri" w:hAnsi="Calibri"/>
                <w:lang w:val="ro-RO" w:eastAsia="en-GB"/>
              </w:rPr>
              <w:t>ilor are considerente strategice şi este influen</w:t>
            </w:r>
            <w:r w:rsidRPr="00FC4945">
              <w:rPr>
                <w:rFonts w:ascii="Calibri" w:hAnsi="Calibri" w:cs="Arial"/>
                <w:lang w:val="ro-RO" w:eastAsia="en-GB"/>
              </w:rPr>
              <w:t>ț</w:t>
            </w:r>
            <w:r w:rsidRPr="00FC4945">
              <w:rPr>
                <w:rFonts w:ascii="Calibri" w:hAnsi="Calibri"/>
                <w:lang w:val="ro-RO" w:eastAsia="en-GB"/>
              </w:rPr>
              <w:t>ată în principal de decalajele în ceea ce prive</w:t>
            </w:r>
            <w:r w:rsidRPr="00FC4945">
              <w:rPr>
                <w:rFonts w:ascii="Calibri" w:hAnsi="Calibri" w:cs="Arial"/>
                <w:lang w:val="ro-RO" w:eastAsia="en-GB"/>
              </w:rPr>
              <w:t>ș</w:t>
            </w:r>
            <w:r w:rsidRPr="00FC4945">
              <w:rPr>
                <w:rFonts w:ascii="Calibri" w:hAnsi="Calibri"/>
                <w:lang w:val="ro-RO" w:eastAsia="en-GB"/>
              </w:rPr>
              <w:t xml:space="preserve">te indicatorii de sănătate </w:t>
            </w:r>
            <w:r w:rsidRPr="00FC4945">
              <w:rPr>
                <w:rFonts w:ascii="Calibri" w:hAnsi="Calibri" w:cs="Arial"/>
                <w:lang w:val="ro-RO" w:eastAsia="en-GB"/>
              </w:rPr>
              <w:t>ș</w:t>
            </w:r>
            <w:r w:rsidRPr="00FC4945">
              <w:rPr>
                <w:rFonts w:ascii="Calibri" w:hAnsi="Calibri"/>
                <w:lang w:val="ro-RO" w:eastAsia="en-GB"/>
              </w:rPr>
              <w:t>i inechitatea din domeniul sănătă</w:t>
            </w:r>
            <w:r w:rsidRPr="00FC4945">
              <w:rPr>
                <w:rFonts w:ascii="Calibri" w:hAnsi="Calibri" w:cs="Arial"/>
                <w:lang w:val="ro-RO" w:eastAsia="en-GB"/>
              </w:rPr>
              <w:t>ț</w:t>
            </w:r>
            <w:r w:rsidRPr="00FC4945">
              <w:rPr>
                <w:rFonts w:ascii="Calibri" w:hAnsi="Calibri"/>
                <w:lang w:val="ro-RO" w:eastAsia="en-GB"/>
              </w:rPr>
              <w:t xml:space="preserve">ii: mortalitatea maternă </w:t>
            </w:r>
            <w:r w:rsidRPr="00FC4945">
              <w:rPr>
                <w:rFonts w:ascii="Calibri" w:hAnsi="Calibri" w:cs="Arial"/>
                <w:lang w:val="ro-RO" w:eastAsia="en-GB"/>
              </w:rPr>
              <w:t>ș</w:t>
            </w:r>
            <w:r w:rsidRPr="00FC4945">
              <w:rPr>
                <w:rFonts w:ascii="Calibri" w:hAnsi="Calibri"/>
                <w:lang w:val="ro-RO" w:eastAsia="en-GB"/>
              </w:rPr>
              <w:t xml:space="preserve">i infantilă, bolile transmisibile principale (de exemplu TB, HIV/SIDA), precum </w:t>
            </w:r>
            <w:r w:rsidRPr="00FC4945">
              <w:rPr>
                <w:rFonts w:ascii="Calibri" w:hAnsi="Calibri" w:cs="Arial"/>
                <w:lang w:val="ro-RO" w:eastAsia="en-GB"/>
              </w:rPr>
              <w:t>ș</w:t>
            </w:r>
            <w:r w:rsidRPr="00FC4945">
              <w:rPr>
                <w:rFonts w:ascii="Calibri" w:hAnsi="Calibri"/>
                <w:lang w:val="ro-RO" w:eastAsia="en-GB"/>
              </w:rPr>
              <w:t xml:space="preserve">i principalele cinci patologii cronice care pot fi diagnosticate şi tratate de timpuriu (cancerul, bolile cardiovasculare, diabetul, tulburările mintale, bolile rare), cunoscute ca având un impact mai puternic asupra persoanelor celor mai sărace </w:t>
            </w:r>
            <w:r w:rsidRPr="00FC4945">
              <w:rPr>
                <w:rFonts w:ascii="Calibri" w:hAnsi="Calibri" w:cs="Arial"/>
                <w:lang w:val="ro-RO" w:eastAsia="en-GB"/>
              </w:rPr>
              <w:t>ș</w:t>
            </w:r>
            <w:r w:rsidRPr="00FC4945">
              <w:rPr>
                <w:rFonts w:ascii="Calibri" w:hAnsi="Calibri"/>
                <w:lang w:val="ro-RO" w:eastAsia="en-GB"/>
              </w:rPr>
              <w:t>i vulnerabile.</w:t>
            </w:r>
            <w:r w:rsidRPr="005A6572">
              <w:rPr>
                <w:rFonts w:ascii="Calibri" w:hAnsi="Calibri"/>
                <w:lang w:val="ro-RO" w:eastAsia="en-GB"/>
              </w:rPr>
              <w:t xml:space="preserve">Accesul mai bun la serviciile de sănătate, îndeosebi pentru segmentele cele mai vulnerabile ale populației, împreună cu reducerea costurilor administrative, inclusiv prin măsuri de reabilitare şi modernizare a infrastructurii de sănătate, și alături de capacitatea administrativă îmbunătățită reprezintă obiective strategice care vizează maximizarea potențialului sectorului sanitar de a contribui într-un mod durabil din punct de vedere financiar la promovarea coeziunii sociale prin sănătate și servicii de sănătate. </w:t>
            </w:r>
          </w:p>
          <w:p w:rsidR="000219DE" w:rsidRPr="00FC4945" w:rsidRDefault="000219DE" w:rsidP="00DB7106">
            <w:pPr>
              <w:autoSpaceDE w:val="0"/>
              <w:autoSpaceDN w:val="0"/>
              <w:adjustRightInd w:val="0"/>
              <w:jc w:val="both"/>
              <w:rPr>
                <w:rFonts w:ascii="Calibri" w:hAnsi="Calibri"/>
                <w:lang w:val="ro-RO" w:eastAsia="en-GB"/>
              </w:rPr>
            </w:pPr>
            <w:r w:rsidRPr="00FC4945">
              <w:rPr>
                <w:rFonts w:ascii="Calibri" w:hAnsi="Calibri"/>
                <w:lang w:val="ro-RO" w:eastAsia="en-GB"/>
              </w:rPr>
              <w:tab/>
              <w:t>România şi-a stabilit pe termen scurt, mediu şi lung ariile strategice de dezvoltare pentru sectorul de sănătate astfel:</w:t>
            </w:r>
          </w:p>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rFonts w:ascii="Calibri" w:hAnsi="Calibri"/>
                <w:color w:val="0000FF"/>
                <w:lang w:val="fr-FR"/>
              </w:rPr>
            </w:pPr>
          </w:p>
        </w:tc>
      </w:tr>
      <w:tr w:rsidR="000219DE" w:rsidRPr="00FC4945" w:rsidTr="00DB7106">
        <w:trPr>
          <w:trHeight w:val="170"/>
        </w:trPr>
        <w:tc>
          <w:tcPr>
            <w:tcW w:w="9975" w:type="dxa"/>
            <w:gridSpan w:val="2"/>
            <w:shd w:val="clear" w:color="auto" w:fill="auto"/>
            <w:vAlign w:val="center"/>
          </w:tcPr>
          <w:p w:rsidR="000219DE"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rPr>
            </w:pPr>
            <w:r>
              <w:rPr>
                <w:rFonts w:ascii="Calibri" w:hAnsi="Calibri"/>
                <w:b/>
                <w:bCs/>
              </w:rPr>
              <w:t>A</w:t>
            </w:r>
            <w:r w:rsidRPr="00FC4945">
              <w:rPr>
                <w:rFonts w:ascii="Calibri" w:hAnsi="Calibri"/>
                <w:b/>
                <w:bCs/>
              </w:rPr>
              <w:t>. SĂNĂTATE PUBLICĂ</w:t>
            </w:r>
          </w:p>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i/>
              </w:rPr>
            </w:pPr>
          </w:p>
        </w:tc>
      </w:tr>
      <w:tr w:rsidR="000219DE" w:rsidRPr="00AC4302" w:rsidTr="00DB7106">
        <w:trPr>
          <w:trHeight w:val="170"/>
        </w:trPr>
        <w:tc>
          <w:tcPr>
            <w:tcW w:w="2324" w:type="dxa"/>
            <w:vMerge w:val="restart"/>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Pr="00FC4945"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r w:rsidRPr="00FC4945">
              <w:rPr>
                <w:rFonts w:ascii="Calibri" w:hAnsi="Calibri"/>
                <w:color w:val="000080"/>
              </w:rPr>
              <w:t>Măsurile aferente acestora vizează:</w:t>
            </w:r>
          </w:p>
          <w:p w:rsidR="000219DE" w:rsidRPr="00FC4945" w:rsidRDefault="000219DE" w:rsidP="00DB7106">
            <w:pPr>
              <w:rPr>
                <w:rFonts w:ascii="Calibri" w:hAnsi="Calibri" w:cs="Arial"/>
                <w:color w:val="0000FF"/>
                <w:lang w:val="ro-RO"/>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9C5DFE">
              <w:rPr>
                <w:rFonts w:ascii="Calibri" w:hAnsi="Calibri" w:cs="Arial"/>
                <w:color w:val="auto"/>
                <w:lang w:val="ro-RO"/>
              </w:rPr>
              <w:sym w:font="Symbol" w:char="F0B7"/>
            </w:r>
            <w:r w:rsidRPr="009C5DFE">
              <w:rPr>
                <w:rFonts w:ascii="Calibri" w:hAnsi="Calibri" w:cs="Arial"/>
                <w:color w:val="auto"/>
                <w:lang w:val="ro-RO"/>
              </w:rPr>
              <w:t xml:space="preserve">  Îmbunătăţirea stării de sănătate și nutriție a femei şi copilului</w:t>
            </w:r>
            <w:r>
              <w:rPr>
                <w:rFonts w:ascii="Calibri" w:hAnsi="Calibri" w:cs="Arial"/>
                <w:color w:val="auto"/>
                <w:lang w:val="ro-RO"/>
              </w:rPr>
              <w:t>,</w:t>
            </w:r>
            <w:r w:rsidRPr="009C5DFE">
              <w:rPr>
                <w:rFonts w:ascii="Calibri" w:hAnsi="Calibri" w:cs="Arial"/>
                <w:color w:val="auto"/>
                <w:lang w:val="ro-RO"/>
              </w:rPr>
              <w:t xml:space="preserve"> inclusiv pentru grupuri dezavantajate și vulnerabile – intervenții pentru prevenirea malnutriției, obezității, a deceselor neonatale prin creșterea accesului la îngrijiri adecvate; servicii de planificare familială;</w:t>
            </w:r>
          </w:p>
        </w:tc>
      </w:tr>
      <w:tr w:rsidR="000219DE" w:rsidRPr="00AC4302" w:rsidTr="00DB7106">
        <w:trPr>
          <w:trHeight w:val="170"/>
        </w:trPr>
        <w:tc>
          <w:tcPr>
            <w:tcW w:w="2324" w:type="dxa"/>
            <w:vMerge/>
            <w:shd w:val="clear" w:color="auto" w:fill="auto"/>
            <w:vAlign w:val="center"/>
          </w:tcPr>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lang w:val="ro-RO"/>
              </w:rPr>
            </w:pPr>
          </w:p>
        </w:tc>
        <w:tc>
          <w:tcPr>
            <w:tcW w:w="7651" w:type="dxa"/>
            <w:shd w:val="clear" w:color="auto" w:fill="auto"/>
            <w:vAlign w:val="center"/>
          </w:tcPr>
          <w:p w:rsidR="000219DE" w:rsidRPr="007E28B3" w:rsidRDefault="000219DE" w:rsidP="000219DE">
            <w:pPr>
              <w:numPr>
                <w:ilvl w:val="0"/>
                <w:numId w:val="28"/>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lang w:val="ro-RO"/>
              </w:rPr>
            </w:pPr>
            <w:r w:rsidRPr="007E28B3">
              <w:rPr>
                <w:rFonts w:ascii="Calibri" w:hAnsi="Calibri" w:cs="Arial"/>
                <w:lang w:val="ro-RO"/>
              </w:rPr>
              <w:t xml:space="preserve">Elaborarea, finanțarea, implementarea programelor profilactice pentru copii pentru toate ariile terapeutice, prin introducerea consultațiilor obligatorii pentru copii de vârsta 5—9 ani prin rețeaua de medicină școlară </w:t>
            </w:r>
            <w:r>
              <w:rPr>
                <w:rFonts w:ascii="Calibri" w:hAnsi="Calibri" w:cs="Arial"/>
                <w:lang w:val="ro-RO"/>
              </w:rPr>
              <w:t>sau prin cabinetele de medicină;</w:t>
            </w:r>
          </w:p>
        </w:tc>
      </w:tr>
      <w:tr w:rsidR="000219DE" w:rsidRPr="00AC4302" w:rsidTr="00DB7106">
        <w:trPr>
          <w:trHeight w:val="170"/>
        </w:trPr>
        <w:tc>
          <w:tcPr>
            <w:tcW w:w="2324" w:type="dxa"/>
            <w:vMerge/>
            <w:shd w:val="clear" w:color="auto" w:fill="auto"/>
            <w:vAlign w:val="center"/>
          </w:tcPr>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lang w:val="ro-RO"/>
              </w:rPr>
            </w:pPr>
          </w:p>
        </w:tc>
        <w:tc>
          <w:tcPr>
            <w:tcW w:w="7651" w:type="dxa"/>
            <w:shd w:val="clear" w:color="auto" w:fill="auto"/>
            <w:vAlign w:val="center"/>
          </w:tcPr>
          <w:p w:rsidR="000219DE" w:rsidRPr="007E28B3" w:rsidRDefault="000219DE" w:rsidP="000219DE">
            <w:pPr>
              <w:numPr>
                <w:ilvl w:val="0"/>
                <w:numId w:val="28"/>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lang w:val="ro-RO"/>
              </w:rPr>
            </w:pPr>
            <w:r w:rsidRPr="007E28B3">
              <w:rPr>
                <w:rFonts w:ascii="Calibri" w:hAnsi="Calibri" w:cs="Arial"/>
                <w:lang w:val="ro-RO"/>
              </w:rPr>
              <w:t>Creșterea capacității de screening neonatal pentru depistarea malformațiilor congenitale, risc genetic, erorilor înnăscute de metabolism, deficiențelor senzoriale și fibrozei chistice</w:t>
            </w:r>
            <w:r>
              <w:rPr>
                <w:rFonts w:ascii="Calibri" w:hAnsi="Calibri" w:cs="Arial"/>
                <w:lang w:val="ro-RO"/>
              </w:rPr>
              <w:t>;</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9C5DFE">
              <w:rPr>
                <w:rFonts w:ascii="Calibri" w:hAnsi="Calibri" w:cs="Arial"/>
                <w:color w:val="auto"/>
                <w:lang w:val="ro-RO"/>
              </w:rPr>
              <w:sym w:font="Symbol" w:char="F0B7"/>
            </w:r>
            <w:r w:rsidRPr="009C5DFE">
              <w:rPr>
                <w:rFonts w:ascii="Calibri" w:hAnsi="Calibri" w:cs="Arial"/>
                <w:color w:val="auto"/>
                <w:lang w:val="ro-RO"/>
              </w:rPr>
              <w:t xml:space="preserve">  Reducerea incidenței bolilor netransmisibile care constituie actualmente cauzele majore de morbiditate, dizabilitate și mortalitate - boli cardiovasculare și cerebrovasculare, cancere, bolile sistemului digestiv, aparatului respirator, diabet</w:t>
            </w:r>
            <w:r>
              <w:rPr>
                <w:rFonts w:ascii="Calibri" w:hAnsi="Calibri" w:cs="Arial"/>
                <w:color w:val="auto"/>
                <w:lang w:val="ro-RO"/>
              </w:rPr>
              <w:t>,</w:t>
            </w:r>
            <w:r w:rsidRPr="009C5DFE">
              <w:rPr>
                <w:rFonts w:ascii="Calibri" w:hAnsi="Calibri" w:cs="Arial"/>
                <w:color w:val="auto"/>
                <w:lang w:val="ro-RO"/>
              </w:rPr>
              <w:t xml:space="preserve"> prin măsuri precum: evaluarea riscurilor și supravegherea activă a populației prin servicii de prevenție, depistarea în faze incipiente de boală și intervenții de screening organizat, extinderea și diversificarea serviciilor care pot fi oferite la nivelul medicinei de familie și de specialitate, dezvoltarea/îmbunătățirea rețelei de screening pentru cancer, prin crearea de centre suplimentare de screening pent</w:t>
            </w:r>
            <w:r>
              <w:rPr>
                <w:rFonts w:ascii="Calibri" w:hAnsi="Calibri" w:cs="Arial"/>
                <w:color w:val="auto"/>
                <w:lang w:val="ro-RO"/>
              </w:rPr>
              <w:t>ru cancer, achiziționarea a opt</w:t>
            </w:r>
            <w:r w:rsidRPr="009C5DFE">
              <w:rPr>
                <w:rFonts w:ascii="Calibri" w:hAnsi="Calibri" w:cs="Arial"/>
                <w:color w:val="auto"/>
                <w:lang w:val="ro-RO"/>
              </w:rPr>
              <w:t xml:space="preserve"> unități mobile pentru screeningul cancerului și îmbunătățirea capacității tehnice a laboratoarelor regionale de patologie și citologie;</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9C5DFE">
              <w:rPr>
                <w:rFonts w:ascii="Calibri" w:hAnsi="Calibri" w:cs="Arial"/>
                <w:color w:val="auto"/>
                <w:lang w:val="ro-RO"/>
              </w:rPr>
              <w:sym w:font="Symbol" w:char="F0B7"/>
            </w:r>
            <w:r w:rsidRPr="009C5DFE">
              <w:rPr>
                <w:rFonts w:ascii="Calibri" w:hAnsi="Calibri" w:cs="Arial"/>
                <w:color w:val="auto"/>
                <w:lang w:val="ro-RO"/>
              </w:rPr>
              <w:t xml:space="preserve">  Reducerea mortalității și morbidității cauzate de bolile transmisibile, a impactului lor pentru individ și societate, iar pe termen lung diminuarea semnificativă a incidenței lor;</w:t>
            </w:r>
          </w:p>
        </w:tc>
      </w:tr>
      <w:tr w:rsidR="000219DE" w:rsidRPr="00FC4945"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7E28B3"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7E28B3">
              <w:rPr>
                <w:rFonts w:ascii="Calibri" w:hAnsi="Calibri" w:cs="Arial"/>
                <w:color w:val="auto"/>
                <w:lang w:val="ro-RO"/>
              </w:rPr>
              <w:sym w:font="Symbol" w:char="F0B7"/>
            </w:r>
            <w:r w:rsidRPr="007E28B3">
              <w:rPr>
                <w:rFonts w:ascii="Calibri" w:hAnsi="Calibri" w:cs="Arial"/>
                <w:lang w:val="ro-RO"/>
              </w:rPr>
              <w:t>Creșterea capacității de screening a bolilor infecțioase transmisibile (inclusiv cu transmitere sexuală): hepatită, HIV, tuberculoză</w:t>
            </w:r>
            <w:r>
              <w:rPr>
                <w:rFonts w:ascii="Calibri" w:hAnsi="Calibri" w:cs="Arial"/>
                <w:lang w:val="ro-RO"/>
              </w:rPr>
              <w:t>;</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FC4945" w:rsidRDefault="000219DE" w:rsidP="00DB7106">
            <w:pPr>
              <w:pStyle w:val="Default"/>
              <w:tabs>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lang w:val="ro-RO"/>
              </w:rPr>
            </w:pPr>
            <w:r w:rsidRPr="00FC4945">
              <w:rPr>
                <w:rFonts w:ascii="Calibri" w:hAnsi="Calibri"/>
                <w:lang w:val="ro-RO"/>
              </w:rPr>
              <w:sym w:font="Symbol" w:char="F0B7"/>
            </w:r>
            <w:r w:rsidRPr="00FC4945">
              <w:rPr>
                <w:rFonts w:ascii="Calibri" w:hAnsi="Calibri"/>
                <w:lang w:val="ro-RO"/>
              </w:rPr>
              <w:t xml:space="preserve"> Sănătatea în relaţie cu mediul</w:t>
            </w:r>
            <w:r>
              <w:rPr>
                <w:rFonts w:ascii="Calibri" w:hAnsi="Calibri"/>
                <w:lang w:val="ro-RO"/>
              </w:rPr>
              <w:t>;</w:t>
            </w:r>
          </w:p>
        </w:tc>
      </w:tr>
      <w:tr w:rsidR="000219DE" w:rsidRPr="00AC4302" w:rsidTr="00DB7106">
        <w:trPr>
          <w:trHeight w:val="167"/>
        </w:trPr>
        <w:tc>
          <w:tcPr>
            <w:tcW w:w="2324" w:type="dxa"/>
            <w:vMerge/>
            <w:shd w:val="clear" w:color="auto" w:fill="auto"/>
            <w:vAlign w:val="center"/>
          </w:tcPr>
          <w:p w:rsidR="000219DE" w:rsidRPr="009C5DFE" w:rsidRDefault="000219DE" w:rsidP="00DB7106">
            <w:pPr>
              <w:shd w:val="clear" w:color="auto" w:fill="FFFFFF"/>
              <w:jc w:val="center"/>
              <w:rPr>
                <w:rFonts w:ascii="Calibri" w:hAnsi="Calibri" w:cs="Arial"/>
                <w:bCs/>
                <w:i/>
                <w:lang w:val="ro-RO" w:eastAsia="en-GB"/>
              </w:rPr>
            </w:pPr>
          </w:p>
        </w:tc>
        <w:tc>
          <w:tcPr>
            <w:tcW w:w="7651" w:type="dxa"/>
            <w:shd w:val="clear" w:color="auto" w:fill="auto"/>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9C5DFE">
              <w:rPr>
                <w:rFonts w:ascii="Calibri" w:hAnsi="Calibri" w:cs="Arial"/>
                <w:color w:val="auto"/>
                <w:lang w:val="ro-RO"/>
              </w:rPr>
              <w:sym w:font="Symbol" w:char="F0B7"/>
            </w:r>
            <w:r w:rsidRPr="009C5DFE">
              <w:rPr>
                <w:rFonts w:ascii="Calibri" w:hAnsi="Calibri" w:cs="Arial"/>
                <w:color w:val="auto"/>
                <w:lang w:val="ro-RO"/>
              </w:rPr>
              <w:t xml:space="preserve">  Sănătatea mintală - îmbunătăţirea calităţii vieţii persoanelor cu tulburări psihice prin asigurarea accesului acestora la terapii medico-psihologice; depistarea consumului de substanţe psihoactive;</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9C5DFE">
              <w:rPr>
                <w:rFonts w:ascii="Calibri" w:hAnsi="Calibri" w:cs="Arial"/>
                <w:color w:val="auto"/>
                <w:lang w:val="ro-RO"/>
              </w:rPr>
              <w:sym w:font="Symbol" w:char="F0B7"/>
            </w:r>
            <w:r w:rsidRPr="009C5DFE">
              <w:rPr>
                <w:rFonts w:ascii="Calibri" w:hAnsi="Calibri" w:cs="Arial"/>
                <w:color w:val="auto"/>
                <w:lang w:val="ro-RO"/>
              </w:rPr>
              <w:t xml:space="preserve">  Bolile rare -  îmbunătățirea calității îngrijirii pacientului cu asemenea afecțiuni pe tot lanțul de îngrijiri și asigurarea</w:t>
            </w:r>
            <w:r>
              <w:rPr>
                <w:rFonts w:ascii="Calibri" w:hAnsi="Calibri" w:cs="Arial"/>
                <w:color w:val="auto"/>
                <w:lang w:val="ro-RO"/>
              </w:rPr>
              <w:t xml:space="preserve"> accesului la terapia specifică;</w:t>
            </w:r>
          </w:p>
        </w:tc>
      </w:tr>
      <w:tr w:rsidR="000219DE" w:rsidRPr="00FC4945"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7E28B3"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r w:rsidRPr="007E28B3">
              <w:rPr>
                <w:rFonts w:ascii="Calibri" w:hAnsi="Calibri" w:cs="Arial"/>
                <w:color w:val="auto"/>
                <w:lang w:val="ro-RO"/>
              </w:rPr>
              <w:sym w:font="Symbol" w:char="F0B7"/>
            </w:r>
            <w:r w:rsidRPr="007E28B3">
              <w:rPr>
                <w:rFonts w:ascii="Calibri" w:hAnsi="Calibri" w:cs="Arial"/>
                <w:lang w:val="ro-RO"/>
              </w:rPr>
              <w:t>Introducerea unor acțiuni noi, precum: depistarea bolilor cardiovasculare cu risc major pornind de la patologia hipertensivă.</w:t>
            </w:r>
          </w:p>
        </w:tc>
      </w:tr>
      <w:tr w:rsidR="000219DE" w:rsidRPr="00FC4945" w:rsidTr="00DB7106">
        <w:trPr>
          <w:trHeight w:val="80"/>
        </w:trPr>
        <w:tc>
          <w:tcPr>
            <w:tcW w:w="9975" w:type="dxa"/>
            <w:gridSpan w:val="2"/>
            <w:shd w:val="clear" w:color="auto" w:fill="auto"/>
            <w:vAlign w:val="center"/>
          </w:tcPr>
          <w:p w:rsidR="000219DE" w:rsidRDefault="000219DE" w:rsidP="00DB7106">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themeColor="text1"/>
                <w:szCs w:val="20"/>
                <w:lang w:val="ro-RO" w:eastAsia="ro-RO"/>
              </w:rPr>
            </w:pPr>
            <w:r w:rsidRPr="00CD6148">
              <w:rPr>
                <w:rFonts w:ascii="Calibri" w:eastAsia="ヒラギノ角ゴ Pro W3" w:hAnsi="Calibri" w:cs="Arial"/>
                <w:color w:val="000000" w:themeColor="text1"/>
                <w:szCs w:val="20"/>
                <w:lang w:val="ro-RO" w:eastAsia="ro-RO"/>
              </w:rPr>
              <w:t>Punerea în aplicare a măsurilor sus enumerate se r</w:t>
            </w:r>
            <w:r>
              <w:rPr>
                <w:rFonts w:ascii="Calibri" w:eastAsia="ヒラギノ角ゴ Pro W3" w:hAnsi="Calibri" w:cs="Arial"/>
                <w:color w:val="000000" w:themeColor="text1"/>
                <w:szCs w:val="20"/>
                <w:lang w:val="ro-RO" w:eastAsia="ro-RO"/>
              </w:rPr>
              <w:t>ealizează în cadrul</w:t>
            </w:r>
            <w:r w:rsidRPr="00CD6148">
              <w:rPr>
                <w:rFonts w:ascii="Calibri" w:eastAsia="ヒラギノ角ゴ Pro W3" w:hAnsi="Calibri" w:cs="Arial"/>
                <w:color w:val="000000" w:themeColor="text1"/>
                <w:szCs w:val="20"/>
                <w:lang w:val="ro-RO" w:eastAsia="ro-RO"/>
              </w:rPr>
              <w:t xml:space="preserve"> programe</w:t>
            </w:r>
            <w:r>
              <w:rPr>
                <w:rFonts w:ascii="Calibri" w:eastAsia="ヒラギノ角ゴ Pro W3" w:hAnsi="Calibri" w:cs="Arial"/>
                <w:color w:val="000000" w:themeColor="text1"/>
                <w:szCs w:val="20"/>
                <w:lang w:val="ro-RO" w:eastAsia="ro-RO"/>
              </w:rPr>
              <w:t>lor</w:t>
            </w:r>
            <w:r w:rsidRPr="00CD6148">
              <w:rPr>
                <w:rFonts w:ascii="Calibri" w:eastAsia="ヒラギノ角ゴ Pro W3" w:hAnsi="Calibri" w:cs="Arial"/>
                <w:color w:val="000000" w:themeColor="text1"/>
                <w:szCs w:val="20"/>
                <w:lang w:val="ro-RO" w:eastAsia="ro-RO"/>
              </w:rPr>
              <w:t xml:space="preserve"> naționale de sănătate publică finanţate din bugetul Ministerului Sănătăţii</w:t>
            </w:r>
            <w:r>
              <w:rPr>
                <w:rFonts w:ascii="Calibri" w:eastAsia="ヒラギノ角ゴ Pro W3" w:hAnsi="Calibri" w:cs="Arial"/>
                <w:color w:val="000000" w:themeColor="text1"/>
                <w:szCs w:val="20"/>
                <w:lang w:val="ro-RO" w:eastAsia="ro-RO"/>
              </w:rPr>
              <w:t xml:space="preserve"> și </w:t>
            </w:r>
            <w:r w:rsidRPr="00F81118">
              <w:rPr>
                <w:rFonts w:ascii="Calibri" w:eastAsia="ヒラギノ角ゴ Pro W3" w:hAnsi="Calibri" w:cs="Arial"/>
                <w:color w:val="000000" w:themeColor="text1"/>
                <w:szCs w:val="20"/>
                <w:lang w:val="ro-RO" w:eastAsia="ro-RO"/>
              </w:rPr>
              <w:t>Proiectul privind Reforma Sectorului Sanitar -  Îmbunătățirea Calității și Eficienței Sistemului Sanitar, finanțat prin Banca Internațională pentru Reconstrucție și Dezvoltare (BIRD 8362RO)</w:t>
            </w:r>
            <w:r>
              <w:rPr>
                <w:rFonts w:ascii="Calibri" w:eastAsia="ヒラギノ角ゴ Pro W3" w:hAnsi="Calibri" w:cs="Arial"/>
                <w:color w:val="000000" w:themeColor="text1"/>
                <w:szCs w:val="20"/>
                <w:lang w:val="ro-RO" w:eastAsia="ro-RO"/>
              </w:rPr>
              <w:t>.</w:t>
            </w:r>
          </w:p>
          <w:p w:rsidR="000219DE" w:rsidRPr="00F81118" w:rsidRDefault="000219DE" w:rsidP="00DB7106">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themeColor="text1"/>
                <w:szCs w:val="20"/>
                <w:lang w:val="ro-RO" w:eastAsia="ro-RO"/>
              </w:rPr>
            </w:pPr>
          </w:p>
        </w:tc>
      </w:tr>
      <w:tr w:rsidR="000219DE" w:rsidRPr="00FC4945" w:rsidTr="00DB7106">
        <w:trPr>
          <w:trHeight w:val="80"/>
        </w:trPr>
        <w:tc>
          <w:tcPr>
            <w:tcW w:w="9975" w:type="dxa"/>
            <w:gridSpan w:val="2"/>
            <w:shd w:val="clear" w:color="auto" w:fill="auto"/>
            <w:vAlign w:val="center"/>
          </w:tcPr>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i/>
              </w:rPr>
            </w:pPr>
            <w:r>
              <w:rPr>
                <w:rFonts w:ascii="Calibri" w:hAnsi="Calibri"/>
                <w:b/>
                <w:bCs/>
              </w:rPr>
              <w:t>B</w:t>
            </w:r>
            <w:r w:rsidRPr="00FC4945">
              <w:rPr>
                <w:rFonts w:ascii="Calibri" w:hAnsi="Calibri"/>
                <w:b/>
                <w:bCs/>
              </w:rPr>
              <w:t xml:space="preserve">. SERVICIILE DE SĂNĂTATE </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Creșterea gradului de interconectare a furnizorilor de servicii medicale în vederea facilitării schimbului de informații utile pacienților;</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Îmbunătățirea sistemului de raportare statistica în domeniul medical și dezvoltarea unui sistem de alertă epidemiologică precoce;</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 xml:space="preserve">Consolidarea reţelei de servicii de asistenţă medicală comunitară destinate grupurilor vulnerabile; </w:t>
            </w:r>
          </w:p>
        </w:tc>
      </w:tr>
      <w:tr w:rsidR="000219DE" w:rsidRPr="00AC4302" w:rsidTr="00DB7106">
        <w:trPr>
          <w:trHeight w:val="80"/>
        </w:trPr>
        <w:tc>
          <w:tcPr>
            <w:tcW w:w="2324" w:type="dxa"/>
            <w:vMerge w:val="restart"/>
            <w:shd w:val="clear" w:color="auto" w:fill="auto"/>
            <w:vAlign w:val="center"/>
          </w:tcPr>
          <w:p w:rsidR="000219DE" w:rsidRPr="00FC4945"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r>
              <w:rPr>
                <w:rFonts w:ascii="Calibri" w:hAnsi="Calibri"/>
                <w:color w:val="000080"/>
                <w:lang w:val="it-IT"/>
              </w:rPr>
              <w:t>Măsurile aferente ariei strategice servicii de sănătate își propun</w:t>
            </w:r>
            <w:r w:rsidRPr="00FC4945">
              <w:rPr>
                <w:rFonts w:ascii="Calibri" w:hAnsi="Calibri"/>
                <w:color w:val="000080"/>
                <w:lang w:val="it-IT"/>
              </w:rPr>
              <w:t>:</w:t>
            </w:r>
          </w:p>
          <w:p w:rsidR="000219DE" w:rsidRPr="00FC4945" w:rsidRDefault="000219DE" w:rsidP="00DB7106">
            <w:pPr>
              <w:jc w:val="center"/>
              <w:rPr>
                <w:rFonts w:ascii="Calibri" w:hAnsi="Calibri" w:cs="Arial"/>
                <w:color w:val="0000FF"/>
                <w:lang w:val="ro-RO"/>
              </w:rPr>
            </w:pPr>
          </w:p>
        </w:tc>
        <w:tc>
          <w:tcPr>
            <w:tcW w:w="7651" w:type="dxa"/>
            <w:shd w:val="clear" w:color="auto" w:fill="auto"/>
          </w:tcPr>
          <w:p w:rsidR="000219DE" w:rsidRPr="00FC4945"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lang w:val="ro-RO"/>
              </w:rPr>
            </w:pPr>
            <w:r>
              <w:rPr>
                <w:rFonts w:ascii="Calibri" w:hAnsi="Calibri" w:cs="Arial"/>
                <w:lang w:val="ro-RO"/>
              </w:rPr>
              <w:t>C</w:t>
            </w:r>
            <w:r w:rsidRPr="00FC4945">
              <w:rPr>
                <w:rFonts w:ascii="Calibri" w:hAnsi="Calibri"/>
                <w:lang w:val="ro-RO"/>
              </w:rPr>
              <w:t>reşterea eficacităţii şi diversificarea serviciilor de asistenţă medicală primară, incluzând creşterea ponderii serviciilor de prevenţie primară, secundară şi terţiară, diagnostic precoce şi tratament, monitorizarea pacientului cronic (HTA, diabet) în comunitate;</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Consolidarea calitatii şi eficacităţii serviciilor  furnizate în ambulatorul de  specialitate, concomitent cu scăderea numărului de cazuri de spitalizare continuă;</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Creşterea gradului de siguranţă a populaţiei prin consolidarea sistemului integrat de urgenţă şi asigurar</w:t>
            </w:r>
            <w:r>
              <w:rPr>
                <w:rFonts w:ascii="Calibri" w:hAnsi="Calibri" w:cs="Arial"/>
                <w:color w:val="auto"/>
                <w:lang w:val="ro-RO"/>
              </w:rPr>
              <w:t>ea accesibilităţii la asistenţa</w:t>
            </w:r>
            <w:r w:rsidRPr="009C5DFE">
              <w:rPr>
                <w:rFonts w:ascii="Calibri" w:hAnsi="Calibri" w:cs="Arial"/>
                <w:color w:val="auto"/>
                <w:lang w:val="ro-RO"/>
              </w:rPr>
              <w:t xml:space="preserve"> medicală de urgenţă adecvată în mod echitabil;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 xml:space="preserve">Extinderea sistemului de telemedicină între prespital și spital, precum și între unitățile și compartimentele de primiri urgențe, la care se pot adauga și centrele de permanență;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 xml:space="preserve">Regionalizarea/concentrarea asistenţei medicale spitaliceşti şi crearea de reţele regionale de referinţă cu spitale şi laboratoare de diferite grade de competenţă interconectate cu sectorul de asistenţă primară şi ambulatorie de specialitate;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lang w:val="ro-RO"/>
              </w:rPr>
            </w:pPr>
            <w:r>
              <w:rPr>
                <w:rFonts w:ascii="Calibri" w:hAnsi="Calibri"/>
                <w:lang w:val="ro-RO"/>
              </w:rPr>
              <w:t>P</w:t>
            </w:r>
            <w:r w:rsidRPr="00FC4945">
              <w:rPr>
                <w:rFonts w:ascii="Calibri" w:hAnsi="Calibri"/>
                <w:lang w:val="ro-RO"/>
              </w:rPr>
              <w:t>lasarea în centrul reţelei de spitale a spitalelor regionale de urgenţă cu înalt nivel de performanţă, cărora li se adaugă spitalele zonale, completat de restul spitalelor judeţene de urgenţă şi a celor din Municipiul Bucureşti, precum şi institutele de specialitate;</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BE7BCF"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lang w:val="ro-RO"/>
              </w:rPr>
            </w:pPr>
            <w:r>
              <w:rPr>
                <w:rFonts w:ascii="Calibri" w:hAnsi="Calibri"/>
                <w:lang w:val="ro-RO"/>
              </w:rPr>
              <w:t>Î</w:t>
            </w:r>
            <w:r w:rsidRPr="00BE7BCF">
              <w:rPr>
                <w:rFonts w:ascii="Calibri" w:hAnsi="Calibri"/>
                <w:lang w:val="ro-RO"/>
              </w:rPr>
              <w:t>mbunata</w:t>
            </w:r>
            <w:r w:rsidRPr="00BE7BCF">
              <w:rPr>
                <w:rFonts w:ascii="Calibri" w:hAnsi="Calibri" w:cs="Arial"/>
                <w:lang w:val="ro-RO"/>
              </w:rPr>
              <w:t xml:space="preserve">țirea </w:t>
            </w:r>
            <w:r w:rsidRPr="00FC4945">
              <w:rPr>
                <w:rFonts w:ascii="Calibri" w:hAnsi="Calibri" w:cs="Arial"/>
                <w:lang w:val="ro-RO"/>
              </w:rPr>
              <w:t>unor servicii medicale selectate, prin reabilitarea/crearea și furnizarea de echipamente medicale și de alt tip pentru săli de operație, unitați de terapie intensive, unitați pentru arși, unități de radioterapie, servicii de urgență și servicii de diagnostic (imagistică medicală);</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lang w:val="ro-RO"/>
              </w:rPr>
            </w:pPr>
            <w:r w:rsidRPr="009C5DFE">
              <w:rPr>
                <w:rFonts w:ascii="Calibri" w:hAnsi="Calibri" w:cs="Arial"/>
                <w:color w:val="auto"/>
                <w:lang w:val="ro-RO"/>
              </w:rPr>
              <w:t xml:space="preserve">Creșterea accesului la servicii de reabilitare, paliaţie și de îngrijiri pe termen lung.  </w:t>
            </w:r>
          </w:p>
          <w:p w:rsidR="000219DE" w:rsidRPr="009C5DFE" w:rsidRDefault="000219DE" w:rsidP="00DB7106">
            <w:pPr>
              <w:pStyle w:val="Default"/>
              <w:tabs>
                <w:tab w:val="left" w:pos="45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p>
        </w:tc>
      </w:tr>
      <w:tr w:rsidR="000219DE" w:rsidRPr="00FC4945" w:rsidTr="00DB7106">
        <w:trPr>
          <w:trHeight w:val="80"/>
        </w:trPr>
        <w:tc>
          <w:tcPr>
            <w:tcW w:w="9975" w:type="dxa"/>
            <w:gridSpan w:val="2"/>
            <w:shd w:val="clear" w:color="auto" w:fill="auto"/>
            <w:vAlign w:val="center"/>
          </w:tcPr>
          <w:p w:rsidR="000219DE"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jc w:val="both"/>
              <w:rPr>
                <w:rFonts w:ascii="Calibri" w:hAnsi="Calibri"/>
                <w:b/>
                <w:bCs/>
                <w:lang w:val="ro-RO"/>
              </w:rPr>
            </w:pPr>
          </w:p>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jc w:val="both"/>
              <w:rPr>
                <w:rFonts w:ascii="Calibri" w:hAnsi="Calibri"/>
                <w:b/>
                <w:bCs/>
                <w:i/>
              </w:rPr>
            </w:pPr>
            <w:r>
              <w:rPr>
                <w:rFonts w:ascii="Calibri" w:hAnsi="Calibri"/>
                <w:b/>
                <w:bCs/>
              </w:rPr>
              <w:t>C</w:t>
            </w:r>
            <w:r w:rsidRPr="00FC4945">
              <w:rPr>
                <w:rFonts w:ascii="Calibri" w:hAnsi="Calibri"/>
                <w:b/>
                <w:bCs/>
              </w:rPr>
              <w:t xml:space="preserve">. MĂSURI TRANSVERSALE </w:t>
            </w:r>
          </w:p>
        </w:tc>
      </w:tr>
      <w:tr w:rsidR="000219DE" w:rsidRPr="00AC4302" w:rsidTr="00DB7106">
        <w:trPr>
          <w:trHeight w:val="80"/>
        </w:trPr>
        <w:tc>
          <w:tcPr>
            <w:tcW w:w="9975" w:type="dxa"/>
            <w:gridSpan w:val="2"/>
            <w:shd w:val="clear" w:color="auto" w:fill="auto"/>
            <w:vAlign w:val="center"/>
          </w:tcPr>
          <w:p w:rsidR="000219DE" w:rsidRPr="009C5DFE" w:rsidRDefault="000219DE" w:rsidP="000219DE">
            <w:pPr>
              <w:numPr>
                <w:ilvl w:val="0"/>
                <w:numId w:val="26"/>
              </w:numPr>
              <w:tabs>
                <w:tab w:val="left" w:pos="993"/>
              </w:tabs>
              <w:ind w:left="0" w:firstLine="709"/>
              <w:jc w:val="both"/>
              <w:rPr>
                <w:rFonts w:ascii="Calibri" w:hAnsi="Calibri" w:cs="Arial"/>
                <w:lang w:val="ro-RO"/>
              </w:rPr>
            </w:pPr>
            <w:r w:rsidRPr="009C5DFE">
              <w:rPr>
                <w:rFonts w:ascii="Calibri" w:hAnsi="Calibri" w:cs="Arial"/>
                <w:lang w:val="ro-RO"/>
              </w:rPr>
              <w:t xml:space="preserve"> Consolidarea capacității de previzionare a servicilor medicale oferite populației prin dezvoltarea de către Ministerul Sănătății a unor sisteme informatice de analiză pentru domeniile strategice ale sistemului (resurse umane, infrastructură, resurse financiare);</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Întărirea capacităţii administrative la nivel naţional, regional şi local;</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 xml:space="preserve">Implementarea unei politici sustenabile de asigurare a resurselor umane în sănătate; </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Implementarea unei politici sustenabile de asigurare a resurselor financiare în sănătate, asigurarea controlului costurilor şi a protectiei financiare a populaţiei;</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Implementarea măsurilor strategice privind prevenirea fraudei și corupției în administrația și serviciile sistemului de sănătate;</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Dezvoltarea şi implementarea unei politici a</w:t>
            </w:r>
            <w:r>
              <w:rPr>
                <w:rFonts w:ascii="Calibri" w:hAnsi="Calibri" w:cs="Arial"/>
                <w:lang w:val="ro-RO"/>
              </w:rPr>
              <w:t xml:space="preserve"> medicamentului care să asigure</w:t>
            </w:r>
            <w:r w:rsidRPr="009C5DFE">
              <w:rPr>
                <w:rFonts w:ascii="Calibri" w:hAnsi="Calibri" w:cs="Arial"/>
                <w:lang w:val="ro-RO"/>
              </w:rPr>
              <w:t xml:space="preserve"> accesul echitabil şi sustenabil la medicaţia bazată pe dovezi a populaţiei;</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Pr</w:t>
            </w:r>
            <w:r>
              <w:rPr>
                <w:rFonts w:ascii="Calibri" w:hAnsi="Calibri" w:cs="Arial"/>
                <w:lang w:val="ro-RO"/>
              </w:rPr>
              <w:t>omovarea cercetării şi inovării</w:t>
            </w:r>
            <w:r w:rsidRPr="009C5DFE">
              <w:rPr>
                <w:rFonts w:ascii="Calibri" w:hAnsi="Calibri" w:cs="Arial"/>
                <w:lang w:val="ro-RO"/>
              </w:rPr>
              <w:t xml:space="preserve"> în sănătate;</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Colaborare intersectorială pentru o stare de sănătate mai bună a populaţiei, în special a grupurilor vulnerabile;</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Eficientizarea sistemului de sănătate prin accelerarea utilizării tehnologiei informaţiei şi comunicaţiilor moderne  (E- sănătate) ;</w:t>
            </w:r>
            <w:r w:rsidRPr="009C5DFE">
              <w:rPr>
                <w:rFonts w:ascii="Calibri" w:hAnsi="Calibri" w:cs="Arial"/>
                <w:lang w:val="ro-RO"/>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9C5DFE">
              <w:rPr>
                <w:rFonts w:ascii="Calibri" w:hAnsi="Calibri" w:cs="Arial"/>
                <w:lang w:val="ro-RO"/>
              </w:rPr>
              <w:t>Dezvoltarea infrastructurii adecvate la nivel naţional, regional şi local, în vederea reducerii inechităţii in accesul la serviciile de sănătate.</w:t>
            </w:r>
          </w:p>
          <w:p w:rsidR="000219DE" w:rsidRPr="009C5DFE" w:rsidRDefault="000219DE" w:rsidP="00DB7106">
            <w:pPr>
              <w:tabs>
                <w:tab w:val="left" w:pos="720"/>
              </w:tabs>
              <w:autoSpaceDE w:val="0"/>
              <w:autoSpaceDN w:val="0"/>
              <w:adjustRightInd w:val="0"/>
              <w:jc w:val="both"/>
              <w:rPr>
                <w:rFonts w:ascii="Calibri" w:hAnsi="Calibri" w:cs="Arial"/>
                <w:lang w:val="ro-RO"/>
              </w:rPr>
            </w:pPr>
          </w:p>
        </w:tc>
      </w:tr>
      <w:tr w:rsidR="000219DE" w:rsidRPr="00AC4302" w:rsidTr="00DB7106">
        <w:trPr>
          <w:trHeight w:val="80"/>
        </w:trPr>
        <w:tc>
          <w:tcPr>
            <w:tcW w:w="2324" w:type="dxa"/>
            <w:vMerge w:val="restart"/>
            <w:shd w:val="clear" w:color="auto" w:fill="auto"/>
            <w:vAlign w:val="center"/>
          </w:tcPr>
          <w:p w:rsidR="000219DE" w:rsidRPr="00FC4945" w:rsidRDefault="000219DE" w:rsidP="00DB7106">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ro-RO"/>
              </w:rPr>
            </w:pPr>
            <w:r w:rsidRPr="00FC4945">
              <w:rPr>
                <w:rFonts w:ascii="Calibri" w:hAnsi="Calibri"/>
                <w:color w:val="000080"/>
                <w:lang w:val="ro-RO"/>
              </w:rPr>
              <w:t>Rezultate aşteptate:</w:t>
            </w:r>
          </w:p>
          <w:p w:rsidR="000219DE" w:rsidRPr="00FC4945" w:rsidRDefault="000219DE" w:rsidP="00DB7106">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i/>
                <w:iCs/>
                <w:color w:val="000080"/>
                <w:lang w:val="ro-RO"/>
              </w:rPr>
            </w:pPr>
            <w:r w:rsidRPr="00FC4945">
              <w:rPr>
                <w:rFonts w:ascii="Calibri" w:hAnsi="Calibri"/>
                <w:i/>
                <w:iCs/>
                <w:color w:val="000080"/>
                <w:lang w:val="ro-RO"/>
              </w:rPr>
              <w:t>În urma implementării acestor politici sistemul de sănătate din România va avea pe termen mediu şi lung  următoarele caracteristici minimale:</w:t>
            </w:r>
          </w:p>
          <w:p w:rsidR="000219DE" w:rsidRPr="00FC4945" w:rsidRDefault="000219DE" w:rsidP="00DB7106">
            <w:pPr>
              <w:shd w:val="clear" w:color="auto" w:fill="FFFFFF"/>
              <w:jc w:val="center"/>
              <w:rPr>
                <w:rFonts w:ascii="Calibri" w:hAnsi="Calibri" w:cs="Arial"/>
                <w:iCs/>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lang w:val="ro-RO"/>
              </w:rPr>
            </w:pPr>
            <w:r w:rsidRPr="00FC4945">
              <w:rPr>
                <w:rFonts w:ascii="Calibri" w:hAnsi="Calibri"/>
                <w:lang w:val="ro-RO"/>
              </w:rPr>
              <w:t>furnizează, permanent, servicii de sănătate sigure şi eficiente, iar  pacientul primeşte serviciile medicale de care are nevoie, la toate nivelurile de asistenţă medicală (primar, secundar, terţiar);</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lang w:val="ro-RO"/>
              </w:rPr>
            </w:pPr>
            <w:r w:rsidRPr="00FC4945">
              <w:rPr>
                <w:rFonts w:ascii="Calibri" w:hAnsi="Calibri"/>
                <w:lang w:val="ro-RO"/>
              </w:rPr>
              <w:t>politicile publice de la cele de alocare a resurselor la nivel naţional, până la cele legate de metodele de diagnostic şi tratament se vor baza pe cele mai bune cunoştinţe ştiinţifice şi tehnologice existente;</w:t>
            </w:r>
          </w:p>
        </w:tc>
      </w:tr>
      <w:tr w:rsidR="000219DE" w:rsidRPr="00EE1211"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EE1211"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cs="Arial"/>
                <w:lang w:val="ro-RO"/>
              </w:rPr>
            </w:pPr>
            <w:r w:rsidRPr="00EE1211">
              <w:rPr>
                <w:rFonts w:ascii="Calibri" w:hAnsi="Calibri" w:cs="Arial"/>
                <w:lang w:val="ro-RO"/>
              </w:rPr>
              <w:t>asigurarea calităţii serviciilor medicale;</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lang w:val="ro-RO"/>
              </w:rPr>
            </w:pPr>
            <w:r w:rsidRPr="00FC4945">
              <w:rPr>
                <w:rFonts w:ascii="Calibri" w:hAnsi="Calibri"/>
                <w:lang w:val="ro-RO"/>
              </w:rPr>
              <w:t>reducerea riscului şi asigurarea siguranţei pacientului va fi sprijinită prin sistemele şi procedurile informaţionale propuse şi prin sistemul de monitorizare a calităţii, care vor ajuta la recunoaşterea, prevenirea şi diminuarea erorilor;</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7E591A"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lang w:val="ro-RO"/>
              </w:rPr>
            </w:pPr>
            <w:r w:rsidRPr="007E591A">
              <w:rPr>
                <w:rFonts w:ascii="Calibri" w:hAnsi="Calibri" w:cs="Arial"/>
                <w:lang w:val="ro-RO"/>
              </w:rPr>
              <w:t>optimizarea sist</w:t>
            </w:r>
            <w:r>
              <w:rPr>
                <w:rFonts w:ascii="Calibri" w:hAnsi="Calibri" w:cs="Arial"/>
                <w:lang w:val="ro-RO"/>
              </w:rPr>
              <w:t>emului se va axa pe facilitarea</w:t>
            </w:r>
            <w:r w:rsidRPr="007E591A">
              <w:rPr>
                <w:rFonts w:ascii="Calibri" w:hAnsi="Calibri" w:cs="Arial"/>
                <w:lang w:val="ro-RO"/>
              </w:rPr>
              <w:t xml:space="preserve"> cooperării intersectoriale, esenţială pentru abordarea determinanţilor sănătăţii cu impact crescut asupra sănătăţii.</w:t>
            </w:r>
          </w:p>
          <w:p w:rsidR="000219DE" w:rsidRPr="00FC4945"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lang w:val="ro-RO"/>
              </w:rPr>
            </w:pPr>
          </w:p>
        </w:tc>
      </w:tr>
      <w:tr w:rsidR="000219DE" w:rsidRPr="00EE1211" w:rsidTr="00DB7106">
        <w:trPr>
          <w:trHeight w:val="80"/>
        </w:trPr>
        <w:tc>
          <w:tcPr>
            <w:tcW w:w="9975" w:type="dxa"/>
            <w:gridSpan w:val="2"/>
            <w:shd w:val="clear" w:color="auto" w:fill="auto"/>
            <w:vAlign w:val="center"/>
          </w:tcPr>
          <w:p w:rsidR="000219DE" w:rsidRPr="003964D3"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3E3428">
              <w:rPr>
                <w:rFonts w:ascii="Calibri" w:hAnsi="Calibri" w:cs="Arial"/>
                <w:lang w:val="ro-RO"/>
              </w:rPr>
              <w:t>Pentru implementarea obiectivelor şi măsurilor subsec</w:t>
            </w:r>
            <w:r>
              <w:rPr>
                <w:rFonts w:ascii="Calibri" w:hAnsi="Calibri" w:cs="Arial"/>
                <w:lang w:val="ro-RO"/>
              </w:rPr>
              <w:t>vente și pentru asigurarea funcționarii în condiț</w:t>
            </w:r>
            <w:r w:rsidRPr="003E3428">
              <w:rPr>
                <w:rFonts w:ascii="Calibri" w:hAnsi="Calibri" w:cs="Arial"/>
                <w:lang w:val="ro-RO"/>
              </w:rPr>
              <w:t>ii de calitate a sistemului sanitar sunt</w:t>
            </w:r>
            <w:r>
              <w:rPr>
                <w:rFonts w:ascii="Calibri" w:hAnsi="Calibri" w:cs="Arial"/>
                <w:lang w:val="ro-RO"/>
              </w:rPr>
              <w:t xml:space="preserve"> absolut necesare urmatoarele mă</w:t>
            </w:r>
            <w:r w:rsidRPr="003E3428">
              <w:rPr>
                <w:rFonts w:ascii="Calibri" w:hAnsi="Calibri" w:cs="Arial"/>
                <w:lang w:val="ro-RO"/>
              </w:rPr>
              <w:t>suri:</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creș</w:t>
            </w:r>
            <w:r w:rsidRPr="003E3428">
              <w:rPr>
                <w:rFonts w:ascii="Calibri" w:hAnsi="Calibri" w:cs="Arial"/>
                <w:i/>
                <w:lang w:val="ro-RO"/>
              </w:rPr>
              <w:t>terea</w:t>
            </w:r>
            <w:r>
              <w:rPr>
                <w:rFonts w:ascii="Calibri" w:hAnsi="Calibri" w:cs="Arial"/>
                <w:i/>
                <w:lang w:val="ro-RO"/>
              </w:rPr>
              <w:t xml:space="preserve"> graduală</w:t>
            </w:r>
            <w:r w:rsidRPr="003E3428">
              <w:rPr>
                <w:rFonts w:ascii="Calibri" w:hAnsi="Calibri" w:cs="Arial"/>
                <w:i/>
                <w:lang w:val="ro-RO"/>
              </w:rPr>
              <w:t xml:space="preserve"> a resurselor alocate;</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creșterea finanțării asistenței mediale de urgență</w:t>
            </w:r>
            <w:r w:rsidRPr="003E3428">
              <w:rPr>
                <w:rFonts w:ascii="Calibri" w:hAnsi="Calibri" w:cs="Arial"/>
                <w:i/>
                <w:lang w:val="ro-RO"/>
              </w:rPr>
              <w:t>;</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susținerea financiară a programelor de sănă</w:t>
            </w:r>
            <w:r w:rsidRPr="003E3428">
              <w:rPr>
                <w:rFonts w:ascii="Calibri" w:hAnsi="Calibri" w:cs="Arial"/>
                <w:i/>
                <w:lang w:val="ro-RO"/>
              </w:rPr>
              <w:t>tate;</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finanțarea reabilitării, consolidării  unor unităț</w:t>
            </w:r>
            <w:r w:rsidRPr="003E3428">
              <w:rPr>
                <w:rFonts w:ascii="Calibri" w:hAnsi="Calibri" w:cs="Arial"/>
                <w:i/>
                <w:lang w:val="ro-RO"/>
              </w:rPr>
              <w:t>i sanitare publice;</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finanț</w:t>
            </w:r>
            <w:r w:rsidRPr="003E3428">
              <w:rPr>
                <w:rFonts w:ascii="Calibri" w:hAnsi="Calibri" w:cs="Arial"/>
                <w:i/>
                <w:lang w:val="ro-RO"/>
              </w:rPr>
              <w:t>area construirii de noi spitale;</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finanț</w:t>
            </w:r>
            <w:r w:rsidRPr="003E3428">
              <w:rPr>
                <w:rFonts w:ascii="Calibri" w:hAnsi="Calibri" w:cs="Arial"/>
                <w:i/>
                <w:lang w:val="ro-RO"/>
              </w:rPr>
              <w:t xml:space="preserve">area </w:t>
            </w:r>
            <w:r>
              <w:rPr>
                <w:rFonts w:ascii="Calibri" w:hAnsi="Calibri" w:cs="Arial"/>
                <w:i/>
                <w:lang w:val="ro-RO"/>
              </w:rPr>
              <w:t>achiziționării și a dotării unităț</w:t>
            </w:r>
            <w:r w:rsidRPr="003E3428">
              <w:rPr>
                <w:rFonts w:ascii="Calibri" w:hAnsi="Calibri" w:cs="Arial"/>
                <w:i/>
                <w:lang w:val="ro-RO"/>
              </w:rPr>
              <w:t>ilor sanitare cu ec</w:t>
            </w:r>
            <w:r>
              <w:rPr>
                <w:rFonts w:ascii="Calibri" w:hAnsi="Calibri" w:cs="Arial"/>
                <w:i/>
                <w:lang w:val="ro-RO"/>
              </w:rPr>
              <w:t>hipamente medicale, cu aparatură medicală ș</w:t>
            </w:r>
            <w:r w:rsidRPr="003E3428">
              <w:rPr>
                <w:rFonts w:ascii="Calibri" w:hAnsi="Calibri" w:cs="Arial"/>
                <w:i/>
                <w:lang w:val="ro-RO"/>
              </w:rPr>
              <w:t>i mijloace de transport sanitar;</w:t>
            </w:r>
          </w:p>
          <w:p w:rsidR="000219DE"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Pr>
                <w:rFonts w:ascii="Calibri" w:hAnsi="Calibri" w:cs="Arial"/>
                <w:i/>
                <w:lang w:val="ro-RO"/>
              </w:rPr>
              <w:t>acordarea de sprijin financiar îmbunătățirea infrastructurii ș</w:t>
            </w:r>
            <w:r w:rsidRPr="003E3428">
              <w:rPr>
                <w:rFonts w:ascii="Calibri" w:hAnsi="Calibri" w:cs="Arial"/>
                <w:i/>
                <w:lang w:val="ro-RO"/>
              </w:rPr>
              <w:t>i do</w:t>
            </w:r>
            <w:r>
              <w:rPr>
                <w:rFonts w:ascii="Calibri" w:hAnsi="Calibri" w:cs="Arial"/>
                <w:i/>
                <w:lang w:val="ro-RO"/>
              </w:rPr>
              <w:t>tarea spitalelor publice din rețeaua autorităț</w:t>
            </w:r>
            <w:r w:rsidRPr="003E3428">
              <w:rPr>
                <w:rFonts w:ascii="Calibri" w:hAnsi="Calibri" w:cs="Arial"/>
                <w:i/>
                <w:lang w:val="ro-RO"/>
              </w:rPr>
              <w:t>ilor administr</w:t>
            </w:r>
            <w:r>
              <w:rPr>
                <w:rFonts w:ascii="Calibri" w:hAnsi="Calibri" w:cs="Arial"/>
                <w:i/>
                <w:lang w:val="ro-RO"/>
              </w:rPr>
              <w:t>aț</w:t>
            </w:r>
            <w:r w:rsidRPr="003E3428">
              <w:rPr>
                <w:rFonts w:ascii="Calibri" w:hAnsi="Calibri" w:cs="Arial"/>
                <w:i/>
                <w:lang w:val="ro-RO"/>
              </w:rPr>
              <w:t>iei publice locale.</w:t>
            </w:r>
          </w:p>
          <w:p w:rsidR="000219DE" w:rsidRPr="00A6203F"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1440"/>
              <w:jc w:val="both"/>
              <w:rPr>
                <w:rFonts w:ascii="Calibri" w:hAnsi="Calibri" w:cs="Arial"/>
                <w:i/>
                <w:lang w:val="ro-RO"/>
              </w:rPr>
            </w:pPr>
          </w:p>
        </w:tc>
      </w:tr>
      <w:tr w:rsidR="000219DE" w:rsidRPr="00AC4302" w:rsidTr="00DB7106">
        <w:trPr>
          <w:trHeight w:val="80"/>
        </w:trPr>
        <w:tc>
          <w:tcPr>
            <w:tcW w:w="9975" w:type="dxa"/>
            <w:gridSpan w:val="2"/>
            <w:shd w:val="clear" w:color="auto" w:fill="auto"/>
            <w:vAlign w:val="center"/>
          </w:tcPr>
          <w:p w:rsidR="000219DE"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b/>
                <w:bCs/>
                <w:lang w:val="ro-RO"/>
              </w:rPr>
            </w:pPr>
            <w:r>
              <w:rPr>
                <w:rFonts w:ascii="Arial" w:hAnsi="Arial" w:cs="Arial"/>
                <w:b/>
                <w:bCs/>
                <w:lang w:val="ro-RO"/>
              </w:rPr>
              <w:tab/>
            </w:r>
            <w:r w:rsidRPr="00C71A9D">
              <w:rPr>
                <w:rFonts w:ascii="Calibri" w:hAnsi="Calibri"/>
                <w:i/>
                <w:iCs/>
                <w:color w:val="000080"/>
                <w:lang w:val="ro-RO"/>
              </w:rPr>
              <w:t>Politica in domeniul investițiilor publice</w:t>
            </w:r>
          </w:p>
          <w:p w:rsidR="000219DE" w:rsidRPr="00C71A9D"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b/>
                <w:bCs/>
                <w:lang w:val="ro-RO"/>
              </w:rPr>
            </w:pPr>
          </w:p>
          <w:p w:rsidR="000219DE" w:rsidRPr="00C71A9D" w:rsidRDefault="000219DE" w:rsidP="00DB7106">
            <w:pPr>
              <w:ind w:firstLine="708"/>
              <w:jc w:val="both"/>
              <w:rPr>
                <w:rFonts w:ascii="Calibri" w:hAnsi="Calibri" w:cs="Arial"/>
                <w:lang w:val="ro-RO"/>
              </w:rPr>
            </w:pPr>
            <w:r w:rsidRPr="00C71A9D">
              <w:rPr>
                <w:rFonts w:ascii="Calibri" w:hAnsi="Calibri" w:cs="Arial"/>
                <w:b/>
                <w:lang w:val="ro-RO"/>
              </w:rPr>
              <w:t>Programul de investiţii al Ministerului Sănătăţii,</w:t>
            </w:r>
            <w:r w:rsidRPr="00C71A9D">
              <w:rPr>
                <w:rFonts w:ascii="Calibri" w:hAnsi="Calibri" w:cs="Arial"/>
                <w:lang w:val="ro-RO"/>
              </w:rPr>
              <w:t xml:space="preserve"> se regăseşte definit în strategia fiscal bugetară pe termen mediu 2017-2020 a Ministerului Sănătăţii, prin două principale proiecte investiţionale, în cadrul cărora se regăsesc o serie de subproiecte :</w:t>
            </w:r>
          </w:p>
          <w:p w:rsidR="000219DE" w:rsidRPr="00C71A9D" w:rsidRDefault="000219DE" w:rsidP="00DB7106">
            <w:pPr>
              <w:ind w:firstLine="708"/>
              <w:jc w:val="both"/>
              <w:rPr>
                <w:rFonts w:ascii="Calibri" w:hAnsi="Calibri" w:cs="Arial"/>
                <w:lang w:val="ro-RO"/>
              </w:rPr>
            </w:pPr>
          </w:p>
          <w:p w:rsidR="000219DE" w:rsidRDefault="000219DE" w:rsidP="000219DE">
            <w:pPr>
              <w:numPr>
                <w:ilvl w:val="0"/>
                <w:numId w:val="31"/>
              </w:numPr>
              <w:jc w:val="both"/>
              <w:rPr>
                <w:rFonts w:ascii="Calibri" w:hAnsi="Calibri" w:cs="Arial"/>
                <w:lang w:val="ro-RO"/>
              </w:rPr>
            </w:pPr>
            <w:r w:rsidRPr="00C71A9D">
              <w:rPr>
                <w:rFonts w:ascii="Calibri" w:hAnsi="Calibri" w:cs="Arial"/>
                <w:lang w:val="ro-RO"/>
              </w:rPr>
              <w:t xml:space="preserve">Proiectul </w:t>
            </w:r>
            <w:r w:rsidRPr="00C71A9D">
              <w:rPr>
                <w:rFonts w:ascii="Calibri" w:hAnsi="Calibri" w:cs="Arial"/>
                <w:b/>
                <w:lang w:val="ro-RO"/>
              </w:rPr>
              <w:t xml:space="preserve">1. </w:t>
            </w:r>
            <w:r w:rsidRPr="00C71A9D">
              <w:rPr>
                <w:rFonts w:ascii="Calibri" w:hAnsi="Calibri" w:cs="Arial"/>
                <w:b/>
                <w:u w:val="single"/>
                <w:lang w:val="ro-RO"/>
              </w:rPr>
              <w:t>Finanţarea dezvoltarii şi modernizarea infrastructurii sanitare</w:t>
            </w:r>
            <w:r w:rsidRPr="00C71A9D">
              <w:rPr>
                <w:rFonts w:ascii="Calibri" w:hAnsi="Calibri" w:cs="Arial"/>
                <w:lang w:val="ro-RO"/>
              </w:rPr>
              <w:t>, cu subproiectele:</w:t>
            </w:r>
          </w:p>
          <w:p w:rsidR="000219DE" w:rsidRDefault="000219DE" w:rsidP="00DB7106">
            <w:pPr>
              <w:ind w:left="1428"/>
              <w:jc w:val="both"/>
              <w:rPr>
                <w:rFonts w:ascii="Calibri" w:hAnsi="Calibri" w:cs="Arial"/>
                <w:lang w:val="ro-RO"/>
              </w:rPr>
            </w:pPr>
          </w:p>
          <w:p w:rsidR="000219DE" w:rsidRDefault="000219DE" w:rsidP="00DB7106">
            <w:pPr>
              <w:ind w:left="1428"/>
              <w:jc w:val="both"/>
              <w:rPr>
                <w:rFonts w:ascii="Calibri" w:hAnsi="Calibri" w:cs="Arial"/>
                <w:lang w:val="ro-RO"/>
              </w:rPr>
            </w:pPr>
            <w:r>
              <w:rPr>
                <w:rFonts w:ascii="Calibri" w:hAnsi="Calibri" w:cs="Arial"/>
                <w:lang w:val="ro-RO"/>
              </w:rPr>
              <w:t xml:space="preserve">a) </w:t>
            </w:r>
            <w:r w:rsidRPr="004859F1">
              <w:rPr>
                <w:rFonts w:ascii="Calibri" w:hAnsi="Calibri" w:cs="Arial"/>
                <w:lang w:val="ro-RO"/>
              </w:rPr>
              <w:t>Finalizarea obiectivelor de investiţii începute în anii precedenţi</w:t>
            </w:r>
            <w:r w:rsidRPr="004859F1">
              <w:rPr>
                <w:rFonts w:ascii="Calibri" w:hAnsi="Calibri" w:cs="Arial"/>
              </w:rPr>
              <w:t>;</w:t>
            </w:r>
          </w:p>
          <w:p w:rsidR="000219DE" w:rsidRDefault="000219DE" w:rsidP="00DB7106">
            <w:pPr>
              <w:ind w:left="1428"/>
              <w:jc w:val="both"/>
              <w:rPr>
                <w:rFonts w:ascii="Calibri" w:hAnsi="Calibri" w:cs="Arial"/>
                <w:lang w:val="ro-RO"/>
              </w:rPr>
            </w:pPr>
            <w:r>
              <w:rPr>
                <w:rFonts w:ascii="Calibri" w:hAnsi="Calibri" w:cs="Arial"/>
                <w:lang w:val="ro-RO"/>
              </w:rPr>
              <w:t xml:space="preserve">b) </w:t>
            </w:r>
            <w:r w:rsidRPr="00C71A9D">
              <w:rPr>
                <w:rFonts w:ascii="Calibri" w:hAnsi="Calibri" w:cs="Arial"/>
                <w:lang w:val="ro-RO"/>
              </w:rPr>
              <w:t>Continuarea programului de consolidări (şi alte lucrări de intervenţii) a clădirilor unităţilor sanitare;</w:t>
            </w:r>
          </w:p>
          <w:p w:rsidR="000219DE" w:rsidRPr="00C71A9D" w:rsidRDefault="000219DE" w:rsidP="00DB7106">
            <w:pPr>
              <w:ind w:left="1428"/>
              <w:jc w:val="both"/>
              <w:rPr>
                <w:rFonts w:ascii="Calibri" w:hAnsi="Calibri" w:cs="Arial"/>
                <w:lang w:val="ro-RO"/>
              </w:rPr>
            </w:pPr>
            <w:r>
              <w:rPr>
                <w:rFonts w:ascii="Calibri" w:hAnsi="Calibri" w:cs="Arial"/>
                <w:lang w:val="ro-RO"/>
              </w:rPr>
              <w:t xml:space="preserve">c) </w:t>
            </w:r>
            <w:r w:rsidRPr="00C71A9D">
              <w:rPr>
                <w:rFonts w:ascii="Calibri" w:hAnsi="Calibri" w:cs="Arial"/>
                <w:lang w:val="ro-RO"/>
              </w:rPr>
              <w:t>Reabilitarea infrastructurii unităţilor sanitare prin efectuarea lucrărilor de reparaţii capitale;</w:t>
            </w:r>
          </w:p>
          <w:p w:rsidR="000219DE" w:rsidRPr="00C71A9D" w:rsidRDefault="000219DE" w:rsidP="00DB7106">
            <w:pPr>
              <w:ind w:left="1428"/>
              <w:jc w:val="both"/>
              <w:rPr>
                <w:rFonts w:ascii="Calibri" w:hAnsi="Calibri" w:cs="Arial"/>
                <w:lang w:val="ro-RO"/>
              </w:rPr>
            </w:pPr>
            <w:r>
              <w:rPr>
                <w:rFonts w:ascii="Calibri" w:hAnsi="Calibri" w:cs="Arial"/>
                <w:lang w:val="ro-RO"/>
              </w:rPr>
              <w:t xml:space="preserve">d) </w:t>
            </w:r>
            <w:r w:rsidRPr="00C71A9D">
              <w:rPr>
                <w:rFonts w:ascii="Calibri" w:hAnsi="Calibri" w:cs="Arial"/>
                <w:lang w:val="ro-RO"/>
              </w:rPr>
              <w:t>Construirea Spitalelor Regionale de Urgenţă, inclusiv prin Programul Operațional Regional</w:t>
            </w:r>
            <w:r>
              <w:rPr>
                <w:rFonts w:ascii="Calibri" w:hAnsi="Calibri" w:cs="Arial"/>
                <w:lang w:val="ro-RO"/>
              </w:rPr>
              <w:t>;</w:t>
            </w:r>
          </w:p>
          <w:p w:rsidR="000219DE" w:rsidRPr="00C71A9D" w:rsidRDefault="000219DE" w:rsidP="00DB7106">
            <w:pPr>
              <w:ind w:left="1428"/>
              <w:jc w:val="both"/>
              <w:rPr>
                <w:rFonts w:ascii="Calibri" w:hAnsi="Calibri" w:cs="Arial"/>
                <w:lang w:val="ro-RO"/>
              </w:rPr>
            </w:pPr>
            <w:r>
              <w:rPr>
                <w:rFonts w:ascii="Calibri" w:hAnsi="Calibri" w:cs="Arial"/>
                <w:lang w:val="ro-RO"/>
              </w:rPr>
              <w:t xml:space="preserve">e) </w:t>
            </w:r>
            <w:r w:rsidRPr="00C71A9D">
              <w:rPr>
                <w:rFonts w:ascii="Calibri" w:hAnsi="Calibri" w:cs="Arial"/>
                <w:lang w:val="ro-RO"/>
              </w:rPr>
              <w:t>Reabilitarea/modernizarea/extinderea: spitale județene — cel puțin 15; ambulatorii de specialitate — cel puțin 150, U.P.U. — cel puțin 25, Centre comunitare integrate medico-sociale</w:t>
            </w:r>
            <w:r>
              <w:rPr>
                <w:rFonts w:ascii="Calibri" w:hAnsi="Calibri" w:cs="Arial"/>
                <w:lang w:val="ro-RO"/>
              </w:rPr>
              <w:t>;</w:t>
            </w:r>
          </w:p>
          <w:p w:rsidR="000219DE" w:rsidRPr="00C71A9D" w:rsidRDefault="000219DE" w:rsidP="00DB7106">
            <w:pPr>
              <w:ind w:left="1428"/>
              <w:jc w:val="both"/>
              <w:rPr>
                <w:rFonts w:ascii="Calibri" w:hAnsi="Calibri" w:cs="Arial"/>
                <w:lang w:val="ro-RO"/>
              </w:rPr>
            </w:pPr>
            <w:r>
              <w:rPr>
                <w:rFonts w:ascii="Calibri" w:hAnsi="Calibri" w:cs="Arial"/>
                <w:lang w:val="ro-RO"/>
              </w:rPr>
              <w:t xml:space="preserve">f) </w:t>
            </w:r>
            <w:r w:rsidRPr="00C71A9D">
              <w:rPr>
                <w:rFonts w:ascii="Calibri" w:hAnsi="Calibri" w:cs="Arial"/>
                <w:lang w:val="ro-RO"/>
              </w:rPr>
              <w:t>Centre comunitare integrate medico-sociale</w:t>
            </w:r>
            <w:r>
              <w:rPr>
                <w:rFonts w:ascii="Calibri" w:hAnsi="Calibri" w:cs="Arial"/>
                <w:lang w:val="ro-RO"/>
              </w:rPr>
              <w:t xml:space="preserve"> de care vor beneficia peste 270.000 persoane.</w:t>
            </w:r>
          </w:p>
          <w:p w:rsidR="000219DE" w:rsidRPr="00C71A9D" w:rsidRDefault="000219DE" w:rsidP="00DB7106">
            <w:pPr>
              <w:tabs>
                <w:tab w:val="left" w:pos="6804"/>
              </w:tabs>
              <w:jc w:val="both"/>
              <w:rPr>
                <w:rFonts w:ascii="Calibri" w:hAnsi="Calibri" w:cs="Arial"/>
                <w:lang w:val="ro-RO"/>
              </w:rPr>
            </w:pPr>
            <w:r w:rsidRPr="00C71A9D">
              <w:rPr>
                <w:rFonts w:ascii="Calibri" w:hAnsi="Calibri" w:cs="Arial"/>
                <w:lang w:val="ro-RO"/>
              </w:rPr>
              <w:tab/>
            </w:r>
          </w:p>
          <w:p w:rsidR="000219DE" w:rsidRPr="00C71A9D" w:rsidRDefault="000219DE" w:rsidP="00DB7106">
            <w:pPr>
              <w:ind w:firstLine="708"/>
              <w:jc w:val="both"/>
              <w:rPr>
                <w:rFonts w:ascii="Calibri" w:hAnsi="Calibri" w:cs="Arial"/>
                <w:lang w:val="ro-RO"/>
              </w:rPr>
            </w:pPr>
            <w:r w:rsidRPr="00C71A9D">
              <w:rPr>
                <w:rFonts w:ascii="Calibri" w:hAnsi="Calibri" w:cs="Arial"/>
                <w:lang w:val="ro-RO"/>
              </w:rPr>
              <w:t>Investițiile în infrastructura spitalelor vor fi aliniate la funcțiile și rolurile jucate de către diferitele paliere ale sistemului spitalicesc din România, pe baza revizuirii rețelei de spitale strategice efectuată de Ministerul Sănătății.</w:t>
            </w:r>
          </w:p>
          <w:p w:rsidR="000219DE" w:rsidRDefault="000219DE" w:rsidP="00DB7106">
            <w:pPr>
              <w:rPr>
                <w:rFonts w:ascii="Calibri" w:hAnsi="Calibri"/>
                <w:lang w:val="ro-RO"/>
              </w:rPr>
            </w:pPr>
          </w:p>
        </w:tc>
      </w:tr>
      <w:tr w:rsidR="000219DE" w:rsidRPr="00AC4302" w:rsidTr="00DB7106">
        <w:trPr>
          <w:trHeight w:val="80"/>
        </w:trPr>
        <w:tc>
          <w:tcPr>
            <w:tcW w:w="9975" w:type="dxa"/>
            <w:gridSpan w:val="2"/>
            <w:shd w:val="clear" w:color="auto" w:fill="auto"/>
            <w:vAlign w:val="center"/>
          </w:tcPr>
          <w:p w:rsidR="000219DE" w:rsidRPr="004859F1" w:rsidRDefault="000219DE" w:rsidP="000219DE">
            <w:pPr>
              <w:numPr>
                <w:ilvl w:val="0"/>
                <w:numId w:val="31"/>
              </w:numPr>
              <w:ind w:left="0" w:firstLine="1068"/>
              <w:jc w:val="both"/>
              <w:rPr>
                <w:rFonts w:ascii="Calibri" w:hAnsi="Calibri" w:cs="Arial"/>
                <w:lang w:val="ro-RO"/>
              </w:rPr>
            </w:pPr>
            <w:r w:rsidRPr="004859F1">
              <w:rPr>
                <w:rFonts w:ascii="Calibri" w:hAnsi="Calibri" w:cs="Arial"/>
                <w:lang w:val="ro-RO"/>
              </w:rPr>
              <w:t xml:space="preserve">Proiectul </w:t>
            </w:r>
            <w:r w:rsidRPr="004859F1">
              <w:rPr>
                <w:rFonts w:ascii="Calibri" w:hAnsi="Calibri" w:cs="Arial"/>
                <w:b/>
                <w:lang w:val="ro-RO"/>
              </w:rPr>
              <w:t>2.</w:t>
            </w:r>
            <w:r w:rsidRPr="004859F1">
              <w:rPr>
                <w:rFonts w:ascii="Calibri" w:hAnsi="Calibri" w:cs="Arial"/>
                <w:b/>
                <w:u w:val="single"/>
                <w:lang w:val="ro-RO"/>
              </w:rPr>
              <w:t>Dotarea unităţilor sanitare cu aparatură medicală, echipamente şi mijloace de transport sanitar specifice (ambulanţe, autosanitare, etc.)</w:t>
            </w:r>
            <w:r w:rsidRPr="004859F1">
              <w:rPr>
                <w:rFonts w:ascii="Calibri" w:hAnsi="Calibri" w:cs="Arial"/>
                <w:lang w:val="ro-RO"/>
              </w:rPr>
              <w:t>, cu subproiectele:</w:t>
            </w:r>
          </w:p>
          <w:p w:rsidR="000219DE" w:rsidRPr="004859F1" w:rsidRDefault="000219DE" w:rsidP="00DB7106">
            <w:pPr>
              <w:ind w:firstLine="708"/>
              <w:jc w:val="both"/>
              <w:rPr>
                <w:rFonts w:ascii="Calibri" w:hAnsi="Calibri" w:cs="Arial"/>
                <w:lang w:val="ro-RO"/>
              </w:rPr>
            </w:pPr>
          </w:p>
          <w:p w:rsidR="000219DE" w:rsidRPr="004859F1" w:rsidRDefault="000219DE" w:rsidP="000219DE">
            <w:pPr>
              <w:numPr>
                <w:ilvl w:val="0"/>
                <w:numId w:val="32"/>
              </w:numPr>
              <w:jc w:val="both"/>
              <w:rPr>
                <w:rFonts w:ascii="Calibri" w:hAnsi="Calibri" w:cs="Arial"/>
                <w:lang w:val="ro-RO"/>
              </w:rPr>
            </w:pPr>
            <w:r w:rsidRPr="004859F1">
              <w:rPr>
                <w:rFonts w:ascii="Calibri" w:hAnsi="Calibri" w:cs="Arial"/>
                <w:lang w:val="ro-RO"/>
              </w:rPr>
              <w:t>Dotarea cu aparatură / echipamente medicale la nivelul spitalelor publice;</w:t>
            </w:r>
          </w:p>
          <w:p w:rsidR="000219DE" w:rsidRPr="004859F1" w:rsidRDefault="000219DE" w:rsidP="000219DE">
            <w:pPr>
              <w:numPr>
                <w:ilvl w:val="0"/>
                <w:numId w:val="32"/>
              </w:numPr>
              <w:jc w:val="both"/>
              <w:rPr>
                <w:rFonts w:ascii="Calibri" w:hAnsi="Calibri" w:cs="Arial"/>
                <w:lang w:val="ro-RO"/>
              </w:rPr>
            </w:pPr>
            <w:r w:rsidRPr="004859F1">
              <w:rPr>
                <w:rFonts w:ascii="Calibri" w:hAnsi="Calibri" w:cs="Arial"/>
                <w:lang w:val="ro-RO"/>
              </w:rPr>
              <w:t>Dotarea cu mijloace de transport sanitar specifice ( ambulanţe,</w:t>
            </w:r>
            <w:r>
              <w:rPr>
                <w:rFonts w:ascii="Calibri" w:hAnsi="Calibri" w:cs="Arial"/>
                <w:lang w:val="ro-RO"/>
              </w:rPr>
              <w:t xml:space="preserve"> autosanitare, elicoptere,etc.);</w:t>
            </w:r>
          </w:p>
          <w:p w:rsidR="000219DE" w:rsidRDefault="000219DE" w:rsidP="000219DE">
            <w:pPr>
              <w:numPr>
                <w:ilvl w:val="0"/>
                <w:numId w:val="32"/>
              </w:numPr>
              <w:jc w:val="both"/>
              <w:rPr>
                <w:rFonts w:ascii="Calibri" w:hAnsi="Calibri" w:cs="Arial"/>
                <w:lang w:val="ro-RO"/>
              </w:rPr>
            </w:pPr>
            <w:r w:rsidRPr="004859F1">
              <w:rPr>
                <w:rFonts w:ascii="Calibri" w:hAnsi="Calibri" w:cs="Arial"/>
                <w:lang w:val="ro-RO"/>
              </w:rPr>
              <w:t>Dotarea c</w:t>
            </w:r>
            <w:r>
              <w:rPr>
                <w:rFonts w:ascii="Calibri" w:hAnsi="Calibri" w:cs="Arial"/>
                <w:lang w:val="ro-RO"/>
              </w:rPr>
              <w:t>abinetelor medicilor de familie;</w:t>
            </w:r>
          </w:p>
          <w:p w:rsidR="000219DE" w:rsidRPr="004859F1" w:rsidRDefault="000219DE" w:rsidP="000219DE">
            <w:pPr>
              <w:numPr>
                <w:ilvl w:val="0"/>
                <w:numId w:val="32"/>
              </w:numPr>
              <w:jc w:val="both"/>
              <w:rPr>
                <w:rFonts w:ascii="Calibri" w:hAnsi="Calibri" w:cs="Arial"/>
                <w:lang w:val="ro-RO"/>
              </w:rPr>
            </w:pPr>
            <w:r>
              <w:rPr>
                <w:rFonts w:ascii="Calibri" w:hAnsi="Calibri" w:cs="Arial"/>
                <w:lang w:val="ro-RO"/>
              </w:rPr>
              <w:t>Dezvoltarea de centre de telemedicină regionale sau naționale în funcție de specialitate.</w:t>
            </w:r>
          </w:p>
          <w:p w:rsidR="000219DE" w:rsidRPr="004859F1" w:rsidRDefault="000219DE" w:rsidP="00DB7106">
            <w:pPr>
              <w:ind w:firstLine="708"/>
              <w:jc w:val="both"/>
              <w:rPr>
                <w:rFonts w:ascii="Calibri" w:hAnsi="Calibri" w:cs="Arial"/>
                <w:lang w:val="ro-RO"/>
              </w:rPr>
            </w:pPr>
          </w:p>
          <w:p w:rsidR="000219DE" w:rsidRPr="004859F1" w:rsidRDefault="000219DE" w:rsidP="00DB7106">
            <w:pPr>
              <w:ind w:firstLine="708"/>
              <w:jc w:val="both"/>
              <w:rPr>
                <w:rFonts w:ascii="Calibri" w:hAnsi="Calibri" w:cs="Arial"/>
                <w:lang w:val="ro-RO"/>
              </w:rPr>
            </w:pPr>
            <w:r w:rsidRPr="004859F1">
              <w:rPr>
                <w:rFonts w:ascii="Calibri" w:hAnsi="Calibri" w:cs="Arial"/>
                <w:lang w:val="ro-RO"/>
              </w:rPr>
              <w:t>Derularea acestor două principale proiecte şi a subproiectelor aferente, au ca scop asigurarea populaţiei cu servicii medicale performante, care să acopere nevoile acesteia şi care să fie comparabile cu cele oferite în prezent de furnizorii de servicii de acelaşi tip din statele membre ale Uniunii Europene</w:t>
            </w:r>
            <w:r>
              <w:rPr>
                <w:rFonts w:ascii="Calibri" w:hAnsi="Calibri" w:cs="Arial"/>
                <w:lang w:val="ro-RO"/>
              </w:rPr>
              <w:t>.</w:t>
            </w:r>
          </w:p>
          <w:p w:rsidR="000219DE" w:rsidRPr="004859F1" w:rsidRDefault="000219DE" w:rsidP="00DB7106">
            <w:pPr>
              <w:ind w:firstLine="708"/>
              <w:jc w:val="both"/>
              <w:rPr>
                <w:rFonts w:ascii="Calibri" w:hAnsi="Calibri" w:cs="Arial"/>
                <w:lang w:val="ro-RO"/>
              </w:rPr>
            </w:pPr>
            <w:r w:rsidRPr="004859F1">
              <w:rPr>
                <w:rFonts w:ascii="Calibri" w:hAnsi="Calibri" w:cs="Arial"/>
                <w:lang w:val="ro-RO"/>
              </w:rPr>
              <w:t xml:space="preserve">Prin programul de investiţii ce se prezintă ca anexă la bugetul Ministerului Sănătăţii sunt finanţate în principal cheltuieli de natura investiţiilor la nivelul unităţilor sanitare din reţeaua sanitară a Ministerului Sănătăţii. Ca urmare a descentralizării, prin trecerea unui număr de peste 370 de spitale la autorităţile locale, o componentă semnificativă în finanţarea cheltuielilor de natura investiţiilor le reprezintă şi transferurile din bugetul Ministerului Sănătăţii către bugetele autorităţilor administraţiei publice locale pentru finanţarea cheltuielilor de natura investiţiilor la nivelul spitalelor din reţeaua sanitară a acestora, care pot primi astfel de fonduri în condiţiile art. 198, alin. (1), (2) şi (3) din legea nr. 95/2006 privind reforma în domeniul sănătăţii, republicată cu modificările şi completările ulterioare, dar care nu se regăsesc evidenţiate în programul de investiţii anexă la bugetul Ministerului Sănătăţii. </w:t>
            </w:r>
          </w:p>
          <w:p w:rsidR="000219DE" w:rsidRPr="004859F1" w:rsidRDefault="000219DE" w:rsidP="00DB7106">
            <w:pPr>
              <w:ind w:firstLine="708"/>
              <w:jc w:val="both"/>
              <w:rPr>
                <w:rFonts w:ascii="Calibri" w:hAnsi="Calibri" w:cs="Arial"/>
                <w:lang w:val="ro-RO"/>
              </w:rPr>
            </w:pPr>
            <w:r w:rsidRPr="004859F1">
              <w:rPr>
                <w:rFonts w:ascii="Calibri" w:hAnsi="Calibri" w:cs="Arial"/>
                <w:lang w:val="ro-RO"/>
              </w:rPr>
              <w:t>Ministerul Sănătății intenționează introducerea unor criterii transparente și obiective de prioritizare a investițiilor publice finanțate din bugetul său, urmând a realiza și o monitorizare activă a mecanismelor de implementare a acestora.</w:t>
            </w:r>
          </w:p>
          <w:p w:rsidR="000219DE"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bCs/>
                <w:lang w:val="ro-RO"/>
              </w:rPr>
            </w:pPr>
          </w:p>
        </w:tc>
      </w:tr>
    </w:tbl>
    <w:p w:rsidR="002E4765" w:rsidRDefault="002E4765" w:rsidP="002E4765">
      <w:pPr>
        <w:keepLines/>
        <w:widowControl w:val="0"/>
        <w:shd w:val="clear" w:color="auto" w:fill="FFFFFF" w:themeFill="background1"/>
        <w:jc w:val="both"/>
        <w:rPr>
          <w:rFonts w:ascii="Calibri" w:hAnsi="Calibri" w:cs="Calibri"/>
          <w:b/>
          <w:color w:val="002060"/>
          <w:lang w:val="ro-RO"/>
        </w:rPr>
      </w:pPr>
    </w:p>
    <w:p w:rsidR="000219DE" w:rsidRDefault="000219DE" w:rsidP="002E4765">
      <w:pPr>
        <w:keepLines/>
        <w:widowControl w:val="0"/>
        <w:shd w:val="clear" w:color="auto" w:fill="FFFFFF" w:themeFill="background1"/>
        <w:jc w:val="both"/>
        <w:rPr>
          <w:rFonts w:ascii="Calibri" w:hAnsi="Calibri" w:cs="Calibri"/>
          <w:b/>
          <w:color w:val="002060"/>
          <w:lang w:val="ro-RO"/>
        </w:rPr>
      </w:pPr>
    </w:p>
    <w:p w:rsidR="002E4765" w:rsidRDefault="002E4765" w:rsidP="002E4765">
      <w:pPr>
        <w:keepLines/>
        <w:widowControl w:val="0"/>
        <w:shd w:val="clear" w:color="auto" w:fill="FFFFFF" w:themeFill="background1"/>
        <w:jc w:val="both"/>
        <w:rPr>
          <w:rFonts w:ascii="Calibri" w:hAnsi="Calibri" w:cs="Calibri"/>
          <w:b/>
          <w:color w:val="002060"/>
          <w:lang w:val="ro-RO"/>
        </w:rPr>
      </w:pPr>
    </w:p>
    <w:p w:rsidR="00A37269" w:rsidRPr="00C86702" w:rsidRDefault="00A37269" w:rsidP="00A37269">
      <w:pPr>
        <w:keepLines/>
        <w:widowControl w:val="0"/>
        <w:shd w:val="clear" w:color="auto" w:fill="99CCFF"/>
        <w:jc w:val="both"/>
        <w:rPr>
          <w:rFonts w:ascii="Calibri" w:hAnsi="Calibri" w:cs="Calibri"/>
          <w:b/>
          <w:color w:val="002060"/>
          <w:lang w:val="ro-RO"/>
        </w:rPr>
      </w:pPr>
      <w:r w:rsidRPr="00C86702">
        <w:rPr>
          <w:rFonts w:ascii="Calibri" w:hAnsi="Calibri" w:cs="Calibri"/>
          <w:b/>
          <w:color w:val="002060"/>
          <w:lang w:val="ro-RO"/>
        </w:rPr>
        <w:t xml:space="preserve">Politica în domeniul </w:t>
      </w:r>
      <w:r w:rsidRPr="00C86702">
        <w:rPr>
          <w:rFonts w:asciiTheme="minorHAnsi" w:hAnsiTheme="minorHAnsi" w:cs="Calibri"/>
          <w:b/>
          <w:color w:val="002060"/>
          <w:lang w:val="ro-RO"/>
        </w:rPr>
        <w:t>dezvoltării regionale</w:t>
      </w:r>
      <w:r w:rsidR="00413333">
        <w:rPr>
          <w:rFonts w:asciiTheme="minorHAnsi" w:hAnsiTheme="minorHAnsi" w:cs="Calibri"/>
          <w:b/>
          <w:color w:val="002060"/>
          <w:lang w:val="ro-RO"/>
        </w:rPr>
        <w:t xml:space="preserve"> şi </w:t>
      </w:r>
      <w:r w:rsidRPr="00C86702">
        <w:rPr>
          <w:rFonts w:asciiTheme="minorHAnsi" w:hAnsiTheme="minorHAnsi" w:cs="Calibri"/>
          <w:b/>
          <w:color w:val="002060"/>
          <w:lang w:val="ro-RO"/>
        </w:rPr>
        <w:t>administraţiei publice</w:t>
      </w:r>
    </w:p>
    <w:p w:rsidR="00413333" w:rsidRPr="00413333" w:rsidRDefault="00413333" w:rsidP="00413333">
      <w:pPr>
        <w:spacing w:before="120"/>
        <w:jc w:val="both"/>
        <w:rPr>
          <w:rFonts w:ascii="Calibri" w:eastAsia="Calibri" w:hAnsi="Calibri" w:cs="Calibri"/>
          <w:lang w:val="ro-RO" w:eastAsia="ro-RO"/>
        </w:rPr>
      </w:pPr>
      <w:r w:rsidRPr="00413333">
        <w:rPr>
          <w:rFonts w:ascii="Calibri" w:eastAsia="Calibri" w:hAnsi="Calibri" w:cs="Calibri"/>
          <w:lang w:val="ro-RO" w:eastAsia="ro-RO"/>
        </w:rPr>
        <w:t>Ministerul Dezvoltării Regionale și Administrației Publice (MDRAP), împreună cu ministerele de resort, realizează politica guvernamentală în următoarele domenii: dezvoltare regională, coeziune și dezvoltare teritorială, cooperare transfrontalieră, transnațională și interregională, disciplina în construcții, amenajarea teritoriului, urbanism și arhitectură, amenajarea spațiului maritim, mobilitate urbană, locuire, locuințe, clădiri de locuit, reabilitarea termică a clădirilor, gestiune și dezvoltare imobiliar edilitară, lucrări publice, construcții, descentralizare, reformă și reorganizare administrativ-teritorială, fiscalitate și finanțe publice locale, dezvoltarea serviciilor comunitare de utilități publice, ajutor de stat aprobat de autoritățile administrației publice locale, parcuri industriale, programarea, coordonarea, monitorizarea și controlul utilizării asistenței financiare nerambursabile acordate României de către Uniunea Europeană pentru programele din domeniile sale de activitate.</w:t>
      </w:r>
    </w:p>
    <w:p w:rsidR="00413333" w:rsidRPr="00413333" w:rsidRDefault="00413333" w:rsidP="00413333">
      <w:pPr>
        <w:spacing w:before="120"/>
        <w:jc w:val="both"/>
        <w:rPr>
          <w:rFonts w:ascii="Calibri" w:eastAsia="Calibri" w:hAnsi="Calibri" w:cs="Calibri"/>
          <w:lang w:val="ro-RO" w:eastAsia="ro-RO"/>
        </w:rPr>
      </w:pPr>
      <w:r w:rsidRPr="00413333">
        <w:rPr>
          <w:rFonts w:ascii="Calibri" w:eastAsia="Calibri" w:hAnsi="Calibri" w:cs="Calibri"/>
          <w:b/>
          <w:lang w:val="ro-RO" w:eastAsia="ro-RO"/>
        </w:rPr>
        <w:t>Politica în domeniile dezvoltării regionale și administrației publice</w:t>
      </w:r>
      <w:r w:rsidRPr="00413333">
        <w:rPr>
          <w:rFonts w:ascii="Calibri" w:eastAsia="Calibri" w:hAnsi="Calibri" w:cs="Calibri"/>
          <w:lang w:val="ro-RO" w:eastAsia="ro-RO"/>
        </w:rPr>
        <w:t>:</w:t>
      </w:r>
    </w:p>
    <w:p w:rsidR="00413333" w:rsidRPr="00413333" w:rsidRDefault="00413333" w:rsidP="00021698">
      <w:pPr>
        <w:numPr>
          <w:ilvl w:val="0"/>
          <w:numId w:val="131"/>
        </w:numPr>
        <w:spacing w:after="160" w:line="259" w:lineRule="auto"/>
        <w:ind w:left="0"/>
        <w:jc w:val="both"/>
        <w:rPr>
          <w:rFonts w:ascii="Calibri" w:eastAsia="Calibri" w:hAnsi="Calibri" w:cs="Calibri"/>
          <w:lang w:val="ro-RO" w:eastAsia="ro-RO"/>
        </w:rPr>
      </w:pPr>
      <w:r w:rsidRPr="00413333">
        <w:rPr>
          <w:rFonts w:ascii="Calibri" w:eastAsia="Calibri" w:hAnsi="Calibri" w:cs="Calibri"/>
          <w:lang w:val="ro-RO" w:eastAsia="ro-RO"/>
        </w:rPr>
        <w:t>Dezvoltarea regională (Dezvoltare și Cooperare teritorială, Lucrări Publice, Cadastru și publicitate imobiliară);</w:t>
      </w:r>
    </w:p>
    <w:p w:rsidR="00413333" w:rsidRPr="00413333" w:rsidRDefault="00413333" w:rsidP="00021698">
      <w:pPr>
        <w:numPr>
          <w:ilvl w:val="0"/>
          <w:numId w:val="131"/>
        </w:numPr>
        <w:spacing w:after="160" w:line="259" w:lineRule="auto"/>
        <w:ind w:left="0"/>
        <w:jc w:val="both"/>
        <w:rPr>
          <w:rFonts w:ascii="Calibri" w:eastAsia="Calibri" w:hAnsi="Calibri" w:cs="Calibri"/>
          <w:lang w:val="ro-RO" w:eastAsia="ro-RO"/>
        </w:rPr>
      </w:pPr>
      <w:r w:rsidRPr="00413333">
        <w:rPr>
          <w:rFonts w:ascii="Calibri" w:eastAsia="Calibri" w:hAnsi="Calibri" w:cs="Calibri"/>
          <w:lang w:val="ro-RO" w:eastAsia="ro-RO"/>
        </w:rPr>
        <w:t>Administrație Publică;</w:t>
      </w:r>
    </w:p>
    <w:p w:rsidR="00413333" w:rsidRPr="00413333" w:rsidRDefault="00413333" w:rsidP="00021698">
      <w:pPr>
        <w:numPr>
          <w:ilvl w:val="0"/>
          <w:numId w:val="131"/>
        </w:numPr>
        <w:spacing w:after="160" w:line="259" w:lineRule="auto"/>
        <w:ind w:left="0"/>
        <w:jc w:val="both"/>
        <w:rPr>
          <w:rFonts w:ascii="Calibri" w:eastAsia="Calibri" w:hAnsi="Calibri" w:cs="Calibri"/>
          <w:lang w:val="ro-RO" w:eastAsia="ro-RO"/>
        </w:rPr>
      </w:pPr>
      <w:r w:rsidRPr="00413333">
        <w:rPr>
          <w:rFonts w:ascii="Calibri" w:eastAsia="Calibri" w:hAnsi="Calibri" w:cs="Calibri"/>
          <w:lang w:val="ro-RO" w:eastAsia="ro-RO"/>
        </w:rPr>
        <w:t>Fonduri Europene pentru programele din domeniile sale de activitate;</w:t>
      </w:r>
    </w:p>
    <w:p w:rsidR="00413333" w:rsidRPr="00413333" w:rsidRDefault="00413333" w:rsidP="00021698">
      <w:pPr>
        <w:numPr>
          <w:ilvl w:val="0"/>
          <w:numId w:val="131"/>
        </w:numPr>
        <w:spacing w:after="160" w:line="259" w:lineRule="auto"/>
        <w:ind w:left="0"/>
        <w:jc w:val="both"/>
        <w:rPr>
          <w:rFonts w:ascii="Calibri" w:eastAsia="Calibri" w:hAnsi="Calibri" w:cs="Calibri"/>
          <w:lang w:val="ro-RO" w:eastAsia="ro-RO"/>
        </w:rPr>
      </w:pPr>
      <w:r w:rsidRPr="00413333">
        <w:rPr>
          <w:rFonts w:ascii="Calibri" w:eastAsia="Calibri" w:hAnsi="Calibri" w:cs="Calibri"/>
          <w:lang w:val="ro-RO" w:eastAsia="ro-RO"/>
        </w:rPr>
        <w:t>Management  performant.</w:t>
      </w:r>
    </w:p>
    <w:p w:rsidR="00413333" w:rsidRPr="00413333" w:rsidRDefault="00413333" w:rsidP="00413333">
      <w:pPr>
        <w:spacing w:before="120"/>
        <w:jc w:val="both"/>
        <w:rPr>
          <w:rFonts w:ascii="Calibri" w:eastAsia="Calibri" w:hAnsi="Calibri" w:cs="Calibri"/>
          <w:u w:val="single"/>
          <w:lang w:val="ro-RO" w:eastAsia="ro-RO"/>
        </w:rPr>
      </w:pPr>
      <w:r w:rsidRPr="00413333">
        <w:rPr>
          <w:rFonts w:ascii="Calibri" w:eastAsia="Calibri" w:hAnsi="Calibri" w:cs="Calibri"/>
          <w:b/>
          <w:u w:val="single"/>
          <w:lang w:val="ro-RO" w:eastAsia="ro-RO"/>
        </w:rPr>
        <w:t xml:space="preserve">Priorități strategice </w:t>
      </w:r>
    </w:p>
    <w:p w:rsidR="00413333" w:rsidRPr="00413333" w:rsidRDefault="00413333" w:rsidP="00413333">
      <w:pPr>
        <w:jc w:val="both"/>
        <w:rPr>
          <w:rFonts w:ascii="Calibri" w:eastAsia="Calibri" w:hAnsi="Calibri" w:cs="Calibri"/>
          <w:lang w:val="ro-RO" w:eastAsia="ro-RO"/>
        </w:rPr>
      </w:pPr>
      <w:r w:rsidRPr="00413333">
        <w:rPr>
          <w:rFonts w:ascii="Calibri" w:eastAsia="Calibri" w:hAnsi="Calibri" w:cs="Calibri"/>
          <w:lang w:val="ro-RO" w:eastAsia="ro-RO"/>
        </w:rPr>
        <w:t>Prioritățile strategice ale MDRAP sunt următoarele:</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413333">
        <w:rPr>
          <w:rFonts w:ascii="Calibri" w:eastAsia="Calibri" w:hAnsi="Calibri" w:cs="Calibri"/>
          <w:color w:val="000000"/>
          <w:lang w:val="ro-RO" w:eastAsia="ro-RO"/>
        </w:rPr>
        <w:t>Coeziune economică și socială la nivel național, prin dezvoltarea regională echilibrată și durabilă a teritoriului și valorificarea potențialului cooperării teritoriale europene;</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413333">
        <w:rPr>
          <w:rFonts w:ascii="Calibri" w:eastAsia="Calibri" w:hAnsi="Calibri" w:cs="Calibri"/>
          <w:color w:val="000000"/>
          <w:lang w:val="ro-RO" w:eastAsia="ro-RO"/>
        </w:rPr>
        <w:t xml:space="preserve">Administrație publică eficientă; </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413333">
        <w:rPr>
          <w:rFonts w:ascii="Calibri" w:eastAsia="Calibri" w:hAnsi="Calibri" w:cs="Calibri"/>
          <w:color w:val="000000"/>
          <w:lang w:val="ro-RO" w:eastAsia="ro-RO"/>
        </w:rPr>
        <w:t>Creșterea gradului de absorbție a fondurilor nerambursabile;</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413333">
        <w:rPr>
          <w:rFonts w:ascii="Calibri" w:eastAsia="Calibri" w:hAnsi="Calibri" w:cs="Calibri"/>
          <w:color w:val="000000"/>
          <w:lang w:val="ro-RO" w:eastAsia="ro-RO"/>
        </w:rPr>
        <w:t xml:space="preserve">Întărirea capacității administrative a MDRAP (componenta de management organizațional și componenta legislativă). </w:t>
      </w:r>
    </w:p>
    <w:p w:rsidR="00413333" w:rsidRPr="00413333" w:rsidRDefault="00413333" w:rsidP="00413333">
      <w:pPr>
        <w:spacing w:before="120"/>
        <w:jc w:val="both"/>
        <w:rPr>
          <w:rFonts w:ascii="Calibri" w:eastAsia="Calibri" w:hAnsi="Calibri" w:cs="Calibri"/>
          <w:lang w:val="ro-RO" w:eastAsia="ro-RO"/>
        </w:rPr>
      </w:pPr>
      <w:r w:rsidRPr="00413333">
        <w:rPr>
          <w:rFonts w:ascii="Calibri" w:eastAsia="Calibri" w:hAnsi="Calibri" w:cs="Calibri"/>
          <w:b/>
          <w:lang w:val="ro-RO" w:eastAsia="ro-RO"/>
        </w:rPr>
        <w:t>Direcții de acțiune, ținte și obiective propuse, măsuri de implementare a obiectivelor, programe și proiecte avute în vedere în perioada 2019 – 2021:</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8188"/>
      </w:tblGrid>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bookmarkStart w:id="5" w:name="gjdgxs" w:colFirst="0" w:colLast="0"/>
            <w:bookmarkEnd w:id="5"/>
            <w:r w:rsidRPr="00CE1614">
              <w:rPr>
                <w:rFonts w:ascii="Calibri" w:eastAsia="Calibri" w:hAnsi="Calibri" w:cs="Calibri"/>
                <w:lang w:val="ro-RO" w:eastAsia="ro-RO"/>
              </w:rPr>
              <w:t>Direcție de acțiune</w:t>
            </w:r>
          </w:p>
        </w:tc>
        <w:tc>
          <w:tcPr>
            <w:tcW w:w="8188" w:type="dxa"/>
          </w:tcPr>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Dezvoltarea regională (Dezvoltare și Cooperare teritorială, Lucrări publice, Cadastru și publicitate imobiliară)</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lang w:val="ro-RO" w:eastAsia="ro-RO"/>
              </w:rPr>
              <w:t>Politica de dezvoltare regională este finanțată din fonduri europene și de la bugetul național.</w:t>
            </w:r>
          </w:p>
          <w:p w:rsidR="00413333" w:rsidRPr="00CE1614" w:rsidRDefault="00413333" w:rsidP="00021698">
            <w:pPr>
              <w:numPr>
                <w:ilvl w:val="0"/>
                <w:numId w:val="156"/>
              </w:numPr>
              <w:tabs>
                <w:tab w:val="left" w:pos="459"/>
              </w:tabs>
              <w:spacing w:before="120" w:after="160" w:line="259" w:lineRule="auto"/>
              <w:ind w:left="34" w:hanging="34"/>
              <w:jc w:val="both"/>
              <w:rPr>
                <w:rFonts w:ascii="Calibri" w:eastAsia="Calibri" w:hAnsi="Calibri" w:cs="Calibri"/>
                <w:u w:val="single"/>
                <w:lang w:val="ro-RO" w:eastAsia="ro-RO"/>
              </w:rPr>
            </w:pPr>
            <w:r w:rsidRPr="00CE1614">
              <w:rPr>
                <w:rFonts w:ascii="Calibri" w:eastAsia="Calibri" w:hAnsi="Calibri" w:cs="Calibri"/>
                <w:b/>
                <w:u w:val="single"/>
                <w:lang w:val="ro-RO" w:eastAsia="ro-RO"/>
              </w:rPr>
              <w:t>Dezvoltare regională și Cooperare teritorială europeană</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 xml:space="preserve">Politica de dezvoltare regională, implementată prin POR 2014-2020, are ca obiectiv principal </w:t>
            </w:r>
            <w:r w:rsidRPr="00CE1614">
              <w:rPr>
                <w:rFonts w:ascii="Calibri" w:eastAsia="Calibri" w:hAnsi="Calibri" w:cs="Calibri"/>
                <w:b/>
                <w:lang w:val="ro-RO" w:eastAsia="ro-RO"/>
              </w:rPr>
              <w:t>creșterea competitivității economice și îmbunătățirea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r w:rsidRPr="00CE1614">
              <w:rPr>
                <w:rFonts w:ascii="Calibri" w:eastAsia="Calibri" w:hAnsi="Calibri" w:cs="Calibri"/>
                <w:b/>
                <w:i/>
                <w:lang w:val="ro-RO" w:eastAsia="ro-RO"/>
              </w:rPr>
              <w:t>.</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Principalele acțiuni care pot fi vizate de politicile regionale</w:t>
            </w:r>
            <w:r w:rsidRPr="00CE1614">
              <w:rPr>
                <w:rFonts w:ascii="Calibri" w:eastAsia="Calibri" w:hAnsi="Calibri" w:cs="Calibri"/>
                <w:lang w:val="ro-RO" w:eastAsia="ro-RO"/>
              </w:rPr>
              <w:t xml:space="preserve"> sunt: transfer tehnologic, competitivitate IMM-uri, eficiență energetică, dezvoltarea durabilă și integrată a orașelor, patrimoniu cultural, infrastructură de transport rutier, turism, infrastructură socială (sănătate, servicii sociale, educație), sprijinirea regenerării zonelor urbane defavorizate, </w:t>
            </w:r>
            <w:r w:rsidRPr="00CE1614">
              <w:rPr>
                <w:rFonts w:ascii="Calibri" w:eastAsia="Calibri" w:hAnsi="Calibri" w:cs="Calibri"/>
                <w:b/>
                <w:lang w:val="ro-RO" w:eastAsia="ro-RO"/>
              </w:rPr>
              <w:t>cadastru în mediul rural</w:t>
            </w:r>
            <w:r w:rsidRPr="00CE1614">
              <w:rPr>
                <w:rFonts w:ascii="Calibri" w:eastAsia="Calibri" w:hAnsi="Calibri" w:cs="Calibri"/>
                <w:lang w:val="ro-RO" w:eastAsia="ro-RO"/>
              </w:rPr>
              <w:t>.</w:t>
            </w:r>
          </w:p>
          <w:p w:rsidR="00413333" w:rsidRPr="00CE1614" w:rsidRDefault="00413333" w:rsidP="00021698">
            <w:pPr>
              <w:numPr>
                <w:ilvl w:val="0"/>
                <w:numId w:val="156"/>
              </w:numPr>
              <w:spacing w:before="120" w:after="160" w:line="259" w:lineRule="auto"/>
              <w:ind w:left="317" w:hanging="283"/>
              <w:jc w:val="both"/>
              <w:rPr>
                <w:rFonts w:ascii="Calibri" w:eastAsia="Calibri" w:hAnsi="Calibri" w:cs="Calibri"/>
                <w:u w:val="single"/>
                <w:lang w:val="ro-RO" w:eastAsia="ro-RO"/>
              </w:rPr>
            </w:pPr>
            <w:r w:rsidRPr="00CE1614">
              <w:rPr>
                <w:rFonts w:ascii="Calibri" w:eastAsia="Calibri" w:hAnsi="Calibri" w:cs="Calibri"/>
                <w:b/>
                <w:u w:val="single"/>
                <w:lang w:val="ro-RO" w:eastAsia="ro-RO"/>
              </w:rPr>
              <w:t>Lucrări publice, locuințe, construcții</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În vederea asigurării unei dezvoltări teritoriale de coeziune și competitive, prin intermediul politicilor specifice din acest domeniu, ministerul gestionează programe și proiecte de dezvoltare de interes național, regional și local privind construcțiile de locuințe, reabilitarea termică a clădirilor, reducerea vulnerabilității seismice a construcțiilor, infrastructura tehnico-edilitară a serviciului de alimentare cu apă și de canalizare și/sau a serviciului de alimentare cu energie termică a localităților, infrastructura rutieră de interes local și județean de la nivelul satelor, comunelor, orașelor, municipiilor, județelor, precum și infrastructura rutieră ce asigură legăturile dintre acestea, infrastructura social-culturală și sportivă, urbanism, sistem informațional imobiliar-edilitar și bănci de date urbane și teritoriale integrate.</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 xml:space="preserve">Una din măsuri o reprezintă </w:t>
            </w:r>
            <w:r w:rsidRPr="00CE1614">
              <w:rPr>
                <w:rFonts w:ascii="Calibri" w:eastAsia="Calibri" w:hAnsi="Calibri" w:cs="Calibri"/>
                <w:b/>
                <w:lang w:val="ro-RO" w:eastAsia="ro-RO"/>
              </w:rPr>
              <w:t>Asigurarea pachetului minim de servicii publice în fiecare localitate din mediul rural – 10 S (zece servicii)</w:t>
            </w:r>
            <w:r w:rsidRPr="00CE1614">
              <w:rPr>
                <w:rFonts w:ascii="Calibri" w:eastAsia="Calibri" w:hAnsi="Calibri" w:cs="Calibri"/>
                <w:lang w:val="ro-RO" w:eastAsia="ro-RO"/>
              </w:rPr>
              <w:t>.</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Pentru perioada 2019-2021, s-a stabilit definirea și asigurarea din bugetul de stat/ fonduri nerambursabile a sumelor necesare implementării pachetului minim de servicii publice în fiecare localitate. Cele 10 servicii sunt: sănătate; educație; apă – canalizare; energie termică, electrică; transport, drumuri; salubrizare; cultură; culte; sport; locuință.</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Țintă /Obiectiv general</w:t>
            </w:r>
          </w:p>
        </w:tc>
        <w:tc>
          <w:tcPr>
            <w:tcW w:w="8188" w:type="dxa"/>
          </w:tcPr>
          <w:p w:rsidR="00413333" w:rsidRPr="00CE1614" w:rsidRDefault="00413333" w:rsidP="00021698">
            <w:pPr>
              <w:numPr>
                <w:ilvl w:val="0"/>
                <w:numId w:val="147"/>
              </w:numPr>
              <w:spacing w:before="120" w:after="160" w:line="259" w:lineRule="auto"/>
              <w:ind w:left="0" w:firstLine="0"/>
              <w:jc w:val="both"/>
              <w:rPr>
                <w:rFonts w:ascii="Calibri" w:eastAsia="Calibri" w:hAnsi="Calibri" w:cs="Calibri"/>
                <w:lang w:val="ro-RO" w:eastAsia="ro-RO"/>
              </w:rPr>
            </w:pPr>
            <w:r w:rsidRPr="00CE1614">
              <w:rPr>
                <w:rFonts w:ascii="Calibri" w:eastAsia="Calibri" w:hAnsi="Calibri" w:cs="Calibri"/>
                <w:lang w:val="ro-RO" w:eastAsia="ro-RO"/>
              </w:rPr>
              <w:t>Creșterea coeziunii economice și sociale la nivel național prin dezvoltarea regională echilibrată și durabilă a teritoriului, precum și îmbunătățirea cooperării teritoriale transfrontalieră, transnațională și inter-regională.</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Obiective specifice/ Măsuri de implementare pentru perioada 2019 - 2021</w:t>
            </w:r>
          </w:p>
        </w:tc>
        <w:tc>
          <w:tcPr>
            <w:tcW w:w="8188" w:type="dxa"/>
          </w:tcPr>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lang w:val="ro-RO" w:eastAsia="ro-RO"/>
              </w:rPr>
            </w:pPr>
            <w:r w:rsidRPr="00CE1614">
              <w:rPr>
                <w:rFonts w:ascii="Calibri" w:eastAsia="Calibri" w:hAnsi="Calibri" w:cs="Calibri"/>
                <w:b/>
                <w:lang w:val="ro-RO" w:eastAsia="ro-RO"/>
              </w:rPr>
              <w:t>Asigurarea cadrului strategic și de reglementare pentru politicile și strategiile sectoriale în domeniul dezvoltării regionale, lucrărilor publice și cooperării teritoriale europene</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lang w:val="ro-RO" w:eastAsia="ro-RO"/>
              </w:rPr>
            </w:pPr>
            <w:r w:rsidRPr="00CE1614">
              <w:rPr>
                <w:rFonts w:ascii="Calibri" w:eastAsia="Calibri" w:hAnsi="Calibri" w:cs="Calibri"/>
                <w:b/>
                <w:lang w:val="ro-RO" w:eastAsia="ro-RO"/>
              </w:rPr>
              <w:t>Dezvoltarea de instrumente operaționale de gestionare a teritoriului</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lang w:val="ro-RO" w:eastAsia="ro-RO"/>
              </w:rPr>
            </w:pPr>
            <w:r w:rsidRPr="00CE1614">
              <w:rPr>
                <w:rFonts w:ascii="Calibri" w:eastAsia="Calibri" w:hAnsi="Calibri" w:cs="Calibri"/>
                <w:b/>
                <w:lang w:val="ro-RO" w:eastAsia="ro-RO"/>
              </w:rPr>
              <w:t>Îmbunătățirea activității de monitorizare și control a pieței serviciilor comunitare de utilitate publică și asigurarea standardelor de calitate UE</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lang w:val="ro-RO" w:eastAsia="ro-RO"/>
              </w:rPr>
            </w:pPr>
            <w:r w:rsidRPr="00CE1614">
              <w:rPr>
                <w:rFonts w:ascii="Calibri" w:eastAsia="Calibri" w:hAnsi="Calibri" w:cs="Calibri"/>
                <w:b/>
                <w:lang w:val="ro-RO" w:eastAsia="ro-RO"/>
              </w:rPr>
              <w:t>Dezvoltarea teritoriului prin implementarea eficientă și eficace a programelor de investiții finanțate din fonduri comunitare, naționale și din alte surse legal constituite</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Programe/Proiecte prioritare pentru perioada 2019 - 2021</w:t>
            </w:r>
          </w:p>
        </w:tc>
        <w:tc>
          <w:tcPr>
            <w:tcW w:w="8188" w:type="dxa"/>
          </w:tcPr>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 xml:space="preserve">În domeniul </w:t>
            </w:r>
            <w:r w:rsidRPr="00CE1614">
              <w:rPr>
                <w:rFonts w:ascii="Calibri" w:eastAsia="Calibri" w:hAnsi="Calibri" w:cs="Calibri"/>
                <w:b/>
                <w:lang w:val="ro-RO" w:eastAsia="ro-RO"/>
              </w:rPr>
              <w:t>dezvoltării regionale</w:t>
            </w:r>
            <w:r w:rsidRPr="00CE1614">
              <w:rPr>
                <w:rFonts w:ascii="Calibri" w:eastAsia="Calibri" w:hAnsi="Calibri" w:cs="Calibri"/>
                <w:lang w:val="ro-RO" w:eastAsia="ro-RO"/>
              </w:rPr>
              <w:t>, măsurile prioritare sunt: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finalizarea documentelor de implementare a programelor gestionate de către minister</w:t>
            </w:r>
            <w:r w:rsidRPr="00CE1614">
              <w:rPr>
                <w:rFonts w:ascii="Calibri" w:eastAsia="Calibri" w:hAnsi="Calibri" w:cs="Calibri"/>
                <w:color w:val="000000"/>
                <w:lang w:val="ro-RO" w:eastAsia="ro-RO"/>
              </w:rPr>
              <w:t xml:space="preserve"> (ghidurile solicitantului, scheme de ajutor de stat/de minimis, definitivare proceduri  etc.);</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aprobarea Strategiei naționale de dezvoltare teritorială a României și demararea implementării politicilor și programelor derivate din aceasta</w:t>
            </w:r>
            <w:r w:rsidRPr="00CE1614">
              <w:rPr>
                <w:rFonts w:ascii="Calibri" w:eastAsia="Calibri" w:hAnsi="Calibri" w:cs="Calibri"/>
                <w:color w:val="000000"/>
                <w:lang w:val="ro-RO" w:eastAsia="ro-RO"/>
              </w:rPr>
              <w: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implementarea Strategiei integrată de dezvoltare durabilă a Deltei Dunării și implementarea acesteia printr-o Investiție Teritorială Integrată</w:t>
            </w:r>
            <w:r w:rsidRPr="00CE1614">
              <w:rPr>
                <w:rFonts w:ascii="Calibri" w:eastAsia="Calibri" w:hAnsi="Calibri" w:cs="Calibri"/>
                <w:color w:val="000000"/>
                <w:lang w:val="ro-RO" w:eastAsia="ro-RO"/>
              </w:rPr>
              <w:t xml:space="preserve">; </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revizuirea coerentă și corelată a legislației din domeniul amenajării teritoriului, urbanismului, construcțiilor, lucrărilor publice, conform strategiei privind buna reglementare</w:t>
            </w:r>
            <w:r w:rsidRPr="00CE1614">
              <w:rPr>
                <w:rFonts w:ascii="Calibri" w:eastAsia="Calibri" w:hAnsi="Calibri" w:cs="Calibri"/>
                <w:color w:val="000000"/>
                <w:lang w:val="ro-RO" w:eastAsia="ro-RO"/>
              </w:rPr>
              <w: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dezvoltarea de instrumente operaționale de gestionare a teritoriului</w:t>
            </w:r>
            <w:r w:rsidRPr="00CE1614">
              <w:rPr>
                <w:rFonts w:ascii="Calibri" w:eastAsia="Calibri" w:hAnsi="Calibri" w:cs="Calibri"/>
                <w:color w:val="000000"/>
                <w:lang w:val="ro-RO" w:eastAsia="ro-RO"/>
              </w:rPr>
              <w:t xml:space="preserve"> - măsura vizează Agenția Națională de Cadastru și Publicitate Imobiliară și face referire la Dezvoltarea sistemului național de înregistrare a proprietăților. </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u w:val="single"/>
                <w:lang w:val="ro-RO" w:eastAsia="ro-RO"/>
              </w:rPr>
              <w:t>CADASTRU ŞI PUBLICITATE IMOBILIARĂ</w:t>
            </w:r>
            <w:r w:rsidRPr="00CE1614">
              <w:rPr>
                <w:rFonts w:ascii="Calibri" w:eastAsia="Calibri" w:hAnsi="Calibri" w:cs="Calibri"/>
                <w:b/>
                <w:lang w:val="ro-RO" w:eastAsia="ro-RO"/>
              </w:rPr>
              <w:t xml:space="preserve"> – Agenția Națională de Cadastru și Publicitate Imobiliară (ANCPI):</w:t>
            </w:r>
          </w:p>
          <w:p w:rsidR="00413333" w:rsidRPr="00CE1614" w:rsidRDefault="00413333" w:rsidP="00021698">
            <w:pPr>
              <w:numPr>
                <w:ilvl w:val="0"/>
                <w:numId w:val="152"/>
              </w:numPr>
              <w:spacing w:before="120" w:after="160" w:line="259" w:lineRule="auto"/>
              <w:ind w:left="317" w:hanging="317"/>
              <w:jc w:val="both"/>
              <w:rPr>
                <w:rFonts w:ascii="Calibri" w:eastAsia="Calibri" w:hAnsi="Calibri" w:cs="Calibri"/>
                <w:lang w:val="ro-RO" w:eastAsia="ro-RO"/>
              </w:rPr>
            </w:pPr>
            <w:r w:rsidRPr="00CE1614">
              <w:rPr>
                <w:rFonts w:ascii="Calibri" w:eastAsia="Calibri" w:hAnsi="Calibri" w:cs="Calibri"/>
                <w:b/>
                <w:color w:val="000000"/>
                <w:lang w:val="ro-RO" w:eastAsia="ro-RO"/>
              </w:rPr>
              <w:t>Programul Național de Cadastru și Carte Funciară</w:t>
            </w:r>
            <w:r w:rsidRPr="00CE1614">
              <w:rPr>
                <w:rFonts w:ascii="Calibri" w:eastAsia="Calibri" w:hAnsi="Calibri" w:cs="Calibri"/>
                <w:color w:val="000000"/>
                <w:lang w:val="ro-RO" w:eastAsia="ro-RO"/>
              </w:rPr>
              <w:t xml:space="preserve"> - Prin aprobarea Ordonanței de urgență nr. 35/28.06.2016 privind modificarea și completarea                                Legii cadastrului și a publicității imobiliare nr. 7/1996, a fost introdusă</w:t>
            </w:r>
            <w:r w:rsidRPr="00CE1614">
              <w:rPr>
                <w:rFonts w:ascii="Calibri" w:eastAsia="Calibri" w:hAnsi="Calibri" w:cs="Calibri"/>
                <w:b/>
                <w:color w:val="000000"/>
                <w:lang w:val="ro-RO" w:eastAsia="ro-RO"/>
              </w:rPr>
              <w:t xml:space="preserve"> finanțarea/ cofinanţarea de către ANCPI a lucrărilor de înregistrare sistematică inițiate de unităţile administrativ-teritoriale</w:t>
            </w:r>
            <w:r w:rsidRPr="00CE1614">
              <w:rPr>
                <w:rFonts w:ascii="Calibri" w:eastAsia="Calibri" w:hAnsi="Calibri" w:cs="Calibri"/>
                <w:color w:val="000000"/>
                <w:lang w:val="ro-RO" w:eastAsia="ro-RO"/>
              </w:rPr>
              <w:t>, desfășurate la nivel de sector cadastral extravilan și respectiv intravilan pentru unitățile administrativ-teritoriale care nu dețin suprafețe în extravilan, în condițiile expres prevăzute de Lege.</w:t>
            </w:r>
          </w:p>
          <w:p w:rsidR="00413333" w:rsidRPr="00CE1614" w:rsidRDefault="00413333" w:rsidP="00021698">
            <w:pPr>
              <w:numPr>
                <w:ilvl w:val="0"/>
                <w:numId w:val="152"/>
              </w:numPr>
              <w:spacing w:before="120" w:after="160" w:line="259" w:lineRule="auto"/>
              <w:ind w:left="317" w:hanging="317"/>
              <w:jc w:val="both"/>
              <w:rPr>
                <w:rFonts w:ascii="Calibri" w:eastAsia="Calibri" w:hAnsi="Calibri" w:cs="Calibri"/>
                <w:lang w:val="ro-RO" w:eastAsia="ro-RO"/>
              </w:rPr>
            </w:pPr>
            <w:r w:rsidRPr="00CE1614">
              <w:rPr>
                <w:rFonts w:ascii="Calibri" w:eastAsia="Calibri" w:hAnsi="Calibri" w:cs="Calibri"/>
                <w:b/>
                <w:color w:val="000000"/>
                <w:lang w:val="ro-RO" w:eastAsia="ro-RO"/>
              </w:rPr>
              <w:t>Continuarea contractelor din cadrul Proiectului pilot de înregistrare sistematică a imobilelor</w:t>
            </w:r>
          </w:p>
          <w:p w:rsidR="00413333" w:rsidRPr="00CE1614" w:rsidRDefault="00413333" w:rsidP="00413333">
            <w:pPr>
              <w:spacing w:before="120"/>
              <w:ind w:left="317"/>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Rezultatul așteptat: Înregistrarea proprietăților rurale selectate în Sistemul Informatic Integrat de Cadastru și Carte Funciară.</w:t>
            </w:r>
          </w:p>
          <w:p w:rsidR="00413333" w:rsidRPr="00CE1614" w:rsidRDefault="00413333" w:rsidP="00413333">
            <w:pPr>
              <w:ind w:left="317"/>
              <w:jc w:val="both"/>
              <w:rPr>
                <w:rFonts w:ascii="Calibri" w:eastAsia="Arial" w:hAnsi="Calibri" w:cs="Arial"/>
                <w:lang w:val="ro-RO" w:eastAsia="ro-RO"/>
              </w:rPr>
            </w:pPr>
            <w:r w:rsidRPr="00CE1614">
              <w:rPr>
                <w:rFonts w:ascii="Calibri" w:eastAsia="Arial" w:hAnsi="Calibri" w:cs="Arial"/>
                <w:b/>
                <w:lang w:val="ro-RO" w:eastAsia="ro-RO"/>
              </w:rPr>
              <w:t>Stadiul înregistrării sistematice</w:t>
            </w:r>
            <w:r w:rsidRPr="00CE1614">
              <w:rPr>
                <w:rFonts w:ascii="Calibri" w:eastAsia="Arial" w:hAnsi="Calibri" w:cs="Arial"/>
                <w:lang w:val="ro-RO" w:eastAsia="ro-RO"/>
              </w:rPr>
              <w:t xml:space="preserve"> la această dată este următorul: </w:t>
            </w:r>
          </w:p>
          <w:p w:rsidR="00413333" w:rsidRPr="00CE1614" w:rsidRDefault="00413333" w:rsidP="00413333">
            <w:pPr>
              <w:ind w:firstLine="720"/>
              <w:jc w:val="both"/>
              <w:rPr>
                <w:rFonts w:ascii="Calibri" w:eastAsia="Calibri" w:hAnsi="Calibri" w:cs="Calibri"/>
                <w:lang w:val="ro-RO" w:eastAsia="ro-RO"/>
              </w:rPr>
            </w:pPr>
            <w:r w:rsidRPr="00CE1614">
              <w:rPr>
                <w:rFonts w:ascii="Calibri" w:eastAsia="Calibri" w:hAnsi="Calibri" w:cs="Calibri"/>
                <w:lang w:val="ro-RO" w:eastAsia="ro-RO"/>
              </w:rPr>
              <w:t xml:space="preserve">- </w:t>
            </w:r>
            <w:r w:rsidRPr="00CE1614">
              <w:rPr>
                <w:rFonts w:ascii="Calibri" w:eastAsia="Calibri" w:hAnsi="Calibri" w:cs="Calibri"/>
                <w:b/>
                <w:lang w:val="ro-RO" w:eastAsia="ro-RO"/>
              </w:rPr>
              <w:t xml:space="preserve">au fost finalizate lucrări de înregistrare sistematică </w:t>
            </w:r>
            <w:r w:rsidRPr="00CE1614">
              <w:rPr>
                <w:rFonts w:ascii="Calibri" w:eastAsia="Calibri" w:hAnsi="Calibri" w:cs="Calibri"/>
                <w:lang w:val="ro-RO" w:eastAsia="ro-RO"/>
              </w:rPr>
              <w:t>în</w:t>
            </w:r>
            <w:r w:rsidRPr="00CE1614">
              <w:rPr>
                <w:rFonts w:ascii="Calibri" w:eastAsia="Calibri" w:hAnsi="Calibri" w:cs="Calibri"/>
                <w:b/>
                <w:lang w:val="ro-RO" w:eastAsia="ro-RO"/>
              </w:rPr>
              <w:t>:</w:t>
            </w:r>
          </w:p>
          <w:p w:rsidR="00413333" w:rsidRPr="00CE1614" w:rsidRDefault="00413333" w:rsidP="00021698">
            <w:pPr>
              <w:numPr>
                <w:ilvl w:val="0"/>
                <w:numId w:val="154"/>
              </w:numPr>
              <w:spacing w:after="160" w:line="259" w:lineRule="auto"/>
              <w:ind w:hanging="1253"/>
              <w:contextualSpacing/>
              <w:jc w:val="both"/>
              <w:rPr>
                <w:rFonts w:ascii="Calibri" w:eastAsia="Calibri" w:hAnsi="Calibri" w:cs="Calibri"/>
                <w:lang w:val="ro-RO" w:eastAsia="ro-RO"/>
              </w:rPr>
            </w:pPr>
            <w:r w:rsidRPr="00CE1614">
              <w:rPr>
                <w:rFonts w:ascii="Calibri" w:eastAsia="Calibri" w:hAnsi="Calibri" w:cs="Calibri"/>
                <w:b/>
                <w:lang w:val="ro-RO" w:eastAsia="ro-RO"/>
              </w:rPr>
              <w:t xml:space="preserve"> 57 de UAT – uri </w:t>
            </w:r>
            <w:r w:rsidRPr="00CE1614">
              <w:rPr>
                <w:rFonts w:ascii="Calibri" w:eastAsia="Calibri" w:hAnsi="Calibri" w:cs="Calibri"/>
                <w:lang w:val="ro-RO" w:eastAsia="ro-RO"/>
              </w:rPr>
              <w:t xml:space="preserve">din  20 de județe, în integralitate, fiind înregistrate gratuit un număr de  </w:t>
            </w:r>
            <w:r w:rsidRPr="00CE1614">
              <w:rPr>
                <w:rFonts w:ascii="Calibri" w:eastAsia="Calibri" w:hAnsi="Calibri" w:cs="Arial"/>
                <w:b/>
                <w:lang w:val="ro-RO" w:eastAsia="ro-RO"/>
              </w:rPr>
              <w:t xml:space="preserve">529.502 </w:t>
            </w:r>
            <w:r w:rsidRPr="00CE1614">
              <w:rPr>
                <w:rFonts w:ascii="Calibri" w:eastAsia="Calibri" w:hAnsi="Calibri" w:cs="Calibri"/>
                <w:lang w:val="ro-RO" w:eastAsia="ro-RO"/>
              </w:rPr>
              <w:t xml:space="preserve">imobile cu o suprafață aferentă de  </w:t>
            </w:r>
            <w:r w:rsidRPr="00CE1614">
              <w:rPr>
                <w:rFonts w:ascii="Calibri" w:eastAsia="Calibri" w:hAnsi="Calibri" w:cs="Arial"/>
                <w:b/>
                <w:lang w:val="ro-RO" w:eastAsia="ro-RO"/>
              </w:rPr>
              <w:t xml:space="preserve">348.981,95 </w:t>
            </w:r>
            <w:r w:rsidRPr="00CE1614">
              <w:rPr>
                <w:rFonts w:ascii="Calibri" w:eastAsia="Calibri" w:hAnsi="Calibri" w:cs="Calibri"/>
                <w:lang w:val="ro-RO" w:eastAsia="ro-RO"/>
              </w:rPr>
              <w:t>ha;</w:t>
            </w:r>
          </w:p>
          <w:p w:rsidR="00413333" w:rsidRPr="00CE1614" w:rsidRDefault="00413333" w:rsidP="00021698">
            <w:pPr>
              <w:numPr>
                <w:ilvl w:val="0"/>
                <w:numId w:val="154"/>
              </w:numPr>
              <w:spacing w:after="160" w:line="259" w:lineRule="auto"/>
              <w:ind w:hanging="1253"/>
              <w:contextualSpacing/>
              <w:jc w:val="both"/>
              <w:rPr>
                <w:rFonts w:ascii="Calibri" w:eastAsia="Calibri" w:hAnsi="Calibri" w:cs="Calibri"/>
                <w:lang w:val="ro-RO" w:eastAsia="ro-RO"/>
              </w:rPr>
            </w:pPr>
            <w:r w:rsidRPr="00CE1614">
              <w:rPr>
                <w:rFonts w:ascii="Calibri" w:eastAsia="Calibri" w:hAnsi="Calibri" w:cs="Calibri"/>
                <w:b/>
                <w:lang w:val="ro-RO" w:eastAsia="ro-RO"/>
              </w:rPr>
              <w:t xml:space="preserve"> 2.982 de sectoare cadastrale din cadrul a 862 de UAT – uri</w:t>
            </w:r>
            <w:r w:rsidRPr="00CE1614">
              <w:rPr>
                <w:rFonts w:ascii="Calibri" w:eastAsia="Calibri" w:hAnsi="Calibri" w:cs="Calibri"/>
                <w:lang w:val="ro-RO" w:eastAsia="ro-RO"/>
              </w:rPr>
              <w:t>, fiind înregistrate gratuit un număr de 523.402 imobile cu o suprafață aferentă de  388.008,15 ha</w:t>
            </w:r>
            <w:r w:rsidRPr="00CE1614">
              <w:rPr>
                <w:rFonts w:ascii="Calibri" w:eastAsia="Calibri" w:hAnsi="Calibri" w:cs="Calibri"/>
                <w:b/>
                <w:lang w:val="ro-RO" w:eastAsia="ro-RO"/>
              </w:rPr>
              <w:t>.</w:t>
            </w:r>
          </w:p>
          <w:p w:rsidR="00413333" w:rsidRPr="00CE1614" w:rsidRDefault="00413333" w:rsidP="00021698">
            <w:pPr>
              <w:numPr>
                <w:ilvl w:val="0"/>
                <w:numId w:val="150"/>
              </w:numPr>
              <w:spacing w:after="160" w:line="259" w:lineRule="auto"/>
              <w:ind w:left="884" w:hanging="140"/>
              <w:contextualSpacing/>
              <w:jc w:val="both"/>
              <w:rPr>
                <w:rFonts w:ascii="Calibri" w:eastAsia="Calibri" w:hAnsi="Calibri" w:cs="Calibri"/>
                <w:lang w:val="ro-RO" w:eastAsia="ro-RO"/>
              </w:rPr>
            </w:pPr>
            <w:r w:rsidRPr="00CE1614">
              <w:rPr>
                <w:rFonts w:ascii="Calibri" w:eastAsia="Arial" w:hAnsi="Calibri" w:cs="Arial"/>
                <w:b/>
                <w:lang w:val="ro-RO" w:eastAsia="ro-RO"/>
              </w:rPr>
              <w:t>sunt în derulare / inițiate procedurile necesare lucrărilor de înregistrare sistematică</w:t>
            </w:r>
            <w:r w:rsidRPr="00CE1614">
              <w:rPr>
                <w:rFonts w:ascii="Calibri" w:eastAsia="Arial" w:hAnsi="Calibri" w:cs="Arial"/>
                <w:lang w:val="ro-RO" w:eastAsia="ro-RO"/>
              </w:rPr>
              <w:t xml:space="preserve"> în:</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lang w:val="ro-RO" w:eastAsia="ro-RO"/>
              </w:rPr>
            </w:pPr>
            <w:r w:rsidRPr="00CE1614">
              <w:rPr>
                <w:rFonts w:ascii="Calibri" w:eastAsia="Arial" w:hAnsi="Calibri" w:cs="Arial"/>
                <w:b/>
                <w:lang w:val="ro-RO" w:eastAsia="ro-RO"/>
              </w:rPr>
              <w:t xml:space="preserve"> 181 de UAT – uri </w:t>
            </w:r>
            <w:r w:rsidRPr="00CE1614">
              <w:rPr>
                <w:rFonts w:ascii="Calibri" w:eastAsia="Arial" w:hAnsi="Calibri" w:cs="Arial"/>
                <w:lang w:val="ro-RO" w:eastAsia="ro-RO"/>
              </w:rPr>
              <w:t>din cadrul a 41 de județe, la nivelul întregului UAT;</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lang w:val="ro-RO" w:eastAsia="ro-RO"/>
              </w:rPr>
            </w:pPr>
            <w:r w:rsidRPr="00CE1614">
              <w:rPr>
                <w:rFonts w:ascii="Calibri" w:eastAsia="Arial" w:hAnsi="Calibri" w:cs="Arial"/>
                <w:b/>
                <w:lang w:val="ro-RO" w:eastAsia="ro-RO"/>
              </w:rPr>
              <w:t>12.575 de sectoare cadastrale din cadrul a 1.479 de UAT- uri (finanțarea 2017-2019)</w:t>
            </w:r>
            <w:r w:rsidRPr="00CE1614">
              <w:rPr>
                <w:rFonts w:ascii="Calibri" w:eastAsia="Arial" w:hAnsi="Calibri" w:cs="Arial"/>
                <w:lang w:val="ro-RO" w:eastAsia="ro-RO"/>
              </w:rPr>
              <w:t>;</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lang w:val="ro-RO" w:eastAsia="ro-RO"/>
              </w:rPr>
            </w:pPr>
            <w:r w:rsidRPr="00CE1614">
              <w:rPr>
                <w:rFonts w:ascii="Calibri" w:eastAsia="Arial" w:hAnsi="Calibri" w:cs="Arial"/>
                <w:b/>
                <w:lang w:val="ro-RO" w:eastAsia="ro-RO"/>
              </w:rPr>
              <w:t xml:space="preserve"> 12.404 de sectoare cadastrale din cadrul a 1.599 de UAT- uri (finanțarea  2018-2019).</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lang w:val="ro-RO" w:eastAsia="ro-RO"/>
              </w:rPr>
            </w:pPr>
            <w:r w:rsidRPr="00CE1614">
              <w:rPr>
                <w:rFonts w:ascii="Calibri" w:eastAsia="Arial" w:hAnsi="Calibri" w:cs="Arial"/>
                <w:b/>
                <w:lang w:val="ro-RO" w:eastAsia="ro-RO"/>
              </w:rPr>
              <w:t>1.209 de sectoare cadastrale din cadrul a 185 de UAT- uri (finanțarea 2018-2020).</w:t>
            </w:r>
          </w:p>
          <w:p w:rsidR="00413333" w:rsidRPr="00CE1614" w:rsidRDefault="00413333" w:rsidP="00021698">
            <w:pPr>
              <w:numPr>
                <w:ilvl w:val="0"/>
                <w:numId w:val="151"/>
              </w:numPr>
              <w:pBdr>
                <w:top w:val="nil"/>
                <w:left w:val="nil"/>
                <w:bottom w:val="nil"/>
                <w:right w:val="nil"/>
                <w:between w:val="nil"/>
              </w:pBdr>
              <w:spacing w:after="160" w:line="259" w:lineRule="auto"/>
              <w:ind w:left="109" w:hanging="720"/>
              <w:contextualSpacing/>
              <w:jc w:val="both"/>
              <w:rPr>
                <w:rFonts w:ascii="Calibri" w:eastAsia="Calibri" w:hAnsi="Calibri" w:cs="Arial"/>
                <w:lang w:val="ro-RO" w:eastAsia="ro-RO"/>
              </w:rPr>
            </w:pPr>
            <w:r w:rsidRPr="00CE1614">
              <w:rPr>
                <w:rFonts w:ascii="Calibri" w:eastAsia="Calibri" w:hAnsi="Calibri" w:cs="Calibri"/>
                <w:b/>
                <w:lang w:val="ro-RO" w:eastAsia="ro-RO"/>
              </w:rPr>
              <w:t xml:space="preserve">        - POR 2014 - 2020, Axa prioritară 11 - Extinderea geografică a sistemului de înregistrare a proprietăților în cadastru şi cartea funciară</w:t>
            </w:r>
            <w:r w:rsidRPr="00CE1614">
              <w:rPr>
                <w:rFonts w:ascii="Calibri" w:eastAsia="Calibri" w:hAnsi="Calibri" w:cs="Calibri"/>
                <w:lang w:val="ro-RO" w:eastAsia="ro-RO"/>
              </w:rPr>
              <w:t>: Această prioritate de investiții va fi implementată prin intermediul unui proiect major ce își propune să contribuie la creșterea economică rurală, să sprijine creșterea economico-socială, să faciliteze dezvoltarea infrastructurii și să promoveze incluziunea printr-o lărgire a acoperirii înregistrărilor privind drepturile imobiliare din zonele rurale ale României. ANCPI a încheiat Contractul de finanțare nr. 3250/26.09,2018 pentru Proiectul major – Cod MySMIS 120063, cu Ministerul Dezvoltării Regionale și Administrației Publice (MDRAP) împreună cu 7 organisme intermediare organizate la nivelul regiunilor de dezvoltare ale României.</w:t>
            </w:r>
          </w:p>
          <w:p w:rsidR="00413333" w:rsidRPr="00CE1614" w:rsidRDefault="00413333" w:rsidP="00413333">
            <w:pPr>
              <w:pBdr>
                <w:top w:val="nil"/>
                <w:left w:val="nil"/>
                <w:bottom w:val="nil"/>
                <w:right w:val="nil"/>
                <w:between w:val="nil"/>
              </w:pBdr>
              <w:ind w:hanging="720"/>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Obiect       Obiective PNCCF  2015 - 2023: </w:t>
            </w:r>
            <w:r w:rsidRPr="00CE1614">
              <w:rPr>
                <w:rFonts w:ascii="Calibri" w:eastAsia="Calibri" w:hAnsi="Calibri" w:cs="Calibri"/>
                <w:color w:val="000000"/>
                <w:lang w:val="ro-RO" w:eastAsia="ro-RO"/>
              </w:rPr>
              <w:t>Finalizarea înregistrărilor la nivel național în Sistemul integrat de cadastru și carte funciară a tuturor imobilelor.</w:t>
            </w:r>
          </w:p>
          <w:p w:rsidR="00413333" w:rsidRPr="00CE1614" w:rsidRDefault="00413333" w:rsidP="00413333">
            <w:pPr>
              <w:spacing w:before="120" w:after="120"/>
              <w:jc w:val="both"/>
              <w:rPr>
                <w:rFonts w:ascii="Calibri" w:eastAsia="Calibri" w:hAnsi="Calibri" w:cs="Calibri"/>
                <w:lang w:val="ro-RO" w:eastAsia="ro-RO"/>
              </w:rPr>
            </w:pPr>
            <w:r w:rsidRPr="00CE1614">
              <w:rPr>
                <w:rFonts w:ascii="Calibri" w:eastAsia="Calibri" w:hAnsi="Calibri" w:cs="Calibri"/>
                <w:b/>
                <w:lang w:val="ro-RO" w:eastAsia="ro-RO"/>
              </w:rPr>
              <w:t>Proiecte finanțate din fonduri externe nerambursabile:</w:t>
            </w:r>
          </w:p>
          <w:p w:rsidR="00413333" w:rsidRPr="00CE1614" w:rsidRDefault="00413333" w:rsidP="00413333">
            <w:pPr>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1) Consolidarea capacității instituționale a Agenției Naționale de Cadastru și Publicitate Imobiliară în vederea implementării programelor, reformării cadrului legislativ și creșterii calității serviciilor furnizate;</w:t>
            </w:r>
          </w:p>
          <w:p w:rsidR="00413333" w:rsidRPr="00CE1614" w:rsidRDefault="00413333" w:rsidP="00413333">
            <w:pPr>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2) Dezvoltarea și introducerea instrumentelor și standardelor de gestiune a documentelor și fluxurilor în vederea optimizării proceselor orientate către cetățeni și mediul de afaceri;</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color w:val="000000"/>
                <w:lang w:val="ro-RO" w:eastAsia="ro-RO"/>
              </w:rPr>
              <w:t>3) Informații geografice pentru mediu schimbări climatice și integrare UE LAKI III;</w:t>
            </w:r>
          </w:p>
          <w:p w:rsidR="00413333" w:rsidRPr="00CE1614" w:rsidRDefault="00413333" w:rsidP="00413333">
            <w:pPr>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4) Proiectul major „Creșterea gradului de acoperire și incluziune a sistemului de înregistrare a proprietăților în zonele rurale din România”, Axa 11- Extinderea geografică a sistemului de înregistrare a proprietăților în cadastru și cartea funciară din POR 2014 – 2020.</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 xml:space="preserve">5) Proiectul VOLTA – inovație în datele geospațiale și 3D/ Schimb de experienţă în domeniul cercetării şi inovaţiei </w:t>
            </w:r>
          </w:p>
          <w:p w:rsidR="00413333" w:rsidRPr="00CE1614" w:rsidRDefault="00413333" w:rsidP="00413333">
            <w:pPr>
              <w:ind w:firstLine="606"/>
              <w:jc w:val="both"/>
              <w:rPr>
                <w:rFonts w:ascii="Calibri" w:eastAsia="Calibri" w:hAnsi="Calibri" w:cs="Calibri"/>
                <w:lang w:val="ro-RO" w:eastAsia="ro-RO"/>
              </w:rPr>
            </w:pPr>
          </w:p>
          <w:p w:rsidR="00413333" w:rsidRPr="00CE1614" w:rsidRDefault="00413333" w:rsidP="00413333">
            <w:pPr>
              <w:ind w:firstLine="606"/>
              <w:jc w:val="both"/>
              <w:rPr>
                <w:rFonts w:ascii="Calibri" w:eastAsia="Calibri" w:hAnsi="Calibri" w:cs="Calibri"/>
                <w:color w:val="000000"/>
                <w:lang w:val="ro-RO" w:eastAsia="ro-RO"/>
              </w:rPr>
            </w:pPr>
            <w:r w:rsidRPr="00CE1614">
              <w:rPr>
                <w:rFonts w:ascii="Calibri" w:eastAsia="Calibri" w:hAnsi="Calibri" w:cs="Calibri"/>
                <w:lang w:val="ro-RO" w:eastAsia="ro-RO"/>
              </w:rPr>
              <w:t xml:space="preserve">Perioada de desfășurare a proiectului este 2017-2021, este un proiect cu 100% finanțare europeană. Proiectul VOLTA intenționează să proiecteze și să valideze metodologii inovatoare pentru prelucrarea și manipularea datelor geospațiale 3D pentru a sprijini aplicațiile practice pentru abordările cartografierii fotogrammetrice. În acest scop, obiectivele științifice și tehnice (S&amp;T) ale VOLTA sunt strâns legate de metode de cartografiere, monitorizare și management ale teritoriului. </w:t>
            </w:r>
          </w:p>
          <w:p w:rsidR="00413333" w:rsidRPr="00CE1614" w:rsidRDefault="00413333" w:rsidP="00413333">
            <w:pPr>
              <w:spacing w:line="259" w:lineRule="auto"/>
              <w:ind w:firstLine="706"/>
              <w:jc w:val="both"/>
              <w:rPr>
                <w:rFonts w:ascii="Calibri" w:eastAsia="Calibri" w:hAnsi="Calibri" w:cs="Calibri"/>
                <w:lang w:val="ro-RO" w:eastAsia="ro-RO"/>
              </w:rPr>
            </w:pPr>
            <w:r w:rsidRPr="00CE1614">
              <w:rPr>
                <w:rFonts w:ascii="Calibri" w:eastAsia="Calibri" w:hAnsi="Calibri" w:cs="Calibri"/>
                <w:lang w:val="ro-RO" w:eastAsia="ro-RO"/>
              </w:rPr>
              <w:t>Consorțiul este pe deplin convins de potențialul și inovația proiectului VOLTA pentru comunitatea științifică și pentru societate în general, dat fiind faptul că datele geospațiale și analizele spațiale sunt ingrediente esențiale pentru crearea unui viitor durabil. Crearea de rețele, schimbul de cunoștințe și formarea de echipe între țări și medii de lucru vor garanta furnizarea de metodologii geospațiale inovatoare și vor stimula înțelegerea reciprocă și know-how-ul oamenilor de știință și al profesioniștilor cu un avantaj enorm pentru creșterea culturală, bunăstarea socială și piața geospațială.</w:t>
            </w:r>
          </w:p>
          <w:p w:rsidR="00413333" w:rsidRPr="00CE1614" w:rsidRDefault="00413333" w:rsidP="00413333">
            <w:pPr>
              <w:spacing w:line="259" w:lineRule="auto"/>
              <w:ind w:firstLine="708"/>
              <w:jc w:val="both"/>
              <w:rPr>
                <w:rFonts w:ascii="Calibri" w:eastAsia="Calibri" w:hAnsi="Calibri" w:cs="Calibri"/>
                <w:lang w:val="ro-RO" w:eastAsia="ro-RO"/>
              </w:rPr>
            </w:pPr>
            <w:r w:rsidRPr="00CE1614">
              <w:rPr>
                <w:rFonts w:ascii="Calibri" w:eastAsia="Calibri" w:hAnsi="Calibri" w:cs="Calibri"/>
                <w:lang w:val="ro-RO" w:eastAsia="ro-RO"/>
              </w:rPr>
              <w:t>Pachete de lucru (WP):</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1 – Coordonarea si managementul proiectului</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2 – Automatizarea fotogrammetriei / cartografiei</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3 – Integrarea și fuziunea datelor / senzorilor</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4 – Segmentarea și îmbogățirea semantică a datelor geospațiale</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5 –Servicii web de geoprocesare</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6 – Diseminare și comunicare</w:t>
            </w:r>
          </w:p>
          <w:p w:rsidR="00413333" w:rsidRPr="00CE1614" w:rsidRDefault="00413333" w:rsidP="00413333">
            <w:pPr>
              <w:spacing w:line="259" w:lineRule="auto"/>
              <w:ind w:left="709"/>
              <w:jc w:val="both"/>
              <w:rPr>
                <w:rFonts w:ascii="Calibri" w:eastAsia="Calibri" w:hAnsi="Calibri" w:cs="Calibri"/>
                <w:lang w:val="ro-RO" w:eastAsia="ro-RO"/>
              </w:rPr>
            </w:pPr>
            <w:r w:rsidRPr="00CE1614">
              <w:rPr>
                <w:rFonts w:ascii="Calibri" w:eastAsia="Calibri" w:hAnsi="Calibri" w:cs="Calibri"/>
                <w:lang w:val="ro-RO" w:eastAsia="ro-RO"/>
              </w:rPr>
              <w:t>WP 7 – Transferul de cunoștințe, instruire și networking</w:t>
            </w:r>
          </w:p>
          <w:p w:rsidR="00413333" w:rsidRPr="00CE1614" w:rsidRDefault="00413333" w:rsidP="00413333">
            <w:pPr>
              <w:spacing w:line="259" w:lineRule="auto"/>
              <w:ind w:left="709"/>
              <w:jc w:val="both"/>
              <w:rPr>
                <w:rFonts w:ascii="Calibri" w:eastAsia="Calibri" w:hAnsi="Calibri" w:cs="Calibri"/>
                <w:color w:val="000000"/>
                <w:lang w:val="ro-RO" w:eastAsia="ro-RO"/>
              </w:rPr>
            </w:pP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color w:val="000000"/>
                <w:lang w:val="ro-RO" w:eastAsia="ro-RO"/>
              </w:rPr>
              <w:t xml:space="preserve">6) </w:t>
            </w:r>
            <w:r w:rsidRPr="00CE1614">
              <w:rPr>
                <w:rFonts w:ascii="Calibri" w:eastAsia="Calibri" w:hAnsi="Calibri" w:cs="Calibri"/>
                <w:lang w:val="ro-RO" w:eastAsia="ro-RO"/>
              </w:rPr>
              <w:t>Proiect transnațional -MOON MObility thrOugh educatioN in geospatial data.</w:t>
            </w:r>
          </w:p>
          <w:p w:rsidR="00413333" w:rsidRPr="00CE1614" w:rsidRDefault="00413333" w:rsidP="00413333">
            <w:pPr>
              <w:ind w:firstLine="322"/>
              <w:jc w:val="both"/>
              <w:rPr>
                <w:rFonts w:ascii="Calibri" w:eastAsia="Calibri" w:hAnsi="Calibri" w:cs="Calibri"/>
                <w:lang w:val="ro-RO" w:eastAsia="ro-RO"/>
              </w:rPr>
            </w:pPr>
            <w:r w:rsidRPr="00CE1614">
              <w:rPr>
                <w:rFonts w:ascii="Calibri" w:eastAsia="Calibri" w:hAnsi="Calibri" w:cs="Calibri"/>
                <w:lang w:val="ro-RO" w:eastAsia="ro-RO"/>
              </w:rPr>
              <w:t>Perioada de implementare a proiectului M.O.O.N. este de 48 de luni, începând cu data care va fi aprobată pentru începerea implementării. Tema promovata de proiect reprezintă colaborarea internațională și intersectorială prin schimbul de cunoștințe și idei și sprijinirea dezvoltării economiei bazate pe cunoaștere și consolidarea legăturii dintre sistemele de invățamant , educație și formare și piața forței de muncă.</w:t>
            </w:r>
          </w:p>
          <w:p w:rsidR="00413333" w:rsidRPr="00CE1614" w:rsidRDefault="00413333" w:rsidP="00413333">
            <w:pPr>
              <w:spacing w:line="259" w:lineRule="auto"/>
              <w:ind w:firstLine="322"/>
              <w:jc w:val="both"/>
              <w:rPr>
                <w:rFonts w:ascii="Calibri" w:eastAsia="Calibri" w:hAnsi="Calibri" w:cs="Calibri"/>
                <w:lang w:val="ro-RO" w:eastAsia="ro-RO"/>
              </w:rPr>
            </w:pPr>
            <w:r w:rsidRPr="00CE1614">
              <w:rPr>
                <w:rFonts w:ascii="Calibri" w:eastAsia="Calibri" w:hAnsi="Calibri" w:cs="Calibri"/>
                <w:lang w:val="ro-RO" w:eastAsia="ro-RO"/>
              </w:rPr>
              <w:t>Activităţile principale  pe care şi le-a propus CNC sunt :</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lang w:val="ro-RO" w:eastAsia="ro-RO"/>
              </w:rPr>
            </w:pPr>
            <w:r w:rsidRPr="00CE1614">
              <w:rPr>
                <w:rFonts w:ascii="Calibri" w:eastAsia="Calibri" w:hAnsi="Calibri" w:cs="Calibri"/>
                <w:color w:val="000000"/>
                <w:lang w:val="ro-RO" w:eastAsia="ro-RO"/>
              </w:rPr>
              <w:t>CNC A1. Dezvoltarea curriculei - abordare teoretică</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lang w:val="ro-RO" w:eastAsia="ro-RO"/>
              </w:rPr>
            </w:pPr>
            <w:r w:rsidRPr="00CE1614">
              <w:rPr>
                <w:rFonts w:ascii="Calibri" w:eastAsia="Calibri" w:hAnsi="Calibri" w:cs="Calibri"/>
                <w:color w:val="000000"/>
                <w:lang w:val="ro-RO" w:eastAsia="ro-RO"/>
              </w:rPr>
              <w:t>CNC A2. Dezvoltarea curriculei - abordare aplicativă - studii de caz</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A3. Ateliere de lucru pentru transferul de cunoștințe - profesori de la universităţile de profil și experți CNC la universitatea şi instituţia de profil din ţara donatoare</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A4. Ateliere de lucru pentru transferul de cunoștințe - profesori de la universităţile de profil și experți CNC la universităţile şi instituţiile de profil partenere</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A5. Concursuri de proiecte pentru studenți - consultanță</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A6. Excursii de studiu (pentru studenții care au câștigat competițiile de proiecte)</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A7. Excursii de studiu pentru experimentarea echipamentului UAV – profesori de la universităţile de profil, experți CNC și studenți - USAMV Banat</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CNC A8. Stabilirea unui Centru de Transfer Cunoştinţe Geospaţiale - MOON (a se citi "Centrul de Excelență") - un departament funcțional în cadrul CNC </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A9. Schimbul de cunoștințe între instituții similare -pentru experți CNC</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lang w:val="ro-RO" w:eastAsia="ro-RO"/>
              </w:rPr>
            </w:pPr>
            <w:r w:rsidRPr="00CE1614">
              <w:rPr>
                <w:rFonts w:ascii="Calibri" w:eastAsia="Calibri" w:hAnsi="Calibri" w:cs="Calibri"/>
                <w:color w:val="000000"/>
                <w:lang w:val="ro-RO" w:eastAsia="ro-RO"/>
              </w:rPr>
              <w:t>CNC A10. Formare de formatori - experți CNC</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CNC A11. Participarea la campania de conştientizare şi diseminare a informaţiilor</w:t>
            </w:r>
          </w:p>
          <w:p w:rsidR="00413333" w:rsidRPr="00CE1614" w:rsidRDefault="00413333" w:rsidP="00413333">
            <w:pPr>
              <w:spacing w:line="259" w:lineRule="auto"/>
              <w:ind w:hanging="2"/>
              <w:jc w:val="both"/>
              <w:rPr>
                <w:rFonts w:ascii="Calibri" w:eastAsia="Calibri" w:hAnsi="Calibri" w:cs="Calibri"/>
                <w:lang w:val="ro-RO" w:eastAsia="ro-RO"/>
              </w:rPr>
            </w:pPr>
            <w:r w:rsidRPr="00CE1614">
              <w:rPr>
                <w:rFonts w:ascii="Calibri" w:eastAsia="Calibri" w:hAnsi="Calibri" w:cs="Calibri"/>
                <w:lang w:val="ro-RO" w:eastAsia="ro-RO"/>
              </w:rPr>
              <w:t xml:space="preserve">Domeniile de activitate specifice CNC care pot constitui teme pentru curricula :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Crearea și menținerea Rețelei Gravimetrice Naționale, Rețelei Naționale de Nivelment și Rețelei Geodezice Naționale.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Colectarea datelor gravimetrice pentru determinarea unui nou model de cvasigeoid şi îmbunătăţirea modelului digital pentru România.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Colectarea datelor geospaţiale şi recepţionarea datelor obţinute prin scanarea cu senzori aeropurtaţi (LiDAR) și aerofotografiere. Recepţionarea datelor.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Prelucrarea datelor geospaţiale colectate şi prelucrarea datelor recepţionate în vederea realizării proiectelor din atribuţiile CNC (crearea modelului digital al terenului  -DTM şi DSM- cu rezoluţie mai mare de 1m, clasificarea şi segmentarea datelor 2D şi 3D în vederea realizării planului topografic şi realizarea planului topografic digital de bază a României – TopRo5)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Transformarea datelor geospaţiale obţinute din baze de date în hărţi digitale la diferite scări.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Crearea şi actualizarea unei biblioteci digitale de semne convenţionale, editând un Atlas de semne convenţionale corespunzator planurilor pentru scari mari (1:500 până la 1:5000)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Verificarea calităţii lucrărilor de specialitate </w:t>
            </w:r>
          </w:p>
          <w:p w:rsidR="00413333" w:rsidRPr="00CE1614" w:rsidRDefault="00413333" w:rsidP="00413333">
            <w:pPr>
              <w:spacing w:before="120"/>
              <w:jc w:val="both"/>
              <w:rPr>
                <w:rFonts w:ascii="Calibri" w:eastAsia="Calibri" w:hAnsi="Calibri" w:cs="Calibri"/>
                <w:color w:val="000000"/>
                <w:lang w:val="ro-RO" w:eastAsia="ro-RO"/>
              </w:rPr>
            </w:pPr>
            <w:r w:rsidRPr="00CE1614">
              <w:rPr>
                <w:rFonts w:ascii="Calibri" w:eastAsia="Calibri" w:hAnsi="Calibri" w:cs="Calibri"/>
                <w:lang w:val="ro-RO" w:eastAsia="ro-RO"/>
              </w:rPr>
              <w:t>Realizarea şi actualizarea de metodologii, specificaţii tehnice, norme şi standarde tehnologice pentru lucrările de specialitate</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LOCUINȚE</w:t>
            </w:r>
          </w:p>
          <w:p w:rsidR="00413333" w:rsidRPr="00CE1614" w:rsidRDefault="00413333" w:rsidP="00413333">
            <w:pPr>
              <w:pBdr>
                <w:top w:val="nil"/>
                <w:left w:val="nil"/>
                <w:bottom w:val="nil"/>
                <w:right w:val="nil"/>
                <w:between w:val="nil"/>
              </w:pBdr>
              <w:spacing w:line="259" w:lineRule="auto"/>
              <w:rPr>
                <w:rFonts w:ascii="Calibri" w:eastAsia="Arial" w:hAnsi="Calibri" w:cs="Arial"/>
                <w:color w:val="000000"/>
                <w:lang w:val="ro-RO" w:eastAsia="ro-RO"/>
              </w:rPr>
            </w:pPr>
            <w:r w:rsidRPr="00CE1614">
              <w:rPr>
                <w:rFonts w:ascii="Calibri" w:eastAsia="Calibri" w:hAnsi="Calibri" w:cs="Calibri"/>
                <w:b/>
                <w:lang w:val="ro-RO" w:eastAsia="ro-RO"/>
              </w:rPr>
              <w:t xml:space="preserve">- </w:t>
            </w:r>
            <w:r w:rsidRPr="00CE1614">
              <w:rPr>
                <w:rFonts w:ascii="Calibri" w:eastAsia="Calibri" w:hAnsi="Calibri" w:cs="Calibri"/>
                <w:b/>
                <w:color w:val="000000"/>
                <w:lang w:val="ro-RO" w:eastAsia="ro-RO"/>
              </w:rPr>
              <w:t>Programul de construcții de locuințe sociale derulat în baza prevederilor Legii locuinței nr. 114/1996</w:t>
            </w:r>
          </w:p>
          <w:p w:rsidR="00413333" w:rsidRPr="00CE1614" w:rsidRDefault="00413333" w:rsidP="00413333">
            <w:pPr>
              <w:pBdr>
                <w:top w:val="nil"/>
                <w:left w:val="nil"/>
                <w:bottom w:val="nil"/>
                <w:right w:val="nil"/>
                <w:between w:val="nil"/>
              </w:pBdr>
              <w:spacing w:line="259" w:lineRule="auto"/>
              <w:ind w:left="141"/>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Scop: </w:t>
            </w:r>
            <w:r w:rsidRPr="00CE1614">
              <w:rPr>
                <w:rFonts w:ascii="Calibri" w:eastAsia="Calibri" w:hAnsi="Calibri" w:cs="Calibri"/>
                <w:color w:val="000000"/>
                <w:lang w:val="ro-RO" w:eastAsia="ro-RO"/>
              </w:rPr>
              <w:t>construirea de locuinţe sociale. Obiectivul ce se doreşte a fi atins  este asigurarea unor condiţii de locuit decente pentru categoriile sociale dezavantajate;</w:t>
            </w:r>
          </w:p>
          <w:p w:rsidR="003D06D4" w:rsidRPr="00CE1614" w:rsidRDefault="003D06D4" w:rsidP="00413333">
            <w:pPr>
              <w:shd w:val="clear" w:color="auto" w:fill="FFFFFF"/>
              <w:spacing w:before="200" w:line="259" w:lineRule="auto"/>
              <w:jc w:val="both"/>
              <w:rPr>
                <w:rFonts w:ascii="Calibri" w:eastAsia="Calibri" w:hAnsi="Calibri" w:cs="Calibri"/>
                <w:b/>
                <w:lang w:val="ro-RO" w:eastAsia="ro-RO"/>
              </w:rPr>
            </w:pPr>
          </w:p>
          <w:p w:rsidR="00413333" w:rsidRPr="00CE1614" w:rsidRDefault="00413333" w:rsidP="00413333">
            <w:pPr>
              <w:shd w:val="clear" w:color="auto" w:fill="FFFFFF"/>
              <w:spacing w:before="200" w:line="259" w:lineRule="auto"/>
              <w:jc w:val="both"/>
              <w:rPr>
                <w:rFonts w:ascii="Calibri" w:eastAsia="Calibri" w:hAnsi="Calibri" w:cs="Calibri"/>
                <w:lang w:val="ro-RO" w:eastAsia="ro-RO"/>
              </w:rPr>
            </w:pPr>
            <w:r w:rsidRPr="00CE1614">
              <w:rPr>
                <w:rFonts w:ascii="Calibri" w:eastAsia="Calibri" w:hAnsi="Calibri" w:cs="Calibri"/>
                <w:b/>
                <w:lang w:val="ro-RO" w:eastAsia="ro-RO"/>
              </w:rPr>
              <w:t>Obiective 2018-2021:</w:t>
            </w:r>
          </w:p>
          <w:p w:rsidR="00413333" w:rsidRPr="00CE1614" w:rsidRDefault="00413333" w:rsidP="00413333">
            <w:pPr>
              <w:shd w:val="clear" w:color="auto" w:fill="FFFFFF"/>
              <w:jc w:val="both"/>
              <w:rPr>
                <w:rFonts w:ascii="Calibri" w:eastAsia="Calibri" w:hAnsi="Calibri" w:cs="Calibri"/>
                <w:lang w:val="ro-RO" w:eastAsia="ro-RO"/>
              </w:rPr>
            </w:pPr>
            <w:r w:rsidRPr="00CE1614">
              <w:rPr>
                <w:rFonts w:ascii="Calibri" w:eastAsia="Calibri" w:hAnsi="Calibri" w:cs="Calibri"/>
                <w:lang w:val="ro-RO" w:eastAsia="ro-RO"/>
              </w:rPr>
              <w:t>- sunt propuse la finanţare un număr de peste 1254 apartamente în diferite faze de execuţie, din care în anul 2018 se estimează finalizarea unui număr de cca. 202 apartamente.</w:t>
            </w:r>
          </w:p>
          <w:p w:rsidR="00413333" w:rsidRPr="00CE1614" w:rsidRDefault="00413333" w:rsidP="00413333">
            <w:pPr>
              <w:shd w:val="clear" w:color="auto" w:fill="FFFFFF"/>
              <w:spacing w:before="200"/>
              <w:jc w:val="both"/>
              <w:rPr>
                <w:rFonts w:ascii="Calibri" w:eastAsia="Calibri" w:hAnsi="Calibri" w:cs="Calibri"/>
                <w:b/>
                <w:lang w:val="ro-RO" w:eastAsia="ro-RO"/>
              </w:rPr>
            </w:pPr>
            <w:r w:rsidRPr="00CE1614">
              <w:rPr>
                <w:rFonts w:ascii="Calibri" w:eastAsia="Calibri" w:hAnsi="Calibri" w:cs="Calibri"/>
                <w:b/>
                <w:lang w:val="ro-RO" w:eastAsia="ro-RO"/>
              </w:rPr>
              <w:t>- Programul privind construcția de locuințe sociale destinate chiriașilor evacuați din locuințele retrocedate foștilor proprietari, derulat conform OUG 74/2007</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 xml:space="preserve">Stadiu program 2018: </w:t>
            </w:r>
            <w:r w:rsidRPr="00CE1614">
              <w:rPr>
                <w:rFonts w:ascii="Calibri" w:eastAsia="Calibri" w:hAnsi="Calibri" w:cs="Calibri"/>
                <w:lang w:val="ro-RO" w:eastAsia="ro-RO"/>
              </w:rPr>
              <w:t xml:space="preserve">sunt în curs de execuție 286 u.l., urmând a se recepționa 48 u.l. pâna la sfârșitul anului 2018. Nu au fost înregistrate solicitări pentru introducerea în program de noi obiective. </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Obiective 2019</w:t>
            </w:r>
            <w:r w:rsidRPr="00CE1614">
              <w:rPr>
                <w:rFonts w:ascii="Calibri" w:eastAsia="Calibri" w:hAnsi="Calibri" w:cs="Calibri"/>
                <w:lang w:val="ro-RO" w:eastAsia="ro-RO"/>
              </w:rPr>
              <w:t>: în cursul anului 2019 se vor recepționa 238 u.l.</w:t>
            </w:r>
          </w:p>
          <w:p w:rsidR="00413333" w:rsidRPr="00CE1614" w:rsidRDefault="00413333" w:rsidP="00021698">
            <w:pPr>
              <w:numPr>
                <w:ilvl w:val="0"/>
                <w:numId w:val="145"/>
              </w:numPr>
              <w:pBdr>
                <w:top w:val="nil"/>
                <w:left w:val="nil"/>
                <w:bottom w:val="nil"/>
                <w:right w:val="nil"/>
                <w:between w:val="nil"/>
              </w:pBdr>
              <w:spacing w:before="120"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Programul de economisire și creditare în sistem colectiv pentru domeniul locativ anual,</w:t>
            </w:r>
            <w:r w:rsidRPr="00CE1614">
              <w:rPr>
                <w:rFonts w:ascii="Calibri" w:eastAsia="Calibri" w:hAnsi="Calibri" w:cs="Calibri"/>
                <w:color w:val="000000"/>
                <w:lang w:val="ro-RO" w:eastAsia="ro-RO"/>
              </w:rPr>
              <w:t xml:space="preserve"> conform OUG nr. 99/2006 </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Programul-pilot privind construcția de locuințe sociale pentru comunitățile de romi</w:t>
            </w:r>
            <w:r w:rsidRPr="00CE1614">
              <w:rPr>
                <w:rFonts w:ascii="Calibri" w:eastAsia="Calibri" w:hAnsi="Calibri" w:cs="Calibri"/>
                <w:color w:val="000000"/>
                <w:lang w:val="ro-RO" w:eastAsia="ro-RO"/>
              </w:rPr>
              <w:t>: reprezintă o componentă experimentală a programului de incluziune socială în România şi are în vedere implementarea unor proiecte pentru construcţia de locuinţe sociale în cele 8 regiuni de dezvoltare ale României, în locaţii stabilite de MDRAP împreună cu autorităţile administraţiei publice locale şi cu Agenţia Naţională pentru Romi.</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Stadiu program 2018:</w:t>
            </w:r>
            <w:r w:rsidRPr="00CE1614">
              <w:rPr>
                <w:rFonts w:ascii="Calibri" w:eastAsia="Calibri" w:hAnsi="Calibri" w:cs="Calibri"/>
                <w:lang w:val="ro-RO" w:eastAsia="ro-RO"/>
              </w:rPr>
              <w:t xml:space="preserve"> sunt în curs de execuție 84 u.l, urmând a se recepționa 42 u.l. până la finele anului 2018.</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 xml:space="preserve">Obiective 2019: </w:t>
            </w:r>
            <w:r w:rsidRPr="00CE1614">
              <w:rPr>
                <w:rFonts w:ascii="Calibri" w:eastAsia="Calibri" w:hAnsi="Calibri" w:cs="Calibri"/>
                <w:lang w:val="ro-RO" w:eastAsia="ro-RO"/>
              </w:rPr>
              <w:t>în cursul anului 2019 se vor promova și vor demara lucrările de execuție pentru 21 locuințe. Se vor continua lucrările de execuție la 63 locuințe, care se vor finaliza până la finele anului 2019.</w:t>
            </w:r>
          </w:p>
          <w:p w:rsidR="00413333" w:rsidRPr="00CE1614" w:rsidRDefault="00413333" w:rsidP="00021698">
            <w:pPr>
              <w:numPr>
                <w:ilvl w:val="0"/>
                <w:numId w:val="145"/>
              </w:numPr>
              <w:pBdr>
                <w:top w:val="nil"/>
                <w:left w:val="nil"/>
                <w:bottom w:val="nil"/>
                <w:right w:val="nil"/>
                <w:between w:val="nil"/>
              </w:pBdr>
              <w:spacing w:before="120"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Programul privind construcția de locuințe pentru tineri, destinate închirierii: </w:t>
            </w:r>
            <w:r w:rsidRPr="00CE1614">
              <w:rPr>
                <w:rFonts w:ascii="Calibri" w:eastAsia="Calibri" w:hAnsi="Calibri" w:cs="Calibri"/>
                <w:color w:val="000000"/>
                <w:lang w:val="ro-RO" w:eastAsia="ro-RO"/>
              </w:rPr>
              <w:t>prin acest program se are în vedere realizarea de locuinţe destinate tinerilor ale căror venituri nu le permit accesul la o locuinţă în condiţiile pieţei, în acelaşi timp constituindu-se un fond de locuinţe la nivel local pentru a asigura mobilitatea tinerilor specialişti între localităţi la nivelul întregii ţări. Prin acest demers se poate stimula tânăra generaţie să profeseze pe teritoriul României, limitând astfel migraţia specialiştilor către alte ţări.</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 xml:space="preserve">Stadiu program 2018: </w:t>
            </w:r>
            <w:r w:rsidRPr="00CE1614">
              <w:rPr>
                <w:rFonts w:ascii="Calibri" w:eastAsia="Calibri" w:hAnsi="Calibri" w:cs="Calibri"/>
                <w:lang w:val="ro-RO" w:eastAsia="ro-RO"/>
              </w:rPr>
              <w:t>Începând cu 01.01.2018 se desfășoară lucrări de construcții-montaj la 2.368 u.l., dintre care, până în prezent, sunt recepționate 304 u.l. Până la finele anului se vor mai recepționa circa 541 u.l.</w:t>
            </w:r>
          </w:p>
          <w:p w:rsidR="00413333" w:rsidRPr="00CE1614" w:rsidRDefault="00413333" w:rsidP="00413333">
            <w:pPr>
              <w:pBdr>
                <w:top w:val="nil"/>
                <w:left w:val="nil"/>
                <w:bottom w:val="nil"/>
                <w:right w:val="nil"/>
                <w:between w:val="nil"/>
              </w:pBdr>
              <w:spacing w:after="160"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Obiective 2019: </w:t>
            </w:r>
            <w:r w:rsidRPr="00CE1614">
              <w:rPr>
                <w:rFonts w:ascii="Calibri" w:eastAsia="Calibri" w:hAnsi="Calibri" w:cs="Calibri"/>
                <w:color w:val="000000"/>
                <w:lang w:val="ro-RO" w:eastAsia="ro-RO"/>
              </w:rPr>
              <w:t>În cursul anului 2019 se vor promova și vor demara lucrările de execuție pentru circa 3.800 locuințe. Se vor continua lucrările de execuție la circa 1.300 locuințe, dintre care se vor finaliza circa 700 u.l.</w:t>
            </w:r>
          </w:p>
          <w:p w:rsidR="00413333" w:rsidRPr="00CE1614" w:rsidRDefault="00413333" w:rsidP="00413333">
            <w:pPr>
              <w:ind w:left="360"/>
              <w:jc w:val="both"/>
              <w:rPr>
                <w:rFonts w:ascii="Calibri" w:eastAsia="Calibri" w:hAnsi="Calibri" w:cs="Calibri"/>
                <w:lang w:val="ro-RO" w:eastAsia="ro-RO"/>
              </w:rPr>
            </w:pPr>
            <w:r w:rsidRPr="00CE1614">
              <w:rPr>
                <w:rFonts w:ascii="Calibri" w:eastAsia="Calibri" w:hAnsi="Calibri" w:cs="Calibri"/>
                <w:b/>
                <w:lang w:val="ro-RO" w:eastAsia="ro-RO"/>
              </w:rPr>
              <w:t>- Programul privind construcția de locuințe de serviciu, prin intermediul Agenției Naționale pentru Locuințe, conform prevederilor HG nr. 719/2016 pentru aprobarea Programului „Construcţia de locuinţe de serviciu”</w:t>
            </w:r>
          </w:p>
          <w:p w:rsidR="00413333" w:rsidRPr="00CE1614" w:rsidRDefault="00413333" w:rsidP="00413333">
            <w:pPr>
              <w:pBdr>
                <w:top w:val="nil"/>
                <w:left w:val="nil"/>
                <w:bottom w:val="nil"/>
                <w:right w:val="nil"/>
                <w:between w:val="nil"/>
              </w:pBdr>
              <w:spacing w:before="120"/>
              <w:ind w:left="141" w:hanging="75"/>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Stadiu program 2018: </w:t>
            </w:r>
            <w:r w:rsidRPr="00CE1614">
              <w:rPr>
                <w:rFonts w:ascii="Calibri" w:eastAsia="Calibri" w:hAnsi="Calibri" w:cs="Calibri"/>
                <w:color w:val="000000"/>
                <w:lang w:val="ro-RO" w:eastAsia="ro-RO"/>
              </w:rPr>
              <w:t xml:space="preserve">Până la această dată sunt în promovare </w:t>
            </w:r>
            <w:r w:rsidRPr="00CE1614">
              <w:rPr>
                <w:rFonts w:ascii="Calibri" w:eastAsia="Calibri" w:hAnsi="Calibri" w:cs="Calibri"/>
                <w:b/>
                <w:color w:val="000000"/>
                <w:lang w:val="ro-RO" w:eastAsia="ro-RO"/>
              </w:rPr>
              <w:t>79 unități locative</w:t>
            </w:r>
            <w:r w:rsidRPr="00CE1614">
              <w:rPr>
                <w:rFonts w:ascii="Calibri" w:eastAsia="Calibri" w:hAnsi="Calibri" w:cs="Calibri"/>
                <w:color w:val="000000"/>
                <w:lang w:val="ro-RO" w:eastAsia="ro-RO"/>
              </w:rPr>
              <w:t xml:space="preserve"> (sunt în curs de finalizare documentațiile pentru transmiterea terenului în folosința gratuită a ANL în vederea demarării investițiilor) iar pentru </w:t>
            </w:r>
            <w:r w:rsidRPr="00CE1614">
              <w:rPr>
                <w:rFonts w:ascii="Calibri" w:eastAsia="Calibri" w:hAnsi="Calibri" w:cs="Calibri"/>
                <w:b/>
                <w:color w:val="000000"/>
                <w:lang w:val="ro-RO" w:eastAsia="ro-RO"/>
              </w:rPr>
              <w:t>419 unități locative</w:t>
            </w:r>
            <w:r w:rsidRPr="00CE1614">
              <w:rPr>
                <w:rFonts w:ascii="Calibri" w:eastAsia="Calibri" w:hAnsi="Calibri" w:cs="Calibri"/>
                <w:color w:val="000000"/>
                <w:lang w:val="ro-RO" w:eastAsia="ro-RO"/>
              </w:rPr>
              <w:t xml:space="preserve"> se vor demara procedurile de elaborare a documentației tehnico-economică.</w:t>
            </w:r>
          </w:p>
          <w:p w:rsidR="00413333" w:rsidRPr="00CE1614" w:rsidRDefault="00413333" w:rsidP="00413333">
            <w:pPr>
              <w:pBdr>
                <w:top w:val="nil"/>
                <w:left w:val="nil"/>
                <w:bottom w:val="nil"/>
                <w:right w:val="nil"/>
                <w:between w:val="nil"/>
              </w:pBdr>
              <w:ind w:left="141"/>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Obiective 2019: </w:t>
            </w:r>
            <w:r w:rsidRPr="00CE1614">
              <w:rPr>
                <w:rFonts w:ascii="Calibri" w:eastAsia="Calibri" w:hAnsi="Calibri" w:cs="Calibri"/>
                <w:color w:val="000000"/>
                <w:lang w:val="ro-RO" w:eastAsia="ro-RO"/>
              </w:rPr>
              <w:t xml:space="preserve">În cursul anului 2019 se vor promova </w:t>
            </w:r>
            <w:r w:rsidRPr="00CE1614">
              <w:rPr>
                <w:rFonts w:ascii="Calibri" w:eastAsia="Calibri" w:hAnsi="Calibri" w:cs="Calibri"/>
                <w:b/>
                <w:color w:val="000000"/>
                <w:lang w:val="ro-RO" w:eastAsia="ro-RO"/>
              </w:rPr>
              <w:t>700unități locative</w:t>
            </w:r>
            <w:r w:rsidRPr="00CE1614">
              <w:rPr>
                <w:rFonts w:ascii="Calibri" w:eastAsia="Calibri" w:hAnsi="Calibri" w:cs="Calibri"/>
                <w:color w:val="000000"/>
                <w:lang w:val="ro-RO" w:eastAsia="ro-RO"/>
              </w:rPr>
              <w:t xml:space="preserve"> din care se vor demara lucrările de execuție pentru circa </w:t>
            </w:r>
            <w:r w:rsidRPr="00CE1614">
              <w:rPr>
                <w:rFonts w:ascii="Calibri" w:eastAsia="Calibri" w:hAnsi="Calibri" w:cs="Calibri"/>
                <w:b/>
                <w:color w:val="000000"/>
                <w:lang w:val="ro-RO" w:eastAsia="ro-RO"/>
              </w:rPr>
              <w:t>498 unități locative</w:t>
            </w:r>
            <w:r w:rsidRPr="00CE1614">
              <w:rPr>
                <w:rFonts w:ascii="Calibri" w:eastAsia="Calibri" w:hAnsi="Calibri" w:cs="Calibri"/>
                <w:color w:val="000000"/>
                <w:lang w:val="ro-RO" w:eastAsia="ro-RO"/>
              </w:rPr>
              <w: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Programul anual de acțiuni privind proiectarea și execuția lucrărilor de intervenție pentru reducerea riscului seismic la construcțiile cu destinația de locuință multietajate, încadrate prin raport de expertiză tehnică în clasa I de risc seismic și care prezintă pericol public, </w:t>
            </w:r>
            <w:r w:rsidRPr="00CE1614">
              <w:rPr>
                <w:rFonts w:ascii="Calibri" w:eastAsia="Calibri" w:hAnsi="Calibri" w:cs="Calibri"/>
                <w:color w:val="000000"/>
                <w:lang w:val="ro-RO" w:eastAsia="ro-RO"/>
              </w:rPr>
              <w:t>conform OG nr. 20/1994, republicată.</w:t>
            </w:r>
          </w:p>
          <w:p w:rsidR="00413333" w:rsidRPr="00CE1614" w:rsidRDefault="00413333" w:rsidP="00413333">
            <w:pPr>
              <w:pBdr>
                <w:top w:val="nil"/>
                <w:left w:val="nil"/>
                <w:bottom w:val="nil"/>
                <w:right w:val="nil"/>
                <w:between w:val="nil"/>
              </w:pBdr>
              <w:spacing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Stadiu program 2018: </w:t>
            </w:r>
            <w:r w:rsidRPr="00CE1614">
              <w:rPr>
                <w:rFonts w:ascii="Calibri" w:eastAsia="Calibri" w:hAnsi="Calibri" w:cs="Calibri"/>
                <w:color w:val="000000"/>
                <w:lang w:val="ro-RO" w:eastAsia="ro-RO"/>
              </w:rPr>
              <w:t xml:space="preserve">În program au fost incluse </w:t>
            </w:r>
            <w:r w:rsidRPr="00CE1614">
              <w:rPr>
                <w:rFonts w:ascii="Calibri" w:eastAsia="Calibri" w:hAnsi="Calibri" w:cs="Calibri"/>
                <w:b/>
                <w:color w:val="000000"/>
                <w:lang w:val="ro-RO" w:eastAsia="ro-RO"/>
              </w:rPr>
              <w:t>40 de imobile</w:t>
            </w:r>
            <w:r w:rsidRPr="00CE1614">
              <w:rPr>
                <w:rFonts w:ascii="Calibri" w:eastAsia="Calibri" w:hAnsi="Calibri" w:cs="Calibri"/>
                <w:color w:val="000000"/>
                <w:lang w:val="ro-RO" w:eastAsia="ro-RO"/>
              </w:rPr>
              <w:t xml:space="preserve"> în vederea </w:t>
            </w:r>
            <w:r w:rsidRPr="00CE1614">
              <w:rPr>
                <w:rFonts w:ascii="Calibri" w:eastAsia="Calibri" w:hAnsi="Calibri" w:cs="Calibri"/>
                <w:b/>
                <w:color w:val="000000"/>
                <w:lang w:val="ro-RO" w:eastAsia="ro-RO"/>
              </w:rPr>
              <w:t>executării lucrărilorde intervenție</w:t>
            </w:r>
            <w:r w:rsidRPr="00CE1614">
              <w:rPr>
                <w:rFonts w:ascii="Calibri" w:eastAsia="Calibri" w:hAnsi="Calibri" w:cs="Calibri"/>
                <w:color w:val="000000"/>
                <w:lang w:val="ro-RO" w:eastAsia="ro-RO"/>
              </w:rPr>
              <w:t xml:space="preserve"> și </w:t>
            </w:r>
            <w:r w:rsidRPr="00CE1614">
              <w:rPr>
                <w:rFonts w:ascii="Calibri" w:eastAsia="Calibri" w:hAnsi="Calibri" w:cs="Calibri"/>
                <w:b/>
                <w:color w:val="000000"/>
                <w:lang w:val="ro-RO" w:eastAsia="ro-RO"/>
              </w:rPr>
              <w:t>53 de imobile</w:t>
            </w:r>
            <w:r w:rsidRPr="00CE1614">
              <w:rPr>
                <w:rFonts w:ascii="Calibri" w:eastAsia="Calibri" w:hAnsi="Calibri" w:cs="Calibri"/>
                <w:color w:val="000000"/>
                <w:lang w:val="ro-RO" w:eastAsia="ro-RO"/>
              </w:rPr>
              <w:t xml:space="preserve"> pentru proiectarea lucrărilor de intervenție.</w:t>
            </w:r>
          </w:p>
          <w:p w:rsidR="00413333" w:rsidRPr="00CE1614" w:rsidRDefault="00413333" w:rsidP="00413333">
            <w:pPr>
              <w:pBdr>
                <w:top w:val="nil"/>
                <w:left w:val="nil"/>
                <w:bottom w:val="nil"/>
                <w:right w:val="nil"/>
                <w:between w:val="nil"/>
              </w:pBdr>
              <w:spacing w:after="160"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Obiective 2019:</w:t>
            </w:r>
          </w:p>
          <w:p w:rsidR="00413333" w:rsidRPr="00CE1614" w:rsidRDefault="00413333" w:rsidP="00021698">
            <w:pPr>
              <w:keepNext/>
              <w:numPr>
                <w:ilvl w:val="0"/>
                <w:numId w:val="157"/>
              </w:numPr>
              <w:spacing w:after="160" w:line="252" w:lineRule="auto"/>
              <w:jc w:val="both"/>
              <w:rPr>
                <w:rFonts w:ascii="Calibri" w:eastAsia="Calibri" w:hAnsi="Calibri" w:cs="Calibri"/>
                <w:lang w:val="ro-RO" w:eastAsia="ro-RO"/>
              </w:rPr>
            </w:pPr>
            <w:r w:rsidRPr="00CE1614">
              <w:rPr>
                <w:rFonts w:ascii="Calibri" w:eastAsia="Calibri" w:hAnsi="Calibri" w:cs="Calibri"/>
                <w:lang w:val="ro-RO" w:eastAsia="ro-RO"/>
              </w:rPr>
              <w:t>finalizarea execuţiei lucrărilor de consolidare pentru 15 clădiri de locuit;</w:t>
            </w:r>
          </w:p>
          <w:p w:rsidR="00413333" w:rsidRPr="00CE1614" w:rsidRDefault="00413333" w:rsidP="00021698">
            <w:pPr>
              <w:keepNext/>
              <w:numPr>
                <w:ilvl w:val="0"/>
                <w:numId w:val="157"/>
              </w:numPr>
              <w:spacing w:after="160" w:line="252" w:lineRule="auto"/>
              <w:jc w:val="both"/>
              <w:rPr>
                <w:rFonts w:ascii="Calibri" w:eastAsia="Calibri" w:hAnsi="Calibri" w:cs="Calibri"/>
                <w:lang w:val="ro-RO" w:eastAsia="ro-RO"/>
              </w:rPr>
            </w:pPr>
            <w:r w:rsidRPr="00CE1614">
              <w:rPr>
                <w:rFonts w:ascii="Calibri" w:eastAsia="Calibri" w:hAnsi="Calibri" w:cs="Calibri"/>
                <w:lang w:val="ro-RO" w:eastAsia="ro-RO"/>
              </w:rPr>
              <w:t>continuarea execuţiei lucrărilor de consolidare pentru 23 clădiri de locuit;</w:t>
            </w:r>
          </w:p>
          <w:p w:rsidR="00413333" w:rsidRPr="00CE1614" w:rsidRDefault="00413333" w:rsidP="00021698">
            <w:pPr>
              <w:keepNext/>
              <w:numPr>
                <w:ilvl w:val="0"/>
                <w:numId w:val="157"/>
              </w:numPr>
              <w:spacing w:after="160" w:line="252" w:lineRule="auto"/>
              <w:jc w:val="both"/>
              <w:rPr>
                <w:rFonts w:ascii="Calibri" w:eastAsia="Calibri" w:hAnsi="Calibri" w:cs="Calibri"/>
                <w:lang w:val="ro-RO" w:eastAsia="ro-RO"/>
              </w:rPr>
            </w:pPr>
            <w:r w:rsidRPr="00CE1614">
              <w:rPr>
                <w:rFonts w:ascii="Calibri" w:eastAsia="Calibri" w:hAnsi="Calibri" w:cs="Calibri"/>
                <w:lang w:val="ro-RO" w:eastAsia="ro-RO"/>
              </w:rPr>
              <w:t>începerea execuţiei lucrărilor de consolidare pentru 26 clădiri de locuit;</w:t>
            </w:r>
          </w:p>
          <w:p w:rsidR="00413333" w:rsidRPr="00CE1614" w:rsidRDefault="00413333" w:rsidP="00021698">
            <w:pPr>
              <w:keepNext/>
              <w:numPr>
                <w:ilvl w:val="0"/>
                <w:numId w:val="157"/>
              </w:numPr>
              <w:spacing w:after="160" w:line="252" w:lineRule="auto"/>
              <w:jc w:val="both"/>
              <w:rPr>
                <w:rFonts w:ascii="Calibri" w:eastAsia="Calibri" w:hAnsi="Calibri" w:cs="Calibri"/>
                <w:lang w:val="ro-RO" w:eastAsia="ro-RO"/>
              </w:rPr>
            </w:pPr>
            <w:r w:rsidRPr="00CE1614">
              <w:rPr>
                <w:rFonts w:ascii="Calibri" w:eastAsia="Calibri" w:hAnsi="Calibri" w:cs="Calibri"/>
                <w:lang w:val="ro-RO" w:eastAsia="ro-RO"/>
              </w:rPr>
              <w:t>finalizarea proiectării lucrărilor de consolidare pentru 31 clădiri de locuit;</w:t>
            </w:r>
          </w:p>
          <w:p w:rsidR="00413333" w:rsidRPr="00CE1614" w:rsidRDefault="00413333" w:rsidP="00021698">
            <w:pPr>
              <w:keepNext/>
              <w:numPr>
                <w:ilvl w:val="0"/>
                <w:numId w:val="157"/>
              </w:numPr>
              <w:spacing w:after="160" w:line="252" w:lineRule="auto"/>
              <w:jc w:val="both"/>
              <w:rPr>
                <w:rFonts w:ascii="Calibri" w:eastAsia="Calibri" w:hAnsi="Calibri" w:cs="Calibri"/>
                <w:lang w:val="ro-RO" w:eastAsia="ro-RO"/>
              </w:rPr>
            </w:pPr>
            <w:r w:rsidRPr="00CE1614">
              <w:rPr>
                <w:rFonts w:ascii="Calibri" w:eastAsia="Calibri" w:hAnsi="Calibri" w:cs="Calibri"/>
                <w:lang w:val="ro-RO" w:eastAsia="ro-RO"/>
              </w:rPr>
              <w:t>începerea elaborării proiectării lucrărilor de consolidare pentru 50 clădiri de locuit.</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INFRASTRUCTURĂ</w:t>
            </w:r>
          </w:p>
          <w:p w:rsidR="00413333" w:rsidRPr="00CE1614" w:rsidRDefault="00413333" w:rsidP="00021698">
            <w:pPr>
              <w:numPr>
                <w:ilvl w:val="0"/>
                <w:numId w:val="146"/>
              </w:numPr>
              <w:pBdr>
                <w:top w:val="nil"/>
                <w:left w:val="nil"/>
                <w:bottom w:val="nil"/>
                <w:right w:val="nil"/>
                <w:between w:val="nil"/>
              </w:pBdr>
              <w:spacing w:before="120"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Ministerul Dezvoltării Regionale și Administrației Publice (MDRAP) coordonează și finanțează </w:t>
            </w:r>
            <w:r w:rsidRPr="00CE1614">
              <w:rPr>
                <w:rFonts w:ascii="Calibri" w:eastAsia="Calibri" w:hAnsi="Calibri" w:cs="Calibri"/>
                <w:b/>
                <w:color w:val="000000"/>
                <w:lang w:val="ro-RO" w:eastAsia="ro-RO"/>
              </w:rPr>
              <w:t>Programul național de dezvoltare locală (PNDL)</w:t>
            </w:r>
            <w:r w:rsidRPr="00CE1614">
              <w:rPr>
                <w:rFonts w:ascii="Calibri" w:eastAsia="Calibri" w:hAnsi="Calibri" w:cs="Calibri"/>
                <w:color w:val="000000"/>
                <w:lang w:val="ro-RO" w:eastAsia="ro-RO"/>
              </w:rPr>
              <w:t xml:space="preserve"> aprobat prin Ordonanța de Urgență nr. 28 din 10 aprilie 2013, cu modificările și completările ulterioare, program de finanțare multianual. Programul are ca obiectiv general echiparea unităţilor administrativ-teritoriale cu toate dotările tehnico-edilitare, de infrastructură educaţională, de sănătate şi de mediu, sportivă, social-culturală şi turistică, administrativă şi de acces la căile de comunicaţie în vederea asigurării unui climat investițional atractiv pentru localitățile României.</w:t>
            </w:r>
          </w:p>
          <w:p w:rsidR="00413333" w:rsidRPr="00CE1614" w:rsidRDefault="00413333" w:rsidP="00413333">
            <w:pPr>
              <w:spacing w:before="200"/>
              <w:ind w:left="360"/>
              <w:jc w:val="both"/>
              <w:rPr>
                <w:rFonts w:ascii="Calibri" w:eastAsia="Calibri" w:hAnsi="Calibri" w:cs="Calibri"/>
                <w:lang w:val="ro-RO" w:eastAsia="ro-RO"/>
              </w:rPr>
            </w:pPr>
            <w:r w:rsidRPr="00CE1614">
              <w:rPr>
                <w:rFonts w:ascii="Calibri" w:eastAsia="Calibri" w:hAnsi="Calibri" w:cs="Calibri"/>
                <w:b/>
                <w:lang w:val="ro-RO" w:eastAsia="ro-RO"/>
              </w:rPr>
              <w:t>Stadiuobiective 2018:</w:t>
            </w:r>
          </w:p>
          <w:p w:rsidR="00413333" w:rsidRPr="00CE1614" w:rsidRDefault="00413333" w:rsidP="00413333">
            <w:pPr>
              <w:ind w:left="322"/>
              <w:jc w:val="both"/>
              <w:rPr>
                <w:rFonts w:ascii="Calibri" w:eastAsia="Calibri" w:hAnsi="Calibri" w:cs="Calibri"/>
                <w:lang w:val="ro-RO" w:eastAsia="ro-RO"/>
              </w:rPr>
            </w:pPr>
            <w:r w:rsidRPr="00CE1614">
              <w:rPr>
                <w:rFonts w:ascii="Calibri" w:eastAsia="Calibri" w:hAnsi="Calibri" w:cs="Calibri"/>
                <w:lang w:val="ro-RO" w:eastAsia="ro-RO"/>
              </w:rPr>
              <w:t xml:space="preserve"> -</w:t>
            </w:r>
            <w:r w:rsidRPr="00CE1614">
              <w:rPr>
                <w:rFonts w:ascii="Calibri" w:eastAsia="Calibri" w:hAnsi="Calibri" w:cs="Calibri"/>
                <w:lang w:val="ro-RO" w:eastAsia="ro-RO"/>
              </w:rPr>
              <w:tab/>
              <w:t>finanțarea celor 2.442 de obiective de investiții aflate în execuție din  cele 4.528 obiective incluse în prima etapă a Programului și adiționarea contractelor multianuale 2015-2018, după caz și în funcție de solicitărilor beneficiarilor, în vederea prelungirii termenului de valabilitate pentru asigurarea finanțării până la finalizare;</w:t>
            </w:r>
          </w:p>
          <w:p w:rsidR="00413333" w:rsidRPr="00CE1614" w:rsidRDefault="00413333" w:rsidP="00413333">
            <w:pPr>
              <w:ind w:left="322"/>
              <w:jc w:val="both"/>
              <w:rPr>
                <w:rFonts w:ascii="Calibri" w:eastAsia="Calibri" w:hAnsi="Calibri" w:cs="Calibri"/>
                <w:lang w:val="ro-RO" w:eastAsia="ro-RO"/>
              </w:rPr>
            </w:pPr>
            <w:r w:rsidRPr="00CE1614">
              <w:rPr>
                <w:rFonts w:ascii="Calibri" w:eastAsia="Calibri" w:hAnsi="Calibri" w:cs="Calibri"/>
                <w:lang w:val="ro-RO" w:eastAsia="ro-RO"/>
              </w:rPr>
              <w:t>-</w:t>
            </w:r>
            <w:r w:rsidRPr="00CE1614">
              <w:rPr>
                <w:rFonts w:ascii="Calibri" w:eastAsia="Calibri" w:hAnsi="Calibri" w:cs="Calibri"/>
                <w:lang w:val="ro-RO" w:eastAsia="ro-RO"/>
              </w:rPr>
              <w:tab/>
              <w:t>finanțarea celor 7.011 obiective de investiții incluse în cadrul Etapei a II-a a PNDL (2017-2020);</w:t>
            </w:r>
          </w:p>
          <w:p w:rsidR="00413333" w:rsidRPr="00CE1614" w:rsidRDefault="00413333" w:rsidP="00413333">
            <w:pPr>
              <w:ind w:left="322"/>
              <w:jc w:val="both"/>
              <w:rPr>
                <w:rFonts w:ascii="Calibri" w:eastAsia="Calibri" w:hAnsi="Calibri" w:cs="Calibri"/>
                <w:lang w:val="ro-RO" w:eastAsia="ro-RO"/>
              </w:rPr>
            </w:pPr>
            <w:r w:rsidRPr="00CE1614">
              <w:rPr>
                <w:rFonts w:ascii="Calibri" w:eastAsia="Calibri" w:hAnsi="Calibri" w:cs="Calibri"/>
                <w:lang w:val="ro-RO" w:eastAsia="ro-RO"/>
              </w:rPr>
              <w:t>-</w:t>
            </w:r>
            <w:r w:rsidRPr="00CE1614">
              <w:rPr>
                <w:rFonts w:ascii="Calibri" w:eastAsia="Calibri" w:hAnsi="Calibri" w:cs="Calibri"/>
                <w:lang w:val="ro-RO" w:eastAsia="ro-RO"/>
              </w:rPr>
              <w:tab/>
              <w:t>continuarea realocării creditelor de angajament rămase neutilizate după încheierea contractelor de finanțare pentru obiectivele de investiții incluse în cadrul etape a II-a a PNDL  pentru finanțarea obiectivelor de investiții pentru care s-au depus solicitări în termenul legal, în anul 2017, care au fost incluse în analiza de specialitate și nu li s-au alocat fonduri din lipsa creditelor de angajament. (conform prevederilor OUG nr.90/2017).</w:t>
            </w:r>
          </w:p>
          <w:p w:rsidR="00413333" w:rsidRPr="00CE1614" w:rsidRDefault="00413333" w:rsidP="00413333">
            <w:pPr>
              <w:spacing w:before="200" w:after="160"/>
              <w:jc w:val="both"/>
              <w:rPr>
                <w:rFonts w:ascii="Calibri" w:eastAsia="Calibri" w:hAnsi="Calibri" w:cs="Calibri"/>
                <w:lang w:val="ro-RO" w:eastAsia="ro-RO"/>
              </w:rPr>
            </w:pPr>
            <w:r w:rsidRPr="00CE1614">
              <w:rPr>
                <w:rFonts w:ascii="Calibri" w:eastAsia="Calibri" w:hAnsi="Calibri" w:cs="Calibri"/>
                <w:b/>
                <w:lang w:val="ro-RO" w:eastAsia="ro-RO"/>
              </w:rPr>
              <w:t>Obiective 2019-2020:</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includerea în cadrul Programului național de dezvoltare locală, Etapa II a până la 9500 de obiective de investiții din care cel mult 2500 de creșe și gradinițe și cel mult 2000 de școli;</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alocarea, în perioada 2017-2020 a 30.000.000.000 lei pentru realizarea celor</w:t>
            </w:r>
            <w:r w:rsidRPr="00CE1614">
              <w:rPr>
                <w:rFonts w:ascii="Calibri" w:eastAsia="Calibri" w:hAnsi="Calibri" w:cs="Calibri"/>
                <w:lang w:val="ro-RO" w:eastAsia="ro-RO"/>
              </w:rPr>
              <w:t>a până la</w:t>
            </w:r>
            <w:r w:rsidRPr="00CE1614">
              <w:rPr>
                <w:rFonts w:ascii="Calibri" w:eastAsia="Calibri" w:hAnsi="Calibri" w:cs="Calibri"/>
                <w:color w:val="000000"/>
                <w:lang w:val="ro-RO" w:eastAsia="ro-RO"/>
              </w:rPr>
              <w:t xml:space="preserve"> 9500 de obiective </w:t>
            </w:r>
            <w:r w:rsidRPr="00CE1614">
              <w:rPr>
                <w:rFonts w:ascii="Calibri" w:eastAsia="Calibri" w:hAnsi="Calibri" w:cs="Calibri"/>
                <w:lang w:val="ro-RO" w:eastAsia="ro-RO"/>
              </w:rPr>
              <w:t>finanțate prin</w:t>
            </w:r>
            <w:r w:rsidRPr="00CE1614">
              <w:rPr>
                <w:rFonts w:ascii="Calibri" w:eastAsia="Calibri" w:hAnsi="Calibri" w:cs="Calibri"/>
                <w:color w:val="000000"/>
                <w:lang w:val="ro-RO" w:eastAsia="ro-RO"/>
              </w:rPr>
              <w:t xml:space="preserve"> Program;</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pentru anul 2019 se estimează finalizarea a până la 1280 de obiective de investiții incluse în  Programul național de dezvoltare locală, Etapa I.</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continuarea finanțării până la finalizare, conform contractelor de finanțare pentru obiectivele de investiții din cadrul PNDL etapa I - perioada până la 31 decembrie 2020, estimandu-se a se finaliza 2</w:t>
            </w:r>
            <w:r w:rsidRPr="00CE1614">
              <w:rPr>
                <w:rFonts w:ascii="Calibri" w:eastAsia="Calibri" w:hAnsi="Calibri" w:cs="Calibri"/>
                <w:lang w:val="ro-RO" w:eastAsia="ro-RO"/>
              </w:rPr>
              <w:t>442</w:t>
            </w:r>
            <w:r w:rsidRPr="00CE1614">
              <w:rPr>
                <w:rFonts w:ascii="Calibri" w:eastAsia="Calibri" w:hAnsi="Calibri" w:cs="Calibri"/>
                <w:color w:val="000000"/>
                <w:lang w:val="ro-RO" w:eastAsia="ro-RO"/>
              </w:rPr>
              <w:t xml:space="preserve"> obiective de investii;</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continuarea finanțării obiectivelor de investiții, conform contractelor de finanțare pentru obiectivele de investiții din cadrul PNDL etapa II - perioada 2017-2020, pentru anul 2019 estimându-se finalizarea a 550 de obiective de invesții.</w:t>
            </w:r>
          </w:p>
          <w:p w:rsidR="00413333" w:rsidRPr="00CE1614" w:rsidRDefault="00413333" w:rsidP="00021698">
            <w:pPr>
              <w:numPr>
                <w:ilvl w:val="0"/>
                <w:numId w:val="146"/>
              </w:numPr>
              <w:pBdr>
                <w:top w:val="nil"/>
                <w:left w:val="nil"/>
                <w:bottom w:val="nil"/>
                <w:right w:val="nil"/>
                <w:between w:val="nil"/>
              </w:pBdr>
              <w:spacing w:before="200" w:after="160"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Programul – „Sistem integrat de reabilitare a sistemelor de alimentare cu apă și canalizare, precum și a stațiilor de tratare a apei potabile și a apei uzate în localitățile cu o populație de până la 50.000 locuitori” </w:t>
            </w:r>
            <w:r w:rsidRPr="00CE1614">
              <w:rPr>
                <w:rFonts w:ascii="Calibri" w:eastAsia="Calibri" w:hAnsi="Calibri" w:cs="Calibri"/>
                <w:color w:val="000000"/>
                <w:lang w:val="ro-RO" w:eastAsia="ro-RO"/>
              </w:rPr>
              <w:t xml:space="preserve">aprobat prin Legea nr. 224/2007 – In 2018 s-a continuat realizarea a 11 obiective de investiții incluse la finanțare, </w:t>
            </w:r>
          </w:p>
          <w:p w:rsidR="00413333" w:rsidRPr="00CE1614" w:rsidRDefault="00413333" w:rsidP="00413333">
            <w:pPr>
              <w:spacing w:before="200" w:after="160" w:line="259" w:lineRule="auto"/>
              <w:jc w:val="both"/>
              <w:rPr>
                <w:rFonts w:ascii="Calibri" w:eastAsia="Arial" w:hAnsi="Calibri" w:cs="Arial"/>
                <w:lang w:val="ro-RO" w:eastAsia="ro-RO"/>
              </w:rPr>
            </w:pPr>
            <w:r w:rsidRPr="00CE1614">
              <w:rPr>
                <w:rFonts w:ascii="Calibri" w:eastAsia="Calibri" w:hAnsi="Calibri" w:cs="Calibri"/>
                <w:b/>
                <w:lang w:val="ro-RO" w:eastAsia="ro-RO"/>
              </w:rPr>
              <w:t>Obiectiv 2019:</w:t>
            </w:r>
            <w:r w:rsidRPr="00CE1614">
              <w:rPr>
                <w:rFonts w:ascii="Calibri" w:eastAsia="Calibri" w:hAnsi="Calibri" w:cs="Calibri"/>
                <w:lang w:val="ro-RO" w:eastAsia="ro-RO"/>
              </w:rPr>
              <w:t xml:space="preserve"> se va continua realizarea și finalizarea a 5 obiective de investiții incluse la finanțare</w:t>
            </w:r>
            <w:r w:rsidRPr="00CE1614">
              <w:rPr>
                <w:rFonts w:ascii="Calibri" w:eastAsia="Arial" w:hAnsi="Calibri" w:cs="Arial"/>
                <w:lang w:val="ro-RO" w:eastAsia="ro-RO"/>
              </w:rPr>
              <w:t>.</w:t>
            </w:r>
          </w:p>
          <w:p w:rsidR="00413333" w:rsidRPr="00CE1614" w:rsidRDefault="00413333" w:rsidP="00021698">
            <w:pPr>
              <w:numPr>
                <w:ilvl w:val="0"/>
                <w:numId w:val="146"/>
              </w:numPr>
              <w:pBdr>
                <w:top w:val="nil"/>
                <w:left w:val="nil"/>
                <w:bottom w:val="nil"/>
                <w:right w:val="nil"/>
                <w:between w:val="nil"/>
              </w:pBdr>
              <w:spacing w:before="120"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Programul național de construcții de interes public sau social derulat în baza Anexei 3 la OG nr.25/2001 privind înființarea Companiei Naționale de Investiții "C.N.I." - S.A, </w:t>
            </w:r>
            <w:r w:rsidRPr="00CE1614">
              <w:rPr>
                <w:rFonts w:ascii="Calibri" w:eastAsia="Calibri" w:hAnsi="Calibri" w:cs="Calibri"/>
                <w:color w:val="000000"/>
                <w:lang w:val="ro-RO" w:eastAsia="ro-RO"/>
              </w:rPr>
              <w:t xml:space="preserve">aprobată cu modificări și completări prin Legea nr.117/2002, cu modificările și completările ulterioare, anexă introdusă prin OG nr. 16/2014, cu următoarele subprograme: </w:t>
            </w:r>
            <w:r w:rsidRPr="00CE1614">
              <w:rPr>
                <w:rFonts w:ascii="Calibri" w:eastAsia="Calibri" w:hAnsi="Calibri" w:cs="Calibri"/>
                <w:b/>
                <w:color w:val="000000"/>
                <w:lang w:val="ro-RO" w:eastAsia="ro-RO"/>
              </w:rPr>
              <w:t>Săli de sport; Complexe sportive; Bazine de înot; Așezăminte culturale; Reabilitare blocuri de locuințe situate în localități din zone defavorizate; Unități sanitare din mediul urban; Patinoare artificiale; Săli de cinema; Instituții de învățământ superior de stat; Lucrări în primă urgență; Cămine studentești, Investiții în infrastructură justiției.</w:t>
            </w:r>
          </w:p>
          <w:p w:rsidR="00413333" w:rsidRPr="00CE1614" w:rsidRDefault="00413333" w:rsidP="00413333">
            <w:pPr>
              <w:pBdr>
                <w:top w:val="nil"/>
                <w:left w:val="nil"/>
                <w:bottom w:val="nil"/>
                <w:right w:val="nil"/>
                <w:between w:val="nil"/>
              </w:pBdr>
              <w:spacing w:before="200"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Stadiu program 2018:</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267 obiective în execuție</w:t>
            </w:r>
            <w:r w:rsidRPr="00CE1614">
              <w:rPr>
                <w:rFonts w:ascii="Calibri" w:eastAsia="Calibri" w:hAnsi="Calibri" w:cs="Calibri"/>
                <w:b/>
                <w:color w:val="000000"/>
                <w:lang w:val="ro-RO" w:eastAsia="ro-RO"/>
              </w:rPr>
              <w:t>;</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132 obiective în procedura de achiziție;</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79 obiective cu indicatori tehnico-economici aprobati pentru care urmează demararea procedurilor de achizitie publică;</w:t>
            </w:r>
          </w:p>
          <w:p w:rsidR="00413333" w:rsidRPr="00CE1614" w:rsidRDefault="00413333" w:rsidP="00413333">
            <w:pPr>
              <w:pBdr>
                <w:top w:val="nil"/>
                <w:left w:val="nil"/>
                <w:bottom w:val="nil"/>
                <w:right w:val="nil"/>
                <w:between w:val="nil"/>
              </w:pBdr>
              <w:spacing w:before="200" w:line="259" w:lineRule="auto"/>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Obiective 2019:</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continuarea lucrărilor la 281 obiective de investitii aflate în diferite stadiide executie la 31.12.2018;</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finalizarea procedurilor de achiziții publice la 144 obiective de investitii aflate în diverse stadii ale procedurii;</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inițierea procedurilor de achiziții publice la 82 obiective de investiții cu indicatori tehnico-economici aprobați și aflate în programul de investiții publice;</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continuarea procedurilor de aprobare indicatori tehnico-economici pentru un număr de 562 obiective de investiții ale căror documentații se află în curs de verificare la această dată.</w:t>
            </w:r>
          </w:p>
          <w:p w:rsidR="00413333" w:rsidRPr="00CE1614" w:rsidRDefault="00413333" w:rsidP="00413333">
            <w:pPr>
              <w:pBdr>
                <w:top w:val="nil"/>
                <w:left w:val="nil"/>
                <w:bottom w:val="nil"/>
                <w:right w:val="nil"/>
                <w:between w:val="nil"/>
              </w:pBdr>
              <w:contextualSpacing/>
              <w:jc w:val="both"/>
              <w:rPr>
                <w:rFonts w:ascii="Calibri" w:eastAsia="Calibri" w:hAnsi="Calibri" w:cs="Calibri"/>
                <w:color w:val="000000"/>
                <w:lang w:val="ro-RO" w:eastAsia="ro-RO"/>
              </w:rPr>
            </w:pPr>
          </w:p>
          <w:p w:rsidR="00413333" w:rsidRPr="00CE1614" w:rsidRDefault="00413333" w:rsidP="00021698">
            <w:pPr>
              <w:numPr>
                <w:ilvl w:val="0"/>
                <w:numId w:val="146"/>
              </w:numPr>
              <w:spacing w:after="160" w:line="259" w:lineRule="auto"/>
              <w:contextualSpacing/>
              <w:jc w:val="both"/>
              <w:rPr>
                <w:rFonts w:ascii="Calibri" w:eastAsia="Calibri" w:hAnsi="Calibri" w:cs="Calibri"/>
                <w:lang w:val="ro-RO" w:eastAsia="ro-RO"/>
              </w:rPr>
            </w:pPr>
            <w:r w:rsidRPr="00CE1614">
              <w:rPr>
                <w:rFonts w:ascii="Calibri" w:eastAsia="Calibri" w:hAnsi="Calibri" w:cs="Calibri"/>
                <w:b/>
                <w:lang w:val="ro-RO" w:eastAsia="ro-RO"/>
              </w:rPr>
              <w:t>Programul național privind creșterea performanței energetice la blocurile de locuințe</w:t>
            </w:r>
          </w:p>
          <w:p w:rsidR="00413333" w:rsidRPr="00CE1614" w:rsidRDefault="00413333" w:rsidP="00413333">
            <w:p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Obiective 2018 - 2020:</w:t>
            </w:r>
            <w:r w:rsidRPr="00CE1614">
              <w:rPr>
                <w:rFonts w:ascii="Calibri" w:eastAsia="Calibri" w:hAnsi="Calibri" w:cs="Calibri"/>
                <w:lang w:val="ro-RO" w:eastAsia="ro-RO"/>
              </w:rPr>
              <w:t xml:space="preserve"> în anul 2019 sunt propuse la finanţare un număr de cca 12.519 apartamente în diferite faze de execuţie.</w:t>
            </w:r>
          </w:p>
          <w:p w:rsidR="00413333" w:rsidRPr="00CE1614" w:rsidRDefault="00413333" w:rsidP="00021698">
            <w:pPr>
              <w:numPr>
                <w:ilvl w:val="0"/>
                <w:numId w:val="146"/>
              </w:numPr>
              <w:spacing w:after="160" w:line="259" w:lineRule="auto"/>
              <w:jc w:val="both"/>
              <w:rPr>
                <w:rFonts w:ascii="Calibri" w:eastAsia="Calibri" w:hAnsi="Calibri" w:cs="Calibri"/>
                <w:lang w:val="ro-RO" w:eastAsia="ro-RO"/>
              </w:rPr>
            </w:pPr>
            <w:r w:rsidRPr="00CE1614">
              <w:rPr>
                <w:rFonts w:ascii="Calibri" w:eastAsia="Calibri" w:hAnsi="Calibri" w:cs="Calibri"/>
                <w:b/>
                <w:lang w:val="ro-RO" w:eastAsia="ro-RO"/>
              </w:rPr>
              <w:t>Programul „Termoficare 2006-2020 căldură și confort”</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lang w:val="ro-RO" w:eastAsia="ro-RO"/>
              </w:rPr>
              <w:t>Obiectiv:</w:t>
            </w:r>
            <w:r w:rsidRPr="00CE1614">
              <w:rPr>
                <w:rFonts w:ascii="Calibri" w:eastAsia="Calibri" w:hAnsi="Calibri" w:cs="Calibri"/>
                <w:lang w:val="ro-RO" w:eastAsia="ro-RO"/>
              </w:rPr>
              <w:t xml:space="preserve"> modernizarea infrastructurii aferente serviciului public de alimentare cu energie termică a localităților și îmbunătățirea eficienței energetice; </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 xml:space="preserve">Rezultate obținute: în perioada 2008-2017 au fost finanțate 163 obiective de investiții promovate de 47 unități administrativ-teritoriale, eficiența energetică obținută ca urmare a punerii în funcțiune a obiectivelor finalizate este de 29.853 tep/an;                      </w:t>
            </w:r>
            <w:r w:rsidRPr="00CE1614">
              <w:rPr>
                <w:rFonts w:ascii="Calibri" w:eastAsia="Calibri" w:hAnsi="Calibri" w:cs="Calibri"/>
                <w:lang w:val="ro-RO" w:eastAsia="ro-RO"/>
              </w:rPr>
              <w:br/>
            </w:r>
            <w:r w:rsidRPr="00CE1614">
              <w:rPr>
                <w:rFonts w:ascii="Calibri" w:eastAsia="Calibri" w:hAnsi="Calibri" w:cs="Calibri"/>
                <w:b/>
                <w:lang w:val="ro-RO" w:eastAsia="ro-RO"/>
              </w:rPr>
              <w:t>Rezultate estimate în perioada 2019-2021:</w:t>
            </w:r>
            <w:r w:rsidRPr="00CE1614">
              <w:rPr>
                <w:rFonts w:ascii="Calibri" w:eastAsia="Calibri" w:hAnsi="Calibri" w:cs="Calibri"/>
                <w:lang w:val="ro-RO" w:eastAsia="ro-RO"/>
              </w:rPr>
              <w:t xml:space="preserve"> finanțarea a aproximativ 25 obiective de investiții propuse de 18 unități administrativ-teritoriale beneficiare</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Arial" w:hAnsi="Calibri" w:cs="Arial"/>
                <w:b/>
                <w:lang w:val="ro-RO" w:eastAsia="ro-RO"/>
              </w:rPr>
            </w:pPr>
            <w:r w:rsidRPr="00CE1614">
              <w:rPr>
                <w:rFonts w:ascii="Calibri" w:eastAsia="Arial" w:hAnsi="Calibri" w:cs="Arial"/>
                <w:b/>
                <w:lang w:val="ro-RO" w:eastAsia="ro-RO"/>
              </w:rPr>
              <w:t>- Programul privind elaborarea şi/sau actualizarea planurilor urbanistice generale şi a regulamentelor locale de urbanism(program anual)</w:t>
            </w:r>
          </w:p>
          <w:p w:rsidR="00413333" w:rsidRPr="00CE1614" w:rsidRDefault="00413333" w:rsidP="00413333">
            <w:pPr>
              <w:jc w:val="both"/>
              <w:rPr>
                <w:rFonts w:ascii="Calibri" w:eastAsia="Arial" w:hAnsi="Calibri" w:cs="Arial"/>
                <w:b/>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Cadrul legal:</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i/>
                <w:lang w:val="ro-RO" w:eastAsia="ro-RO"/>
              </w:rPr>
              <w:t>.</w:t>
            </w:r>
            <w:r w:rsidRPr="00CE1614">
              <w:rPr>
                <w:rFonts w:ascii="Calibri" w:eastAsia="Calibri" w:hAnsi="Calibri" w:cs="Calibri"/>
                <w:b/>
                <w:lang w:val="ro-RO" w:eastAsia="ro-RO"/>
              </w:rPr>
              <w:tab/>
            </w:r>
            <w:r w:rsidRPr="00CE1614">
              <w:rPr>
                <w:rFonts w:ascii="Calibri" w:eastAsia="Calibri" w:hAnsi="Calibri" w:cs="Calibri"/>
                <w:lang w:val="ro-RO" w:eastAsia="ro-RO"/>
              </w:rPr>
              <w:t xml:space="preserve"> Legea nr.350/2001 privind amenajarea teritoriului şi urbanismul, cu completările şi modificările ulterioare, ale Ordinului MDRAP nr. 233/2016 pentru aprobarea Normelor metodologice de aplicare a Legii nr. 350/2001 privind amenajarea teritoriului şi urbanismul şi de elaborare şi actualizare a documentaţiilor de urbanism şi</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ab/>
              <w:t>HG nr. 525/1996 pentru aprobarea regulamentului general de urbanism, cu modificările şi completările ulterioare;</w:t>
            </w:r>
          </w:p>
          <w:p w:rsidR="00413333" w:rsidRPr="00CE1614" w:rsidRDefault="00413333" w:rsidP="00413333">
            <w:pPr>
              <w:jc w:val="both"/>
              <w:rPr>
                <w:rFonts w:ascii="Calibri" w:eastAsia="Calibri" w:hAnsi="Calibri" w:cs="Calibri"/>
                <w:b/>
                <w:i/>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Surse de finanţare</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i/>
                <w:lang w:val="ro-RO" w:eastAsia="ro-RO"/>
              </w:rPr>
              <w:tab/>
            </w:r>
            <w:r w:rsidRPr="00CE1614">
              <w:rPr>
                <w:rFonts w:ascii="Calibri" w:eastAsia="Calibri" w:hAnsi="Calibri" w:cs="Calibri"/>
                <w:lang w:val="ro-RO" w:eastAsia="ro-RO"/>
              </w:rPr>
              <w:t>bugetul de stat,</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ab/>
              <w:t>bugetul local al unităţilor administrativ-teritoriale beneficiare; .</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Prezentarea generală:</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Sprijinirea autorităților publice locale în procesul de elaborare/actualizare a planurilor urbanistice generale, astfel încât să se asigure cadrul de dezvoltare teritorială durabilă a localităților din România.</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Scop</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Suportul pentru realizarea programelor de dezvoltare a localităţilor, instrumentul de bază al realizării disciplinei locale</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lang w:val="ro-RO" w:eastAsia="ro-RO"/>
              </w:rPr>
              <w:t>Stadiu program 2018</w:t>
            </w:r>
            <w:r w:rsidRPr="00CE1614">
              <w:rPr>
                <w:rFonts w:ascii="Calibri" w:eastAsia="Calibri" w:hAnsi="Calibri" w:cs="Calibri"/>
                <w:lang w:val="ro-RO" w:eastAsia="ro-RO"/>
              </w:rPr>
              <w:t>:</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În anul 2018 sunt propuse la finanţare un număr de 908 de UAT-uri în cadrul celor 39 de Consilii judeţene care au încheiat contracte de finanţare în anul 2018 pentru elaborarea /actualizarea  PUG şi RLU.</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Obiective 2019:</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Transformarea în program multi-anual,</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Prin această măsură se asigură predictibilitatea fondurilor pentru autoritățile publice locale încurajându-se autoritățile publice locale să actualizeze documentațiile de urbanism (inclusiv să încheie contracte cu operatorii economici). De asemenea, prin această măsură se eficientizează modul de desfășurare al programului (nu mai este necesară repetarea anuală a activităților de transmitere a solicitărilor, de stabilire a priorităților la finanțare, de contractare)</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Elaborarea procedurilor în format electronic</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Prin implementarea programului de finanțare prin intermediul unui soft se asigură o mai bună eficiență, monitorizare și transparență.</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Alocarea constantă a unui buget raportat la solicitările din teritoriu</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Elaborarea unei baze de date și corelarea cu procesul de avizare a documentațiilor de AT și U stabilit conform prevederilor Legii nr. 350/2001 privind amenajarea teritoriului și urbanismul, cu modificările și completările ulterioare.</w:t>
            </w:r>
          </w:p>
          <w:p w:rsidR="00413333" w:rsidRPr="00CE1614" w:rsidRDefault="00413333" w:rsidP="00021698">
            <w:pPr>
              <w:numPr>
                <w:ilvl w:val="0"/>
                <w:numId w:val="142"/>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 xml:space="preserve">Actualizarea metodologiei de elaborare a planurilor urbanistice generale astfel încât să fie stabilită elaborarea documentațiilor de urbanism în format digital și interoperabilitatea datelor. </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 xml:space="preserve"> - Programul privind elaborarea hărţilor de risc natural pentru cutremure şi alunecări de teren</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 xml:space="preserve"> Cadrul legal</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Legea nr.575/2001 privind aprobarea Planului de amenajare a teritoriului naţional - Secţiunea a V-a - zone de risc natural,</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Hotărârea Guvernului nr.447/2003 pentru aprobarea normelor metodologice privind modul de elaborare şi conţinutul hărţilor de risc natural la alunecări de teren şi inundaţii</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Hotărârea Guvernului nr. 932/2007 pentru aprobarea Metodologiei privind finanțarea de la bugetul de stat a hărților de risc natural pentru cutremure și alunecări de teren;</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 xml:space="preserve"> Surse de finanţare:</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 xml:space="preserve">Cofinanţare în proporţie de până la 50% din alocaţii de la bugetul de stat, în limita fondurilor aprobate anual cu această destinaţie în bugetul Ministerului Dezvoltării Regionale și Administraţiei Publice iar diferenţa din bugetul consiliilor judeţene care au obligaţia să prevadă fondurile necesare finanţării hărţilor de risc natural. </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spacing w:after="120"/>
              <w:jc w:val="both"/>
              <w:rPr>
                <w:rFonts w:ascii="Calibri" w:eastAsia="Calibri" w:hAnsi="Calibri" w:cs="Calibri"/>
                <w:b/>
                <w:lang w:val="ro-RO" w:eastAsia="ro-RO"/>
              </w:rPr>
            </w:pPr>
            <w:r w:rsidRPr="00CE1614">
              <w:rPr>
                <w:rFonts w:ascii="Calibri" w:eastAsia="Calibri" w:hAnsi="Calibri" w:cs="Calibri"/>
                <w:b/>
                <w:lang w:val="ro-RO" w:eastAsia="ro-RO"/>
              </w:rPr>
              <w:t>Prezentarea generală:</w:t>
            </w:r>
          </w:p>
          <w:p w:rsidR="00413333" w:rsidRPr="00CE1614" w:rsidRDefault="00413333" w:rsidP="00413333">
            <w:pPr>
              <w:jc w:val="both"/>
              <w:rPr>
                <w:rFonts w:ascii="Calibri" w:eastAsia="Calibri" w:hAnsi="Calibri" w:cs="Calibri"/>
                <w:color w:val="262626"/>
                <w:lang w:val="ro-RO" w:eastAsia="ro-RO"/>
              </w:rPr>
            </w:pPr>
            <w:r w:rsidRPr="00CE1614">
              <w:rPr>
                <w:rFonts w:ascii="Calibri" w:eastAsia="Calibri" w:hAnsi="Calibri" w:cs="Calibri"/>
                <w:color w:val="262626"/>
                <w:lang w:val="ro-RO" w:eastAsia="ro-RO"/>
              </w:rPr>
              <w:t>Delimitarea geografică a teritoriilor în interiorul cărora exista un potenţial de producere a unor fenomene naturale distructive, care pot afecta populaţia, activităţile umane, mediul natural şi cel construit şi pot produce pagube şi victime umane.</w:t>
            </w:r>
          </w:p>
          <w:p w:rsidR="00413333" w:rsidRPr="00CE1614" w:rsidRDefault="00413333" w:rsidP="00413333">
            <w:pPr>
              <w:spacing w:before="200"/>
              <w:jc w:val="both"/>
              <w:rPr>
                <w:rFonts w:ascii="Calibri" w:eastAsia="Calibri" w:hAnsi="Calibri" w:cs="Calibri"/>
                <w:b/>
                <w:color w:val="262626"/>
                <w:lang w:val="ro-RO" w:eastAsia="ro-RO"/>
              </w:rPr>
            </w:pPr>
            <w:r w:rsidRPr="00CE1614">
              <w:rPr>
                <w:rFonts w:ascii="Calibri" w:eastAsia="Calibri" w:hAnsi="Calibri" w:cs="Calibri"/>
                <w:b/>
                <w:color w:val="262626"/>
                <w:lang w:val="ro-RO" w:eastAsia="ro-RO"/>
              </w:rPr>
              <w:t>Stadiu program 2018:</w:t>
            </w:r>
          </w:p>
          <w:p w:rsidR="00413333" w:rsidRPr="00CE1614" w:rsidRDefault="00413333" w:rsidP="00413333">
            <w:pPr>
              <w:spacing w:line="273" w:lineRule="auto"/>
              <w:jc w:val="both"/>
              <w:rPr>
                <w:rFonts w:ascii="Calibri" w:eastAsia="Calibri" w:hAnsi="Calibri" w:cs="Calibri"/>
                <w:color w:val="262626"/>
                <w:lang w:val="ro-RO" w:eastAsia="ro-RO"/>
              </w:rPr>
            </w:pPr>
            <w:r w:rsidRPr="00CE1614">
              <w:rPr>
                <w:rFonts w:ascii="Calibri" w:eastAsia="Calibri" w:hAnsi="Calibri" w:cs="Calibri"/>
                <w:color w:val="262626"/>
                <w:lang w:val="ro-RO" w:eastAsia="ro-RO"/>
              </w:rPr>
              <w:t>Număr contracte întocmite cu consiliile județene  - 4 contracte</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Obiective 2019</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Transformarea în program multi-anual,</w:t>
            </w:r>
          </w:p>
          <w:p w:rsidR="00413333" w:rsidRPr="00CE1614" w:rsidRDefault="00413333" w:rsidP="00021698">
            <w:pPr>
              <w:numPr>
                <w:ilvl w:val="0"/>
                <w:numId w:val="143"/>
              </w:numPr>
              <w:spacing w:after="240" w:line="259" w:lineRule="auto"/>
              <w:ind w:left="141" w:firstLine="0"/>
              <w:contextualSpacing/>
              <w:jc w:val="both"/>
              <w:rPr>
                <w:rFonts w:ascii="Calibri" w:eastAsia="Calibri" w:hAnsi="Calibri" w:cs="Calibri"/>
                <w:lang w:val="ro-RO" w:eastAsia="ro-RO"/>
              </w:rPr>
            </w:pPr>
            <w:r w:rsidRPr="00CE1614">
              <w:rPr>
                <w:rFonts w:ascii="Calibri" w:eastAsia="Calibri" w:hAnsi="Calibri" w:cs="Calibri"/>
                <w:lang w:val="ro-RO" w:eastAsia="ro-RO"/>
              </w:rPr>
              <w:t>Dezvoltare teritorială durabilă - prin fundamentarea condițiilor și a posibilităților de utilizare a terenului în raport cu cerințele de siguranță la cutremure și alunecări de teren pentru 20 de judeţe.</w:t>
            </w: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b/>
                <w:lang w:val="ro-RO" w:eastAsia="ro-RO"/>
              </w:rPr>
              <w:t>Programul privind Sistemul informaţional specific domeniului imobiliar-edilitar şi băncilor de date urbane</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Cadrul legal</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 xml:space="preserve"> Legea cadastrului si publicităţii imobiliare nr. 7/1997, republicată; HG nr. 521/1997 pentru aprobarea Normelor metodologice privind finanţarea sistemului informaţional specific domeniului imobiliar-edilitar si băncilor de date urbane, modificată şi completată prin HG nr.818/2007, HG nr. 893/2008 şi HG nr. 247/2010;</w:t>
            </w: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lang w:val="ro-RO" w:eastAsia="ro-RO"/>
              </w:rPr>
              <w:t>Metodologiile privind executarea lucrărilor de introducere a cadastrului imobiliar şi a reţelelor edilitare în localităţi, aprobate prin Ordinul nr.90/NN/911-CP şi Ordinul 91/NN/912-CP din data de 02.06.1997, emise de Ministerul Lucrărilor Publice şi Amenajării Teritoriului si Oficiul Naţional de Cadastru, Geodezie şi Cartografie</w:t>
            </w:r>
            <w:r w:rsidRPr="00CE1614">
              <w:rPr>
                <w:rFonts w:ascii="Calibri" w:eastAsia="Calibri" w:hAnsi="Calibri" w:cs="Calibri"/>
                <w:b/>
                <w:lang w:val="ro-RO" w:eastAsia="ro-RO"/>
              </w:rPr>
              <w:t>.</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 xml:space="preserve"> Prezentare generală</w:t>
            </w:r>
          </w:p>
          <w:p w:rsidR="00413333" w:rsidRPr="00CE1614" w:rsidRDefault="00413333" w:rsidP="00413333">
            <w:pPr>
              <w:jc w:val="both"/>
              <w:rPr>
                <w:rFonts w:ascii="Calibri" w:eastAsia="Calibri" w:hAnsi="Calibri" w:cs="Calibri"/>
                <w:b/>
                <w:lang w:val="ro-RO" w:eastAsia="ro-RO"/>
              </w:rPr>
            </w:pPr>
            <w:r w:rsidRPr="00CE1614">
              <w:rPr>
                <w:rFonts w:ascii="Calibri" w:eastAsia="Calibri" w:hAnsi="Calibri" w:cs="Calibri"/>
                <w:lang w:val="ro-RO" w:eastAsia="ro-RO"/>
              </w:rPr>
              <w:t>Sistemul informaţional specific domeniului imobiliar-edilitar şi băncilor de date urbane, denumit în continuare SISDIEBDU, este sistemul de evidenţă, măsurare, inventariere, gestiune şi actualizare sistematică a tuturor imobilelor şi reţelelor edilitare din intravilanul localităţilor, sub aspect tehnic şi economic, cu respectarea datelor de bază din cadastrul general, privind suprafaţa, categoria de folosinţă şi proprietarul</w:t>
            </w:r>
            <w:r w:rsidRPr="00CE1614">
              <w:rPr>
                <w:rFonts w:ascii="Calibri" w:eastAsia="Calibri" w:hAnsi="Calibri" w:cs="Calibri"/>
                <w:b/>
                <w:lang w:val="ro-RO" w:eastAsia="ro-RO"/>
              </w:rPr>
              <w:t>.</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lang w:val="ro-RO" w:eastAsia="ro-RO"/>
              </w:rPr>
              <w:t xml:space="preserve">Surse de finanţare: </w:t>
            </w:r>
            <w:r w:rsidRPr="00CE1614">
              <w:rPr>
                <w:rFonts w:ascii="Calibri" w:eastAsia="Calibri" w:hAnsi="Calibri" w:cs="Calibri"/>
                <w:lang w:val="ro-RO" w:eastAsia="ro-RO"/>
              </w:rPr>
              <w:t>bugetul de stat, bugetul local al unităţilor administrativ-teritoriale beneficiare;</w:t>
            </w:r>
          </w:p>
          <w:p w:rsidR="00413333" w:rsidRPr="00CE1614" w:rsidRDefault="00413333" w:rsidP="00413333">
            <w:pPr>
              <w:spacing w:before="200"/>
              <w:jc w:val="both"/>
              <w:rPr>
                <w:rFonts w:ascii="Calibri" w:eastAsia="Calibri" w:hAnsi="Calibri" w:cs="Calibri"/>
                <w:b/>
                <w:lang w:val="ro-RO" w:eastAsia="ro-RO"/>
              </w:rPr>
            </w:pPr>
            <w:r w:rsidRPr="00CE1614">
              <w:rPr>
                <w:rFonts w:ascii="Calibri" w:eastAsia="Calibri" w:hAnsi="Calibri" w:cs="Calibri"/>
                <w:b/>
                <w:lang w:val="ro-RO" w:eastAsia="ro-RO"/>
              </w:rPr>
              <w:t>Obiective 2019:</w:t>
            </w:r>
          </w:p>
          <w:p w:rsidR="00413333" w:rsidRPr="00CE1614" w:rsidRDefault="00413333" w:rsidP="00021698">
            <w:pPr>
              <w:numPr>
                <w:ilvl w:val="0"/>
                <w:numId w:val="158"/>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Transformarea în program multi-anual,</w:t>
            </w:r>
          </w:p>
          <w:p w:rsidR="00413333" w:rsidRPr="00CE1614" w:rsidRDefault="00413333" w:rsidP="00021698">
            <w:pPr>
              <w:numPr>
                <w:ilvl w:val="0"/>
                <w:numId w:val="155"/>
              </w:numPr>
              <w:spacing w:after="240" w:line="259" w:lineRule="auto"/>
              <w:contextualSpacing/>
              <w:jc w:val="both"/>
              <w:rPr>
                <w:rFonts w:ascii="Calibri" w:eastAsia="Calibri" w:hAnsi="Calibri" w:cs="Calibri"/>
                <w:lang w:val="ro-RO" w:eastAsia="ro-RO"/>
              </w:rPr>
            </w:pPr>
            <w:r w:rsidRPr="00CE1614">
              <w:rPr>
                <w:rFonts w:ascii="Calibri" w:eastAsia="Calibri" w:hAnsi="Calibri" w:cs="Calibri"/>
                <w:lang w:val="ro-RO" w:eastAsia="ro-RO"/>
              </w:rPr>
              <w:t>Susținerea autorităților administrației publice locale în procesele de planificare și control al dezvoltării prin asigurarea finanţării pentru 1500 de UAT-uri precum și necesitatea elaborării băncilor de date urbane astfel încât să se asigure o dezvoltare coerentă a localităților din România.</w:t>
            </w:r>
          </w:p>
          <w:p w:rsidR="00413333" w:rsidRPr="00CE1614" w:rsidRDefault="00413333" w:rsidP="00413333">
            <w:pPr>
              <w:spacing w:before="120"/>
              <w:jc w:val="both"/>
              <w:rPr>
                <w:rFonts w:ascii="Calibri" w:eastAsia="Calibri" w:hAnsi="Calibri" w:cs="Calibri"/>
                <w:b/>
                <w:u w:val="single"/>
                <w:lang w:val="ro-RO" w:eastAsia="ro-RO"/>
              </w:rPr>
            </w:pP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 xml:space="preserve">DEZVOLTARE REGIONALĂ – POR  </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b/>
                <w:lang w:val="ro-RO" w:eastAsia="ro-RO"/>
              </w:rPr>
              <w:t xml:space="preserve">PROGRAMUL OPERATIONAL REGIONAL (POR) 2014-2020 - </w:t>
            </w:r>
            <w:r w:rsidRPr="00CE1614">
              <w:rPr>
                <w:rFonts w:ascii="Calibri" w:eastAsia="Calibri" w:hAnsi="Calibri" w:cs="Calibri"/>
                <w:lang w:val="ro-RO" w:eastAsia="ro-RO"/>
              </w:rPr>
              <w:t xml:space="preserve">Referitor la POR 2014-2020, acesta a fost aprobat de către CE pe data de 23 iunie 2015. </w:t>
            </w:r>
          </w:p>
          <w:p w:rsidR="00413333" w:rsidRPr="00CE1614" w:rsidRDefault="00413333" w:rsidP="00413333">
            <w:pPr>
              <w:spacing w:before="120" w:after="120"/>
              <w:jc w:val="both"/>
              <w:rPr>
                <w:rFonts w:ascii="Calibri" w:eastAsia="Calibri" w:hAnsi="Calibri" w:cs="Calibri"/>
                <w:lang w:val="ro-RO" w:eastAsia="ro-RO"/>
              </w:rPr>
            </w:pPr>
            <w:r w:rsidRPr="00CE1614">
              <w:rPr>
                <w:rFonts w:ascii="Calibri" w:eastAsia="Calibri" w:hAnsi="Calibri" w:cs="Calibri"/>
                <w:b/>
                <w:lang w:val="ro-RO" w:eastAsia="ro-RO"/>
              </w:rPr>
              <w:t>Bugetul total al POR 2014-2020 este de 8,38 miliarde Euro</w:t>
            </w:r>
          </w:p>
          <w:p w:rsidR="00413333" w:rsidRPr="00CE1614" w:rsidRDefault="00413333" w:rsidP="00413333">
            <w:pPr>
              <w:spacing w:before="120" w:after="120"/>
              <w:jc w:val="both"/>
              <w:rPr>
                <w:rFonts w:ascii="Calibri" w:eastAsia="Calibri" w:hAnsi="Calibri" w:cs="Calibri"/>
                <w:lang w:val="ro-RO" w:eastAsia="ro-RO"/>
              </w:rPr>
            </w:pPr>
            <w:r w:rsidRPr="00CE1614">
              <w:rPr>
                <w:rFonts w:ascii="Calibri" w:eastAsia="Calibri" w:hAnsi="Calibri" w:cs="Calibri"/>
                <w:b/>
                <w:lang w:val="ro-RO" w:eastAsia="ro-RO"/>
              </w:rPr>
              <w:t>Obiectivul general al POR 2014-2020</w:t>
            </w:r>
            <w:r w:rsidRPr="00CE1614">
              <w:rPr>
                <w:rFonts w:ascii="Calibri" w:eastAsia="Calibri" w:hAnsi="Calibri" w:cs="Calibri"/>
                <w:lang w:val="ro-RO" w:eastAsia="ro-RO"/>
              </w:rPr>
              <w:t>este creșterea competitivității economice și îmbunătățirea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p>
          <w:p w:rsidR="00413333" w:rsidRPr="00CE1614" w:rsidRDefault="00413333" w:rsidP="00413333">
            <w:pPr>
              <w:spacing w:before="120" w:after="120"/>
              <w:jc w:val="both"/>
              <w:rPr>
                <w:rFonts w:ascii="Calibri" w:eastAsia="Calibri" w:hAnsi="Calibri" w:cs="Calibri"/>
                <w:lang w:val="ro-RO" w:eastAsia="ro-RO"/>
              </w:rPr>
            </w:pPr>
            <w:r w:rsidRPr="00CE1614">
              <w:rPr>
                <w:rFonts w:ascii="Calibri" w:eastAsia="Calibri" w:hAnsi="Calibri" w:cs="Calibri"/>
                <w:b/>
                <w:lang w:val="ro-RO" w:eastAsia="ro-RO"/>
              </w:rPr>
              <w:t xml:space="preserve">PROGRAMUL OPERAȚIONAL INIȚIATIVA PENTRU IMM-URI (POIIMM) a fost </w:t>
            </w:r>
          </w:p>
          <w:p w:rsidR="00413333" w:rsidRPr="00CE1614" w:rsidRDefault="00413333" w:rsidP="00413333">
            <w:pPr>
              <w:spacing w:before="120" w:after="120"/>
              <w:jc w:val="both"/>
              <w:rPr>
                <w:rFonts w:ascii="Calibri" w:eastAsia="Calibri" w:hAnsi="Calibri" w:cs="Calibri"/>
                <w:lang w:val="ro-RO" w:eastAsia="ro-RO"/>
              </w:rPr>
            </w:pPr>
            <w:r w:rsidRPr="00CE1614">
              <w:rPr>
                <w:rFonts w:ascii="Calibri" w:eastAsia="Calibri" w:hAnsi="Calibri" w:cs="Calibri"/>
                <w:b/>
                <w:lang w:val="ro-RO" w:eastAsia="ro-RO"/>
              </w:rPr>
              <w:t xml:space="preserve">inclus ca axă prioritară în cadrul POR, prin decizia CE de modificare a POR adoptata in luna octombrie 2018. </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COOPERARE TERITORIALĂ EUROPEANĂ</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Programele de cooperare aferente perioadei 2014-2020:</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Programe de cooperare aferente politicii de coeziune a UE, finanțate din FEDR:</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Interreg V-A România-Bulgaria – în calitate de Autoritate de Management</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Interreg V-A România-Ungaria – în calitate de Autoritate de Management</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transnațional Dunărea – în calitate de Autoritate Națională</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de cooperare interregională INTERREG EUROPE – în calitate de Autoritate Națională</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de cooperare interregională URBACT III – în calitate de Autoritate Națională</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de cooperare interregională INTERACT III – în calitate de Autoritate Națională</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de cooperare interregională ESPON 2020 – în calitate de Autoritate Națională</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Program de cooperare aferent politicii de extindere a UE, finanțat din IPA:</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lang w:val="ro-RO" w:eastAsia="ro-RO"/>
              </w:rPr>
              <w:t>Programul INTERREG IPA de cooperare transfrontalieră  România – Serbia - în calitate de Autoritate de Management.</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Programe de cooperare aferente politicii de vecinătate a UE, finanțate din ENI:</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operațional comun România-Ucraina 2014-2020 – în calitate de Autoritate de Management</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operațional comun România - Republica Moldova 2014-2020 – în calitate de Autoritate de Management</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Programul operațional comun Bazinul Mării Negre 2014-2020 – în calitate de Autoritate de Management </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Programul de Cooperare Transfrontaliera ENI Ungaria-Slovacia-România-Ucraina 2014-2020 – în calitate de Autoritate Națională</w:t>
            </w:r>
          </w:p>
        </w:tc>
      </w:tr>
      <w:tr w:rsidR="00413333" w:rsidRPr="00CE1614" w:rsidTr="003C772A">
        <w:trPr>
          <w:jc w:val="center"/>
        </w:trPr>
        <w:tc>
          <w:tcPr>
            <w:tcW w:w="1588" w:type="dxa"/>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Direcție de acțiune</w:t>
            </w:r>
          </w:p>
        </w:tc>
        <w:tc>
          <w:tcPr>
            <w:tcW w:w="8188" w:type="dxa"/>
          </w:tcPr>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Administrație Publică</w:t>
            </w: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În calitatea sa de responsabil al coordonării procesului de reformă și modernizare a administrației publice românești, prin structurile de specialitate cu competențe în domeniu, ministerul acționează în direcțiile majore:</w:t>
            </w:r>
          </w:p>
          <w:p w:rsidR="00413333" w:rsidRPr="00CE1614" w:rsidRDefault="00413333" w:rsidP="00021698">
            <w:pPr>
              <w:numPr>
                <w:ilvl w:val="0"/>
                <w:numId w:val="140"/>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creșterea/ consolidarea capacității administrației publice</w:t>
            </w:r>
            <w:r w:rsidRPr="00CE1614">
              <w:rPr>
                <w:rFonts w:ascii="Calibri" w:eastAsia="Calibri" w:hAnsi="Calibri" w:cs="Calibri"/>
                <w:color w:val="000000"/>
                <w:lang w:val="ro-RO" w:eastAsia="ro-RO"/>
              </w:rPr>
              <w:t xml:space="preserve"> în conformitate cu prevederile Strategiei pentru Consolidarea Administrației Publice 2014-2020 pentru ca aceasta să poată răspunde cât mai eficient atât nevoilor în continuă creștere ale societății în ansamblul său, cât și a celor aferente unor categorii specifice de beneficiari (cetățeni, mediul de afaceri etc.)</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Țintă/ Obiectiv general</w:t>
            </w:r>
          </w:p>
        </w:tc>
        <w:tc>
          <w:tcPr>
            <w:tcW w:w="8188" w:type="dxa"/>
          </w:tcPr>
          <w:p w:rsidR="00413333" w:rsidRPr="00CE1614" w:rsidRDefault="00413333" w:rsidP="00021698">
            <w:pPr>
              <w:numPr>
                <w:ilvl w:val="0"/>
                <w:numId w:val="134"/>
              </w:numPr>
              <w:spacing w:before="120" w:after="160" w:line="259" w:lineRule="auto"/>
              <w:jc w:val="both"/>
              <w:rPr>
                <w:rFonts w:ascii="Calibri" w:eastAsia="Calibri" w:hAnsi="Calibri" w:cs="Calibri"/>
                <w:lang w:val="ro-RO" w:eastAsia="ro-RO"/>
              </w:rPr>
            </w:pPr>
            <w:r w:rsidRPr="00CE1614">
              <w:rPr>
                <w:rFonts w:ascii="Calibri" w:eastAsia="Calibri" w:hAnsi="Calibri" w:cs="Calibri"/>
                <w:lang w:val="ro-RO" w:eastAsia="ro-RO"/>
              </w:rPr>
              <w:t xml:space="preserve">Creșterea eficienței administrației publice românești și a receptivității acesteia la nevoile cetățenilor </w:t>
            </w:r>
          </w:p>
          <w:p w:rsidR="00413333" w:rsidRPr="00CE1614" w:rsidRDefault="00413333" w:rsidP="00021698">
            <w:pPr>
              <w:numPr>
                <w:ilvl w:val="0"/>
                <w:numId w:val="134"/>
              </w:numPr>
              <w:spacing w:before="120" w:after="160" w:line="259" w:lineRule="auto"/>
              <w:jc w:val="both"/>
              <w:rPr>
                <w:rFonts w:ascii="Calibri" w:eastAsia="Calibri" w:hAnsi="Calibri" w:cs="Calibri"/>
                <w:lang w:val="ro-RO" w:eastAsia="ro-RO"/>
              </w:rPr>
            </w:pPr>
            <w:r w:rsidRPr="00CE1614">
              <w:rPr>
                <w:rFonts w:ascii="Calibri" w:eastAsia="Calibri" w:hAnsi="Calibri" w:cs="Calibri"/>
                <w:lang w:val="ro-RO" w:eastAsia="ro-RO"/>
              </w:rPr>
              <w:t>Să contribuie la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Obiective specifice/ Măsuri de implementare pentru perioada 2019 - 2021</w:t>
            </w:r>
          </w:p>
        </w:tc>
        <w:tc>
          <w:tcPr>
            <w:tcW w:w="8188" w:type="dxa"/>
          </w:tcPr>
          <w:p w:rsidR="00413333" w:rsidRPr="00CE1614" w:rsidRDefault="00413333" w:rsidP="00021698">
            <w:pPr>
              <w:numPr>
                <w:ilvl w:val="0"/>
                <w:numId w:val="137"/>
              </w:numPr>
              <w:pBdr>
                <w:top w:val="nil"/>
                <w:left w:val="nil"/>
                <w:bottom w:val="nil"/>
                <w:right w:val="nil"/>
                <w:between w:val="nil"/>
              </w:pBdr>
              <w:tabs>
                <w:tab w:val="center" w:pos="203"/>
              </w:tabs>
              <w:spacing w:before="120" w:after="160" w:line="259" w:lineRule="auto"/>
              <w:ind w:left="203" w:hanging="203"/>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Implementarea acțiunilor în responsabilitatea MDRAP din cadrul Strategiei pentru Consolidarea Administrației Publice 2014-2020 (SCAP 2014-2020)</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Calibri" w:hAnsi="Calibri" w:cs="Calibri"/>
                <w:lang w:val="ro-RO" w:eastAsia="ro-RO"/>
              </w:rPr>
            </w:pPr>
            <w:r w:rsidRPr="00CE1614">
              <w:rPr>
                <w:rFonts w:ascii="Calibri" w:eastAsia="Calibri" w:hAnsi="Calibri" w:cs="Calibri"/>
                <w:lang w:val="ro-RO" w:eastAsia="ro-RO"/>
              </w:rPr>
              <w:t>Măsurile incluse în acest obiectiv vizează:</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Implementarea acțiunilor aferente criteriilor ale condiționalității ex-ante impuse de Comisia Europeană pentru OT 11 - „Consolidarea capacității instituționale și o administrație publică eficientă” în contextul programării fondurilor europene 2014-2020: simplificarea și raționalizarea procedurilor administrative pentru cetățeni, și promovarea managementului calității,  implementarea unor strategii și politici privind resursele umane care să acopere principalele decalaje identificate în acest domeniu, dezvoltarea de competențe la toate nivelurile ierarhiei profesionale din cadrul autorităților publice;</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Sistematizarea/ codificarea legislației în administrația publică. Elaborarea proiectelor Codului Administrativ și Codului de Procedură Administrativă;</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Consolidarea cadrului pentru creșterea calității serviciilor publice și pentru sprijinirea dezvoltării la nivel local, în concordanță cu prevederile SCAP și care contribuie la atingerea Obiectivului Specific 1.1 al Programului Operațional Capacitate Administrativă 2014-2020, respectiv </w:t>
            </w:r>
            <w:r w:rsidRPr="00CE1614">
              <w:rPr>
                <w:rFonts w:ascii="Calibri" w:eastAsia="Calibri" w:hAnsi="Calibri" w:cs="Calibri"/>
                <w:i/>
                <w:color w:val="000000"/>
                <w:lang w:val="ro-RO" w:eastAsia="ro-RO"/>
              </w:rPr>
              <w:t>Dezvoltarea și introducerea de sisteme și standarde comune în administrația publică ce optimizează procesele decizionale orientate către cetățeni și mediul de afaceriîn concordanță cu SCAP</w:t>
            </w:r>
            <w:r w:rsidRPr="00CE1614">
              <w:rPr>
                <w:rFonts w:ascii="Calibri" w:eastAsia="Calibri" w:hAnsi="Calibri" w:cs="Calibri"/>
                <w:color w:val="000000"/>
                <w:lang w:val="ro-RO" w:eastAsia="ro-RO"/>
              </w:rPr>
              <w:t>.</w:t>
            </w:r>
          </w:p>
          <w:p w:rsidR="00413333" w:rsidRPr="00CE1614" w:rsidRDefault="00413333" w:rsidP="00021698">
            <w:pPr>
              <w:numPr>
                <w:ilvl w:val="0"/>
                <w:numId w:val="137"/>
              </w:numPr>
              <w:pBdr>
                <w:top w:val="nil"/>
                <w:left w:val="nil"/>
                <w:bottom w:val="nil"/>
                <w:right w:val="nil"/>
                <w:between w:val="nil"/>
              </w:pBdr>
              <w:tabs>
                <w:tab w:val="center" w:pos="203"/>
              </w:tabs>
              <w:spacing w:after="160" w:line="259" w:lineRule="auto"/>
              <w:ind w:left="203" w:hanging="203"/>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Consolidarea capacității administrative și financiare a unităților administrativ-teritoriale</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Măsurile incluse în acest obiectiv vizează: asistența tehnică în cadrul procesului de descentralizare; consolidarea capacității financiare la nivelul administrației publice; programe de finanțare aferente domeniului de administrație publică.</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Programe/Proiecte prioritare pentru perioada 2019 - 2021</w:t>
            </w:r>
          </w:p>
        </w:tc>
        <w:tc>
          <w:tcPr>
            <w:tcW w:w="8188" w:type="dxa"/>
          </w:tcPr>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Rezultate principale așteptate – cu privire la obiectivul specific (OS) 1</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Mecanism pentru evaluarea impactului măsurilor de simplificare,</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Implementarea acțiunilor în responsabilitatea MDRAP din cadrul Planului de acțiune pentru implementarea managementului calității,</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Mecanism de monitorizare a utilizării sistemelor și instrumentelor de management al calității în administrația publică,</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Implementarea acțiunilor în responsabilitatea MDRAP din cadrul Strategiei privind dezvoltarea funcției publice pentru perioada 2016 – 2020, aprobată prin HG nr. 525/2016,</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Implementarea acțiunilor în responsabilitatea MDRAP din cadrul Strategiei privind formarea profesională în administrația publică pentru perioada 2016-2020, aprobată prin HG nr.650/2016, </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Analiza serviciilor publice furnizate/prestate de administrația publică,</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Propuneri de standarde de calitate și de cost pentru serviciile publice descentralizate,</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Sistem de monitorizare și evaluare a capacității administrative a unităților administrativ-teritoriale și a competențelor descentralizate,</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Elaborarea proiectului Codului de Procedură Administrativă,</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Elaborarea codului amenajării teritoriului și urbanismului,</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Sistematizarea reglementărilor tehnice din domeniul construcțiilor,</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Realizarea registrului național al clădirilor,</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Identificarea nevoilor și a soluțiilor necesare introducerii sistemelor de                         e-guvernare în domeniul urbanismului și autorizării construcțiilor,</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Analiza și monitorizarea impactului teritorial al politicilor investiționale.</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 xml:space="preserve">Măsurile incluse în acest obiectiv vizează </w:t>
            </w:r>
            <w:r w:rsidRPr="00CE1614">
              <w:rPr>
                <w:rFonts w:ascii="Calibri" w:eastAsia="Calibri" w:hAnsi="Calibri" w:cs="Calibri"/>
                <w:b/>
                <w:lang w:val="ro-RO" w:eastAsia="ro-RO"/>
              </w:rPr>
              <w:t>asistența tehnică</w:t>
            </w:r>
            <w:r w:rsidRPr="00CE1614">
              <w:rPr>
                <w:rFonts w:ascii="Calibri" w:eastAsia="Calibri" w:hAnsi="Calibri" w:cs="Calibri"/>
                <w:lang w:val="ro-RO" w:eastAsia="ro-RO"/>
              </w:rPr>
              <w:t xml:space="preserve"> în cadrul </w:t>
            </w:r>
            <w:r w:rsidRPr="00CE1614">
              <w:rPr>
                <w:rFonts w:ascii="Calibri" w:eastAsia="Calibri" w:hAnsi="Calibri" w:cs="Calibri"/>
                <w:b/>
                <w:i/>
                <w:u w:val="single"/>
                <w:lang w:val="ro-RO" w:eastAsia="ro-RO"/>
              </w:rPr>
              <w:t>procesului de descentralizare</w:t>
            </w:r>
            <w:r w:rsidRPr="00CE1614">
              <w:rPr>
                <w:rFonts w:ascii="Calibri" w:eastAsia="Calibri" w:hAnsi="Calibri" w:cs="Calibri"/>
                <w:lang w:val="ro-RO" w:eastAsia="ro-RO"/>
              </w:rPr>
              <w:t xml:space="preserve">, </w:t>
            </w:r>
            <w:r w:rsidRPr="00CE1614">
              <w:rPr>
                <w:rFonts w:ascii="Calibri" w:eastAsia="Calibri" w:hAnsi="Calibri" w:cs="Calibri"/>
                <w:b/>
                <w:lang w:val="ro-RO" w:eastAsia="ro-RO"/>
              </w:rPr>
              <w:t>consolidarea capacității financiare la nivelul administrației publice</w:t>
            </w:r>
            <w:r w:rsidRPr="00CE1614">
              <w:rPr>
                <w:rFonts w:ascii="Calibri" w:eastAsia="Calibri" w:hAnsi="Calibri" w:cs="Calibri"/>
                <w:lang w:val="ro-RO" w:eastAsia="ro-RO"/>
              </w:rPr>
              <w:t xml:space="preserve">, precum și </w:t>
            </w:r>
            <w:r w:rsidRPr="00CE1614">
              <w:rPr>
                <w:rFonts w:ascii="Calibri" w:eastAsia="Calibri" w:hAnsi="Calibri" w:cs="Calibri"/>
                <w:b/>
                <w:lang w:val="ro-RO" w:eastAsia="ro-RO"/>
              </w:rPr>
              <w:t>programele de finanțare aferente domeniului de administrație publică.</w:t>
            </w:r>
          </w:p>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 xml:space="preserve">DEZVOLTAREA CAPACITĂŢII ADMINISTRATIVE </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MDRAP este Autoritate de Management pentru</w:t>
            </w:r>
            <w:r w:rsidRPr="00CE1614">
              <w:rPr>
                <w:rFonts w:ascii="Calibri" w:eastAsia="Calibri" w:hAnsi="Calibri" w:cs="Calibri"/>
                <w:b/>
                <w:lang w:val="ro-RO" w:eastAsia="ro-RO"/>
              </w:rPr>
              <w:t xml:space="preserve"> POCA 2014 – 2020</w:t>
            </w:r>
            <w:r w:rsidRPr="00CE1614">
              <w:rPr>
                <w:rFonts w:ascii="Calibri" w:eastAsia="Calibri" w:hAnsi="Calibri" w:cs="Calibri"/>
                <w:lang w:val="ro-RO" w:eastAsia="ro-RO"/>
              </w:rPr>
              <w:t xml:space="preserve">, program aprobat prin Decizia C(2015) 1290 în data de 25 februarie 2015, program ce își propune să consolideze capacitatea administrativă a autorităților și instituțiilor publice de a susține o economie modernă și competitivă, abordând provocarea 5 ”Administrația și guvernarea” și provocarea 2 ”Oamenii și societatea” din Acordul de Parteneriat al României. </w:t>
            </w:r>
            <w:r w:rsidRPr="00CE1614">
              <w:rPr>
                <w:rFonts w:ascii="Calibri" w:eastAsia="Calibri" w:hAnsi="Calibri" w:cs="Calibri"/>
                <w:b/>
                <w:lang w:val="ro-RO" w:eastAsia="ro-RO"/>
              </w:rPr>
              <w:t xml:space="preserve">POCA 2014 – 2020 asigură continuitatea viziunii strategice a PODCA 2007 – 2013 </w:t>
            </w:r>
            <w:r w:rsidRPr="00CE1614">
              <w:rPr>
                <w:rFonts w:ascii="Calibri" w:eastAsia="Calibri" w:hAnsi="Calibri" w:cs="Calibri"/>
                <w:lang w:val="ro-RO" w:eastAsia="ro-RO"/>
              </w:rPr>
              <w:t>cu privire laconsolidarea capacității instituționale a autorităților publice și a părților interesate și eficiența administrației publice.</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Programul se va implementa până la finalul anului 2023, beneficiind de un buget total de 658,29 milioane euro, din care 553,19  milioane euro reprezintă sprijinul UE, prin Fondul Social European, respectiv circa 105,10 milioane euro contribuția națională, asigurată din fonduri publice naționale (buget de stat, bugete locale).</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Direcție de acțiune</w:t>
            </w:r>
          </w:p>
        </w:tc>
        <w:tc>
          <w:tcPr>
            <w:tcW w:w="8188" w:type="dxa"/>
          </w:tcPr>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Fonduri europene</w:t>
            </w:r>
          </w:p>
          <w:p w:rsidR="00413333" w:rsidRPr="00CE1614" w:rsidRDefault="00413333" w:rsidP="00413333">
            <w:pPr>
              <w:pBdr>
                <w:top w:val="nil"/>
                <w:left w:val="nil"/>
                <w:bottom w:val="nil"/>
                <w:right w:val="nil"/>
                <w:between w:val="nil"/>
              </w:pBdr>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Direcția strategică fonduri europene vizează:</w:t>
            </w:r>
          </w:p>
          <w:p w:rsidR="00413333" w:rsidRPr="00CE1614" w:rsidRDefault="00413333" w:rsidP="00021698">
            <w:pPr>
              <w:numPr>
                <w:ilvl w:val="0"/>
                <w:numId w:val="159"/>
              </w:numPr>
              <w:spacing w:after="160" w:line="259" w:lineRule="auto"/>
              <w:jc w:val="both"/>
              <w:rPr>
                <w:rFonts w:ascii="Calibri" w:eastAsia="Calibri" w:hAnsi="Calibri" w:cs="Calibri"/>
                <w:lang w:val="ro-RO" w:eastAsia="ro-RO"/>
              </w:rPr>
            </w:pPr>
            <w:r w:rsidRPr="00CE1614">
              <w:rPr>
                <w:rFonts w:ascii="Calibri" w:eastAsia="Calibri" w:hAnsi="Calibri" w:cs="Calibri"/>
                <w:lang w:val="ro-RO" w:eastAsia="ro-RO"/>
              </w:rPr>
              <w:t>Fonduri Structurale şi de Coeziune</w:t>
            </w:r>
          </w:p>
          <w:p w:rsidR="00413333" w:rsidRPr="00CE1614" w:rsidRDefault="00413333" w:rsidP="00021698">
            <w:pPr>
              <w:numPr>
                <w:ilvl w:val="0"/>
                <w:numId w:val="159"/>
              </w:numPr>
              <w:spacing w:after="160" w:line="259" w:lineRule="auto"/>
              <w:jc w:val="both"/>
              <w:rPr>
                <w:rFonts w:ascii="Calibri" w:eastAsia="Calibri" w:hAnsi="Calibri" w:cs="Calibri"/>
                <w:lang w:val="ro-RO" w:eastAsia="ro-RO"/>
              </w:rPr>
            </w:pPr>
            <w:r w:rsidRPr="00CE1614">
              <w:rPr>
                <w:rFonts w:ascii="Calibri" w:eastAsia="Calibri" w:hAnsi="Calibri" w:cs="Calibri"/>
                <w:lang w:val="ro-RO" w:eastAsia="ro-RO"/>
              </w:rPr>
              <w:t>Fonduri Europene Structurale și de Investiții – CFM 2014-2020</w:t>
            </w:r>
          </w:p>
          <w:p w:rsidR="00413333" w:rsidRPr="00CE1614" w:rsidRDefault="00413333" w:rsidP="00021698">
            <w:pPr>
              <w:numPr>
                <w:ilvl w:val="0"/>
                <w:numId w:val="153"/>
              </w:numPr>
              <w:spacing w:after="160" w:line="259" w:lineRule="auto"/>
              <w:jc w:val="both"/>
              <w:rPr>
                <w:rFonts w:ascii="Calibri" w:eastAsia="Calibri" w:hAnsi="Calibri" w:cs="Calibri"/>
                <w:lang w:val="ro-RO" w:eastAsia="ro-RO"/>
              </w:rPr>
            </w:pPr>
            <w:r w:rsidRPr="00CE1614">
              <w:rPr>
                <w:rFonts w:ascii="Calibri" w:eastAsia="Calibri" w:hAnsi="Calibri" w:cs="Calibri"/>
                <w:lang w:val="ro-RO" w:eastAsia="ro-RO"/>
              </w:rPr>
              <w:t xml:space="preserve">PHARE </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Țintă/Ob general</w:t>
            </w:r>
          </w:p>
        </w:tc>
        <w:tc>
          <w:tcPr>
            <w:tcW w:w="8188" w:type="dxa"/>
          </w:tcPr>
          <w:p w:rsidR="00413333" w:rsidRPr="00CE1614" w:rsidRDefault="00413333" w:rsidP="00413333">
            <w:pPr>
              <w:spacing w:before="120"/>
              <w:jc w:val="both"/>
              <w:rPr>
                <w:rFonts w:ascii="Calibri" w:eastAsia="Calibri" w:hAnsi="Calibri" w:cs="Calibri"/>
                <w:u w:val="single"/>
                <w:lang w:val="ro-RO" w:eastAsia="ro-RO"/>
              </w:rPr>
            </w:pPr>
            <w:r w:rsidRPr="00CE1614">
              <w:rPr>
                <w:rFonts w:ascii="Calibri" w:eastAsia="Calibri" w:hAnsi="Calibri" w:cs="Calibri"/>
                <w:b/>
                <w:u w:val="single"/>
                <w:lang w:val="ro-RO" w:eastAsia="ro-RO"/>
              </w:rPr>
              <w:t xml:space="preserve">Imbunătățirea absorției și gestionarea eficientă a Fondurilor Europene </w:t>
            </w:r>
          </w:p>
          <w:p w:rsidR="00413333" w:rsidRPr="00CE1614" w:rsidRDefault="00413333" w:rsidP="00413333">
            <w:pPr>
              <w:spacing w:before="120"/>
              <w:jc w:val="both"/>
              <w:rPr>
                <w:rFonts w:ascii="Calibri" w:eastAsia="Calibri" w:hAnsi="Calibri" w:cs="Calibri"/>
                <w:u w:val="single"/>
                <w:lang w:val="ro-RO" w:eastAsia="ro-RO"/>
              </w:rPr>
            </w:pP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Obiective specifice/Măsuri de implementare pentru perioada 2019 - 2021</w:t>
            </w:r>
          </w:p>
        </w:tc>
        <w:tc>
          <w:tcPr>
            <w:tcW w:w="8188" w:type="dxa"/>
          </w:tcPr>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Măsuri planificate pentru implementarea fondurilor europene</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 xml:space="preserve">În ceea ce privește măsurile de accelerare a  absorbției fondurilor, un accent deosebit va fi acordat următoarelor: </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 xml:space="preserve">Timpi scurți de evaluare pentru proiectele depuse și semnarea rapidă a contractelor de finanțare. </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Achitarea fără întârziere a facturilor beneficiarilor, prin crearea unui mecanism transparent de monitorizare a facturilor, de la momentul depunerii și până la achitarea lor de către Autoritățile de Management.</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Analiza fiecărui program operațional şi realocarea de fonduri către sectoarele cu potenţial maxim de absorbţie atât în interiorul cât și între programele operaţionale, pentru a evita riscul dezangajarii fodurilor alocate României.</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Măsuri de simplificare și evitare a supra-proceduralizării și birocrației excesive prin simplificarea orientărilor pentru solicitanți, operaționalizarea SMIS 2014+, simplificarea procedurilor de achiziții pentru beneficiarii privați, introducerea unor opțiuni de costuri simplificate, a unor rate forfetare și baremuri standard pentru costurile unitare în normele naționale și regionale referitoare la eligibilitate, simplificarea procedurilor pentru autorizațiile de construcție.</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Îmbunătăţirea sistemului administrativ şi a capacității de absorbţie a acestor fonduri.</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Utilizarea instrumentelor financiare și a instrumentelor teritoriale.</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Simplificarea legislației aferente promovării și aprobării proiectelor de investiții din România.</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Stimularea schimbului de bune practici în implementarea mecanismelor de creștere a absorbției de fonduri europene cu alte țări membre UE.</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color w:val="000000"/>
                <w:lang w:val="ro-RO" w:eastAsia="ro-RO"/>
              </w:rPr>
              <w:t>Consultarea periodică cu actorii interesați prin consolidarea structurilor decizionale de la nivelul comitetelor de monitorizare și CCMAP.</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Direcție de acțiune</w:t>
            </w:r>
          </w:p>
        </w:tc>
        <w:tc>
          <w:tcPr>
            <w:tcW w:w="8188" w:type="dxa"/>
          </w:tcPr>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b/>
                <w:lang w:val="ro-RO" w:eastAsia="ro-RO"/>
              </w:rPr>
              <w:t>Management performant al activității</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MDRAP dispune de un aparat administrativ funcțional pentru asigurarea administrării resurselor instituției într-un mod cât mai eficient și eficace. Totodată, acesta are la bază principiile standardelor de management - aferente Sistemului de control intern managerial (SCIM), introdus la nivelul instituției încă din anul 2006.</w:t>
            </w:r>
          </w:p>
          <w:p w:rsidR="00413333" w:rsidRPr="00CE1614" w:rsidRDefault="00413333" w:rsidP="00413333">
            <w:pPr>
              <w:spacing w:before="120"/>
              <w:jc w:val="both"/>
              <w:rPr>
                <w:rFonts w:ascii="Calibri" w:eastAsia="Calibri" w:hAnsi="Calibri" w:cs="Calibri"/>
                <w:lang w:val="ro-RO" w:eastAsia="ro-RO"/>
              </w:rPr>
            </w:pPr>
            <w:r w:rsidRPr="00CE1614">
              <w:rPr>
                <w:rFonts w:ascii="Calibri" w:eastAsia="Calibri" w:hAnsi="Calibri" w:cs="Calibri"/>
                <w:lang w:val="ro-RO" w:eastAsia="ro-RO"/>
              </w:rPr>
              <w:t xml:space="preserve">De asemenea, în perioada următoare, în vederea eficientizării activității MDRAP, se are în vedere inclusiv </w:t>
            </w:r>
            <w:r w:rsidRPr="00CE1614">
              <w:rPr>
                <w:rFonts w:ascii="Calibri" w:eastAsia="Calibri" w:hAnsi="Calibri" w:cs="Calibri"/>
                <w:b/>
                <w:lang w:val="ro-RO" w:eastAsia="ro-RO"/>
              </w:rPr>
              <w:t>implementarea unor instrumente moderne de management (ISO 9001, CAF)</w:t>
            </w:r>
            <w:r w:rsidRPr="00CE1614">
              <w:rPr>
                <w:rFonts w:ascii="Calibri" w:eastAsia="Calibri" w:hAnsi="Calibri" w:cs="Calibri"/>
                <w:lang w:val="ro-RO" w:eastAsia="ro-RO"/>
              </w:rPr>
              <w:t xml:space="preserve"> , cât şi consolidarea  SCIM.</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Țintă/Ob general</w:t>
            </w:r>
          </w:p>
        </w:tc>
        <w:tc>
          <w:tcPr>
            <w:tcW w:w="8188" w:type="dxa"/>
          </w:tcPr>
          <w:p w:rsidR="00413333" w:rsidRPr="00CE1614" w:rsidRDefault="00413333" w:rsidP="00021698">
            <w:pPr>
              <w:numPr>
                <w:ilvl w:val="0"/>
                <w:numId w:val="149"/>
              </w:numPr>
              <w:spacing w:before="120" w:after="160" w:line="259" w:lineRule="auto"/>
              <w:ind w:left="0" w:firstLine="0"/>
              <w:jc w:val="both"/>
              <w:rPr>
                <w:rFonts w:ascii="Calibri" w:eastAsia="Calibri" w:hAnsi="Calibri" w:cs="Calibri"/>
                <w:lang w:val="ro-RO" w:eastAsia="ro-RO"/>
              </w:rPr>
            </w:pPr>
            <w:r w:rsidRPr="00CE1614">
              <w:rPr>
                <w:rFonts w:ascii="Calibri" w:eastAsia="Calibri" w:hAnsi="Calibri" w:cs="Calibri"/>
                <w:lang w:val="ro-RO" w:eastAsia="ro-RO"/>
              </w:rPr>
              <w:t xml:space="preserve">Întărirea capacității administrative a MDRAP </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Obiective specifice/Măsuri de implementare pentru perioada 2019 - 2021</w:t>
            </w:r>
          </w:p>
        </w:tc>
        <w:tc>
          <w:tcPr>
            <w:tcW w:w="8188" w:type="dxa"/>
          </w:tcPr>
          <w:p w:rsidR="00413333" w:rsidRPr="00CE1614" w:rsidRDefault="00413333" w:rsidP="00021698">
            <w:pPr>
              <w:numPr>
                <w:ilvl w:val="0"/>
                <w:numId w:val="138"/>
              </w:numPr>
              <w:pBdr>
                <w:top w:val="nil"/>
                <w:left w:val="nil"/>
                <w:bottom w:val="nil"/>
                <w:right w:val="nil"/>
                <w:between w:val="nil"/>
              </w:pBdr>
              <w:tabs>
                <w:tab w:val="center" w:pos="203"/>
              </w:tabs>
              <w:spacing w:before="120" w:after="160" w:line="259" w:lineRule="auto"/>
              <w:ind w:left="0" w:firstLine="0"/>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Alocarea eficientă și eficace a resurselor financiare, umane, logistice </w:t>
            </w:r>
          </w:p>
          <w:p w:rsidR="00413333" w:rsidRPr="00CE1614" w:rsidRDefault="00413333" w:rsidP="00021698">
            <w:pPr>
              <w:numPr>
                <w:ilvl w:val="0"/>
                <w:numId w:val="138"/>
              </w:numPr>
              <w:pBdr>
                <w:top w:val="nil"/>
                <w:left w:val="nil"/>
                <w:bottom w:val="nil"/>
                <w:right w:val="nil"/>
                <w:between w:val="nil"/>
              </w:pBdr>
              <w:tabs>
                <w:tab w:val="center" w:pos="203"/>
              </w:tabs>
              <w:spacing w:after="160" w:line="259" w:lineRule="auto"/>
              <w:ind w:left="0" w:firstLine="0"/>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Îmbunătățirea transparenței și a procesului decizional</w:t>
            </w:r>
          </w:p>
          <w:p w:rsidR="00413333" w:rsidRPr="00CE1614" w:rsidRDefault="00413333" w:rsidP="00021698">
            <w:pPr>
              <w:numPr>
                <w:ilvl w:val="0"/>
                <w:numId w:val="138"/>
              </w:numPr>
              <w:pBdr>
                <w:top w:val="nil"/>
                <w:left w:val="nil"/>
                <w:bottom w:val="nil"/>
                <w:right w:val="nil"/>
                <w:between w:val="nil"/>
              </w:pBdr>
              <w:tabs>
                <w:tab w:val="center" w:pos="203"/>
              </w:tabs>
              <w:spacing w:after="120" w:line="259" w:lineRule="auto"/>
              <w:ind w:left="0" w:firstLine="0"/>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Asigurarea cadrului de prevenire, monitorizare și control</w:t>
            </w:r>
          </w:p>
          <w:p w:rsidR="00413333" w:rsidRPr="00CE1614" w:rsidRDefault="00413333" w:rsidP="00413333">
            <w:pPr>
              <w:tabs>
                <w:tab w:val="center" w:pos="203"/>
              </w:tabs>
              <w:jc w:val="both"/>
              <w:rPr>
                <w:rFonts w:ascii="Calibri" w:eastAsia="Calibri" w:hAnsi="Calibri" w:cs="Calibri"/>
                <w:lang w:val="ro-RO" w:eastAsia="ro-RO"/>
              </w:rPr>
            </w:pP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lang w:val="ro-RO" w:eastAsia="ro-RO"/>
              </w:rPr>
            </w:pPr>
            <w:r w:rsidRPr="00CE1614">
              <w:rPr>
                <w:rFonts w:ascii="Calibri" w:eastAsia="Calibri" w:hAnsi="Calibri" w:cs="Calibri"/>
                <w:lang w:val="ro-RO" w:eastAsia="ro-RO"/>
              </w:rPr>
              <w:t>Programe/Proiecte prioritare pentru perioada 2019 - 2021</w:t>
            </w:r>
          </w:p>
        </w:tc>
        <w:tc>
          <w:tcPr>
            <w:tcW w:w="8188" w:type="dxa"/>
          </w:tcPr>
          <w:p w:rsidR="00413333" w:rsidRPr="00CE1614" w:rsidRDefault="00413333" w:rsidP="00021698">
            <w:pPr>
              <w:numPr>
                <w:ilvl w:val="0"/>
                <w:numId w:val="132"/>
              </w:numPr>
              <w:pBdr>
                <w:top w:val="nil"/>
                <w:left w:val="nil"/>
                <w:bottom w:val="nil"/>
                <w:right w:val="nil"/>
                <w:between w:val="nil"/>
              </w:pBdr>
              <w:tabs>
                <w:tab w:val="center" w:pos="203"/>
              </w:tabs>
              <w:spacing w:before="120"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   „Consolidarea sistemelor de integritate – cea mai bună strategie de prevenire a corupției în administrația publică” </w:t>
            </w:r>
            <w:r w:rsidRPr="00CE1614">
              <w:rPr>
                <w:rFonts w:ascii="Calibri" w:eastAsia="Calibri" w:hAnsi="Calibri" w:cs="Calibri"/>
                <w:color w:val="000000"/>
                <w:lang w:val="ro-RO" w:eastAsia="ro-RO"/>
              </w:rPr>
              <w:t>(proiect cofinanțat din FSE prin POCA 2014-2020). Scopul proiectului este acela de a consolida integritatea la nivelul MDRAPFE, al structurilor din subordinea/ sub autoritatea sa, precum și la nivelul autorităților administrației publice locale, prin dezvoltarea, promovarea și utilizarea de instrumente specifice prevenirii corupției.</w:t>
            </w:r>
          </w:p>
          <w:p w:rsidR="00413333" w:rsidRPr="00CE1614" w:rsidRDefault="00413333" w:rsidP="00021698">
            <w:pPr>
              <w:numPr>
                <w:ilvl w:val="0"/>
                <w:numId w:val="132"/>
              </w:numPr>
              <w:pBdr>
                <w:top w:val="nil"/>
                <w:left w:val="nil"/>
                <w:bottom w:val="nil"/>
                <w:right w:val="nil"/>
                <w:between w:val="nil"/>
              </w:pBdr>
              <w:tabs>
                <w:tab w:val="center" w:pos="203"/>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   „Calitate, standarde, performanță – premisele unui management eficient la nivelul Ministerului Dezvoltării Regionale și Administrației Publice” </w:t>
            </w:r>
            <w:r w:rsidRPr="00CE1614">
              <w:rPr>
                <w:rFonts w:ascii="Calibri" w:eastAsia="Calibri" w:hAnsi="Calibri" w:cs="Calibri"/>
                <w:color w:val="000000"/>
                <w:lang w:val="ro-RO" w:eastAsia="ro-RO"/>
              </w:rPr>
              <w:t>(proiect cofinanțat din FSE prin POCA 2014-2020).  Scopul proiectului este acela de a eficientiza activitatea MDRAP și a instituțiilor din subordinea/sub autoritatea MDRAP prin implementarea de standarde și instrumente ale managementului calității: ISO 9001:2015, ISO 37001:2016, și  a unui sistem de auto-evaluare de tip CAF.</w:t>
            </w:r>
          </w:p>
          <w:p w:rsidR="00413333" w:rsidRPr="00CE1614" w:rsidRDefault="00413333" w:rsidP="00021698">
            <w:pPr>
              <w:numPr>
                <w:ilvl w:val="0"/>
                <w:numId w:val="132"/>
              </w:numPr>
              <w:pBdr>
                <w:top w:val="nil"/>
                <w:left w:val="nil"/>
                <w:bottom w:val="nil"/>
                <w:right w:val="nil"/>
                <w:between w:val="nil"/>
              </w:pBdr>
              <w:tabs>
                <w:tab w:val="center" w:pos="203"/>
              </w:tabs>
              <w:spacing w:after="160" w:line="259" w:lineRule="auto"/>
              <w:contextualSpacing/>
              <w:jc w:val="both"/>
              <w:rPr>
                <w:rFonts w:ascii="Calibri" w:eastAsia="Calibri" w:hAnsi="Calibri" w:cs="Calibri"/>
                <w:color w:val="000000"/>
                <w:lang w:val="ro-RO" w:eastAsia="ro-RO"/>
              </w:rPr>
            </w:pPr>
            <w:r w:rsidRPr="00CE1614">
              <w:rPr>
                <w:rFonts w:ascii="Calibri" w:eastAsia="Calibri" w:hAnsi="Calibri" w:cs="Calibri"/>
                <w:b/>
                <w:color w:val="000000"/>
                <w:lang w:val="ro-RO" w:eastAsia="ro-RO"/>
              </w:rPr>
              <w:t xml:space="preserve">   „Consolidarea implementării sistemului de control intern managerial la nivel central și local” </w:t>
            </w:r>
            <w:r w:rsidRPr="00CE1614">
              <w:rPr>
                <w:rFonts w:ascii="Calibri" w:eastAsia="Calibri" w:hAnsi="Calibri" w:cs="Calibri"/>
                <w:color w:val="000000"/>
                <w:lang w:val="ro-RO" w:eastAsia="ro-RO"/>
              </w:rPr>
              <w:t xml:space="preserve">(proiect cofinanțat din FSE prin POCA 2014-2020 al cărui beneficiar este Secretariatul General al Guvernului iar MDRAP este partener). </w:t>
            </w:r>
          </w:p>
          <w:p w:rsidR="00413333" w:rsidRPr="00CE1614" w:rsidRDefault="00413333" w:rsidP="00413333">
            <w:pPr>
              <w:pBdr>
                <w:top w:val="nil"/>
                <w:left w:val="nil"/>
                <w:bottom w:val="nil"/>
                <w:right w:val="nil"/>
                <w:between w:val="nil"/>
              </w:pBdr>
              <w:tabs>
                <w:tab w:val="center" w:pos="203"/>
              </w:tabs>
              <w:ind w:left="360" w:hanging="720"/>
              <w:jc w:val="both"/>
              <w:rPr>
                <w:rFonts w:ascii="Calibri" w:eastAsia="Calibri" w:hAnsi="Calibri" w:cs="Calibri"/>
                <w:color w:val="000000"/>
                <w:lang w:val="ro-RO" w:eastAsia="ro-RO"/>
              </w:rPr>
            </w:pPr>
          </w:p>
        </w:tc>
      </w:tr>
    </w:tbl>
    <w:p w:rsidR="00A37269" w:rsidRPr="00C86702" w:rsidRDefault="00A37269" w:rsidP="00A37269">
      <w:pPr>
        <w:shd w:val="clear" w:color="auto" w:fill="99CCFF"/>
        <w:ind w:right="-511"/>
        <w:rPr>
          <w:rFonts w:ascii="Calibri" w:hAnsi="Calibri" w:cs="Arial Narrow"/>
          <w:b/>
          <w:color w:val="000080"/>
          <w:lang w:val="ro-RO"/>
        </w:rPr>
      </w:pPr>
      <w:r w:rsidRPr="00C86702">
        <w:rPr>
          <w:rFonts w:ascii="Calibri" w:hAnsi="Calibri" w:cs="Arial Narrow"/>
          <w:b/>
          <w:color w:val="000080"/>
          <w:lang w:val="ro-RO"/>
        </w:rPr>
        <w:t>Politica în domeniul agriculturii şi dezvoltării rurale</w:t>
      </w:r>
    </w:p>
    <w:p w:rsidR="00311D99" w:rsidRPr="00311D99" w:rsidRDefault="00311D99" w:rsidP="00311D99">
      <w:pPr>
        <w:spacing w:line="276" w:lineRule="auto"/>
        <w:ind w:right="144"/>
        <w:jc w:val="both"/>
        <w:rPr>
          <w:rFonts w:ascii="Calibri" w:hAnsi="Calibri"/>
          <w:b/>
          <w:lang w:val="it-IT"/>
        </w:rPr>
      </w:pPr>
    </w:p>
    <w:p w:rsidR="00311D99" w:rsidRPr="00311D99" w:rsidRDefault="00311D99" w:rsidP="00311D99">
      <w:pPr>
        <w:numPr>
          <w:ilvl w:val="0"/>
          <w:numId w:val="70"/>
        </w:numPr>
        <w:spacing w:line="276" w:lineRule="auto"/>
        <w:ind w:right="144"/>
        <w:contextualSpacing/>
        <w:jc w:val="both"/>
        <w:rPr>
          <w:rFonts w:ascii="Calibri" w:eastAsia="Calibri" w:hAnsi="Calibri"/>
          <w:b/>
          <w:i/>
          <w:szCs w:val="22"/>
          <w:lang w:val="it-IT"/>
        </w:rPr>
      </w:pPr>
      <w:r w:rsidRPr="00311D99">
        <w:rPr>
          <w:rFonts w:ascii="Calibri" w:eastAsia="Calibri" w:hAnsi="Calibri"/>
          <w:b/>
          <w:i/>
          <w:szCs w:val="22"/>
          <w:lang w:val="it-IT"/>
        </w:rPr>
        <w:t>PROGRAMUL NAȚIONAL DE DEZVOLTARE RURALĂ (PNDR)</w:t>
      </w:r>
    </w:p>
    <w:p w:rsidR="00311D99" w:rsidRPr="003964D3" w:rsidRDefault="00311D99" w:rsidP="00311D99">
      <w:pPr>
        <w:jc w:val="both"/>
        <w:rPr>
          <w:rFonts w:ascii="Calibri" w:hAnsi="Calibri"/>
          <w:bCs/>
          <w:lang w:val="fr-FR"/>
        </w:rPr>
      </w:pPr>
    </w:p>
    <w:p w:rsidR="00311D99" w:rsidRPr="00311D99" w:rsidRDefault="00311D99" w:rsidP="00311D99">
      <w:pPr>
        <w:shd w:val="clear" w:color="auto" w:fill="FFFFFF"/>
        <w:spacing w:after="225"/>
        <w:jc w:val="both"/>
        <w:rPr>
          <w:rFonts w:ascii="Calibri" w:hAnsi="Calibri"/>
          <w:lang w:val="ro-RO"/>
        </w:rPr>
      </w:pPr>
      <w:r w:rsidRPr="00311D99">
        <w:rPr>
          <w:rFonts w:ascii="Calibri" w:hAnsi="Calibri"/>
          <w:lang w:val="ro-RO"/>
        </w:rPr>
        <w:t xml:space="preserve">Programul național de dezvoltare rurală 2014-2020 a fost adoptat de către Comisia Europeană prin Decizia de punere în aplicare a Comisiei nr.3508 din 26.05.2015 de aprobare a programului de dezvoltare rurală al României pentru sprijin din Fondul European Agricol pentru Dezvoltare Rurală, trasând prioritățile României pentru utilizarea celor aproximativ 9,5 miliarde euro fondurile publice disponibile </w:t>
      </w:r>
      <w:r w:rsidRPr="00311D99">
        <w:rPr>
          <w:rFonts w:ascii="Calibri" w:hAnsi="Calibri"/>
          <w:i/>
          <w:lang w:val="ro-RO"/>
        </w:rPr>
        <w:t>(8,1 miliarde euro din bugetul FEADR și 1,4 miliarde euro reprezentând cofinanțarea națională)</w:t>
      </w:r>
      <w:r w:rsidRPr="00311D99">
        <w:rPr>
          <w:rFonts w:ascii="Calibri" w:hAnsi="Calibri"/>
          <w:lang w:val="ro-RO"/>
        </w:rPr>
        <w:t xml:space="preserve">. </w:t>
      </w:r>
    </w:p>
    <w:p w:rsidR="00311D99" w:rsidRPr="00311D99" w:rsidRDefault="00311D99" w:rsidP="00311D99">
      <w:pPr>
        <w:shd w:val="clear" w:color="auto" w:fill="FFFFFF"/>
        <w:rPr>
          <w:rFonts w:ascii="Calibri" w:hAnsi="Calibri"/>
          <w:lang w:val="ro-RO"/>
        </w:rPr>
      </w:pPr>
      <w:r w:rsidRPr="00311D99">
        <w:rPr>
          <w:rFonts w:ascii="Calibri" w:hAnsi="Calibri"/>
          <w:lang w:val="ro-RO"/>
        </w:rPr>
        <w:t>Alocarea financiară a PNDR 2014-2020, împărțită pe ani este următoarea:</w:t>
      </w:r>
    </w:p>
    <w:p w:rsidR="00311D99" w:rsidRPr="00311D99" w:rsidRDefault="00311D99" w:rsidP="00311D99">
      <w:pPr>
        <w:shd w:val="clear" w:color="auto" w:fill="FFFFFF"/>
        <w:spacing w:line="300" w:lineRule="atLeast"/>
        <w:jc w:val="right"/>
        <w:rPr>
          <w:rFonts w:ascii="Calibri" w:hAnsi="Calibri"/>
          <w:i/>
          <w:sz w:val="22"/>
          <w:szCs w:val="22"/>
          <w:lang w:val="ro-RO"/>
        </w:rPr>
      </w:pPr>
      <w:r w:rsidRPr="00311D99">
        <w:rPr>
          <w:rFonts w:ascii="Calibri" w:hAnsi="Calibri"/>
          <w:i/>
          <w:sz w:val="22"/>
          <w:szCs w:val="22"/>
          <w:lang w:val="ro-RO"/>
        </w:rPr>
        <w:t>milioane euro</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134"/>
        <w:gridCol w:w="1134"/>
        <w:gridCol w:w="1134"/>
        <w:gridCol w:w="1134"/>
        <w:gridCol w:w="1134"/>
        <w:gridCol w:w="1134"/>
        <w:gridCol w:w="1559"/>
      </w:tblGrid>
      <w:tr w:rsidR="00311D99" w:rsidRPr="00311D99" w:rsidTr="00311D99">
        <w:trPr>
          <w:trHeight w:val="363"/>
          <w:jc w:val="center"/>
        </w:trPr>
        <w:tc>
          <w:tcPr>
            <w:tcW w:w="775"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2014</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2015</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2016</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2017</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2018</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2019</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2020</w:t>
            </w:r>
          </w:p>
        </w:tc>
        <w:tc>
          <w:tcPr>
            <w:tcW w:w="1559" w:type="dxa"/>
            <w:shd w:val="clear" w:color="auto" w:fill="DEEAF6"/>
            <w:vAlign w:val="center"/>
          </w:tcPr>
          <w:p w:rsidR="00311D99" w:rsidRPr="00311D99" w:rsidRDefault="00311D99" w:rsidP="00311D99">
            <w:pPr>
              <w:spacing w:line="300" w:lineRule="atLeast"/>
              <w:jc w:val="center"/>
              <w:rPr>
                <w:rFonts w:ascii="Calibri" w:hAnsi="Calibri"/>
                <w:b/>
                <w:sz w:val="22"/>
                <w:szCs w:val="22"/>
                <w:lang w:val="ro-RO"/>
              </w:rPr>
            </w:pPr>
            <w:r w:rsidRPr="00311D99">
              <w:rPr>
                <w:rFonts w:ascii="Calibri" w:hAnsi="Calibri"/>
                <w:b/>
                <w:sz w:val="22"/>
                <w:szCs w:val="22"/>
                <w:lang w:val="ro-RO"/>
              </w:rPr>
              <w:t>TOTAL</w:t>
            </w:r>
          </w:p>
        </w:tc>
      </w:tr>
      <w:tr w:rsidR="00311D99" w:rsidRPr="00311D99" w:rsidTr="00311D99">
        <w:trPr>
          <w:jc w:val="center"/>
        </w:trPr>
        <w:tc>
          <w:tcPr>
            <w:tcW w:w="775"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0,0</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1.723,26</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1.751,61</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1.186,54</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1.184,73</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1.141,93</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1.139,93</w:t>
            </w:r>
          </w:p>
        </w:tc>
        <w:tc>
          <w:tcPr>
            <w:tcW w:w="1559" w:type="dxa"/>
            <w:shd w:val="clear" w:color="auto" w:fill="auto"/>
            <w:vAlign w:val="center"/>
          </w:tcPr>
          <w:p w:rsidR="00311D99" w:rsidRPr="00311D99" w:rsidRDefault="00311D99" w:rsidP="00311D99">
            <w:pPr>
              <w:spacing w:line="300" w:lineRule="atLeast"/>
              <w:jc w:val="center"/>
              <w:rPr>
                <w:rFonts w:ascii="Calibri" w:hAnsi="Calibri"/>
                <w:sz w:val="22"/>
                <w:szCs w:val="22"/>
                <w:lang w:val="ro-RO"/>
              </w:rPr>
            </w:pPr>
            <w:r w:rsidRPr="00311D99">
              <w:rPr>
                <w:rFonts w:ascii="Calibri" w:hAnsi="Calibri"/>
                <w:sz w:val="22"/>
                <w:szCs w:val="22"/>
                <w:lang w:val="ro-RO"/>
              </w:rPr>
              <w:t>8.128,00</w:t>
            </w:r>
          </w:p>
        </w:tc>
      </w:tr>
    </w:tbl>
    <w:p w:rsidR="00311D99" w:rsidRPr="00311D99" w:rsidRDefault="00311D99" w:rsidP="00311D99">
      <w:pPr>
        <w:shd w:val="clear" w:color="auto" w:fill="FFFFFF"/>
        <w:spacing w:line="300" w:lineRule="atLeast"/>
        <w:rPr>
          <w:rFonts w:ascii="Trebuchet MS" w:hAnsi="Trebuchet MS"/>
          <w:sz w:val="22"/>
          <w:szCs w:val="22"/>
          <w:lang w:val="ro-RO"/>
        </w:rPr>
      </w:pPr>
    </w:p>
    <w:p w:rsidR="00311D99" w:rsidRPr="00311D99" w:rsidRDefault="00311D99" w:rsidP="00311D99">
      <w:pPr>
        <w:ind w:right="-1"/>
        <w:jc w:val="both"/>
        <w:rPr>
          <w:rFonts w:ascii="Trebuchet MS" w:hAnsi="Trebuchet MS"/>
          <w:sz w:val="22"/>
          <w:szCs w:val="22"/>
          <w:lang w:val="ro-RO"/>
        </w:rPr>
      </w:pPr>
    </w:p>
    <w:p w:rsidR="00311D99" w:rsidRPr="00311D99" w:rsidRDefault="00311D99" w:rsidP="00311D99">
      <w:pPr>
        <w:tabs>
          <w:tab w:val="left" w:pos="284"/>
        </w:tabs>
        <w:ind w:right="-1"/>
        <w:contextualSpacing/>
        <w:jc w:val="both"/>
        <w:rPr>
          <w:rFonts w:ascii="Calibri" w:eastAsia="Calibri" w:hAnsi="Calibri"/>
          <w:i/>
          <w:szCs w:val="22"/>
          <w:lang w:val="ro-RO"/>
        </w:rPr>
      </w:pPr>
      <w:r w:rsidRPr="00311D99">
        <w:rPr>
          <w:rFonts w:ascii="Calibri" w:eastAsia="Calibri" w:hAnsi="Calibri"/>
          <w:i/>
          <w:szCs w:val="22"/>
          <w:lang w:val="ro-RO"/>
        </w:rPr>
        <w:t>Rata de absorbție PNDR 2014-2020</w:t>
      </w:r>
    </w:p>
    <w:p w:rsidR="00311D99" w:rsidRPr="00311D99" w:rsidRDefault="00311D99" w:rsidP="00311D99">
      <w:pPr>
        <w:ind w:right="-1"/>
        <w:jc w:val="both"/>
        <w:rPr>
          <w:rFonts w:ascii="Calibri" w:hAnsi="Calibri"/>
          <w:lang w:val="ro-RO"/>
        </w:rPr>
      </w:pPr>
    </w:p>
    <w:p w:rsidR="00311D99" w:rsidRPr="00311D99" w:rsidRDefault="00311D99" w:rsidP="00311D99">
      <w:pPr>
        <w:shd w:val="clear" w:color="auto" w:fill="FFFFFF"/>
        <w:contextualSpacing/>
        <w:jc w:val="both"/>
        <w:rPr>
          <w:rFonts w:ascii="Calibri" w:hAnsi="Calibri" w:cs="Calibri"/>
          <w:i/>
          <w:lang w:val="ro-RO"/>
        </w:rPr>
      </w:pPr>
      <w:r w:rsidRPr="00311D99">
        <w:rPr>
          <w:rFonts w:ascii="Calibri" w:hAnsi="Calibri" w:cs="Calibri"/>
          <w:b/>
          <w:lang w:val="ro-RO"/>
        </w:rPr>
        <w:t>Valoarea plăților efectuate din FEADR</w:t>
      </w:r>
      <w:r w:rsidRPr="00311D99">
        <w:rPr>
          <w:rFonts w:ascii="Calibri" w:hAnsi="Calibri" w:cs="Calibri"/>
          <w:lang w:val="ro-RO"/>
        </w:rPr>
        <w:t xml:space="preserve"> către beneficiarii tuturor măsurilor este de 3.173,77 mil. euro, la care se adaugă prefinanțarea încasată în anul 2015, respectiv 2016, din bugetul FEADR, în vederea asigurării finanțării necesare demarării şi derulării Programului, în valoare de 325,12 mil. euro, ceea ce conduce la un </w:t>
      </w:r>
      <w:r w:rsidRPr="00311D99">
        <w:rPr>
          <w:rFonts w:ascii="Calibri" w:hAnsi="Calibri" w:cs="Calibri"/>
          <w:b/>
          <w:lang w:val="ro-RO"/>
        </w:rPr>
        <w:t xml:space="preserve">grad de absorbție FEADR 2014-2020 de 43,1% </w:t>
      </w:r>
      <w:r w:rsidRPr="00311D99">
        <w:rPr>
          <w:rFonts w:ascii="Calibri" w:hAnsi="Calibri" w:cs="Calibri"/>
          <w:i/>
          <w:lang w:val="ro-RO"/>
        </w:rPr>
        <w:t>(conform declarațiilor de cheltuieli aferente anilor 2016 - 2018 rambursate de către Comisia Europeană, precum și a plăţilor efectuate către beneficiari  în perioada iulie-octombrie 2018).</w:t>
      </w:r>
    </w:p>
    <w:p w:rsidR="00311D99" w:rsidRPr="00311D99" w:rsidRDefault="00311D99" w:rsidP="00311D99">
      <w:pPr>
        <w:ind w:right="-1"/>
        <w:jc w:val="both"/>
        <w:rPr>
          <w:rFonts w:ascii="Calibri" w:hAnsi="Calibri"/>
          <w:lang w:val="ro-RO"/>
        </w:rPr>
      </w:pPr>
    </w:p>
    <w:p w:rsidR="00311D99" w:rsidRPr="003964D3" w:rsidRDefault="00311D99" w:rsidP="00311D99">
      <w:pPr>
        <w:ind w:right="-1"/>
        <w:jc w:val="both"/>
        <w:rPr>
          <w:rFonts w:ascii="Calibri" w:hAnsi="Calibri"/>
          <w:lang w:val="fr-FR"/>
        </w:rPr>
      </w:pPr>
      <w:r w:rsidRPr="003964D3">
        <w:rPr>
          <w:rFonts w:ascii="Calibri" w:hAnsi="Calibri"/>
          <w:lang w:val="fr-FR"/>
        </w:rPr>
        <w:t>Măsuri PNDR 2014-2020 lansate</w:t>
      </w:r>
    </w:p>
    <w:p w:rsidR="00311D99" w:rsidRPr="003964D3" w:rsidRDefault="00311D99" w:rsidP="00311D99">
      <w:pPr>
        <w:ind w:right="-1"/>
        <w:jc w:val="both"/>
        <w:rPr>
          <w:rFonts w:ascii="Calibri" w:hAnsi="Calibri"/>
          <w:lang w:val="fr-FR"/>
        </w:rPr>
      </w:pPr>
    </w:p>
    <w:p w:rsidR="00311D99" w:rsidRPr="00311D99" w:rsidRDefault="00311D99" w:rsidP="00311D99">
      <w:pPr>
        <w:spacing w:line="276" w:lineRule="auto"/>
        <w:ind w:right="-1"/>
        <w:contextualSpacing/>
        <w:jc w:val="both"/>
        <w:rPr>
          <w:rFonts w:ascii="Calibri" w:eastAsia="Calibri" w:hAnsi="Calibri"/>
          <w:szCs w:val="22"/>
          <w:lang w:val="ro-RO"/>
        </w:rPr>
      </w:pPr>
      <w:r w:rsidRPr="00311D99">
        <w:rPr>
          <w:rFonts w:ascii="Calibri" w:eastAsia="Calibri" w:hAnsi="Calibri"/>
          <w:szCs w:val="22"/>
          <w:lang w:val="ro-RO"/>
        </w:rPr>
        <w:t>Sunt active 41 de (sub)măsuri/componente/scheme, din care 34 (sub)măsuri/componente/scheme sunt implementate de Agenția pentru Finanțarea Investițiilor Rurale/Autoritatea de Management pentru PNDR și 6 măsuri de către Agenția de Plăți și Intervenție pentru Agricultură, la care se adaugă măsura de întărire a capacității administrative la nivelul autorităților responsabile de implementarea PNDR, respectiv Asistență tehnică.</w:t>
      </w:r>
    </w:p>
    <w:p w:rsidR="00311D99" w:rsidRPr="00311D99" w:rsidRDefault="00311D99" w:rsidP="00311D99">
      <w:pPr>
        <w:spacing w:line="276" w:lineRule="auto"/>
        <w:ind w:right="-1"/>
        <w:contextualSpacing/>
        <w:jc w:val="both"/>
        <w:rPr>
          <w:rFonts w:ascii="Calibri" w:eastAsia="Calibri" w:hAnsi="Calibri"/>
          <w:szCs w:val="22"/>
          <w:lang w:val="ro-RO"/>
        </w:rPr>
      </w:pPr>
    </w:p>
    <w:p w:rsidR="00311D99" w:rsidRPr="00311D99" w:rsidRDefault="00311D99" w:rsidP="00311D99">
      <w:pPr>
        <w:numPr>
          <w:ilvl w:val="0"/>
          <w:numId w:val="11"/>
        </w:numPr>
        <w:autoSpaceDE w:val="0"/>
        <w:autoSpaceDN w:val="0"/>
        <w:adjustRightInd w:val="0"/>
        <w:spacing w:line="276" w:lineRule="auto"/>
        <w:ind w:left="360"/>
        <w:contextualSpacing/>
        <w:jc w:val="both"/>
        <w:rPr>
          <w:rFonts w:ascii="Calibri" w:eastAsia="Calibri" w:hAnsi="Calibri"/>
          <w:color w:val="000000" w:themeColor="text1"/>
          <w:lang w:val="ro-RO"/>
        </w:rPr>
      </w:pPr>
      <w:r w:rsidRPr="00311D99">
        <w:rPr>
          <w:rFonts w:ascii="Calibri" w:eastAsia="Calibri" w:hAnsi="Calibri"/>
          <w:color w:val="000000" w:themeColor="text1"/>
          <w:lang w:val="ro-RO"/>
        </w:rPr>
        <w:t xml:space="preserve">Sunt nelansate 3 submăsuri, care vor fi implementate de AFIR/AM PNDR. </w:t>
      </w:r>
    </w:p>
    <w:p w:rsidR="00311D99" w:rsidRPr="00311D99" w:rsidRDefault="00311D99" w:rsidP="00311D99">
      <w:pPr>
        <w:numPr>
          <w:ilvl w:val="0"/>
          <w:numId w:val="11"/>
        </w:numPr>
        <w:spacing w:line="276" w:lineRule="auto"/>
        <w:ind w:left="360"/>
        <w:contextualSpacing/>
        <w:jc w:val="both"/>
        <w:rPr>
          <w:rFonts w:ascii="Calibri" w:eastAsia="Calibri" w:hAnsi="Calibri" w:cs="Calibri"/>
          <w:b/>
          <w:color w:val="000000" w:themeColor="text1"/>
          <w:lang w:val="ro-RO"/>
        </w:rPr>
      </w:pPr>
      <w:r w:rsidRPr="00311D99">
        <w:rPr>
          <w:rFonts w:ascii="Calibri" w:eastAsia="Calibri" w:hAnsi="Calibri" w:cs="Calibri"/>
          <w:b/>
          <w:color w:val="000000" w:themeColor="text1"/>
          <w:lang w:val="ro-RO"/>
        </w:rPr>
        <w:t xml:space="preserve">Urmare sesiunilor derulate în cei patru ani de implementare, cumulat, numărul proiectelor depuse este de 55.339  cu o valoare publică de 8.243,33 mil. euro. </w:t>
      </w:r>
    </w:p>
    <w:p w:rsidR="00311D99" w:rsidRPr="00311D99" w:rsidRDefault="00311D99" w:rsidP="00311D99">
      <w:pPr>
        <w:numPr>
          <w:ilvl w:val="0"/>
          <w:numId w:val="11"/>
        </w:numPr>
        <w:spacing w:line="276" w:lineRule="auto"/>
        <w:ind w:left="360"/>
        <w:contextualSpacing/>
        <w:jc w:val="both"/>
        <w:rPr>
          <w:rFonts w:ascii="Calibri" w:eastAsia="Calibri" w:hAnsi="Calibri" w:cs="Calibri"/>
          <w:b/>
          <w:color w:val="000000" w:themeColor="text1"/>
          <w:lang w:val="ro-RO"/>
        </w:rPr>
      </w:pPr>
      <w:r w:rsidRPr="00311D99">
        <w:rPr>
          <w:rFonts w:ascii="Calibri" w:eastAsia="Calibri" w:hAnsi="Calibri" w:cs="Calibri"/>
          <w:b/>
          <w:color w:val="000000" w:themeColor="text1"/>
          <w:lang w:val="ro-RO"/>
        </w:rPr>
        <w:t>Numărul proiectelor selectate pentru finanțare este de 29.345  în valoare publică de 4.114,67 mil. euro, din care au fost contractate 28.224 proiecte în valoare publică de 3.575,86  mil. euro. Pentru aceste contracte au fost efectuate plăți în valoare publică de 1.696,49 mil. Euro.</w:t>
      </w:r>
    </w:p>
    <w:p w:rsidR="00311D99" w:rsidRPr="00311D99" w:rsidRDefault="00311D99" w:rsidP="00311D99">
      <w:pPr>
        <w:numPr>
          <w:ilvl w:val="0"/>
          <w:numId w:val="11"/>
        </w:numPr>
        <w:spacing w:line="276" w:lineRule="auto"/>
        <w:ind w:left="360"/>
        <w:contextualSpacing/>
        <w:jc w:val="both"/>
        <w:rPr>
          <w:rFonts w:ascii="Calibri" w:eastAsia="Calibri" w:hAnsi="Calibri"/>
          <w:color w:val="000000" w:themeColor="text1"/>
          <w:lang w:val="ro-RO"/>
        </w:rPr>
      </w:pPr>
      <w:r w:rsidRPr="00311D99">
        <w:rPr>
          <w:rFonts w:ascii="Calibri" w:eastAsia="Calibri" w:hAnsi="Calibri" w:cs="Calibri"/>
          <w:color w:val="000000" w:themeColor="text1"/>
          <w:lang w:val="ro-RO"/>
        </w:rPr>
        <w:t xml:space="preserve">Suplimentar, prin procedura de </w:t>
      </w:r>
      <w:r w:rsidRPr="00311D99">
        <w:rPr>
          <w:rFonts w:ascii="Calibri" w:eastAsia="Calibri" w:hAnsi="Calibri" w:cs="Calibri"/>
          <w:b/>
          <w:color w:val="000000" w:themeColor="text1"/>
          <w:lang w:val="ro-RO"/>
        </w:rPr>
        <w:t>tranziție</w:t>
      </w:r>
      <w:r w:rsidRPr="00311D99">
        <w:rPr>
          <w:rFonts w:ascii="Calibri" w:eastAsia="Calibri" w:hAnsi="Calibri" w:cs="Calibri"/>
          <w:color w:val="000000" w:themeColor="text1"/>
          <w:lang w:val="ro-RO"/>
        </w:rPr>
        <w:t xml:space="preserve">, au fost transferate din PNDR 2007-2013 în PNDR 2014-2020, </w:t>
      </w:r>
      <w:r w:rsidRPr="00311D99">
        <w:rPr>
          <w:rFonts w:ascii="Calibri" w:eastAsia="Calibri" w:hAnsi="Calibri" w:cs="Calibri"/>
          <w:b/>
          <w:color w:val="000000" w:themeColor="text1"/>
          <w:lang w:val="ro-RO"/>
        </w:rPr>
        <w:t>22.627 proiecte cu o valoare publică de 435,84 mil. euro</w:t>
      </w:r>
      <w:r w:rsidRPr="00311D99">
        <w:rPr>
          <w:rFonts w:ascii="Calibri" w:eastAsia="Calibri" w:hAnsi="Calibri" w:cs="Calibri"/>
          <w:color w:val="000000" w:themeColor="text1"/>
          <w:lang w:val="ro-RO"/>
        </w:rPr>
        <w:t xml:space="preserve"> (valoarea rămasă de plătit în vederea finalizării acestor contracte). Pentru aceste contracte au fost efectuate plăți în valoare publică de 254,42 mil. Euro.</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lang w:val="ro-RO"/>
        </w:rPr>
      </w:pPr>
      <w:r w:rsidRPr="00311D99">
        <w:rPr>
          <w:rFonts w:ascii="Calibri" w:eastAsia="Calibri" w:hAnsi="Calibri"/>
          <w:color w:val="000000" w:themeColor="text1"/>
          <w:lang w:val="ro-RO"/>
        </w:rPr>
        <w:t xml:space="preserve">De asemenea, au fost efectuate </w:t>
      </w:r>
      <w:r w:rsidRPr="00311D99">
        <w:rPr>
          <w:rFonts w:ascii="Calibri" w:eastAsia="Calibri" w:hAnsi="Calibri"/>
          <w:b/>
          <w:color w:val="000000" w:themeColor="text1"/>
          <w:lang w:val="ro-RO"/>
        </w:rPr>
        <w:t>plăți în valoare publică de 1.511,15 mil. euro pentru măsurile de plăți compensatorii pe suprafață/animale implementate de APIA</w:t>
      </w:r>
      <w:r w:rsidRPr="00311D99">
        <w:rPr>
          <w:rFonts w:ascii="Calibri" w:eastAsia="Calibri" w:hAnsi="Calibri"/>
          <w:color w:val="000000" w:themeColor="text1"/>
          <w:lang w:val="ro-RO"/>
        </w:rPr>
        <w:t>, aferente cererilor de plată depuse în campaniile desfășurate în anii anteriori.</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lang w:val="ro-RO"/>
        </w:rPr>
      </w:pPr>
      <w:r w:rsidRPr="00311D99">
        <w:rPr>
          <w:rFonts w:ascii="Calibri" w:eastAsia="Calibri" w:hAnsi="Calibri" w:cs="Calibri"/>
          <w:color w:val="000000" w:themeColor="text1"/>
          <w:lang w:val="ro-RO"/>
        </w:rPr>
        <w:t xml:space="preserve">În cadrul </w:t>
      </w:r>
      <w:r w:rsidRPr="00311D99">
        <w:rPr>
          <w:rFonts w:ascii="Calibri" w:eastAsia="Calibri" w:hAnsi="Calibri" w:cs="Calibri"/>
          <w:b/>
          <w:color w:val="000000" w:themeColor="text1"/>
          <w:lang w:val="ro-RO"/>
        </w:rPr>
        <w:t>măsurilor suport</w:t>
      </w:r>
      <w:r w:rsidRPr="00311D99">
        <w:rPr>
          <w:rFonts w:ascii="Calibri" w:eastAsia="Calibri" w:hAnsi="Calibri" w:cs="Calibri"/>
          <w:color w:val="000000" w:themeColor="text1"/>
          <w:lang w:val="ro-RO"/>
        </w:rPr>
        <w:t>, au fost contractate 9 proiecte în valoare publică de 3,90 mil. euro - submăsura 2.1 „Servicii de consiliere pentru fermieri, tinerii fermieri, microîntreprinderi și întreprinderile mici”,  79 proiecte în valoare publică de 8,70 mil. euro.</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lang w:val="ro-RO"/>
        </w:rPr>
      </w:pPr>
      <w:r w:rsidRPr="00311D99">
        <w:rPr>
          <w:rFonts w:ascii="Calibri" w:eastAsia="Calibri" w:hAnsi="Calibri" w:cs="Calibri"/>
          <w:color w:val="000000" w:themeColor="text1"/>
          <w:lang w:val="ro-RO"/>
        </w:rPr>
        <w:t>Măsura de Asistența Tehnică, 239 proiecte în valoare publică de 69,97 mil. Euro -  submăsura 19.4 „Sprijin pentru cheltuieli de funcționare și animare” acordat GAL-urilor. Pentru aceste contracte au fost efectuate plăți în valoare publică de 109,64 mil. Euro.</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lang w:val="ro-RO"/>
        </w:rPr>
      </w:pPr>
      <w:r w:rsidRPr="00311D99">
        <w:rPr>
          <w:rFonts w:ascii="Calibri" w:eastAsia="Calibri" w:hAnsi="Calibri" w:cs="Calibri"/>
          <w:color w:val="000000" w:themeColor="text1"/>
          <w:lang w:val="ro-RO"/>
        </w:rPr>
        <w:t xml:space="preserve">În vederea facilitării accesului la capital pentru sectorul agricol, a fost semnat cu </w:t>
      </w:r>
      <w:r w:rsidRPr="00311D99">
        <w:rPr>
          <w:rFonts w:ascii="Calibri" w:eastAsia="Calibri" w:hAnsi="Calibri" w:cs="Calibri"/>
          <w:b/>
          <w:color w:val="000000" w:themeColor="text1"/>
          <w:lang w:val="ro-RO"/>
        </w:rPr>
        <w:t xml:space="preserve">Fondul European de Investiții </w:t>
      </w:r>
      <w:r w:rsidRPr="00311D99">
        <w:rPr>
          <w:rFonts w:ascii="Calibri" w:eastAsia="Calibri" w:hAnsi="Calibri" w:cs="Calibri"/>
          <w:color w:val="000000" w:themeColor="text1"/>
          <w:lang w:val="ro-RO"/>
        </w:rPr>
        <w:t>un contract în valoare publică 93,88 mil. euro, ce vizează acordarea de credite pentru investiții în condiții avantajoase, fiind efectuate plăți în valoare publică de 46,94 mil. euro.</w:t>
      </w:r>
    </w:p>
    <w:p w:rsidR="00311D99" w:rsidRPr="00311D99" w:rsidRDefault="00311D99" w:rsidP="00311D99">
      <w:pPr>
        <w:spacing w:line="276" w:lineRule="auto"/>
        <w:ind w:left="360" w:right="-1"/>
        <w:contextualSpacing/>
        <w:jc w:val="both"/>
        <w:rPr>
          <w:rFonts w:ascii="Calibri" w:eastAsia="Calibri" w:hAnsi="Calibri"/>
          <w:noProof/>
          <w:szCs w:val="22"/>
          <w:lang w:val="ro-RO" w:eastAsia="ro-RO"/>
        </w:rPr>
      </w:pPr>
    </w:p>
    <w:p w:rsidR="00311D99" w:rsidRPr="00311D99" w:rsidRDefault="00311D99" w:rsidP="00311D99">
      <w:pPr>
        <w:numPr>
          <w:ilvl w:val="0"/>
          <w:numId w:val="70"/>
        </w:numPr>
        <w:spacing w:line="276" w:lineRule="auto"/>
        <w:ind w:right="-1"/>
        <w:contextualSpacing/>
        <w:jc w:val="both"/>
        <w:rPr>
          <w:rFonts w:ascii="Calibri" w:eastAsia="Calibri" w:hAnsi="Calibri"/>
          <w:b/>
          <w:i/>
          <w:lang w:val="it-IT"/>
        </w:rPr>
      </w:pPr>
      <w:r w:rsidRPr="00311D99">
        <w:rPr>
          <w:rFonts w:ascii="Calibri" w:eastAsia="Calibri" w:hAnsi="Calibri"/>
          <w:b/>
          <w:i/>
          <w:lang w:val="it-IT"/>
        </w:rPr>
        <w:t>FONDUL EUROPEAN DE GARANTARE AGRICOLĂ (FEGA)</w:t>
      </w:r>
    </w:p>
    <w:p w:rsidR="00311D99" w:rsidRPr="00125E1A" w:rsidRDefault="00311D99" w:rsidP="00311D99">
      <w:pPr>
        <w:spacing w:line="276" w:lineRule="auto"/>
        <w:ind w:right="-1"/>
        <w:contextualSpacing/>
        <w:jc w:val="both"/>
        <w:rPr>
          <w:rFonts w:ascii="Calibri" w:eastAsia="Calibri" w:hAnsi="Calibri"/>
          <w:sz w:val="16"/>
          <w:szCs w:val="16"/>
          <w:lang w:val="ro-RO"/>
        </w:rPr>
      </w:pPr>
    </w:p>
    <w:p w:rsidR="00311D99" w:rsidRPr="00311D99" w:rsidRDefault="00311D99" w:rsidP="00311D99">
      <w:pPr>
        <w:tabs>
          <w:tab w:val="left" w:pos="90"/>
          <w:tab w:val="left" w:pos="960"/>
        </w:tabs>
        <w:spacing w:line="276" w:lineRule="auto"/>
        <w:jc w:val="both"/>
        <w:rPr>
          <w:rFonts w:ascii="Calibri" w:hAnsi="Calibri"/>
          <w:b/>
        </w:rPr>
      </w:pPr>
      <w:r w:rsidRPr="00311D99">
        <w:rPr>
          <w:rFonts w:ascii="Calibri" w:hAnsi="Calibri"/>
          <w:b/>
        </w:rPr>
        <w:t>PRINCIPALELE REALIZĂRI ÎN DOMENIUL FONDURILOR EUROPENE FEGA ÎN CAMPANIA 2017</w:t>
      </w:r>
    </w:p>
    <w:p w:rsidR="00311D99" w:rsidRPr="00125E1A" w:rsidRDefault="00311D99" w:rsidP="00311D99">
      <w:pPr>
        <w:ind w:right="-1"/>
        <w:jc w:val="both"/>
        <w:rPr>
          <w:rFonts w:ascii="Calibri" w:hAnsi="Calibri"/>
          <w:sz w:val="16"/>
          <w:szCs w:val="16"/>
          <w:lang w:val="ro-RO"/>
        </w:rPr>
      </w:pPr>
    </w:p>
    <w:p w:rsidR="00311D99" w:rsidRPr="003964D3" w:rsidRDefault="00311D99" w:rsidP="00311D99">
      <w:pPr>
        <w:jc w:val="both"/>
        <w:rPr>
          <w:rFonts w:ascii="Calibri" w:hAnsi="Calibri" w:cs="Tahoma"/>
          <w:lang w:val="ro-RO"/>
        </w:rPr>
      </w:pPr>
      <w:r w:rsidRPr="00311D99">
        <w:rPr>
          <w:rFonts w:ascii="Calibri" w:hAnsi="Calibri" w:cs="Tahoma"/>
          <w:lang w:val="vi-VN"/>
        </w:rPr>
        <w:t>Agenţia de Plăţi şi Intervenţie pentru Agricultură (APIA) funcţionează în subordinea Ministerului Agriculturii şi Dezvoltării Rurale</w:t>
      </w:r>
      <w:r w:rsidRPr="003964D3">
        <w:rPr>
          <w:rFonts w:ascii="Calibri" w:hAnsi="Calibri" w:cs="Tahoma"/>
          <w:lang w:val="ro-RO"/>
        </w:rPr>
        <w:t xml:space="preserve"> (MADR) și gestionează schemele de sprijin acordate fermierilor, finanțate din:</w:t>
      </w:r>
    </w:p>
    <w:p w:rsidR="00311D99" w:rsidRPr="003964D3" w:rsidRDefault="00311D99" w:rsidP="00311D99">
      <w:pPr>
        <w:numPr>
          <w:ilvl w:val="0"/>
          <w:numId w:val="68"/>
        </w:numPr>
        <w:tabs>
          <w:tab w:val="num" w:pos="450"/>
        </w:tabs>
        <w:spacing w:line="276" w:lineRule="auto"/>
        <w:ind w:hanging="540"/>
        <w:jc w:val="both"/>
        <w:rPr>
          <w:rFonts w:ascii="Calibri" w:hAnsi="Calibri" w:cs="Tahoma"/>
          <w:lang w:val="fr-FR"/>
        </w:rPr>
      </w:pPr>
      <w:r w:rsidRPr="003964D3">
        <w:rPr>
          <w:rFonts w:ascii="Calibri" w:hAnsi="Calibri" w:cs="Tahoma"/>
          <w:lang w:val="fr-FR"/>
        </w:rPr>
        <w:t xml:space="preserve">FEGA – Fondul European de Garantare Agricolă </w:t>
      </w:r>
    </w:p>
    <w:p w:rsidR="00311D99" w:rsidRPr="00311D99" w:rsidRDefault="00311D99" w:rsidP="00311D99">
      <w:pPr>
        <w:numPr>
          <w:ilvl w:val="0"/>
          <w:numId w:val="68"/>
        </w:numPr>
        <w:tabs>
          <w:tab w:val="num" w:pos="450"/>
        </w:tabs>
        <w:spacing w:line="276" w:lineRule="auto"/>
        <w:ind w:hanging="540"/>
        <w:jc w:val="both"/>
        <w:rPr>
          <w:rFonts w:ascii="Calibri" w:hAnsi="Calibri" w:cs="Tahoma"/>
        </w:rPr>
      </w:pPr>
      <w:r w:rsidRPr="00311D99">
        <w:rPr>
          <w:rFonts w:ascii="Calibri" w:hAnsi="Calibri" w:cs="Tahoma"/>
        </w:rPr>
        <w:t>FEADR – Fondul European pentru Agricultură și Dezvoltare Rurală (prin intermediul măsurilor delegate din cadrul PNDR 2014 - 2020)</w:t>
      </w:r>
    </w:p>
    <w:p w:rsidR="00311D99" w:rsidRPr="00311D99" w:rsidRDefault="00311D99" w:rsidP="00311D99">
      <w:pPr>
        <w:numPr>
          <w:ilvl w:val="0"/>
          <w:numId w:val="68"/>
        </w:numPr>
        <w:tabs>
          <w:tab w:val="num" w:pos="450"/>
        </w:tabs>
        <w:spacing w:line="276" w:lineRule="auto"/>
        <w:ind w:hanging="540"/>
        <w:jc w:val="both"/>
        <w:rPr>
          <w:rFonts w:ascii="Calibri" w:hAnsi="Calibri" w:cs="Tahoma"/>
        </w:rPr>
      </w:pPr>
      <w:r w:rsidRPr="00311D99">
        <w:rPr>
          <w:rFonts w:ascii="Calibri" w:hAnsi="Calibri" w:cs="Tahoma"/>
        </w:rPr>
        <w:t xml:space="preserve"> BN – Bugetul Național </w:t>
      </w:r>
    </w:p>
    <w:p w:rsidR="00311D99" w:rsidRPr="00125E1A" w:rsidRDefault="00311D99" w:rsidP="00311D99">
      <w:pPr>
        <w:spacing w:line="276" w:lineRule="auto"/>
        <w:jc w:val="both"/>
        <w:rPr>
          <w:rFonts w:ascii="Calibri" w:hAnsi="Calibri"/>
          <w:sz w:val="16"/>
          <w:szCs w:val="16"/>
          <w:lang w:val="it-IT"/>
        </w:rPr>
      </w:pPr>
    </w:p>
    <w:p w:rsidR="00311D99" w:rsidRPr="00311D99" w:rsidRDefault="00311D99" w:rsidP="00311D99">
      <w:pPr>
        <w:spacing w:line="276" w:lineRule="auto"/>
        <w:jc w:val="both"/>
        <w:rPr>
          <w:rFonts w:ascii="Calibri" w:hAnsi="Calibri" w:cs="Tahoma"/>
          <w:b/>
          <w:lang w:val="fr-FR"/>
        </w:rPr>
      </w:pPr>
      <w:r w:rsidRPr="00311D99">
        <w:rPr>
          <w:rFonts w:ascii="Calibri" w:hAnsi="Calibri"/>
          <w:lang w:val="it-IT"/>
        </w:rPr>
        <w:t xml:space="preserve">Ministerul Agriculturii și Dezvoltarii Rurale, prin Agenția de Plăți și Intervenție pentru Agricultură implementează </w:t>
      </w:r>
      <w:r w:rsidRPr="00311D99">
        <w:rPr>
          <w:rFonts w:ascii="Calibri" w:hAnsi="Calibri" w:cs="Tahoma"/>
          <w:b/>
          <w:lang w:val="fr-FR"/>
        </w:rPr>
        <w:t>Fondul European de Garantare Agricolă (FEGA).</w:t>
      </w:r>
    </w:p>
    <w:p w:rsidR="00311D99" w:rsidRPr="00125E1A" w:rsidRDefault="00311D99" w:rsidP="00311D99">
      <w:pPr>
        <w:spacing w:line="276" w:lineRule="auto"/>
        <w:jc w:val="both"/>
        <w:rPr>
          <w:rFonts w:ascii="Calibri" w:hAnsi="Calibri" w:cs="Tahoma"/>
          <w:b/>
          <w:sz w:val="16"/>
          <w:szCs w:val="16"/>
          <w:lang w:val="fr-FR"/>
        </w:rPr>
      </w:pPr>
    </w:p>
    <w:p w:rsidR="00311D99" w:rsidRPr="003964D3" w:rsidRDefault="00311D99" w:rsidP="00125E1A">
      <w:pPr>
        <w:jc w:val="both"/>
        <w:rPr>
          <w:rFonts w:ascii="Calibri" w:hAnsi="Calibri" w:cs="Tahoma"/>
          <w:lang w:val="fr-FR"/>
        </w:rPr>
      </w:pPr>
      <w:r w:rsidRPr="00311D99">
        <w:rPr>
          <w:rFonts w:ascii="Calibri" w:hAnsi="Calibri" w:cs="Tahoma"/>
          <w:b/>
          <w:bCs/>
          <w:lang w:val="bg-BG"/>
        </w:rPr>
        <w:t xml:space="preserve">Ajutoarele naționale tranzitorii </w:t>
      </w:r>
      <w:r w:rsidRPr="00311D99">
        <w:rPr>
          <w:rFonts w:ascii="Calibri" w:hAnsi="Calibri" w:cs="Tahoma"/>
          <w:lang w:val="bg-BG"/>
        </w:rPr>
        <w:t xml:space="preserve">– ANT se acordă </w:t>
      </w:r>
      <w:r w:rsidRPr="00311D99">
        <w:rPr>
          <w:rFonts w:ascii="Calibri" w:hAnsi="Calibri" w:cs="Tahoma"/>
          <w:b/>
          <w:bCs/>
          <w:u w:val="single"/>
          <w:lang w:val="bg-BG"/>
        </w:rPr>
        <w:t>în domeniul vegetal și zootehnic</w:t>
      </w:r>
      <w:r w:rsidRPr="00311D99">
        <w:rPr>
          <w:rFonts w:ascii="Calibri" w:hAnsi="Calibri" w:cs="Tahoma"/>
          <w:lang w:val="bg-BG"/>
        </w:rPr>
        <w:t xml:space="preserve"> în limita prevederilor bugetare alocate Ministerului Agriculturii </w:t>
      </w:r>
      <w:r w:rsidRPr="00311D99">
        <w:rPr>
          <w:rFonts w:ascii="Calibri" w:hAnsi="Calibri" w:cs="Tahoma"/>
          <w:lang w:val="ro-RO"/>
        </w:rPr>
        <w:t>ș</w:t>
      </w:r>
      <w:r w:rsidRPr="00311D99">
        <w:rPr>
          <w:rFonts w:ascii="Calibri" w:hAnsi="Calibri" w:cs="Tahoma"/>
          <w:lang w:val="bg-BG"/>
        </w:rPr>
        <w:t>i Dezvolt</w:t>
      </w:r>
      <w:r w:rsidRPr="00311D99">
        <w:rPr>
          <w:rFonts w:ascii="Calibri" w:hAnsi="Calibri" w:cs="Tahoma"/>
          <w:lang w:val="ro-RO"/>
        </w:rPr>
        <w:t>ă</w:t>
      </w:r>
      <w:r w:rsidRPr="00311D99">
        <w:rPr>
          <w:rFonts w:ascii="Calibri" w:hAnsi="Calibri" w:cs="Tahoma"/>
          <w:lang w:val="bg-BG"/>
        </w:rPr>
        <w:t xml:space="preserve">rii Rurale. </w:t>
      </w:r>
    </w:p>
    <w:p w:rsidR="00311D99" w:rsidRPr="003964D3" w:rsidRDefault="00311D99" w:rsidP="00DC0750">
      <w:pPr>
        <w:keepNext/>
        <w:spacing w:before="120"/>
        <w:jc w:val="both"/>
        <w:outlineLvl w:val="1"/>
        <w:rPr>
          <w:rFonts w:ascii="Calibri" w:hAnsi="Calibri" w:cs="Arial"/>
          <w:b/>
          <w:bCs/>
          <w:i/>
          <w:iCs/>
          <w:lang w:val="fr-FR"/>
        </w:rPr>
      </w:pPr>
      <w:r w:rsidRPr="003964D3">
        <w:rPr>
          <w:rFonts w:ascii="Calibri" w:hAnsi="Calibri" w:cs="Arial"/>
          <w:b/>
          <w:bCs/>
          <w:i/>
          <w:iCs/>
          <w:lang w:val="fr-FR"/>
        </w:rPr>
        <w:t xml:space="preserve">ALOCARE FEGA – PLĂȚI DIRECTE </w:t>
      </w:r>
    </w:p>
    <w:p w:rsidR="00311D99" w:rsidRPr="003964D3" w:rsidRDefault="00311D99" w:rsidP="003D06D4">
      <w:pPr>
        <w:keepNext/>
        <w:spacing w:before="120" w:after="60" w:line="276" w:lineRule="auto"/>
        <w:jc w:val="both"/>
        <w:outlineLvl w:val="1"/>
        <w:rPr>
          <w:rFonts w:ascii="Calibri" w:hAnsi="Calibri" w:cs="Arial"/>
          <w:bCs/>
          <w:iCs/>
          <w:lang w:val="fr-FR"/>
        </w:rPr>
      </w:pPr>
      <w:r w:rsidRPr="003964D3">
        <w:rPr>
          <w:rFonts w:ascii="Calibri" w:hAnsi="Calibri" w:cs="Arial"/>
          <w:bCs/>
          <w:iCs/>
          <w:lang w:val="fr-FR"/>
        </w:rPr>
        <w:t>În Regulamentul delegat (UE) 2015/851 AL COMISIEI din 27 martie 2015 de modificare a anexelor II, III și VI la Regulamentul (UE) nr. 1307/2013 al Parlamentului European și al Consiliului de stabilire a unor norme privind plățile directe acordate fermierilor prin scheme de sprijin în cadrul politicii agricole comune este prevăzut plafonul financiar alocat României din FEGA pentru plățile directe, astfel:</w:t>
      </w:r>
    </w:p>
    <w:tbl>
      <w:tblPr>
        <w:tblW w:w="100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78"/>
        <w:gridCol w:w="1276"/>
        <w:gridCol w:w="1276"/>
        <w:gridCol w:w="1275"/>
        <w:gridCol w:w="1276"/>
        <w:gridCol w:w="1276"/>
        <w:gridCol w:w="1276"/>
        <w:gridCol w:w="1417"/>
      </w:tblGrid>
      <w:tr w:rsidR="00311D99" w:rsidRPr="00311D99" w:rsidTr="00125E1A">
        <w:trPr>
          <w:trHeight w:val="519"/>
        </w:trPr>
        <w:tc>
          <w:tcPr>
            <w:tcW w:w="978" w:type="dxa"/>
            <w:vMerge w:val="restart"/>
            <w:shd w:val="clear" w:color="auto" w:fill="BDD6EE"/>
            <w:tcMar>
              <w:top w:w="15" w:type="dxa"/>
              <w:left w:w="108" w:type="dxa"/>
              <w:bottom w:w="0" w:type="dxa"/>
              <w:right w:w="108" w:type="dxa"/>
            </w:tcMar>
            <w:hideMark/>
          </w:tcPr>
          <w:p w:rsidR="00311D99" w:rsidRPr="003964D3" w:rsidRDefault="00311D99" w:rsidP="00311D99">
            <w:pPr>
              <w:rPr>
                <w:rFonts w:ascii="Calibri" w:hAnsi="Calibri"/>
                <w:sz w:val="18"/>
                <w:szCs w:val="18"/>
                <w:lang w:val="fr-FR"/>
              </w:rPr>
            </w:pPr>
            <w:r w:rsidRPr="003964D3">
              <w:rPr>
                <w:rFonts w:ascii="Calibri" w:hAnsi="Calibri"/>
                <w:b/>
                <w:bCs/>
                <w:sz w:val="18"/>
                <w:szCs w:val="18"/>
                <w:lang w:val="fr-FR"/>
              </w:rPr>
              <w:t xml:space="preserve">Alocare FEGA plăți directe </w:t>
            </w:r>
          </w:p>
          <w:p w:rsidR="00311D99" w:rsidRPr="003964D3" w:rsidRDefault="00311D99" w:rsidP="00311D99">
            <w:pPr>
              <w:rPr>
                <w:rFonts w:ascii="Calibri" w:hAnsi="Calibri"/>
                <w:sz w:val="18"/>
                <w:szCs w:val="18"/>
                <w:lang w:val="fr-FR"/>
              </w:rPr>
            </w:pPr>
            <w:r w:rsidRPr="003964D3">
              <w:rPr>
                <w:rFonts w:ascii="Calibri" w:hAnsi="Calibri"/>
                <w:b/>
                <w:bCs/>
                <w:sz w:val="18"/>
                <w:szCs w:val="18"/>
                <w:lang w:val="fr-FR"/>
              </w:rPr>
              <w:t xml:space="preserve">(EURO) </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2015</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2016</w:t>
            </w:r>
          </w:p>
        </w:tc>
        <w:tc>
          <w:tcPr>
            <w:tcW w:w="1275"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2017</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2018</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2019</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sidRPr="00311D99">
              <w:rPr>
                <w:rFonts w:ascii="Calibri" w:hAnsi="Calibri"/>
                <w:b/>
                <w:bCs/>
                <w:sz w:val="18"/>
                <w:szCs w:val="18"/>
              </w:rPr>
              <w:t>2020</w:t>
            </w:r>
          </w:p>
        </w:tc>
        <w:tc>
          <w:tcPr>
            <w:tcW w:w="1417" w:type="dxa"/>
            <w:shd w:val="clear" w:color="auto" w:fill="BDD6EE"/>
            <w:tcMar>
              <w:top w:w="15" w:type="dxa"/>
              <w:left w:w="108" w:type="dxa"/>
              <w:bottom w:w="0" w:type="dxa"/>
              <w:right w:w="108" w:type="dxa"/>
            </w:tcMar>
            <w:hideMark/>
          </w:tcPr>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sz w:val="18"/>
                <w:szCs w:val="18"/>
                <w:vertAlign w:val="superscript"/>
              </w:rPr>
            </w:pPr>
            <w:r w:rsidRPr="00311D99">
              <w:rPr>
                <w:rFonts w:ascii="Calibri" w:hAnsi="Calibri"/>
                <w:b/>
                <w:bCs/>
                <w:sz w:val="18"/>
                <w:szCs w:val="18"/>
              </w:rPr>
              <w:t>TOTAL</w:t>
            </w:r>
            <w:r w:rsidRPr="00311D99">
              <w:rPr>
                <w:rFonts w:ascii="Calibri" w:hAnsi="Calibri"/>
                <w:b/>
                <w:bCs/>
                <w:sz w:val="18"/>
                <w:szCs w:val="18"/>
                <w:vertAlign w:val="superscript"/>
              </w:rPr>
              <w:t>*</w:t>
            </w:r>
          </w:p>
        </w:tc>
      </w:tr>
      <w:tr w:rsidR="00311D99" w:rsidRPr="00311D99" w:rsidTr="00311D99">
        <w:trPr>
          <w:cantSplit/>
          <w:trHeight w:val="992"/>
        </w:trPr>
        <w:tc>
          <w:tcPr>
            <w:tcW w:w="978" w:type="dxa"/>
            <w:vMerge/>
            <w:shd w:val="clear" w:color="auto" w:fill="BDD6EE"/>
            <w:vAlign w:val="center"/>
            <w:hideMark/>
          </w:tcPr>
          <w:p w:rsidR="00311D99" w:rsidRPr="00311D99" w:rsidRDefault="00311D99" w:rsidP="00311D99">
            <w:pPr>
              <w:rPr>
                <w:rFonts w:ascii="Calibri" w:hAnsi="Calibri"/>
                <w:sz w:val="18"/>
                <w:szCs w:val="18"/>
              </w:rPr>
            </w:pP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1,599,992,519</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1,772,469,112</w:t>
            </w:r>
          </w:p>
        </w:tc>
        <w:tc>
          <w:tcPr>
            <w:tcW w:w="1275" w:type="dxa"/>
            <w:shd w:val="clear" w:color="auto" w:fill="FFFFFF"/>
            <w:tcMar>
              <w:top w:w="15" w:type="dxa"/>
              <w:left w:w="108" w:type="dxa"/>
              <w:bottom w:w="0" w:type="dxa"/>
              <w:right w:w="108" w:type="dxa"/>
            </w:tcMar>
            <w:vAlign w:val="center"/>
          </w:tcPr>
          <w:p w:rsidR="00311D99" w:rsidRPr="00311D99" w:rsidRDefault="00311D99" w:rsidP="00311D99">
            <w:pPr>
              <w:rPr>
                <w:rFonts w:ascii="Calibri" w:hAnsi="Calibri"/>
                <w:sz w:val="18"/>
                <w:szCs w:val="18"/>
              </w:rPr>
            </w:pPr>
            <w:r w:rsidRPr="00311D99">
              <w:rPr>
                <w:rFonts w:ascii="Calibri" w:hAnsi="Calibri"/>
                <w:b/>
                <w:bCs/>
                <w:sz w:val="18"/>
                <w:szCs w:val="18"/>
              </w:rPr>
              <w:t>1,801,335,000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1,912,150,000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1,903,195,000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1,903,195,000</w:t>
            </w:r>
          </w:p>
        </w:tc>
        <w:tc>
          <w:tcPr>
            <w:tcW w:w="1417"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sidRPr="00311D99">
              <w:rPr>
                <w:rFonts w:ascii="Calibri" w:hAnsi="Calibri"/>
                <w:b/>
                <w:bCs/>
                <w:sz w:val="18"/>
                <w:szCs w:val="18"/>
              </w:rPr>
              <w:t>10,892,336,63</w:t>
            </w:r>
            <w:r w:rsidRPr="00311D99">
              <w:rPr>
                <w:rFonts w:ascii="Calibri" w:hAnsi="Calibri"/>
                <w:sz w:val="18"/>
                <w:szCs w:val="18"/>
              </w:rPr>
              <w:t>1</w:t>
            </w:r>
          </w:p>
        </w:tc>
      </w:tr>
    </w:tbl>
    <w:p w:rsidR="00311D99" w:rsidRPr="00311D99" w:rsidRDefault="00311D99" w:rsidP="00311D99">
      <w:pPr>
        <w:rPr>
          <w:rFonts w:ascii="Calibri" w:hAnsi="Calibri"/>
          <w:sz w:val="18"/>
          <w:szCs w:val="18"/>
        </w:rPr>
      </w:pPr>
    </w:p>
    <w:p w:rsidR="00311D99" w:rsidRPr="00311D99" w:rsidRDefault="00311D99" w:rsidP="00311D99">
      <w:pPr>
        <w:rPr>
          <w:rFonts w:ascii="Calibri" w:hAnsi="Calibri"/>
        </w:rPr>
      </w:pPr>
      <w:r w:rsidRPr="003964D3">
        <w:rPr>
          <w:rFonts w:ascii="Calibri" w:hAnsi="Calibri"/>
          <w:vertAlign w:val="superscript"/>
          <w:lang w:val="fr-FR"/>
        </w:rPr>
        <w:t>*</w:t>
      </w:r>
      <w:r w:rsidRPr="003964D3">
        <w:rPr>
          <w:rFonts w:ascii="Calibri" w:hAnsi="Calibri"/>
          <w:lang w:val="fr-FR"/>
        </w:rPr>
        <w:t xml:space="preserve">La plafoanele financiare din FEGA menționate mai sus, se vor adăuga și cele estimate pentru măsuri de piață și comerț exterior de aproximativ 400 mil. </w:t>
      </w:r>
      <w:r w:rsidRPr="00311D99">
        <w:rPr>
          <w:rFonts w:ascii="Calibri" w:hAnsi="Calibri"/>
        </w:rPr>
        <w:t>Euro pentru perioada 2015-2020.</w:t>
      </w:r>
    </w:p>
    <w:p w:rsidR="00311D99" w:rsidRPr="003D06D4" w:rsidRDefault="00311D99" w:rsidP="00311D99">
      <w:pPr>
        <w:rPr>
          <w:rFonts w:ascii="Calibri" w:hAnsi="Calibri"/>
          <w:sz w:val="20"/>
          <w:szCs w:val="20"/>
        </w:rPr>
      </w:pPr>
    </w:p>
    <w:p w:rsidR="00311D99" w:rsidRPr="00311D99" w:rsidRDefault="00311D99" w:rsidP="00311D99">
      <w:pPr>
        <w:spacing w:line="276" w:lineRule="auto"/>
        <w:jc w:val="both"/>
        <w:rPr>
          <w:rFonts w:ascii="Calibri" w:hAnsi="Calibri"/>
          <w:b/>
          <w:bCs/>
          <w:u w:val="single"/>
        </w:rPr>
      </w:pPr>
      <w:r w:rsidRPr="00311D99">
        <w:rPr>
          <w:rFonts w:ascii="Calibri" w:hAnsi="Calibri"/>
          <w:b/>
          <w:bCs/>
          <w:u w:val="single"/>
          <w:lang w:val="bg-BG"/>
        </w:rPr>
        <w:t xml:space="preserve">Schemele de plăţi directe </w:t>
      </w:r>
      <w:r w:rsidRPr="00311D99">
        <w:rPr>
          <w:rFonts w:ascii="Calibri" w:hAnsi="Calibri"/>
          <w:b/>
          <w:bCs/>
          <w:u w:val="single"/>
        </w:rPr>
        <w:t xml:space="preserve">finanțate din FEGA </w:t>
      </w:r>
      <w:r w:rsidRPr="00311D99">
        <w:rPr>
          <w:rFonts w:ascii="Calibri" w:hAnsi="Calibri"/>
          <w:b/>
          <w:bCs/>
          <w:u w:val="single"/>
          <w:lang w:val="bg-BG"/>
        </w:rPr>
        <w:t>sunt următoarele:</w:t>
      </w:r>
    </w:p>
    <w:p w:rsidR="00311D99" w:rsidRPr="00311D99" w:rsidRDefault="00311D99" w:rsidP="00311D99">
      <w:pPr>
        <w:spacing w:line="276" w:lineRule="auto"/>
        <w:jc w:val="both"/>
        <w:rPr>
          <w:rFonts w:ascii="Calibri" w:hAnsi="Calibri"/>
        </w:rPr>
      </w:pPr>
    </w:p>
    <w:p w:rsidR="00311D99" w:rsidRPr="00311D99" w:rsidRDefault="00311D99" w:rsidP="00311D99">
      <w:pPr>
        <w:numPr>
          <w:ilvl w:val="0"/>
          <w:numId w:val="8"/>
        </w:numPr>
        <w:spacing w:line="276" w:lineRule="auto"/>
        <w:rPr>
          <w:rFonts w:ascii="Calibri" w:hAnsi="Calibri"/>
          <w:lang w:val="de-DE"/>
        </w:rPr>
      </w:pPr>
      <w:r w:rsidRPr="00311D99">
        <w:rPr>
          <w:rFonts w:ascii="Calibri" w:hAnsi="Calibri"/>
          <w:lang w:val="bg-BG"/>
        </w:rPr>
        <w:t>schema de plată unică pe suprafaţă;</w:t>
      </w:r>
    </w:p>
    <w:p w:rsidR="00311D99" w:rsidRPr="00311D99" w:rsidRDefault="00311D99" w:rsidP="00311D99">
      <w:pPr>
        <w:numPr>
          <w:ilvl w:val="0"/>
          <w:numId w:val="8"/>
        </w:numPr>
        <w:spacing w:line="276" w:lineRule="auto"/>
        <w:rPr>
          <w:rFonts w:ascii="Calibri" w:hAnsi="Calibri"/>
        </w:rPr>
      </w:pPr>
      <w:r w:rsidRPr="00311D99">
        <w:rPr>
          <w:rFonts w:ascii="Calibri" w:hAnsi="Calibri"/>
          <w:lang w:val="bg-BG"/>
        </w:rPr>
        <w:t>plata redistributivă;</w:t>
      </w:r>
    </w:p>
    <w:p w:rsidR="00311D99" w:rsidRPr="00311D99" w:rsidRDefault="00311D99" w:rsidP="00311D99">
      <w:pPr>
        <w:numPr>
          <w:ilvl w:val="0"/>
          <w:numId w:val="8"/>
        </w:numPr>
        <w:spacing w:line="276" w:lineRule="auto"/>
        <w:rPr>
          <w:rFonts w:ascii="Calibri" w:hAnsi="Calibri"/>
        </w:rPr>
      </w:pPr>
      <w:r w:rsidRPr="00311D99">
        <w:rPr>
          <w:rFonts w:ascii="Calibri" w:hAnsi="Calibri"/>
          <w:lang w:val="bg-BG"/>
        </w:rPr>
        <w:t>plata pentru practici agricole benefice pentru climă și mediu;</w:t>
      </w:r>
    </w:p>
    <w:p w:rsidR="00311D99" w:rsidRPr="00311D99" w:rsidRDefault="00311D99" w:rsidP="00311D99">
      <w:pPr>
        <w:numPr>
          <w:ilvl w:val="0"/>
          <w:numId w:val="8"/>
        </w:numPr>
        <w:spacing w:line="276" w:lineRule="auto"/>
        <w:rPr>
          <w:rFonts w:ascii="Calibri" w:hAnsi="Calibri"/>
        </w:rPr>
      </w:pPr>
      <w:r w:rsidRPr="00311D99">
        <w:rPr>
          <w:rFonts w:ascii="Calibri" w:hAnsi="Calibri"/>
          <w:lang w:val="bg-BG"/>
        </w:rPr>
        <w:t>plata pentru tinerii fermieri;</w:t>
      </w:r>
    </w:p>
    <w:p w:rsidR="00311D99" w:rsidRPr="00311D99" w:rsidRDefault="00311D99" w:rsidP="00311D99">
      <w:pPr>
        <w:numPr>
          <w:ilvl w:val="0"/>
          <w:numId w:val="8"/>
        </w:numPr>
        <w:spacing w:line="276" w:lineRule="auto"/>
        <w:rPr>
          <w:rFonts w:ascii="Calibri" w:hAnsi="Calibri"/>
        </w:rPr>
      </w:pPr>
      <w:r w:rsidRPr="00311D99">
        <w:rPr>
          <w:rFonts w:ascii="Calibri" w:hAnsi="Calibri"/>
          <w:lang w:val="bg-BG"/>
        </w:rPr>
        <w:t>schem</w:t>
      </w:r>
      <w:r w:rsidRPr="00311D99">
        <w:rPr>
          <w:rFonts w:ascii="Calibri" w:hAnsi="Calibri"/>
        </w:rPr>
        <w:t>ele</w:t>
      </w:r>
      <w:r w:rsidRPr="00311D99">
        <w:rPr>
          <w:rFonts w:ascii="Calibri" w:hAnsi="Calibri"/>
          <w:lang w:val="bg-BG"/>
        </w:rPr>
        <w:t xml:space="preserve"> de sprijin cuplat</w:t>
      </w:r>
      <w:r w:rsidRPr="00311D99">
        <w:rPr>
          <w:rFonts w:ascii="Calibri" w:hAnsi="Calibri"/>
        </w:rPr>
        <w:t xml:space="preserve"> în sectorul vegetal și în sectorul zootehnic</w:t>
      </w:r>
      <w:r w:rsidRPr="00311D99">
        <w:rPr>
          <w:rFonts w:ascii="Calibri" w:hAnsi="Calibri"/>
          <w:lang w:val="bg-BG"/>
        </w:rPr>
        <w:t>;</w:t>
      </w:r>
    </w:p>
    <w:p w:rsidR="00311D99" w:rsidRPr="00311D99" w:rsidRDefault="00311D99" w:rsidP="00311D99">
      <w:pPr>
        <w:numPr>
          <w:ilvl w:val="0"/>
          <w:numId w:val="8"/>
        </w:numPr>
        <w:spacing w:line="276" w:lineRule="auto"/>
        <w:rPr>
          <w:rFonts w:ascii="Calibri" w:hAnsi="Calibri"/>
          <w:lang w:val="de-DE"/>
        </w:rPr>
      </w:pPr>
      <w:r w:rsidRPr="00311D99">
        <w:rPr>
          <w:rFonts w:ascii="Calibri" w:hAnsi="Calibri"/>
          <w:lang w:val="bg-BG"/>
        </w:rPr>
        <w:t>schema simplificată pentru micii fermieri. </w:t>
      </w:r>
    </w:p>
    <w:p w:rsidR="00311D99" w:rsidRPr="003D06D4" w:rsidRDefault="00311D99" w:rsidP="00311D99">
      <w:pPr>
        <w:spacing w:line="276" w:lineRule="auto"/>
        <w:jc w:val="both"/>
        <w:rPr>
          <w:rFonts w:ascii="Calibri" w:hAnsi="Calibri"/>
          <w:sz w:val="20"/>
          <w:szCs w:val="20"/>
          <w:lang w:val="de-DE"/>
        </w:rPr>
      </w:pPr>
    </w:p>
    <w:p w:rsidR="00311D99" w:rsidRPr="003964D3" w:rsidRDefault="00311D99" w:rsidP="00311D99">
      <w:pPr>
        <w:jc w:val="both"/>
        <w:rPr>
          <w:rFonts w:ascii="Calibri" w:hAnsi="Calibri"/>
          <w:bCs/>
          <w:lang w:val="fr-FR"/>
        </w:rPr>
      </w:pPr>
      <w:r w:rsidRPr="003964D3">
        <w:rPr>
          <w:rFonts w:ascii="Calibri" w:hAnsi="Calibri"/>
          <w:lang w:val="fr-FR"/>
        </w:rPr>
        <w:t xml:space="preserve">În ceea ce privește Campania 2017, APIA a autorizat la plată  suma de </w:t>
      </w:r>
      <w:r w:rsidRPr="003964D3">
        <w:rPr>
          <w:rFonts w:ascii="Calibri" w:hAnsi="Calibri"/>
          <w:b/>
          <w:bCs/>
          <w:lang w:val="fr-FR"/>
        </w:rPr>
        <w:t xml:space="preserve">2,636 miliarde euro, </w:t>
      </w:r>
      <w:r w:rsidRPr="003964D3">
        <w:rPr>
          <w:rFonts w:ascii="Calibri" w:hAnsi="Calibri"/>
          <w:bCs/>
          <w:lang w:val="fr-FR"/>
        </w:rPr>
        <w:t xml:space="preserve">ceea cereprezintă un procent de absorbție </w:t>
      </w:r>
      <w:r w:rsidRPr="003964D3">
        <w:rPr>
          <w:rFonts w:ascii="Calibri" w:hAnsi="Calibri"/>
          <w:b/>
          <w:bCs/>
          <w:lang w:val="fr-FR"/>
        </w:rPr>
        <w:t xml:space="preserve">97.5% </w:t>
      </w:r>
      <w:r w:rsidRPr="003964D3">
        <w:rPr>
          <w:rFonts w:ascii="Calibri" w:hAnsi="Calibri"/>
          <w:bCs/>
          <w:lang w:val="fr-FR"/>
        </w:rPr>
        <w:t xml:space="preserve">din plafonul financiar alocat României în Campania 2017 de </w:t>
      </w:r>
      <w:r w:rsidRPr="003964D3">
        <w:rPr>
          <w:rFonts w:ascii="Calibri" w:hAnsi="Calibri"/>
          <w:b/>
          <w:lang w:val="fr-FR"/>
        </w:rPr>
        <w:t xml:space="preserve">1,801  </w:t>
      </w:r>
      <w:r w:rsidRPr="003964D3">
        <w:rPr>
          <w:rFonts w:ascii="Calibri" w:hAnsi="Calibri"/>
          <w:b/>
          <w:bCs/>
          <w:lang w:val="fr-FR"/>
        </w:rPr>
        <w:t>miliarde euro.</w:t>
      </w:r>
    </w:p>
    <w:p w:rsidR="00311D99" w:rsidRPr="00715536" w:rsidRDefault="00311D99" w:rsidP="00311D99">
      <w:pPr>
        <w:spacing w:line="276" w:lineRule="auto"/>
        <w:jc w:val="both"/>
        <w:rPr>
          <w:rFonts w:ascii="Calibri" w:hAnsi="Calibri"/>
          <w:sz w:val="20"/>
          <w:szCs w:val="20"/>
          <w:lang w:val="fr-FR"/>
        </w:rPr>
      </w:pPr>
    </w:p>
    <w:p w:rsidR="00311D99" w:rsidRPr="007050FD" w:rsidRDefault="00311D99" w:rsidP="007050FD">
      <w:pPr>
        <w:autoSpaceDE w:val="0"/>
        <w:autoSpaceDN w:val="0"/>
        <w:adjustRightInd w:val="0"/>
        <w:spacing w:after="120"/>
        <w:jc w:val="both"/>
        <w:rPr>
          <w:rFonts w:ascii="Calibri" w:hAnsi="Calibri"/>
          <w:lang w:val="fr-FR"/>
        </w:rPr>
      </w:pPr>
      <w:r w:rsidRPr="00311D99">
        <w:rPr>
          <w:rFonts w:ascii="Calibri" w:hAnsi="Calibri"/>
          <w:lang w:val="fr-FR"/>
        </w:rPr>
        <w:t xml:space="preserve">Plăţile se efectuează  la cursul de schimb de </w:t>
      </w:r>
      <w:r w:rsidRPr="00311D99">
        <w:rPr>
          <w:rFonts w:ascii="Calibri" w:hAnsi="Calibri"/>
          <w:b/>
          <w:lang w:val="fr-FR"/>
        </w:rPr>
        <w:t>4,5993 lei pentru un euro,</w:t>
      </w:r>
      <w:r w:rsidRPr="00311D99">
        <w:rPr>
          <w:rFonts w:ascii="Calibri" w:hAnsi="Calibri"/>
          <w:lang w:val="fr-FR"/>
        </w:rPr>
        <w:t xml:space="preserve"> stabilit de către Banca Centrală Europeană în data de 29 septembrie 2017 şi publicat în Jurnalul Oficial al Uniunii Europene, seria C, nr. 329/05 din 30 septembrie 2017. </w:t>
      </w:r>
    </w:p>
    <w:p w:rsidR="00311D99" w:rsidRPr="00311D99" w:rsidRDefault="00311D99" w:rsidP="00311D99">
      <w:pPr>
        <w:autoSpaceDE w:val="0"/>
        <w:autoSpaceDN w:val="0"/>
        <w:adjustRightInd w:val="0"/>
        <w:spacing w:line="276" w:lineRule="auto"/>
        <w:jc w:val="both"/>
        <w:rPr>
          <w:rFonts w:ascii="Calibri" w:hAnsi="Calibri"/>
          <w:b/>
          <w:lang w:val="fr-FR"/>
        </w:rPr>
      </w:pPr>
      <w:r w:rsidRPr="00311D99">
        <w:rPr>
          <w:rFonts w:ascii="Calibri" w:hAnsi="Calibri"/>
          <w:b/>
          <w:lang w:val="fr-FR"/>
        </w:rPr>
        <w:t>În ceea ce privește sumele rambursate de către Comisia Europeană în anii calendaristici 2017 și 2018, urmare a solicitării prin declarațiile lunare de cheltuieli (ani financiari 2017 și 2018) precizăm faptul că până la această dată Comisia Europeană a rambursat suma de 3,51 miliarde euro.</w:t>
      </w:r>
    </w:p>
    <w:p w:rsidR="00311D99" w:rsidRPr="003D06D4" w:rsidRDefault="00311D99" w:rsidP="00311D99">
      <w:pPr>
        <w:autoSpaceDE w:val="0"/>
        <w:autoSpaceDN w:val="0"/>
        <w:adjustRightInd w:val="0"/>
        <w:spacing w:line="276" w:lineRule="auto"/>
        <w:jc w:val="both"/>
        <w:rPr>
          <w:rFonts w:ascii="Calibri" w:hAnsi="Calibri"/>
          <w:sz w:val="20"/>
          <w:szCs w:val="20"/>
          <w:lang w:val="fr-FR"/>
        </w:rPr>
      </w:pPr>
    </w:p>
    <w:tbl>
      <w:tblPr>
        <w:tblW w:w="5103"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3402"/>
      </w:tblGrid>
      <w:tr w:rsidR="00311D99" w:rsidRPr="00AC4302" w:rsidTr="00311D99">
        <w:trPr>
          <w:trHeight w:val="703"/>
        </w:trPr>
        <w:tc>
          <w:tcPr>
            <w:tcW w:w="1701"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rPr>
            </w:pPr>
            <w:r w:rsidRPr="00311D99">
              <w:rPr>
                <w:rFonts w:ascii="Calibri" w:hAnsi="Calibri"/>
                <w:b/>
                <w:bCs/>
              </w:rPr>
              <w:t>An financiar</w:t>
            </w:r>
          </w:p>
        </w:tc>
        <w:tc>
          <w:tcPr>
            <w:tcW w:w="3402" w:type="dxa"/>
            <w:shd w:val="clear" w:color="auto" w:fill="BDD6EE"/>
            <w:tcMar>
              <w:top w:w="15" w:type="dxa"/>
              <w:left w:w="108" w:type="dxa"/>
              <w:bottom w:w="0" w:type="dxa"/>
              <w:right w:w="108" w:type="dxa"/>
            </w:tcMar>
            <w:vAlign w:val="bottom"/>
            <w:hideMark/>
          </w:tcPr>
          <w:p w:rsidR="00311D99" w:rsidRPr="003964D3" w:rsidRDefault="00311D99" w:rsidP="00311D99">
            <w:pPr>
              <w:jc w:val="center"/>
              <w:rPr>
                <w:rFonts w:ascii="Calibri" w:hAnsi="Calibri"/>
                <w:b/>
                <w:bCs/>
                <w:lang w:val="fr-FR"/>
              </w:rPr>
            </w:pPr>
            <w:r w:rsidRPr="003964D3">
              <w:rPr>
                <w:rFonts w:ascii="Calibri" w:hAnsi="Calibri"/>
                <w:b/>
                <w:bCs/>
                <w:lang w:val="fr-FR"/>
              </w:rPr>
              <w:t>Suma comunicată în decizia CE</w:t>
            </w:r>
          </w:p>
          <w:p w:rsidR="00311D99" w:rsidRPr="003964D3" w:rsidRDefault="00311D99" w:rsidP="00311D99">
            <w:pPr>
              <w:jc w:val="center"/>
              <w:rPr>
                <w:rFonts w:ascii="Calibri" w:hAnsi="Calibri"/>
                <w:b/>
                <w:bCs/>
                <w:lang w:val="fr-FR"/>
              </w:rPr>
            </w:pPr>
          </w:p>
          <w:p w:rsidR="00311D99" w:rsidRPr="003964D3" w:rsidRDefault="00311D99" w:rsidP="00311D99">
            <w:pPr>
              <w:ind w:firstLine="1169"/>
              <w:rPr>
                <w:rFonts w:ascii="Calibri" w:hAnsi="Calibri"/>
                <w:lang w:val="fr-FR"/>
              </w:rPr>
            </w:pPr>
            <w:r w:rsidRPr="003964D3">
              <w:rPr>
                <w:rFonts w:ascii="Calibri" w:hAnsi="Calibri"/>
                <w:lang w:val="fr-FR"/>
              </w:rPr>
              <w:t>-euro -</w:t>
            </w:r>
          </w:p>
        </w:tc>
      </w:tr>
      <w:tr w:rsidR="00311D99" w:rsidRPr="00311D99" w:rsidTr="00311D99">
        <w:trPr>
          <w:cantSplit/>
          <w:trHeight w:val="447"/>
        </w:trPr>
        <w:tc>
          <w:tcPr>
            <w:tcW w:w="1701" w:type="dxa"/>
            <w:shd w:val="clear" w:color="auto" w:fill="FFFFFF"/>
            <w:tcMar>
              <w:top w:w="15" w:type="dxa"/>
              <w:left w:w="108" w:type="dxa"/>
              <w:bottom w:w="0" w:type="dxa"/>
              <w:right w:w="108" w:type="dxa"/>
            </w:tcMar>
            <w:vAlign w:val="center"/>
            <w:hideMark/>
          </w:tcPr>
          <w:p w:rsidR="00311D99" w:rsidRPr="00311D99" w:rsidRDefault="00311D99" w:rsidP="00311D99">
            <w:pPr>
              <w:jc w:val="center"/>
              <w:rPr>
                <w:rFonts w:ascii="Calibri" w:hAnsi="Calibri"/>
              </w:rPr>
            </w:pPr>
            <w:r w:rsidRPr="00311D99">
              <w:rPr>
                <w:rFonts w:ascii="Calibri" w:hAnsi="Calibri"/>
                <w:b/>
                <w:bCs/>
              </w:rPr>
              <w:t>2017</w:t>
            </w:r>
          </w:p>
        </w:tc>
        <w:tc>
          <w:tcPr>
            <w:tcW w:w="3402" w:type="dxa"/>
            <w:shd w:val="clear" w:color="auto" w:fill="FFFFFF"/>
            <w:tcMar>
              <w:top w:w="15" w:type="dxa"/>
              <w:left w:w="108" w:type="dxa"/>
              <w:bottom w:w="0" w:type="dxa"/>
              <w:right w:w="108" w:type="dxa"/>
            </w:tcMar>
            <w:vAlign w:val="center"/>
            <w:hideMark/>
          </w:tcPr>
          <w:p w:rsidR="00311D99" w:rsidRPr="00311D99" w:rsidRDefault="00311D99" w:rsidP="00311D99">
            <w:pPr>
              <w:jc w:val="center"/>
              <w:rPr>
                <w:rFonts w:ascii="Calibri" w:hAnsi="Calibri"/>
              </w:rPr>
            </w:pPr>
            <w:r w:rsidRPr="00311D99">
              <w:rPr>
                <w:rFonts w:ascii="Calibri" w:hAnsi="Calibri"/>
                <w:b/>
                <w:bCs/>
              </w:rPr>
              <w:t>1,772,508,497.61</w:t>
            </w:r>
          </w:p>
        </w:tc>
      </w:tr>
      <w:tr w:rsidR="00311D99" w:rsidRPr="00311D99" w:rsidTr="00311D99">
        <w:trPr>
          <w:cantSplit/>
          <w:trHeight w:val="400"/>
        </w:trPr>
        <w:tc>
          <w:tcPr>
            <w:tcW w:w="1701"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sidRPr="00311D99">
              <w:rPr>
                <w:rFonts w:ascii="Calibri" w:hAnsi="Calibri"/>
                <w:b/>
                <w:bCs/>
              </w:rPr>
              <w:t>2018</w:t>
            </w:r>
          </w:p>
        </w:tc>
        <w:tc>
          <w:tcPr>
            <w:tcW w:w="3402"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sidRPr="00311D99">
              <w:rPr>
                <w:rFonts w:ascii="Calibri" w:hAnsi="Calibri"/>
                <w:b/>
                <w:bCs/>
              </w:rPr>
              <w:t>1,736,792,339.41</w:t>
            </w:r>
          </w:p>
        </w:tc>
      </w:tr>
      <w:tr w:rsidR="00311D99" w:rsidRPr="00311D99" w:rsidTr="00311D99">
        <w:trPr>
          <w:cantSplit/>
          <w:trHeight w:val="532"/>
        </w:trPr>
        <w:tc>
          <w:tcPr>
            <w:tcW w:w="1701"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sidRPr="00311D99">
              <w:rPr>
                <w:rFonts w:ascii="Calibri" w:hAnsi="Calibri"/>
                <w:b/>
                <w:bCs/>
              </w:rPr>
              <w:t>Total</w:t>
            </w:r>
          </w:p>
        </w:tc>
        <w:tc>
          <w:tcPr>
            <w:tcW w:w="3402"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sidRPr="00311D99">
              <w:rPr>
                <w:rFonts w:ascii="Calibri" w:hAnsi="Calibri"/>
                <w:b/>
                <w:bCs/>
              </w:rPr>
              <w:t>3,509,300,837.02</w:t>
            </w:r>
          </w:p>
        </w:tc>
      </w:tr>
    </w:tbl>
    <w:p w:rsidR="00311D99" w:rsidRPr="00311D99" w:rsidRDefault="00311D99" w:rsidP="00311D99">
      <w:pPr>
        <w:autoSpaceDE w:val="0"/>
        <w:autoSpaceDN w:val="0"/>
        <w:adjustRightInd w:val="0"/>
        <w:spacing w:line="276" w:lineRule="auto"/>
        <w:jc w:val="both"/>
        <w:rPr>
          <w:rFonts w:ascii="Calibri" w:hAnsi="Calibri"/>
          <w:lang w:val="fr-FR"/>
        </w:rPr>
      </w:pPr>
      <w:r w:rsidRPr="003964D3">
        <w:rPr>
          <w:rFonts w:ascii="Calibri" w:hAnsi="Calibri"/>
          <w:lang w:val="fr-FR"/>
        </w:rPr>
        <w:t>În ceea ce privește Campania de primire a cererilor unice de plată pentru annul 2018, în perioada 1 martie – 15 mai 2018, la nivelul Agenției s-a depus un număr de 867.067 de cereri pentru o suprafață de 9.640.942 hectare.</w:t>
      </w:r>
    </w:p>
    <w:p w:rsidR="00311D99" w:rsidRPr="00311D99"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autoSpaceDE w:val="0"/>
        <w:autoSpaceDN w:val="0"/>
        <w:adjustRightInd w:val="0"/>
        <w:spacing w:line="276" w:lineRule="auto"/>
        <w:jc w:val="both"/>
        <w:rPr>
          <w:rFonts w:ascii="Calibri" w:hAnsi="Calibri"/>
          <w:lang w:val="fr-FR"/>
        </w:rPr>
      </w:pPr>
      <w:r w:rsidRPr="00311D99">
        <w:rPr>
          <w:rFonts w:ascii="Calibri" w:hAnsi="Calibri"/>
          <w:lang w:val="fr-FR"/>
        </w:rPr>
        <w:t>Comparativ cu anul 2017 se constată o scădere a numărului de fermieri care au depus cereri unice de plată, respectiv 884.397, dar o creștere a suprafeței pentru care s-a solicitat sprijin, pentru că în anul 2017 a fost solicitată la plată o suprafață mai mică, de 9.541.389 hectare.</w:t>
      </w:r>
    </w:p>
    <w:p w:rsidR="00DC0750" w:rsidRDefault="00DC0750" w:rsidP="00311D99">
      <w:pPr>
        <w:shd w:val="clear" w:color="auto" w:fill="FFFFFF"/>
        <w:tabs>
          <w:tab w:val="left" w:pos="0"/>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Courier New"/>
          <w:bCs/>
          <w:lang w:val="ro-RO"/>
        </w:rPr>
      </w:pPr>
    </w:p>
    <w:p w:rsidR="00DC0750" w:rsidRPr="00311D99" w:rsidRDefault="00DC0750" w:rsidP="00311D99">
      <w:pPr>
        <w:shd w:val="clear" w:color="auto" w:fill="FFFFFF"/>
        <w:tabs>
          <w:tab w:val="left" w:pos="0"/>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Courier New"/>
          <w:bCs/>
          <w:lang w:val="ro-RO"/>
        </w:rPr>
      </w:pPr>
    </w:p>
    <w:p w:rsidR="00311D99" w:rsidRPr="00311D99" w:rsidRDefault="00311D99" w:rsidP="00311D99">
      <w:pPr>
        <w:shd w:val="clear" w:color="auto" w:fill="99CCFF"/>
        <w:ind w:right="-511"/>
        <w:rPr>
          <w:rFonts w:ascii="Calibri" w:hAnsi="Calibri" w:cs="Arial Narrow"/>
          <w:b/>
          <w:color w:val="000080"/>
          <w:lang w:val="ro-RO"/>
        </w:rPr>
      </w:pPr>
      <w:r w:rsidRPr="00311D99">
        <w:rPr>
          <w:rFonts w:ascii="Calibri" w:hAnsi="Calibri" w:cs="Arial Narrow"/>
          <w:b/>
          <w:color w:val="000080"/>
          <w:lang w:val="ro-RO"/>
        </w:rPr>
        <w:t>Fondul European pentru Agricultură și Dezvoltare Rurală</w:t>
      </w:r>
    </w:p>
    <w:p w:rsidR="00311D99" w:rsidRPr="003964D3" w:rsidRDefault="00311D99" w:rsidP="00311D99">
      <w:pPr>
        <w:autoSpaceDE w:val="0"/>
        <w:autoSpaceDN w:val="0"/>
        <w:adjustRightInd w:val="0"/>
        <w:spacing w:line="276" w:lineRule="auto"/>
        <w:jc w:val="both"/>
        <w:rPr>
          <w:rFonts w:ascii="Calibri" w:hAnsi="Calibri"/>
          <w:lang w:val="fr-FR"/>
        </w:rPr>
      </w:pPr>
    </w:p>
    <w:p w:rsidR="00311D99" w:rsidRPr="003964D3" w:rsidRDefault="00311D99" w:rsidP="00311D99">
      <w:pPr>
        <w:autoSpaceDE w:val="0"/>
        <w:autoSpaceDN w:val="0"/>
        <w:adjustRightInd w:val="0"/>
        <w:spacing w:line="276" w:lineRule="auto"/>
        <w:jc w:val="both"/>
        <w:rPr>
          <w:rFonts w:ascii="Calibri" w:hAnsi="Calibri"/>
          <w:lang w:val="fr-FR"/>
        </w:rPr>
      </w:pPr>
      <w:r w:rsidRPr="003964D3">
        <w:rPr>
          <w:rFonts w:ascii="Calibri" w:hAnsi="Calibri"/>
          <w:lang w:val="fr-FR"/>
        </w:rPr>
        <w:t>Agenția de Plăți și Intervenție pentru Agricultură implementează în baza acordurilor de delegare încheiate cu Agenția pentru Finanțarea Investițiilor Rurale (AFIR) următoarele măsuri finanțate din FEADR:</w:t>
      </w:r>
    </w:p>
    <w:p w:rsidR="00311D99" w:rsidRPr="003964D3"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numPr>
          <w:ilvl w:val="0"/>
          <w:numId w:val="9"/>
        </w:numPr>
        <w:spacing w:line="276" w:lineRule="auto"/>
        <w:rPr>
          <w:rFonts w:ascii="Calibri" w:hAnsi="Calibri"/>
          <w:noProof/>
          <w:color w:val="000000"/>
          <w:lang w:val="fr-BE"/>
        </w:rPr>
      </w:pPr>
      <w:r w:rsidRPr="00311D99">
        <w:rPr>
          <w:rFonts w:ascii="Calibri" w:hAnsi="Calibri" w:cs="Arial"/>
          <w:b/>
          <w:bCs/>
          <w:lang w:val="it-IT"/>
        </w:rPr>
        <w:t xml:space="preserve">MĂSURA 08 - </w:t>
      </w:r>
      <w:r w:rsidRPr="00311D99">
        <w:rPr>
          <w:rFonts w:ascii="Calibri" w:hAnsi="Calibri" w:cs="Arial"/>
          <w:bCs/>
          <w:lang w:val="it-IT"/>
        </w:rPr>
        <w:t xml:space="preserve">Investiții în dezvoltarea zonelor împădurite și în îmbunătățirea viabilității pădurilor – submăsura 8.1 - </w:t>
      </w:r>
      <w:r w:rsidRPr="00311D99">
        <w:rPr>
          <w:rFonts w:ascii="Calibri" w:hAnsi="Calibri"/>
          <w:noProof/>
          <w:color w:val="000000"/>
          <w:lang w:val="fr-BE"/>
        </w:rPr>
        <w:t>Împăduriri şi crearea de suprafeţe împădurite</w:t>
      </w:r>
    </w:p>
    <w:p w:rsidR="00311D99" w:rsidRPr="00311D99" w:rsidRDefault="00311D99" w:rsidP="00311D99">
      <w:pPr>
        <w:numPr>
          <w:ilvl w:val="0"/>
          <w:numId w:val="10"/>
        </w:numPr>
        <w:spacing w:line="276" w:lineRule="auto"/>
        <w:rPr>
          <w:rFonts w:ascii="Calibri" w:hAnsi="Calibri" w:cs="Arial"/>
          <w:spacing w:val="-3"/>
        </w:rPr>
      </w:pPr>
      <w:r w:rsidRPr="00311D99">
        <w:rPr>
          <w:rFonts w:ascii="Calibri" w:hAnsi="Calibri" w:cs="Arial"/>
          <w:b/>
          <w:spacing w:val="-3"/>
        </w:rPr>
        <w:t>MĂSURA 10</w:t>
      </w:r>
      <w:r w:rsidRPr="00311D99">
        <w:rPr>
          <w:rFonts w:ascii="Calibri" w:hAnsi="Calibri" w:cs="Arial"/>
          <w:spacing w:val="-3"/>
        </w:rPr>
        <w:t xml:space="preserve"> - Agro-mediu şi climă</w:t>
      </w:r>
    </w:p>
    <w:p w:rsidR="00311D99" w:rsidRPr="00311D99" w:rsidRDefault="00311D99" w:rsidP="00311D99">
      <w:pPr>
        <w:numPr>
          <w:ilvl w:val="0"/>
          <w:numId w:val="10"/>
        </w:numPr>
        <w:spacing w:line="276" w:lineRule="auto"/>
        <w:rPr>
          <w:rFonts w:ascii="Calibri" w:hAnsi="Calibri" w:cs="Arial"/>
          <w:spacing w:val="-3"/>
        </w:rPr>
      </w:pPr>
      <w:r w:rsidRPr="00311D99">
        <w:rPr>
          <w:rFonts w:ascii="Calibri" w:hAnsi="Calibri" w:cs="Arial"/>
          <w:b/>
          <w:spacing w:val="-3"/>
        </w:rPr>
        <w:t>MĂSURA 11</w:t>
      </w:r>
      <w:r w:rsidRPr="00311D99">
        <w:rPr>
          <w:rFonts w:ascii="Calibri" w:hAnsi="Calibri" w:cs="Arial"/>
          <w:spacing w:val="-3"/>
        </w:rPr>
        <w:t xml:space="preserve"> – Agricultura ecologică </w:t>
      </w:r>
    </w:p>
    <w:p w:rsidR="00311D99" w:rsidRPr="00311D99" w:rsidRDefault="00311D99" w:rsidP="00311D99">
      <w:pPr>
        <w:numPr>
          <w:ilvl w:val="0"/>
          <w:numId w:val="10"/>
        </w:numPr>
        <w:spacing w:line="276" w:lineRule="auto"/>
        <w:rPr>
          <w:rFonts w:ascii="Calibri" w:hAnsi="Calibri" w:cs="Arial"/>
          <w:bCs/>
          <w:lang w:val="it-IT"/>
        </w:rPr>
      </w:pPr>
      <w:r w:rsidRPr="00311D99">
        <w:rPr>
          <w:rFonts w:ascii="Calibri" w:hAnsi="Calibri" w:cs="Arial"/>
          <w:b/>
          <w:bCs/>
          <w:lang w:val="it-IT"/>
        </w:rPr>
        <w:t>MĂSURA 13</w:t>
      </w:r>
      <w:r w:rsidRPr="00311D99">
        <w:rPr>
          <w:rFonts w:ascii="Calibri" w:hAnsi="Calibri" w:cs="Arial"/>
          <w:bCs/>
          <w:lang w:val="it-IT"/>
        </w:rPr>
        <w:t xml:space="preserve"> - </w:t>
      </w:r>
      <w:r w:rsidRPr="00311D99">
        <w:rPr>
          <w:rFonts w:ascii="Calibri" w:eastAsia="Times New Roman,Bold" w:hAnsi="Calibri" w:cs="Arial"/>
          <w:bCs/>
          <w:lang w:val="it-IT"/>
        </w:rPr>
        <w:t xml:space="preserve">Plăţi pentru zone care se confruntă cu constrângeri naturale sau cu alte constrângeri </w:t>
      </w:r>
      <w:r w:rsidRPr="00311D99">
        <w:rPr>
          <w:rFonts w:ascii="Calibri" w:hAnsi="Calibri" w:cs="Arial"/>
          <w:bCs/>
          <w:lang w:val="it-IT"/>
        </w:rPr>
        <w:t>specifice</w:t>
      </w:r>
    </w:p>
    <w:p w:rsidR="00311D99" w:rsidRPr="003964D3" w:rsidRDefault="00311D99" w:rsidP="00311D99">
      <w:pPr>
        <w:numPr>
          <w:ilvl w:val="0"/>
          <w:numId w:val="10"/>
        </w:numPr>
        <w:spacing w:line="276" w:lineRule="auto"/>
        <w:rPr>
          <w:rFonts w:ascii="Calibri" w:hAnsi="Calibri" w:cs="Arial"/>
          <w:bCs/>
          <w:lang w:val="it-IT"/>
        </w:rPr>
      </w:pPr>
      <w:r w:rsidRPr="003964D3">
        <w:rPr>
          <w:rFonts w:ascii="Calibri" w:hAnsi="Calibri" w:cs="Arial"/>
          <w:b/>
          <w:bCs/>
          <w:lang w:val="it-IT"/>
        </w:rPr>
        <w:t>Măsura 14</w:t>
      </w:r>
      <w:r w:rsidRPr="003964D3">
        <w:rPr>
          <w:rFonts w:ascii="Calibri" w:hAnsi="Calibri" w:cs="Arial"/>
          <w:bCs/>
          <w:lang w:val="it-IT"/>
        </w:rPr>
        <w:t xml:space="preserve"> (fosta măsură 215)- </w:t>
      </w:r>
      <w:r w:rsidRPr="003964D3">
        <w:rPr>
          <w:rFonts w:ascii="Calibri" w:hAnsi="Calibri"/>
          <w:lang w:val="it-IT"/>
        </w:rPr>
        <w:t xml:space="preserve"> Plăți în favoarea bunăstarii animalelor</w:t>
      </w:r>
    </w:p>
    <w:p w:rsidR="00311D99" w:rsidRPr="003964D3" w:rsidRDefault="00311D99" w:rsidP="00311D99">
      <w:pPr>
        <w:numPr>
          <w:ilvl w:val="0"/>
          <w:numId w:val="10"/>
        </w:numPr>
        <w:spacing w:line="276" w:lineRule="auto"/>
        <w:rPr>
          <w:rFonts w:ascii="Calibri" w:hAnsi="Calibri" w:cs="Arial-BoldMT"/>
          <w:bCs/>
          <w:lang w:val="fr-FR"/>
        </w:rPr>
      </w:pPr>
      <w:r w:rsidRPr="00311D99">
        <w:rPr>
          <w:rFonts w:ascii="Calibri" w:hAnsi="Calibri" w:cs="Arial"/>
          <w:b/>
          <w:bCs/>
          <w:lang w:val="it-IT"/>
        </w:rPr>
        <w:t>MĂSURA</w:t>
      </w:r>
      <w:r w:rsidRPr="003964D3">
        <w:rPr>
          <w:rFonts w:ascii="Calibri" w:hAnsi="Calibri" w:cs="TimesNewRomanPSMT"/>
          <w:b/>
          <w:lang w:val="fr-FR"/>
        </w:rPr>
        <w:t xml:space="preserve"> 15</w:t>
      </w:r>
      <w:r w:rsidRPr="003964D3">
        <w:rPr>
          <w:rFonts w:ascii="Calibri" w:hAnsi="Calibri" w:cs="TimesNewRomanPSMT"/>
          <w:lang w:val="fr-FR"/>
        </w:rPr>
        <w:t xml:space="preserve"> – Servicii de silvo-mediu, servicii climatice </w:t>
      </w:r>
      <w:r w:rsidRPr="003964D3">
        <w:rPr>
          <w:rFonts w:ascii="Calibri" w:hAnsi="Calibri" w:cs="Cambria Math"/>
          <w:lang w:val="fr-FR"/>
        </w:rPr>
        <w:t>ș</w:t>
      </w:r>
      <w:r w:rsidRPr="003964D3">
        <w:rPr>
          <w:rFonts w:ascii="Calibri" w:hAnsi="Calibri" w:cs="TimesNewRomanPSMT"/>
          <w:lang w:val="fr-FR"/>
        </w:rPr>
        <w:t xml:space="preserve">i conservarea pădurilor - </w:t>
      </w:r>
      <w:r w:rsidRPr="003964D3">
        <w:rPr>
          <w:rFonts w:ascii="Calibri" w:hAnsi="Calibri" w:cs="Arial-BoldMT"/>
          <w:bCs/>
          <w:lang w:val="fr-FR"/>
        </w:rPr>
        <w:t>15.1 - Plă</w:t>
      </w:r>
      <w:r w:rsidRPr="003964D3">
        <w:rPr>
          <w:rFonts w:ascii="Calibri" w:hAnsi="Calibri" w:cs="Cambria Math"/>
          <w:bCs/>
          <w:lang w:val="fr-FR"/>
        </w:rPr>
        <w:t>ț</w:t>
      </w:r>
      <w:r w:rsidRPr="003964D3">
        <w:rPr>
          <w:rFonts w:ascii="Calibri" w:hAnsi="Calibri" w:cs="Arial-BoldMT"/>
          <w:bCs/>
          <w:lang w:val="fr-FR"/>
        </w:rPr>
        <w:t>i pentru angajamente de silvo-mediu</w:t>
      </w:r>
    </w:p>
    <w:p w:rsidR="00311D99" w:rsidRPr="00311D99" w:rsidRDefault="00311D99" w:rsidP="00311D99">
      <w:pPr>
        <w:numPr>
          <w:ilvl w:val="0"/>
          <w:numId w:val="10"/>
        </w:numPr>
        <w:spacing w:line="276" w:lineRule="auto"/>
        <w:rPr>
          <w:rFonts w:ascii="Calibri" w:hAnsi="Calibri" w:cs="Arial-BoldMT"/>
          <w:bCs/>
        </w:rPr>
      </w:pPr>
      <w:r w:rsidRPr="00311D99">
        <w:rPr>
          <w:rFonts w:ascii="Calibri" w:hAnsi="Calibri" w:cs="Arial"/>
          <w:b/>
          <w:bCs/>
          <w:color w:val="000000"/>
        </w:rPr>
        <w:t>Masura 214</w:t>
      </w:r>
      <w:r w:rsidRPr="00311D99">
        <w:rPr>
          <w:rFonts w:ascii="Calibri" w:hAnsi="Calibri" w:cs="Arial"/>
          <w:bCs/>
          <w:color w:val="000000"/>
        </w:rPr>
        <w:t xml:space="preserve">  - </w:t>
      </w:r>
      <w:r w:rsidRPr="00311D99">
        <w:rPr>
          <w:rFonts w:ascii="Calibri" w:hAnsi="Calibri"/>
        </w:rPr>
        <w:t>Plăți privind agromediu</w:t>
      </w:r>
    </w:p>
    <w:p w:rsidR="00311D99" w:rsidRPr="00311D99" w:rsidRDefault="00311D99" w:rsidP="00311D99">
      <w:pPr>
        <w:autoSpaceDE w:val="0"/>
        <w:autoSpaceDN w:val="0"/>
        <w:adjustRightInd w:val="0"/>
        <w:spacing w:line="276" w:lineRule="auto"/>
        <w:jc w:val="both"/>
        <w:rPr>
          <w:rFonts w:ascii="Calibri" w:hAnsi="Calibri" w:cs="Arial"/>
          <w:color w:val="000000"/>
        </w:rPr>
      </w:pPr>
    </w:p>
    <w:p w:rsidR="00311D99" w:rsidRPr="003964D3" w:rsidRDefault="00311D99" w:rsidP="00311D99">
      <w:pPr>
        <w:autoSpaceDE w:val="0"/>
        <w:autoSpaceDN w:val="0"/>
        <w:adjustRightInd w:val="0"/>
        <w:spacing w:line="276" w:lineRule="auto"/>
        <w:jc w:val="both"/>
        <w:rPr>
          <w:rFonts w:ascii="Calibri" w:hAnsi="Calibri" w:cs="Arial"/>
          <w:bCs/>
          <w:color w:val="000000"/>
          <w:lang w:val="fr-FR"/>
        </w:rPr>
      </w:pPr>
      <w:r w:rsidRPr="003964D3">
        <w:rPr>
          <w:rFonts w:ascii="Calibri" w:hAnsi="Calibri" w:cs="Arial"/>
          <w:color w:val="000000"/>
          <w:lang w:val="fr-FR"/>
        </w:rPr>
        <w:t xml:space="preserve">Alocare FEADR </w:t>
      </w:r>
      <w:r w:rsidRPr="003964D3">
        <w:rPr>
          <w:rFonts w:ascii="Calibri" w:hAnsi="Calibri" w:cs="Arial"/>
          <w:bCs/>
          <w:color w:val="000000"/>
          <w:lang w:val="fr-FR"/>
        </w:rPr>
        <w:t>+ cofinantare Buget Național:  3,59 miliarde Euro</w:t>
      </w:r>
    </w:p>
    <w:p w:rsidR="00311D99" w:rsidRPr="003964D3" w:rsidRDefault="00311D99" w:rsidP="00311D99">
      <w:pPr>
        <w:jc w:val="both"/>
        <w:rPr>
          <w:rFonts w:ascii="Calibri" w:hAnsi="Calibri"/>
          <w:i/>
          <w:iCs/>
          <w:color w:val="000000"/>
          <w:lang w:val="fr-FR"/>
        </w:rPr>
      </w:pPr>
      <w:r w:rsidRPr="003964D3">
        <w:rPr>
          <w:rFonts w:ascii="Calibri" w:hAnsi="Calibri"/>
          <w:b/>
          <w:bCs/>
          <w:color w:val="000000"/>
          <w:lang w:val="fr-FR"/>
        </w:rPr>
        <w:t xml:space="preserve">În Campania 2017 au solicitat sprijin pentru măsurile de dezvoltare rurală app. 409 mii fermieri </w:t>
      </w:r>
      <w:r w:rsidRPr="003964D3">
        <w:rPr>
          <w:rFonts w:ascii="Calibri" w:hAnsi="Calibri"/>
          <w:i/>
          <w:iCs/>
          <w:color w:val="000000"/>
          <w:lang w:val="fr-FR"/>
        </w:rPr>
        <w:t>(o cerere poate viza mai multe tipuri de plăți).</w:t>
      </w:r>
    </w:p>
    <w:p w:rsidR="00311D99" w:rsidRPr="003964D3" w:rsidRDefault="00311D99" w:rsidP="00311D99">
      <w:pPr>
        <w:jc w:val="both"/>
        <w:rPr>
          <w:rFonts w:ascii="Calibri" w:hAnsi="Calibri"/>
          <w:i/>
          <w:iCs/>
          <w:color w:val="000000"/>
          <w:lang w:val="fr-FR"/>
        </w:rPr>
      </w:pPr>
    </w:p>
    <w:p w:rsidR="00311D99" w:rsidRPr="003964D3" w:rsidRDefault="00311D99" w:rsidP="00311D99">
      <w:pPr>
        <w:jc w:val="both"/>
        <w:rPr>
          <w:rFonts w:ascii="Calibri" w:hAnsi="Calibri"/>
          <w:i/>
          <w:iCs/>
          <w:color w:val="000000"/>
          <w:lang w:val="fr-FR"/>
        </w:rPr>
      </w:pPr>
    </w:p>
    <w:p w:rsidR="00311D99" w:rsidRPr="003964D3" w:rsidRDefault="00311D99" w:rsidP="00311D99">
      <w:pPr>
        <w:jc w:val="center"/>
        <w:rPr>
          <w:rFonts w:ascii="Calibri" w:hAnsi="Calibri"/>
          <w:b/>
          <w:color w:val="000000"/>
          <w:lang w:val="fr-FR"/>
        </w:rPr>
      </w:pPr>
      <w:r w:rsidRPr="003964D3">
        <w:rPr>
          <w:rFonts w:ascii="Calibri" w:hAnsi="Calibri"/>
          <w:b/>
          <w:color w:val="000000"/>
          <w:lang w:val="fr-FR"/>
        </w:rPr>
        <w:t>PLAFOANE ALOCATE DIN FEADR PENTRU PERIOADA DE PROGRAMARE 2014-2020 – MĂSURILE IMPLEMENTATE DE APIA ÎN BAZA DELEGĂRII PRIMITE DE LA AFIR</w:t>
      </w:r>
      <w:r w:rsidRPr="003964D3">
        <w:rPr>
          <w:rFonts w:ascii="Calibri" w:hAnsi="Calibri"/>
          <w:b/>
          <w:color w:val="000000"/>
          <w:vertAlign w:val="superscript"/>
          <w:lang w:val="fr-FR"/>
        </w:rPr>
        <w:t>*</w:t>
      </w:r>
    </w:p>
    <w:p w:rsidR="00311D99" w:rsidRPr="003964D3" w:rsidRDefault="00311D99" w:rsidP="00311D99">
      <w:pPr>
        <w:jc w:val="center"/>
        <w:rPr>
          <w:rFonts w:ascii="Calibri" w:hAnsi="Calibri"/>
          <w:b/>
          <w:color w:val="000000"/>
          <w:lang w:val="fr-FR"/>
        </w:rPr>
      </w:pPr>
    </w:p>
    <w:p w:rsidR="00311D99" w:rsidRPr="003964D3" w:rsidRDefault="00311D99" w:rsidP="00311D99">
      <w:pPr>
        <w:jc w:val="center"/>
        <w:rPr>
          <w:rFonts w:ascii="Calibri" w:hAnsi="Calibri"/>
          <w:b/>
          <w:color w:val="000000"/>
          <w:lang w:val="fr-FR"/>
        </w:rPr>
      </w:pPr>
    </w:p>
    <w:tbl>
      <w:tblPr>
        <w:tblW w:w="9521" w:type="dxa"/>
        <w:tblInd w:w="108" w:type="dxa"/>
        <w:tblLook w:val="04A0" w:firstRow="1" w:lastRow="0" w:firstColumn="1" w:lastColumn="0" w:noHBand="0" w:noVBand="1"/>
      </w:tblPr>
      <w:tblGrid>
        <w:gridCol w:w="1264"/>
        <w:gridCol w:w="3120"/>
        <w:gridCol w:w="1726"/>
        <w:gridCol w:w="1685"/>
        <w:gridCol w:w="1726"/>
      </w:tblGrid>
      <w:tr w:rsidR="00311D99" w:rsidRPr="00311D99" w:rsidTr="00311D99">
        <w:trPr>
          <w:trHeight w:val="529"/>
        </w:trPr>
        <w:tc>
          <w:tcPr>
            <w:tcW w:w="1264"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MĂSURA</w:t>
            </w:r>
          </w:p>
        </w:tc>
        <w:tc>
          <w:tcPr>
            <w:tcW w:w="312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 xml:space="preserve">Perioada de programare </w:t>
            </w:r>
          </w:p>
          <w:p w:rsidR="00311D99" w:rsidRPr="00311D99" w:rsidRDefault="00311D99" w:rsidP="00311D99">
            <w:pPr>
              <w:jc w:val="center"/>
              <w:rPr>
                <w:rFonts w:ascii="Calibri" w:hAnsi="Calibri" w:cs="Arial"/>
                <w:b/>
                <w:bCs/>
              </w:rPr>
            </w:pPr>
            <w:r w:rsidRPr="00311D99">
              <w:rPr>
                <w:rFonts w:ascii="Calibri" w:hAnsi="Calibri" w:cs="Arial"/>
                <w:b/>
                <w:bCs/>
              </w:rPr>
              <w:t>2014 - 2020</w:t>
            </w:r>
          </w:p>
        </w:tc>
        <w:tc>
          <w:tcPr>
            <w:tcW w:w="1726"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FEADR (euro)</w:t>
            </w:r>
          </w:p>
        </w:tc>
        <w:tc>
          <w:tcPr>
            <w:tcW w:w="1685"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BN (euro)</w:t>
            </w:r>
          </w:p>
        </w:tc>
        <w:tc>
          <w:tcPr>
            <w:tcW w:w="17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Total (euro)</w:t>
            </w:r>
          </w:p>
        </w:tc>
      </w:tr>
      <w:tr w:rsidR="00311D99" w:rsidRPr="00311D99" w:rsidTr="00311D99">
        <w:trPr>
          <w:trHeight w:val="680"/>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8</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 xml:space="preserve">Investiții în dezvoltarea zonelor împădurite și în îmbunătățirea viabilității pădurilor </w:t>
            </w:r>
          </w:p>
        </w:tc>
        <w:tc>
          <w:tcPr>
            <w:tcW w:w="172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105,695,160</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21,106,472</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126,801,632</w:t>
            </w:r>
          </w:p>
        </w:tc>
      </w:tr>
      <w:tr w:rsidR="00311D99" w:rsidRPr="00311D99" w:rsidTr="00311D99">
        <w:trPr>
          <w:trHeight w:val="318"/>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10</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Agromediu și climă</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909,964,916</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159,032,069</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1,068,996,985</w:t>
            </w:r>
          </w:p>
        </w:tc>
      </w:tr>
      <w:tr w:rsidR="00311D99" w:rsidRPr="00311D99" w:rsidTr="00311D99">
        <w:trPr>
          <w:trHeight w:val="333"/>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11</w:t>
            </w:r>
          </w:p>
        </w:tc>
        <w:tc>
          <w:tcPr>
            <w:tcW w:w="3120"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Agricultură ecologică</w:t>
            </w:r>
          </w:p>
        </w:tc>
        <w:tc>
          <w:tcPr>
            <w:tcW w:w="172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200,686,161</w:t>
            </w:r>
          </w:p>
        </w:tc>
        <w:tc>
          <w:tcPr>
            <w:tcW w:w="168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35,011,337</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235,697,498</w:t>
            </w:r>
          </w:p>
        </w:tc>
      </w:tr>
      <w:tr w:rsidR="00311D99" w:rsidRPr="00311D99" w:rsidTr="00311D99">
        <w:trPr>
          <w:trHeight w:val="651"/>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13</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964D3" w:rsidRDefault="00311D99" w:rsidP="00311D99">
            <w:pPr>
              <w:jc w:val="both"/>
              <w:rPr>
                <w:rFonts w:ascii="Calibri" w:hAnsi="Calibri" w:cs="Arial"/>
                <w:lang w:val="fr-FR"/>
              </w:rPr>
            </w:pPr>
            <w:r w:rsidRPr="003964D3">
              <w:rPr>
                <w:rFonts w:ascii="Calibri" w:hAnsi="Calibri" w:cs="Arial"/>
                <w:lang w:val="fr-FR"/>
              </w:rPr>
              <w:t>Plăți pentru zone care se confruntă cu constrângeri naturale sau alte constrângeri specifice</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1,150,796,418</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166,798,226</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1,317,594,644</w:t>
            </w:r>
          </w:p>
        </w:tc>
      </w:tr>
      <w:tr w:rsidR="00311D99" w:rsidRPr="00311D99" w:rsidTr="00311D99">
        <w:trPr>
          <w:trHeight w:val="514"/>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14</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Bunăstarea animalelor</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687,938,706</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88,522,854</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776,461,560</w:t>
            </w:r>
          </w:p>
        </w:tc>
      </w:tr>
      <w:tr w:rsidR="00311D99" w:rsidRPr="00311D99" w:rsidTr="00311D99">
        <w:trPr>
          <w:trHeight w:val="562"/>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15</w:t>
            </w:r>
          </w:p>
        </w:tc>
        <w:tc>
          <w:tcPr>
            <w:tcW w:w="3120" w:type="dxa"/>
            <w:tcBorders>
              <w:top w:val="single" w:sz="4" w:space="0" w:color="auto"/>
              <w:left w:val="nil"/>
              <w:bottom w:val="single" w:sz="4" w:space="0" w:color="auto"/>
              <w:right w:val="single" w:sz="4" w:space="0" w:color="000000"/>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 xml:space="preserve">Servicii de silvomediu, servicii climatice și conservarea pădurilor </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58,415,000</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11,732,754</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70,147,754</w:t>
            </w:r>
          </w:p>
        </w:tc>
      </w:tr>
      <w:tr w:rsidR="00311D99" w:rsidRPr="00311D99" w:rsidTr="00311D99">
        <w:trPr>
          <w:trHeight w:val="423"/>
        </w:trPr>
        <w:tc>
          <w:tcPr>
            <w:tcW w:w="1264"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311D99" w:rsidRPr="00311D99" w:rsidRDefault="00311D99" w:rsidP="00311D99">
            <w:pPr>
              <w:rPr>
                <w:rFonts w:ascii="Calibri" w:hAnsi="Calibri" w:cs="Calibri"/>
                <w:color w:val="000000"/>
              </w:rPr>
            </w:pPr>
            <w:r w:rsidRPr="00311D99">
              <w:rPr>
                <w:rFonts w:ascii="Calibri" w:hAnsi="Calibri" w:cs="Calibri"/>
                <w:color w:val="000000"/>
              </w:rPr>
              <w:t> </w:t>
            </w:r>
          </w:p>
        </w:tc>
        <w:tc>
          <w:tcPr>
            <w:tcW w:w="3120" w:type="dxa"/>
            <w:tcBorders>
              <w:top w:val="single" w:sz="4" w:space="0" w:color="auto"/>
              <w:left w:val="nil"/>
              <w:bottom w:val="single" w:sz="4" w:space="0" w:color="auto"/>
              <w:right w:val="single" w:sz="4" w:space="0" w:color="000000"/>
            </w:tcBorders>
            <w:shd w:val="clear" w:color="auto" w:fill="BDD6EE" w:themeFill="accent1" w:themeFillTint="66"/>
            <w:vAlign w:val="bottom"/>
            <w:hideMark/>
          </w:tcPr>
          <w:p w:rsidR="00311D99" w:rsidRPr="00311D99" w:rsidRDefault="00311D99" w:rsidP="00311D99">
            <w:pPr>
              <w:jc w:val="both"/>
              <w:rPr>
                <w:rFonts w:ascii="Calibri" w:hAnsi="Calibri" w:cs="Calibri"/>
                <w:b/>
                <w:bCs/>
                <w:color w:val="000000"/>
              </w:rPr>
            </w:pPr>
            <w:r w:rsidRPr="00311D99">
              <w:rPr>
                <w:rFonts w:ascii="Calibri" w:hAnsi="Calibri" w:cs="Calibri"/>
                <w:b/>
                <w:bCs/>
                <w:color w:val="000000"/>
              </w:rPr>
              <w:t>TOTAL</w:t>
            </w:r>
          </w:p>
        </w:tc>
        <w:tc>
          <w:tcPr>
            <w:tcW w:w="1726"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3,113,496,361</w:t>
            </w:r>
          </w:p>
        </w:tc>
        <w:tc>
          <w:tcPr>
            <w:tcW w:w="1685"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482,203,712</w:t>
            </w:r>
          </w:p>
        </w:tc>
        <w:tc>
          <w:tcPr>
            <w:tcW w:w="1726"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3,595,700,073</w:t>
            </w:r>
          </w:p>
        </w:tc>
      </w:tr>
    </w:tbl>
    <w:p w:rsidR="00311D99" w:rsidRPr="00311D99" w:rsidRDefault="00311D99" w:rsidP="00311D99">
      <w:pPr>
        <w:spacing w:after="160" w:line="252" w:lineRule="auto"/>
        <w:contextualSpacing/>
        <w:jc w:val="both"/>
        <w:rPr>
          <w:rFonts w:ascii="Calibri" w:hAnsi="Calibri" w:cs="Arial"/>
          <w:b/>
          <w:bCs/>
          <w:color w:val="000000"/>
        </w:rPr>
      </w:pPr>
    </w:p>
    <w:p w:rsidR="00311D99" w:rsidRPr="00311D99" w:rsidRDefault="00311D99" w:rsidP="00311D99">
      <w:pPr>
        <w:spacing w:after="160" w:line="252" w:lineRule="auto"/>
        <w:contextualSpacing/>
        <w:jc w:val="both"/>
        <w:rPr>
          <w:rFonts w:ascii="Calibri" w:hAnsi="Calibri"/>
          <w:b/>
          <w:bCs/>
        </w:rPr>
      </w:pPr>
    </w:p>
    <w:p w:rsidR="00311D99" w:rsidRPr="00311D99" w:rsidRDefault="00311D99" w:rsidP="00311D99">
      <w:pPr>
        <w:spacing w:after="160" w:line="252" w:lineRule="auto"/>
        <w:jc w:val="both"/>
        <w:rPr>
          <w:rFonts w:ascii="Calibri" w:hAnsi="Calibri"/>
          <w:bCs/>
        </w:rPr>
      </w:pPr>
      <w:r w:rsidRPr="00311D99">
        <w:rPr>
          <w:rFonts w:ascii="Calibri" w:hAnsi="Calibri"/>
          <w:b/>
          <w:bCs/>
        </w:rPr>
        <w:t>*</w:t>
      </w:r>
      <w:r w:rsidRPr="00311D99">
        <w:rPr>
          <w:rFonts w:ascii="Calibri" w:hAnsi="Calibri"/>
          <w:bCs/>
        </w:rPr>
        <w:t xml:space="preserve">Plafoanele alocatesunt conform </w:t>
      </w:r>
      <w:r w:rsidRPr="00311D99">
        <w:rPr>
          <w:rFonts w:ascii="Calibri" w:hAnsi="Calibri"/>
          <w:b/>
          <w:bCs/>
        </w:rPr>
        <w:t>Progarmului Național de Dezvoltare Rurală 2014-2020  - versiunea 6.1</w:t>
      </w:r>
      <w:r w:rsidRPr="00311D99">
        <w:rPr>
          <w:rFonts w:ascii="Calibri" w:hAnsi="Calibri"/>
          <w:bCs/>
        </w:rPr>
        <w:t xml:space="preserve"> transmisă oficial către Comisia Europeană spre analiză și aprobare în data de 18.06.2018. </w:t>
      </w:r>
    </w:p>
    <w:p w:rsidR="00311D99" w:rsidRPr="00311D99" w:rsidRDefault="00311D99" w:rsidP="00311D99">
      <w:pPr>
        <w:spacing w:after="160" w:line="252" w:lineRule="auto"/>
        <w:contextualSpacing/>
        <w:jc w:val="both"/>
        <w:rPr>
          <w:rFonts w:ascii="Calibri" w:hAnsi="Calibri"/>
          <w:bCs/>
        </w:rPr>
      </w:pPr>
      <w:r w:rsidRPr="00311D99">
        <w:rPr>
          <w:rFonts w:ascii="Calibri" w:hAnsi="Calibri"/>
          <w:bCs/>
        </w:rPr>
        <w:t xml:space="preserve">Din alocarea financiară  de 3,59 miliarde euro, APIA a a solicitat prin intermediul declarațiilor anuale, anii financiari 2016, 2017, respectiv declarațiile de cheltuieli aferente perioadei </w:t>
      </w:r>
      <w:r w:rsidRPr="00311D99">
        <w:rPr>
          <w:rFonts w:ascii="Calibri" w:hAnsi="Calibri"/>
        </w:rPr>
        <w:t xml:space="preserve">16.10.2017 - 31.12.2017 și 01.01.2018 – 30.06.2018  suma de </w:t>
      </w:r>
      <w:r w:rsidRPr="00311D99">
        <w:rPr>
          <w:rFonts w:ascii="Calibri" w:hAnsi="Calibri"/>
          <w:b/>
          <w:bCs/>
        </w:rPr>
        <w:t>1,341 miliarde euro</w:t>
      </w:r>
      <w:r w:rsidRPr="00311D99">
        <w:rPr>
          <w:rFonts w:ascii="Calibri" w:hAnsi="Calibri"/>
          <w:bCs/>
        </w:rPr>
        <w:t>.</w:t>
      </w:r>
    </w:p>
    <w:p w:rsidR="00311D99" w:rsidRPr="00311D99" w:rsidRDefault="00311D99" w:rsidP="00311D99">
      <w:pPr>
        <w:spacing w:after="160" w:line="252" w:lineRule="auto"/>
        <w:contextualSpacing/>
        <w:jc w:val="both"/>
        <w:rPr>
          <w:rFonts w:ascii="Calibri" w:hAnsi="Calibri"/>
          <w:bCs/>
        </w:rPr>
      </w:pPr>
    </w:p>
    <w:tbl>
      <w:tblPr>
        <w:tblW w:w="9639" w:type="dxa"/>
        <w:tblInd w:w="279" w:type="dxa"/>
        <w:tblLook w:val="04A0" w:firstRow="1" w:lastRow="0" w:firstColumn="1" w:lastColumn="0" w:noHBand="0" w:noVBand="1"/>
      </w:tblPr>
      <w:tblGrid>
        <w:gridCol w:w="2525"/>
        <w:gridCol w:w="3505"/>
        <w:gridCol w:w="3609"/>
      </w:tblGrid>
      <w:tr w:rsidR="00311D99" w:rsidRPr="00311D99" w:rsidTr="00311D99">
        <w:trPr>
          <w:trHeight w:val="529"/>
        </w:trPr>
        <w:tc>
          <w:tcPr>
            <w:tcW w:w="2525"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An financiar</w:t>
            </w:r>
          </w:p>
        </w:tc>
        <w:tc>
          <w:tcPr>
            <w:tcW w:w="3505"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 xml:space="preserve">PNDR </w:t>
            </w:r>
          </w:p>
          <w:p w:rsidR="00311D99" w:rsidRPr="00311D99" w:rsidRDefault="00311D99" w:rsidP="00311D99">
            <w:pPr>
              <w:jc w:val="center"/>
              <w:rPr>
                <w:rFonts w:ascii="Calibri" w:hAnsi="Calibri" w:cs="Arial"/>
                <w:b/>
                <w:bCs/>
              </w:rPr>
            </w:pPr>
            <w:r w:rsidRPr="00311D99">
              <w:rPr>
                <w:rFonts w:ascii="Calibri" w:hAnsi="Calibri" w:cs="Arial"/>
                <w:b/>
                <w:bCs/>
              </w:rPr>
              <w:t>2007 – 2013 (euro)</w:t>
            </w:r>
          </w:p>
        </w:tc>
        <w:tc>
          <w:tcPr>
            <w:tcW w:w="3609"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 xml:space="preserve">PNDR </w:t>
            </w:r>
          </w:p>
          <w:p w:rsidR="00311D99" w:rsidRPr="00311D99" w:rsidRDefault="00311D99" w:rsidP="00311D99">
            <w:pPr>
              <w:jc w:val="center"/>
              <w:rPr>
                <w:rFonts w:ascii="Calibri" w:hAnsi="Calibri" w:cs="Arial"/>
                <w:b/>
                <w:bCs/>
              </w:rPr>
            </w:pPr>
            <w:r w:rsidRPr="00311D99">
              <w:rPr>
                <w:rFonts w:ascii="Calibri" w:hAnsi="Calibri" w:cs="Arial"/>
                <w:b/>
                <w:bCs/>
              </w:rPr>
              <w:t>2014 – 2020 (euro)</w:t>
            </w:r>
          </w:p>
        </w:tc>
      </w:tr>
      <w:tr w:rsidR="00311D99" w:rsidRPr="00311D99" w:rsidTr="00311D99">
        <w:trPr>
          <w:trHeight w:val="680"/>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2016</w:t>
            </w:r>
          </w:p>
        </w:tc>
        <w:tc>
          <w:tcPr>
            <w:tcW w:w="3505"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rPr>
            </w:pPr>
            <w:r w:rsidRPr="00311D99">
              <w:rPr>
                <w:rFonts w:ascii="Calibri" w:hAnsi="Calibri" w:cs="Arial"/>
              </w:rPr>
              <w:t>97,588,061.91</w:t>
            </w:r>
          </w:p>
        </w:tc>
        <w:tc>
          <w:tcPr>
            <w:tcW w:w="3609"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338,787,633.67</w:t>
            </w:r>
          </w:p>
        </w:tc>
      </w:tr>
      <w:tr w:rsidR="00311D99" w:rsidRPr="00311D99" w:rsidTr="00311D99">
        <w:trPr>
          <w:trHeight w:val="318"/>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2017</w:t>
            </w:r>
          </w:p>
        </w:tc>
        <w:tc>
          <w:tcPr>
            <w:tcW w:w="350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11D99" w:rsidRPr="00311D99" w:rsidRDefault="00311D99" w:rsidP="00311D99">
            <w:pPr>
              <w:jc w:val="both"/>
              <w:rPr>
                <w:rFonts w:ascii="Calibri" w:hAnsi="Calibri" w:cs="Arial"/>
              </w:rPr>
            </w:pPr>
          </w:p>
        </w:tc>
        <w:tc>
          <w:tcPr>
            <w:tcW w:w="3609"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513,783,019.10</w:t>
            </w:r>
          </w:p>
        </w:tc>
      </w:tr>
      <w:tr w:rsidR="00311D99" w:rsidRPr="00311D99" w:rsidTr="00311D99">
        <w:trPr>
          <w:trHeight w:val="333"/>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2018</w:t>
            </w:r>
          </w:p>
        </w:tc>
        <w:tc>
          <w:tcPr>
            <w:tcW w:w="3505" w:type="dxa"/>
            <w:tcBorders>
              <w:top w:val="single" w:sz="4" w:space="0" w:color="auto"/>
              <w:left w:val="nil"/>
              <w:bottom w:val="single" w:sz="8" w:space="0" w:color="auto"/>
              <w:right w:val="single" w:sz="4" w:space="0" w:color="auto"/>
            </w:tcBorders>
            <w:shd w:val="clear" w:color="auto" w:fill="DEEAF6" w:themeFill="accent1" w:themeFillTint="33"/>
            <w:vAlign w:val="center"/>
          </w:tcPr>
          <w:p w:rsidR="00311D99" w:rsidRPr="00311D99" w:rsidRDefault="00311D99" w:rsidP="00311D99">
            <w:pPr>
              <w:jc w:val="both"/>
              <w:rPr>
                <w:rFonts w:ascii="Calibri" w:hAnsi="Calibri" w:cs="Arial"/>
              </w:rPr>
            </w:pPr>
          </w:p>
        </w:tc>
        <w:tc>
          <w:tcPr>
            <w:tcW w:w="3609"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488,959,731.10</w:t>
            </w:r>
          </w:p>
        </w:tc>
      </w:tr>
      <w:tr w:rsidR="00311D99" w:rsidRPr="00311D99" w:rsidTr="00311D99">
        <w:trPr>
          <w:trHeight w:val="486"/>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TOTAL</w:t>
            </w:r>
          </w:p>
        </w:tc>
        <w:tc>
          <w:tcPr>
            <w:tcW w:w="3505"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rPr>
            </w:pPr>
            <w:r w:rsidRPr="00311D99">
              <w:rPr>
                <w:rFonts w:ascii="Calibri" w:hAnsi="Calibri" w:cs="Arial"/>
                <w:b/>
              </w:rPr>
              <w:t>97,588,061.91</w:t>
            </w:r>
          </w:p>
        </w:tc>
        <w:tc>
          <w:tcPr>
            <w:tcW w:w="3609"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sidRPr="00311D99">
              <w:rPr>
                <w:rFonts w:ascii="Calibri" w:hAnsi="Calibri" w:cs="Arial"/>
                <w:b/>
              </w:rPr>
              <w:t>1,341,530,383.87</w:t>
            </w:r>
          </w:p>
        </w:tc>
      </w:tr>
    </w:tbl>
    <w:p w:rsidR="00311D99" w:rsidRPr="00311D99" w:rsidRDefault="00311D99" w:rsidP="00311D99">
      <w:pPr>
        <w:ind w:right="-1"/>
        <w:jc w:val="both"/>
        <w:rPr>
          <w:rFonts w:ascii="Calibri" w:hAnsi="Calibri"/>
          <w:lang w:val="ro-RO"/>
        </w:rPr>
      </w:pPr>
    </w:p>
    <w:p w:rsidR="00311D99" w:rsidRPr="00311D99" w:rsidRDefault="00311D99" w:rsidP="00311D99">
      <w:pPr>
        <w:ind w:right="-1"/>
        <w:jc w:val="both"/>
        <w:rPr>
          <w:rFonts w:ascii="Calibri" w:hAnsi="Calibri"/>
          <w:lang w:val="ro-RO"/>
        </w:rPr>
      </w:pPr>
    </w:p>
    <w:p w:rsidR="00311D99" w:rsidRPr="00311D99" w:rsidRDefault="00311D99" w:rsidP="00311D99">
      <w:pPr>
        <w:ind w:right="-1"/>
        <w:jc w:val="both"/>
        <w:rPr>
          <w:rFonts w:ascii="Calibri" w:hAnsi="Calibri"/>
          <w:lang w:val="ro-RO"/>
        </w:rPr>
      </w:pPr>
      <w:r w:rsidRPr="00311D99">
        <w:rPr>
          <w:rFonts w:ascii="Calibri" w:hAnsi="Calibri"/>
          <w:lang w:val="ro-RO"/>
        </w:rPr>
        <w:t>Situația defalcată pe măsuri se prezintă astfel:</w:t>
      </w:r>
    </w:p>
    <w:p w:rsidR="00311D99" w:rsidRPr="00311D99" w:rsidRDefault="00311D99" w:rsidP="00311D99">
      <w:pPr>
        <w:ind w:right="-1"/>
        <w:jc w:val="both"/>
        <w:rPr>
          <w:rFonts w:ascii="Calibri" w:hAnsi="Calibri"/>
          <w:lang w:val="ro-RO"/>
        </w:rPr>
      </w:pPr>
    </w:p>
    <w:tbl>
      <w:tblPr>
        <w:tblW w:w="9810" w:type="dxa"/>
        <w:tblInd w:w="108" w:type="dxa"/>
        <w:tblLook w:val="04A0" w:firstRow="1" w:lastRow="0" w:firstColumn="1" w:lastColumn="0" w:noHBand="0" w:noVBand="1"/>
      </w:tblPr>
      <w:tblGrid>
        <w:gridCol w:w="1091"/>
        <w:gridCol w:w="1926"/>
        <w:gridCol w:w="1807"/>
        <w:gridCol w:w="1621"/>
        <w:gridCol w:w="1754"/>
        <w:gridCol w:w="1742"/>
      </w:tblGrid>
      <w:tr w:rsidR="00311D99" w:rsidRPr="00311D99" w:rsidTr="00311D99">
        <w:trPr>
          <w:trHeight w:val="1914"/>
        </w:trPr>
        <w:tc>
          <w:tcPr>
            <w:tcW w:w="1057"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An financiar</w:t>
            </w:r>
          </w:p>
        </w:tc>
        <w:tc>
          <w:tcPr>
            <w:tcW w:w="1859"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 xml:space="preserve">PNDR </w:t>
            </w:r>
          </w:p>
          <w:p w:rsidR="00311D99" w:rsidRPr="00311D99" w:rsidRDefault="00311D99" w:rsidP="00311D99">
            <w:pPr>
              <w:jc w:val="center"/>
              <w:rPr>
                <w:rFonts w:ascii="Calibri" w:hAnsi="Calibri" w:cs="Arial"/>
                <w:b/>
                <w:bCs/>
              </w:rPr>
            </w:pPr>
            <w:r w:rsidRPr="00311D99">
              <w:rPr>
                <w:rFonts w:ascii="Calibri" w:hAnsi="Calibri" w:cs="Arial"/>
                <w:b/>
                <w:bCs/>
              </w:rPr>
              <w:t>2014 – 2020 (euro)</w:t>
            </w:r>
          </w:p>
        </w:tc>
        <w:tc>
          <w:tcPr>
            <w:tcW w:w="1807"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sidRPr="00311D99">
              <w:rPr>
                <w:rFonts w:ascii="Calibri" w:hAnsi="Calibri" w:cs="Arial"/>
                <w:b/>
              </w:rPr>
              <w:t>M10 - Agromediu și climă (euro)</w:t>
            </w:r>
          </w:p>
        </w:tc>
        <w:tc>
          <w:tcPr>
            <w:tcW w:w="1566"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both"/>
              <w:rPr>
                <w:rFonts w:ascii="Calibri" w:hAnsi="Calibri" w:cs="Arial"/>
                <w:b/>
              </w:rPr>
            </w:pPr>
            <w:r w:rsidRPr="00311D99">
              <w:rPr>
                <w:rFonts w:ascii="Calibri" w:hAnsi="Calibri" w:cs="Arial"/>
                <w:b/>
              </w:rPr>
              <w:t>M11 - Agricultură ecologică (euro)</w:t>
            </w:r>
          </w:p>
        </w:tc>
        <w:tc>
          <w:tcPr>
            <w:tcW w:w="175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11D99" w:rsidRPr="003964D3" w:rsidRDefault="00311D99" w:rsidP="00311D99">
            <w:pPr>
              <w:jc w:val="center"/>
              <w:rPr>
                <w:rFonts w:ascii="Calibri" w:hAnsi="Calibri" w:cs="Arial"/>
                <w:b/>
                <w:bCs/>
                <w:lang w:val="fr-FR"/>
              </w:rPr>
            </w:pPr>
            <w:r w:rsidRPr="003964D3">
              <w:rPr>
                <w:rFonts w:ascii="Calibri" w:hAnsi="Calibri" w:cs="Arial"/>
                <w:b/>
                <w:lang w:val="fr-FR"/>
              </w:rPr>
              <w:t>M13 - Plăți pentru zone care se confruntă cu constrângeri naturale sau alte constrângeri specific (euro)</w:t>
            </w:r>
          </w:p>
        </w:tc>
        <w:tc>
          <w:tcPr>
            <w:tcW w:w="1767" w:type="dxa"/>
            <w:tcBorders>
              <w:top w:val="single" w:sz="4" w:space="0" w:color="auto"/>
              <w:left w:val="nil"/>
              <w:bottom w:val="single" w:sz="4" w:space="0" w:color="auto"/>
              <w:right w:val="single" w:sz="4" w:space="0" w:color="auto"/>
            </w:tcBorders>
            <w:shd w:val="clear" w:color="auto" w:fill="BDD6EE" w:themeFill="accent1" w:themeFillTint="66"/>
          </w:tcPr>
          <w:p w:rsidR="00311D99" w:rsidRPr="00311D99" w:rsidRDefault="00311D99" w:rsidP="00311D99">
            <w:pPr>
              <w:jc w:val="center"/>
              <w:rPr>
                <w:rFonts w:ascii="Calibri" w:hAnsi="Calibri" w:cs="Arial"/>
                <w:b/>
                <w:bCs/>
              </w:rPr>
            </w:pPr>
            <w:r w:rsidRPr="00311D99">
              <w:rPr>
                <w:rFonts w:ascii="Calibri" w:hAnsi="Calibri" w:cs="Arial"/>
                <w:b/>
              </w:rPr>
              <w:t>M14 - Bunăstarea animalelor (euro)</w:t>
            </w:r>
          </w:p>
        </w:tc>
      </w:tr>
      <w:tr w:rsidR="00311D99" w:rsidRPr="00311D99" w:rsidTr="00311D99">
        <w:trPr>
          <w:trHeight w:val="680"/>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2016</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338,787,633.67</w:t>
            </w:r>
          </w:p>
        </w:tc>
        <w:tc>
          <w:tcPr>
            <w:tcW w:w="1807"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41,343,388.88</w:t>
            </w:r>
          </w:p>
        </w:tc>
        <w:tc>
          <w:tcPr>
            <w:tcW w:w="156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8,377,434.73</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206,971,753.24</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sidRPr="00311D99">
              <w:rPr>
                <w:rFonts w:ascii="Calibri" w:hAnsi="Calibri" w:cs="Arial"/>
              </w:rPr>
              <w:t>82,095,056.82</w:t>
            </w:r>
          </w:p>
        </w:tc>
      </w:tr>
      <w:tr w:rsidR="00311D99" w:rsidRPr="00311D99" w:rsidTr="00311D99">
        <w:trPr>
          <w:trHeight w:val="318"/>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2017</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513,783,019.10</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111,652,752.24</w:t>
            </w:r>
          </w:p>
        </w:tc>
        <w:tc>
          <w:tcPr>
            <w:tcW w:w="156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30,605,168.56</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220,664,570.45</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sidRPr="00311D99">
              <w:rPr>
                <w:rFonts w:ascii="Calibri" w:hAnsi="Calibri" w:cs="Arial"/>
              </w:rPr>
              <w:t>150,860,527,85</w:t>
            </w:r>
          </w:p>
        </w:tc>
      </w:tr>
      <w:tr w:rsidR="00311D99" w:rsidRPr="00311D99" w:rsidTr="00311D99">
        <w:trPr>
          <w:trHeight w:val="333"/>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2018</w:t>
            </w:r>
          </w:p>
        </w:tc>
        <w:tc>
          <w:tcPr>
            <w:tcW w:w="1859"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rPr>
              <w:t>488,959,731.10</w:t>
            </w:r>
          </w:p>
        </w:tc>
        <w:tc>
          <w:tcPr>
            <w:tcW w:w="1807"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96,234,954.17</w:t>
            </w:r>
          </w:p>
        </w:tc>
        <w:tc>
          <w:tcPr>
            <w:tcW w:w="156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24,270,532.45</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sidRPr="00311D99">
              <w:rPr>
                <w:rFonts w:ascii="Calibri" w:hAnsi="Calibri" w:cs="Arial"/>
              </w:rPr>
              <w:t>214,654,355.87</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sidRPr="00311D99">
              <w:rPr>
                <w:rFonts w:ascii="Calibri" w:hAnsi="Calibri" w:cs="Arial"/>
              </w:rPr>
              <w:t>153,799,888.61</w:t>
            </w:r>
          </w:p>
        </w:tc>
      </w:tr>
      <w:tr w:rsidR="00311D99" w:rsidRPr="00311D99" w:rsidTr="00311D99">
        <w:trPr>
          <w:trHeight w:val="651"/>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TOTAL</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sidRPr="00311D99">
              <w:rPr>
                <w:rFonts w:ascii="Calibri" w:hAnsi="Calibri" w:cs="Arial"/>
                <w:b/>
              </w:rPr>
              <w:t>1,341,530,383.87</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sidRPr="00311D99">
              <w:rPr>
                <w:rFonts w:ascii="Calibri" w:hAnsi="Calibri" w:cs="Arial"/>
                <w:b/>
              </w:rPr>
              <w:t>249,231,095.29</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sidRPr="00311D99">
              <w:rPr>
                <w:rFonts w:ascii="Calibri" w:hAnsi="Calibri" w:cs="Arial"/>
                <w:b/>
              </w:rPr>
              <w:t>63,253,136.74</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sidRPr="00311D99">
              <w:rPr>
                <w:rFonts w:ascii="Calibri" w:hAnsi="Calibri" w:cs="Arial"/>
                <w:b/>
              </w:rPr>
              <w:t>642,290,679.56</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b/>
              </w:rPr>
            </w:pPr>
            <w:r w:rsidRPr="00311D99">
              <w:rPr>
                <w:rFonts w:ascii="Calibri" w:hAnsi="Calibri" w:cs="Arial"/>
                <w:b/>
              </w:rPr>
              <w:t>386,755,473.28</w:t>
            </w:r>
          </w:p>
        </w:tc>
      </w:tr>
    </w:tbl>
    <w:p w:rsidR="00311D99" w:rsidRPr="00311D99" w:rsidRDefault="00311D99" w:rsidP="00311D99">
      <w:pPr>
        <w:ind w:right="-1"/>
        <w:jc w:val="both"/>
        <w:rPr>
          <w:rFonts w:ascii="Calibri" w:hAnsi="Calibri"/>
          <w:lang w:val="ro-RO"/>
        </w:rPr>
      </w:pPr>
    </w:p>
    <w:p w:rsidR="00311D99" w:rsidRPr="00311D99" w:rsidRDefault="00311D99" w:rsidP="00311D99">
      <w:pPr>
        <w:autoSpaceDE w:val="0"/>
        <w:autoSpaceDN w:val="0"/>
        <w:adjustRightInd w:val="0"/>
        <w:spacing w:line="276" w:lineRule="auto"/>
        <w:jc w:val="both"/>
        <w:rPr>
          <w:rFonts w:ascii="Calibri" w:hAnsi="Calibri"/>
          <w:b/>
          <w:lang w:val="fr-FR"/>
        </w:rPr>
      </w:pPr>
      <w:r w:rsidRPr="00311D99">
        <w:rPr>
          <w:rFonts w:ascii="Calibri" w:hAnsi="Calibri"/>
          <w:lang w:val="fr-FR"/>
        </w:rPr>
        <w:t xml:space="preserve">Agenția de Plăți și Intervenție pentru Agricultură a autorizat la plată în perioada 16 octombrie 2017 – 15 octombrie 2018 pentru măsurile de dezvoltare rurală, Campania 2017, suma totală de </w:t>
      </w:r>
      <w:r w:rsidRPr="00311D99">
        <w:rPr>
          <w:rFonts w:ascii="Calibri" w:hAnsi="Calibri"/>
          <w:b/>
          <w:lang w:val="fr-FR"/>
        </w:rPr>
        <w:t>590,54 milioane euro.</w:t>
      </w:r>
    </w:p>
    <w:p w:rsidR="00311D99" w:rsidRPr="00311D99"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autoSpaceDE w:val="0"/>
        <w:autoSpaceDN w:val="0"/>
        <w:adjustRightInd w:val="0"/>
        <w:spacing w:line="276" w:lineRule="auto"/>
        <w:jc w:val="both"/>
        <w:rPr>
          <w:rFonts w:ascii="Calibri" w:hAnsi="Calibri"/>
          <w:lang w:val="fr-FR"/>
        </w:rPr>
      </w:pPr>
      <w:r w:rsidRPr="00311D99">
        <w:rPr>
          <w:rFonts w:ascii="Calibri" w:hAnsi="Calibri"/>
          <w:lang w:val="fr-FR"/>
        </w:rPr>
        <w:t>Menționăm că plăţile se efectuează la cursurile de schimb valutar stabilite de către Banca Centrală Europeană, astfel :</w:t>
      </w:r>
    </w:p>
    <w:p w:rsidR="00311D99" w:rsidRPr="00311D99" w:rsidRDefault="00311D99" w:rsidP="00311D99">
      <w:pPr>
        <w:numPr>
          <w:ilvl w:val="0"/>
          <w:numId w:val="69"/>
        </w:numPr>
        <w:autoSpaceDE w:val="0"/>
        <w:autoSpaceDN w:val="0"/>
        <w:adjustRightInd w:val="0"/>
        <w:spacing w:line="276" w:lineRule="auto"/>
        <w:contextualSpacing/>
        <w:jc w:val="both"/>
        <w:rPr>
          <w:rFonts w:ascii="Calibri" w:eastAsia="Calibri" w:hAnsi="Calibri"/>
          <w:szCs w:val="22"/>
          <w:lang w:val="fr-FR"/>
        </w:rPr>
      </w:pPr>
      <w:r w:rsidRPr="00311D99">
        <w:rPr>
          <w:rFonts w:ascii="Calibri" w:eastAsia="Calibri" w:hAnsi="Calibri"/>
          <w:szCs w:val="22"/>
          <w:lang w:val="fr-FR"/>
        </w:rPr>
        <w:t xml:space="preserve">4,5390 lei pentru un euro, stabilit de către Banca Centrală Europeană în data de 30.12.2016 şi publicat în Jurnalul Oficial al Uniunii Europene, seria C, nr. 491/01 din 31.12.2016, pentru plăţile finanțate din FEADR (Fondul European Agricol pentru Dezvoltare Rurală); </w:t>
      </w:r>
    </w:p>
    <w:p w:rsidR="00311D99" w:rsidRPr="00311D99" w:rsidRDefault="00311D99" w:rsidP="00311D99">
      <w:pPr>
        <w:ind w:right="-1"/>
        <w:jc w:val="both"/>
        <w:rPr>
          <w:rFonts w:ascii="Calibri" w:hAnsi="Calibri"/>
          <w:lang w:val="ro-RO"/>
        </w:rPr>
      </w:pPr>
    </w:p>
    <w:p w:rsidR="00311D99" w:rsidRPr="00311D99" w:rsidRDefault="00311D99" w:rsidP="00311D99">
      <w:pPr>
        <w:tabs>
          <w:tab w:val="left" w:pos="284"/>
        </w:tabs>
        <w:ind w:right="-1"/>
        <w:jc w:val="both"/>
        <w:rPr>
          <w:rFonts w:ascii="Calibri" w:hAnsi="Calibri"/>
          <w:i/>
          <w:lang w:val="ro-RO"/>
        </w:rPr>
      </w:pPr>
    </w:p>
    <w:p w:rsidR="00311D99" w:rsidRPr="00311D99" w:rsidRDefault="00311D99" w:rsidP="00311D99">
      <w:pPr>
        <w:numPr>
          <w:ilvl w:val="0"/>
          <w:numId w:val="70"/>
        </w:numPr>
        <w:spacing w:line="276" w:lineRule="auto"/>
        <w:ind w:right="144"/>
        <w:contextualSpacing/>
        <w:jc w:val="both"/>
        <w:rPr>
          <w:rFonts w:ascii="Calibri" w:eastAsia="Calibri" w:hAnsi="Calibri"/>
          <w:b/>
          <w:szCs w:val="22"/>
          <w:lang w:val="ro-RO"/>
        </w:rPr>
      </w:pPr>
      <w:r w:rsidRPr="00311D99">
        <w:rPr>
          <w:rFonts w:ascii="Calibri" w:eastAsia="Calibri" w:hAnsi="Calibri"/>
          <w:b/>
          <w:szCs w:val="22"/>
          <w:lang w:val="ro-RO"/>
        </w:rPr>
        <w:t>FONDUL EUROPEAN PENTRU PESCUIT ȘI AFACERI MARITIME</w:t>
      </w:r>
    </w:p>
    <w:p w:rsidR="00311D99" w:rsidRPr="003964D3" w:rsidRDefault="00311D99" w:rsidP="00311D99">
      <w:pPr>
        <w:jc w:val="both"/>
        <w:rPr>
          <w:rFonts w:ascii="Calibri" w:hAnsi="Calibri"/>
          <w:b/>
          <w:color w:val="000000"/>
          <w:lang w:val="fr-FR"/>
        </w:rPr>
      </w:pPr>
    </w:p>
    <w:p w:rsidR="00311D99" w:rsidRPr="00311D99" w:rsidRDefault="00311D99" w:rsidP="00311D99">
      <w:pPr>
        <w:jc w:val="both"/>
        <w:rPr>
          <w:rFonts w:ascii="Calibri" w:hAnsi="Calibri"/>
          <w:color w:val="000000"/>
        </w:rPr>
      </w:pPr>
      <w:r w:rsidRPr="00311D99">
        <w:rPr>
          <w:rFonts w:ascii="Calibri" w:hAnsi="Calibri"/>
          <w:b/>
          <w:color w:val="000000"/>
        </w:rPr>
        <w:t>Alocare financiară anuală FEPAM:</w:t>
      </w:r>
    </w:p>
    <w:p w:rsidR="00311D99" w:rsidRPr="00311D99" w:rsidRDefault="00311D99" w:rsidP="00311D99">
      <w:pPr>
        <w:spacing w:line="276" w:lineRule="auto"/>
        <w:contextualSpacing/>
        <w:jc w:val="both"/>
        <w:rPr>
          <w:rFonts w:ascii="Calibri" w:eastAsia="Calibri" w:hAnsi="Calibri"/>
          <w:color w:val="000000"/>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439"/>
        <w:gridCol w:w="2312"/>
        <w:gridCol w:w="3323"/>
        <w:gridCol w:w="2940"/>
      </w:tblGrid>
      <w:tr w:rsidR="00311D99" w:rsidRPr="00AC4302" w:rsidTr="00311D99">
        <w:trPr>
          <w:trHeight w:val="353"/>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b/>
                <w:bCs/>
                <w:color w:val="000000"/>
                <w:kern w:val="24"/>
                <w:sz w:val="22"/>
                <w:szCs w:val="22"/>
                <w:lang w:val="ro-RO" w:eastAsia="ro-RO"/>
              </w:rPr>
              <w:t>Anul de alocare</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b/>
                <w:bCs/>
                <w:color w:val="000000"/>
                <w:kern w:val="24"/>
                <w:sz w:val="22"/>
                <w:szCs w:val="22"/>
                <w:lang w:val="ro-RO" w:eastAsia="ro-RO"/>
              </w:rPr>
              <w:t>Alocația principală FEPAM</w:t>
            </w:r>
          </w:p>
        </w:tc>
        <w:tc>
          <w:tcPr>
            <w:tcW w:w="1659" w:type="pct"/>
            <w:shd w:val="clear" w:color="auto" w:fill="FFFFFF" w:themeFill="background1"/>
          </w:tcPr>
          <w:p w:rsidR="00311D99" w:rsidRPr="00311D99" w:rsidRDefault="00311D99" w:rsidP="00311D99">
            <w:pPr>
              <w:ind w:left="360"/>
              <w:jc w:val="center"/>
              <w:rPr>
                <w:rFonts w:ascii="Calibri" w:hAnsi="Calibri"/>
                <w:b/>
                <w:bCs/>
                <w:color w:val="000000"/>
                <w:kern w:val="24"/>
                <w:sz w:val="22"/>
                <w:szCs w:val="22"/>
                <w:lang w:val="ro-RO" w:eastAsia="ro-RO"/>
              </w:rPr>
            </w:pPr>
            <w:r w:rsidRPr="00311D99">
              <w:rPr>
                <w:rFonts w:ascii="Calibri" w:hAnsi="Calibri"/>
                <w:b/>
                <w:bCs/>
                <w:color w:val="000000"/>
                <w:kern w:val="24"/>
                <w:sz w:val="22"/>
                <w:szCs w:val="22"/>
                <w:lang w:val="ro-RO" w:eastAsia="ro-RO"/>
              </w:rPr>
              <w:t>Contribuție Buget național corespunzătoare maximă</w:t>
            </w:r>
          </w:p>
        </w:tc>
        <w:tc>
          <w:tcPr>
            <w:tcW w:w="1468" w:type="pct"/>
            <w:shd w:val="clear" w:color="auto" w:fill="FFFFFF" w:themeFill="background1"/>
          </w:tcPr>
          <w:p w:rsidR="00311D99" w:rsidRPr="00311D99" w:rsidRDefault="00311D99" w:rsidP="00311D99">
            <w:pPr>
              <w:ind w:left="360"/>
              <w:jc w:val="center"/>
              <w:rPr>
                <w:rFonts w:ascii="Calibri" w:hAnsi="Calibri"/>
                <w:b/>
                <w:bCs/>
                <w:color w:val="000000"/>
                <w:kern w:val="24"/>
                <w:sz w:val="22"/>
                <w:szCs w:val="22"/>
                <w:lang w:val="ro-RO" w:eastAsia="ro-RO"/>
              </w:rPr>
            </w:pPr>
            <w:r w:rsidRPr="00311D99">
              <w:rPr>
                <w:rFonts w:ascii="Calibri" w:hAnsi="Calibri"/>
                <w:b/>
                <w:bCs/>
                <w:color w:val="000000"/>
                <w:kern w:val="24"/>
                <w:sz w:val="22"/>
                <w:szCs w:val="22"/>
                <w:lang w:val="ro-RO" w:eastAsia="ro-RO"/>
              </w:rPr>
              <w:t>Anul limită de cheltuire a alocării</w:t>
            </w:r>
          </w:p>
        </w:tc>
      </w:tr>
      <w:tr w:rsidR="00311D99" w:rsidRPr="00311D99" w:rsidTr="00311D99">
        <w:trPr>
          <w:trHeight w:val="310"/>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bCs/>
                <w:color w:val="000000"/>
                <w:kern w:val="24"/>
                <w:sz w:val="22"/>
                <w:szCs w:val="22"/>
                <w:lang w:val="ro-RO" w:eastAsia="ro-RO"/>
              </w:rPr>
              <w:t>2015</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bCs/>
                <w:color w:val="000000"/>
                <w:kern w:val="24"/>
                <w:sz w:val="22"/>
                <w:szCs w:val="22"/>
                <w:lang w:val="ro-RO" w:eastAsia="ro-RO"/>
              </w:rPr>
              <w:t>46.465.937,00</w:t>
            </w:r>
          </w:p>
        </w:tc>
        <w:tc>
          <w:tcPr>
            <w:tcW w:w="1659" w:type="pct"/>
            <w:shd w:val="clear" w:color="auto" w:fill="FFFFFF" w:themeFill="background1"/>
          </w:tcPr>
          <w:p w:rsidR="00311D99" w:rsidRPr="00311D99" w:rsidRDefault="00311D99" w:rsidP="00311D99">
            <w:pPr>
              <w:ind w:left="360"/>
              <w:jc w:val="center"/>
              <w:rPr>
                <w:rFonts w:ascii="Calibri" w:hAnsi="Calibri"/>
                <w:bCs/>
                <w:color w:val="000000"/>
                <w:kern w:val="24"/>
                <w:sz w:val="22"/>
                <w:szCs w:val="22"/>
                <w:lang w:val="ro-RO" w:eastAsia="ro-RO"/>
              </w:rPr>
            </w:pPr>
            <w:r w:rsidRPr="00311D99">
              <w:rPr>
                <w:rFonts w:ascii="Calibri" w:hAnsi="Calibri"/>
                <w:bCs/>
                <w:color w:val="000000"/>
                <w:kern w:val="24"/>
                <w:sz w:val="22"/>
                <w:szCs w:val="22"/>
                <w:lang w:val="ro-RO" w:eastAsia="ro-RO"/>
              </w:rPr>
              <w:t>15.488.645,67</w:t>
            </w:r>
          </w:p>
        </w:tc>
        <w:tc>
          <w:tcPr>
            <w:tcW w:w="1468" w:type="pct"/>
            <w:shd w:val="clear" w:color="auto" w:fill="FFFFFF" w:themeFill="background1"/>
          </w:tcPr>
          <w:p w:rsidR="00311D99" w:rsidRPr="00311D99" w:rsidRDefault="00311D99" w:rsidP="00311D99">
            <w:pPr>
              <w:ind w:left="360"/>
              <w:jc w:val="center"/>
              <w:rPr>
                <w:rFonts w:ascii="Calibri" w:hAnsi="Calibri"/>
                <w:bCs/>
                <w:color w:val="000000"/>
                <w:kern w:val="24"/>
                <w:sz w:val="22"/>
                <w:szCs w:val="22"/>
                <w:lang w:val="ro-RO" w:eastAsia="ro-RO"/>
              </w:rPr>
            </w:pPr>
            <w:r w:rsidRPr="00311D99">
              <w:rPr>
                <w:rFonts w:ascii="Calibri" w:hAnsi="Calibri"/>
                <w:bCs/>
                <w:color w:val="000000"/>
                <w:kern w:val="24"/>
                <w:sz w:val="22"/>
                <w:szCs w:val="22"/>
                <w:lang w:val="ro-RO" w:eastAsia="ro-RO"/>
              </w:rPr>
              <w:t>2018</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2016</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23.594.150,00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7.864.716,67</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2019</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2017</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23.976.562,00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7.992.187,33</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2020</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2018</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24.534.471,00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8.178.157,00</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2021</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2019</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24.702.232,00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8.234.077,33</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2022</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2020</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25.148.019,00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7.529.926,50</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lang w:eastAsia="ro-RO"/>
              </w:rPr>
            </w:pPr>
            <w:r w:rsidRPr="00311D99">
              <w:rPr>
                <w:rFonts w:ascii="Calibri" w:hAnsi="Calibri"/>
                <w:color w:val="000000"/>
                <w:sz w:val="22"/>
                <w:szCs w:val="22"/>
                <w:lang w:eastAsia="ro-RO"/>
              </w:rPr>
              <w:t>2023</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b/>
                <w:color w:val="000000"/>
                <w:sz w:val="22"/>
                <w:szCs w:val="22"/>
                <w:lang w:eastAsia="ro-RO"/>
              </w:rPr>
            </w:pPr>
            <w:r w:rsidRPr="00311D99">
              <w:rPr>
                <w:rFonts w:ascii="Calibri" w:hAnsi="Calibri"/>
                <w:b/>
                <w:color w:val="000000"/>
                <w:sz w:val="22"/>
                <w:szCs w:val="22"/>
                <w:lang w:eastAsia="ro-RO"/>
              </w:rPr>
              <w:t>Total</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b/>
                <w:color w:val="000000"/>
                <w:sz w:val="22"/>
                <w:szCs w:val="22"/>
                <w:lang w:eastAsia="ro-RO"/>
              </w:rPr>
            </w:pPr>
            <w:r w:rsidRPr="00311D99">
              <w:rPr>
                <w:rFonts w:ascii="Calibri" w:hAnsi="Calibri"/>
                <w:b/>
                <w:color w:val="000000"/>
                <w:sz w:val="22"/>
                <w:szCs w:val="22"/>
                <w:lang w:eastAsia="ro-RO"/>
              </w:rPr>
              <w:t>168.421.371</w:t>
            </w:r>
          </w:p>
        </w:tc>
        <w:tc>
          <w:tcPr>
            <w:tcW w:w="1659" w:type="pct"/>
            <w:shd w:val="clear" w:color="auto" w:fill="FFFFFF" w:themeFill="background1"/>
          </w:tcPr>
          <w:p w:rsidR="00311D99" w:rsidRPr="00311D99" w:rsidRDefault="00311D99" w:rsidP="00311D99">
            <w:pPr>
              <w:ind w:left="360"/>
              <w:jc w:val="center"/>
              <w:rPr>
                <w:rFonts w:ascii="Calibri" w:hAnsi="Calibri"/>
                <w:b/>
                <w:color w:val="000000"/>
                <w:sz w:val="22"/>
                <w:szCs w:val="22"/>
                <w:lang w:eastAsia="ro-RO"/>
              </w:rPr>
            </w:pPr>
            <w:r w:rsidRPr="00311D99">
              <w:rPr>
                <w:rFonts w:ascii="Calibri" w:hAnsi="Calibri"/>
                <w:b/>
                <w:color w:val="000000"/>
                <w:sz w:val="22"/>
                <w:szCs w:val="22"/>
                <w:lang w:eastAsia="ro-RO"/>
              </w:rPr>
              <w:t>55.287.710,5</w:t>
            </w:r>
          </w:p>
        </w:tc>
        <w:tc>
          <w:tcPr>
            <w:tcW w:w="1468" w:type="pct"/>
            <w:shd w:val="clear" w:color="auto" w:fill="FFFFFF" w:themeFill="background1"/>
          </w:tcPr>
          <w:p w:rsidR="00311D99" w:rsidRPr="00311D99" w:rsidRDefault="00311D99" w:rsidP="00311D99">
            <w:pPr>
              <w:ind w:left="360"/>
              <w:jc w:val="center"/>
              <w:rPr>
                <w:rFonts w:ascii="Calibri" w:hAnsi="Calibri"/>
                <w:b/>
                <w:color w:val="000000"/>
                <w:sz w:val="22"/>
                <w:szCs w:val="22"/>
                <w:lang w:eastAsia="ro-RO"/>
              </w:rPr>
            </w:pPr>
          </w:p>
        </w:tc>
      </w:tr>
    </w:tbl>
    <w:p w:rsidR="00311D99" w:rsidRPr="00311D99" w:rsidRDefault="00311D99" w:rsidP="00311D99">
      <w:pPr>
        <w:rPr>
          <w:rFonts w:ascii="Calibri" w:hAnsi="Calibri"/>
          <w:color w:val="000000"/>
          <w:sz w:val="22"/>
          <w:szCs w:val="22"/>
          <w:lang w:val="ro-RO" w:eastAsia="ro-RO"/>
        </w:rPr>
      </w:pPr>
    </w:p>
    <w:p w:rsidR="00311D99" w:rsidRPr="00311D99" w:rsidRDefault="00311D99" w:rsidP="00311D99">
      <w:pPr>
        <w:spacing w:line="276" w:lineRule="auto"/>
        <w:contextualSpacing/>
        <w:rPr>
          <w:rFonts w:ascii="Calibri" w:eastAsia="Calibri" w:hAnsi="Calibri"/>
          <w:b/>
          <w:color w:val="000000"/>
          <w:szCs w:val="22"/>
          <w:lang w:val="ro-RO"/>
        </w:rPr>
      </w:pPr>
      <w:r w:rsidRPr="00311D99">
        <w:rPr>
          <w:rFonts w:ascii="Calibri" w:eastAsia="Calibri" w:hAnsi="Calibri"/>
          <w:b/>
          <w:color w:val="000000"/>
          <w:szCs w:val="22"/>
          <w:lang w:val="ro-RO"/>
        </w:rPr>
        <w:t>Angajamente bugetare la data de 22.10.2018:</w:t>
      </w:r>
    </w:p>
    <w:p w:rsidR="00311D99" w:rsidRPr="00311D99" w:rsidRDefault="00311D99" w:rsidP="00311D99">
      <w:pPr>
        <w:spacing w:line="276" w:lineRule="auto"/>
        <w:contextualSpacing/>
        <w:rPr>
          <w:rFonts w:ascii="Calibri" w:eastAsia="Calibri" w:hAnsi="Calibri"/>
          <w:b/>
          <w:color w:val="000000"/>
          <w:szCs w:val="22"/>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lang w:val="ro-RO"/>
        </w:rPr>
      </w:pPr>
      <w:r w:rsidRPr="00311D99">
        <w:rPr>
          <w:rFonts w:ascii="Calibri" w:eastAsia="Calibri" w:hAnsi="Calibri" w:cs="Arial"/>
          <w:b/>
          <w:color w:val="000000" w:themeColor="text1"/>
          <w:lang w:val="ro-RO"/>
        </w:rPr>
        <w:t>CONTRACTE DE FINANŢARE CU BENEFICIARII: 168</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Valoare totală eligibilă CONTRACTE DE FINANŢARE CU BENEFICIARII: 518.394.414,40 lei</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Valoare contribuție nerambursabilă CONTRACTE DE FINANŢARE CU BENEFICIARII: 374.199.886,84 lei (din care contribuție UE: 283.240.145,47 lei)</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din care:</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Contracte reziliate: 4</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Valoare totală eligibilă contracte reziliate: 7.631.347,46 lei (din care contribuție UE: 3.793.531,70 lei)</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Contracte finalizate: 75</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Valoare totală eligibilă contracte finalizate: 140.336.820,91 lei (din care contribuție UE: 94.943.989,97 lei)</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Contracte în implementare: 89</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Valoare totală eligibilă contracte în implementare: 370.426.246,02 lei</w:t>
      </w:r>
    </w:p>
    <w:p w:rsidR="00311D99" w:rsidRPr="00311D99" w:rsidRDefault="00311D99" w:rsidP="00311D99">
      <w:pPr>
        <w:spacing w:line="276" w:lineRule="auto"/>
        <w:contextualSpacing/>
        <w:rPr>
          <w:rFonts w:ascii="Calibri" w:eastAsia="Calibri" w:hAnsi="Calibri"/>
          <w:color w:val="000000"/>
          <w:szCs w:val="22"/>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lang w:val="ro-RO"/>
        </w:rPr>
      </w:pPr>
      <w:r w:rsidRPr="00311D99">
        <w:rPr>
          <w:rFonts w:ascii="Calibri" w:eastAsia="Calibri" w:hAnsi="Calibri" w:cs="Arial"/>
          <w:b/>
          <w:color w:val="000000" w:themeColor="text1"/>
          <w:lang w:val="ro-RO"/>
        </w:rPr>
        <w:t>Gradul de angajare a sumelor alocate = 35,82%.</w:t>
      </w:r>
    </w:p>
    <w:p w:rsidR="00311D99" w:rsidRPr="00311D99" w:rsidRDefault="00311D99" w:rsidP="00311D99">
      <w:pPr>
        <w:tabs>
          <w:tab w:val="left" w:pos="709"/>
          <w:tab w:val="left" w:pos="1899"/>
        </w:tabs>
        <w:spacing w:before="120"/>
        <w:ind w:right="-108"/>
        <w:jc w:val="both"/>
        <w:rPr>
          <w:rFonts w:ascii="Calibri" w:eastAsia="Calibri" w:hAnsi="Calibri" w:cs="Arial"/>
          <w:b/>
          <w:color w:val="000000" w:themeColor="text1"/>
          <w:lang w:val="ro-RO"/>
        </w:rPr>
      </w:pPr>
      <w:r w:rsidRPr="00311D99">
        <w:rPr>
          <w:rFonts w:ascii="Calibri" w:eastAsia="Calibri" w:hAnsi="Calibri" w:cs="Arial"/>
          <w:b/>
          <w:color w:val="000000" w:themeColor="text1"/>
          <w:lang w:val="ro-RO"/>
        </w:rPr>
        <w:t>Plăți către beneficiari la data de 22.10.2018:</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tbl>
      <w:tblPr>
        <w:tblStyle w:val="Tabelgril13"/>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23"/>
        <w:gridCol w:w="1736"/>
        <w:gridCol w:w="1614"/>
        <w:gridCol w:w="1736"/>
        <w:gridCol w:w="1610"/>
      </w:tblGrid>
      <w:tr w:rsidR="00311D99" w:rsidRPr="00AC4302" w:rsidTr="00311D99">
        <w:trPr>
          <w:trHeight w:val="274"/>
        </w:trPr>
        <w:tc>
          <w:tcPr>
            <w:tcW w:w="2915" w:type="dxa"/>
            <w:gridSpan w:val="2"/>
            <w:tcBorders>
              <w:top w:val="single" w:sz="4" w:space="0" w:color="auto"/>
            </w:tcBorders>
            <w:noWrap/>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Prefinanțări (lei)</w:t>
            </w:r>
          </w:p>
        </w:tc>
        <w:tc>
          <w:tcPr>
            <w:tcW w:w="3350" w:type="dxa"/>
            <w:gridSpan w:val="2"/>
            <w:tcBorders>
              <w:top w:val="single" w:sz="4" w:space="0" w:color="auto"/>
            </w:tcBorders>
            <w:noWrap/>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Rambursări (lei)</w:t>
            </w:r>
          </w:p>
        </w:tc>
        <w:tc>
          <w:tcPr>
            <w:tcW w:w="1736" w:type="dxa"/>
            <w:vMerge w:val="restart"/>
            <w:tcBorders>
              <w:top w:val="single" w:sz="4" w:space="0" w:color="auto"/>
            </w:tcBorders>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Total (lei)</w:t>
            </w:r>
          </w:p>
        </w:tc>
        <w:tc>
          <w:tcPr>
            <w:tcW w:w="1610" w:type="dxa"/>
            <w:vMerge w:val="restart"/>
            <w:tcBorders>
              <w:top w:val="single" w:sz="4" w:space="0" w:color="auto"/>
            </w:tcBorders>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Rata de plată la beneficiar %</w:t>
            </w:r>
          </w:p>
        </w:tc>
      </w:tr>
      <w:tr w:rsidR="00311D99" w:rsidRPr="00311D99" w:rsidTr="00311D99">
        <w:trPr>
          <w:trHeight w:val="293"/>
        </w:trPr>
        <w:tc>
          <w:tcPr>
            <w:tcW w:w="1492"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Contribuţie UE</w:t>
            </w:r>
          </w:p>
        </w:tc>
        <w:tc>
          <w:tcPr>
            <w:tcW w:w="1423"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Contributie națională</w:t>
            </w:r>
          </w:p>
        </w:tc>
        <w:tc>
          <w:tcPr>
            <w:tcW w:w="1736" w:type="dxa"/>
            <w:vMerge w:val="restart"/>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Contribuţie UE</w:t>
            </w:r>
          </w:p>
        </w:tc>
        <w:tc>
          <w:tcPr>
            <w:tcW w:w="1614"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Contributie națională</w:t>
            </w:r>
          </w:p>
        </w:tc>
        <w:tc>
          <w:tcPr>
            <w:tcW w:w="1736" w:type="dxa"/>
            <w:vMerge/>
            <w:vAlign w:val="center"/>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0" w:type="dxa"/>
            <w:vMerge/>
            <w:vAlign w:val="center"/>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293"/>
        </w:trPr>
        <w:tc>
          <w:tcPr>
            <w:tcW w:w="1492"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423"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0"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310"/>
        </w:trPr>
        <w:tc>
          <w:tcPr>
            <w:tcW w:w="1492"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6.590.268,20</w:t>
            </w:r>
          </w:p>
        </w:tc>
        <w:tc>
          <w:tcPr>
            <w:tcW w:w="1423"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2.196.756,07</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140.795.733,59</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46.931.911,20</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196.254.669,05</w:t>
            </w:r>
          </w:p>
        </w:tc>
        <w:tc>
          <w:tcPr>
            <w:tcW w:w="1610" w:type="dxa"/>
            <w:noWrap/>
            <w:hideMark/>
          </w:tcPr>
          <w:p w:rsidR="00311D99" w:rsidRPr="00311D99" w:rsidRDefault="00311D99" w:rsidP="00311D99">
            <w:pPr>
              <w:tabs>
                <w:tab w:val="left" w:pos="709"/>
                <w:tab w:val="left" w:pos="1899"/>
              </w:tabs>
              <w:jc w:val="center"/>
              <w:rPr>
                <w:rFonts w:ascii="Calibri" w:hAnsi="Calibri" w:cs="Arial"/>
                <w:color w:val="000000" w:themeColor="text1"/>
                <w:lang w:val="ro-RO"/>
              </w:rPr>
            </w:pPr>
            <w:r w:rsidRPr="00311D99">
              <w:rPr>
                <w:rFonts w:ascii="Calibri" w:hAnsi="Calibri" w:cs="Arial"/>
                <w:color w:val="000000" w:themeColor="text1"/>
                <w:lang w:val="ro-RO"/>
              </w:rPr>
              <w:t>18,78</w:t>
            </w:r>
          </w:p>
        </w:tc>
      </w:tr>
    </w:tbl>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lang w:val="ro-RO"/>
        </w:rPr>
      </w:pPr>
      <w:r w:rsidRPr="00311D99">
        <w:rPr>
          <w:rFonts w:ascii="Calibri" w:eastAsia="Calibri" w:hAnsi="Calibri" w:cs="Arial"/>
          <w:b/>
          <w:color w:val="000000" w:themeColor="text1"/>
          <w:lang w:val="ro-RO"/>
        </w:rPr>
        <w:t>Sume încasate de la CE</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Prefinanțări primite de la CE = 10.646.336,01 euro.</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tbl>
      <w:tblPr>
        <w:tblStyle w:val="Tabelgril13"/>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14"/>
        <w:gridCol w:w="1736"/>
        <w:gridCol w:w="1614"/>
        <w:gridCol w:w="1736"/>
        <w:gridCol w:w="1325"/>
      </w:tblGrid>
      <w:tr w:rsidR="00311D99" w:rsidRPr="00311D99" w:rsidTr="00311D99">
        <w:trPr>
          <w:trHeight w:val="274"/>
        </w:trPr>
        <w:tc>
          <w:tcPr>
            <w:tcW w:w="3228" w:type="dxa"/>
            <w:gridSpan w:val="2"/>
            <w:tcBorders>
              <w:top w:val="single" w:sz="4" w:space="0" w:color="auto"/>
            </w:tcBorders>
            <w:noWrap/>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Cheltuieli declarate de AM la AC (euro)</w:t>
            </w:r>
          </w:p>
        </w:tc>
        <w:tc>
          <w:tcPr>
            <w:tcW w:w="3350" w:type="dxa"/>
            <w:gridSpan w:val="2"/>
            <w:tcBorders>
              <w:top w:val="single" w:sz="4" w:space="0" w:color="auto"/>
            </w:tcBorders>
            <w:noWrap/>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Cheltuieli certificate de ACP (euro)</w:t>
            </w:r>
          </w:p>
        </w:tc>
        <w:tc>
          <w:tcPr>
            <w:tcW w:w="1736" w:type="dxa"/>
            <w:vMerge w:val="restart"/>
            <w:tcBorders>
              <w:top w:val="single" w:sz="4" w:space="0" w:color="auto"/>
            </w:tcBorders>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Rambursări de la CE</w:t>
            </w:r>
          </w:p>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(euro)</w:t>
            </w:r>
          </w:p>
        </w:tc>
        <w:tc>
          <w:tcPr>
            <w:tcW w:w="1325" w:type="dxa"/>
            <w:vMerge w:val="restart"/>
            <w:tcBorders>
              <w:top w:val="single" w:sz="4" w:space="0" w:color="auto"/>
            </w:tcBorders>
            <w:vAlign w:val="center"/>
          </w:tcPr>
          <w:p w:rsidR="00311D99" w:rsidRPr="00311D99" w:rsidRDefault="00311D99" w:rsidP="00311D99">
            <w:pPr>
              <w:jc w:val="center"/>
              <w:rPr>
                <w:rFonts w:ascii="Calibri" w:hAnsi="Calibri" w:cs="Arial"/>
                <w:b/>
                <w:color w:val="000000" w:themeColor="text1"/>
                <w:lang w:val="ro-RO"/>
              </w:rPr>
            </w:pPr>
            <w:r w:rsidRPr="00311D99">
              <w:rPr>
                <w:rFonts w:ascii="Calibri" w:hAnsi="Calibri" w:cs="Arial"/>
                <w:b/>
                <w:color w:val="000000" w:themeColor="text1"/>
                <w:lang w:val="ro-RO"/>
              </w:rPr>
              <w:t>Rata de absorbție efectivă</w:t>
            </w:r>
            <w:r w:rsidRPr="00311D99">
              <w:rPr>
                <w:rFonts w:ascii="Calibri" w:hAnsi="Calibri" w:cs="Arial"/>
                <w:b/>
                <w:color w:val="000000" w:themeColor="text1"/>
                <w:lang w:val="ro-RO"/>
              </w:rPr>
              <w:br/>
              <w:t>(%)</w:t>
            </w:r>
          </w:p>
        </w:tc>
      </w:tr>
      <w:tr w:rsidR="00311D99" w:rsidRPr="00311D99" w:rsidTr="00311D99">
        <w:trPr>
          <w:trHeight w:val="293"/>
        </w:trPr>
        <w:tc>
          <w:tcPr>
            <w:tcW w:w="1614" w:type="dxa"/>
            <w:vMerge w:val="restart"/>
            <w:hideMark/>
          </w:tcPr>
          <w:p w:rsidR="00311D99" w:rsidRPr="00311D99" w:rsidRDefault="00311D99" w:rsidP="00311D99">
            <w:pPr>
              <w:tabs>
                <w:tab w:val="left" w:pos="709"/>
                <w:tab w:val="left" w:pos="1899"/>
              </w:tabs>
              <w:ind w:right="-108"/>
              <w:jc w:val="center"/>
              <w:rPr>
                <w:rFonts w:ascii="Calibri" w:hAnsi="Calibri" w:cs="Arial"/>
                <w:b/>
                <w:color w:val="000000" w:themeColor="text1"/>
                <w:lang w:val="ro-RO"/>
              </w:rPr>
            </w:pPr>
            <w:r w:rsidRPr="00311D99">
              <w:rPr>
                <w:rFonts w:ascii="Calibri" w:hAnsi="Calibri" w:cs="Arial"/>
                <w:b/>
                <w:color w:val="000000" w:themeColor="text1"/>
                <w:lang w:val="ro-RO"/>
              </w:rPr>
              <w:t>Valoare publică</w:t>
            </w:r>
          </w:p>
        </w:tc>
        <w:tc>
          <w:tcPr>
            <w:tcW w:w="1614" w:type="dxa"/>
            <w:vMerge w:val="restart"/>
            <w:hideMark/>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Contribuţie UE</w:t>
            </w:r>
          </w:p>
        </w:tc>
        <w:tc>
          <w:tcPr>
            <w:tcW w:w="1736" w:type="dxa"/>
            <w:vMerge w:val="restart"/>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Valoare publică</w:t>
            </w:r>
          </w:p>
        </w:tc>
        <w:tc>
          <w:tcPr>
            <w:tcW w:w="1614" w:type="dxa"/>
            <w:vMerge w:val="restart"/>
          </w:tcPr>
          <w:p w:rsidR="00311D99" w:rsidRPr="00311D99" w:rsidRDefault="00311D99" w:rsidP="00311D99">
            <w:pPr>
              <w:tabs>
                <w:tab w:val="left" w:pos="709"/>
                <w:tab w:val="left" w:pos="1899"/>
              </w:tabs>
              <w:ind w:right="-108"/>
              <w:jc w:val="both"/>
              <w:rPr>
                <w:rFonts w:ascii="Calibri" w:hAnsi="Calibri" w:cs="Arial"/>
                <w:b/>
                <w:color w:val="000000" w:themeColor="text1"/>
                <w:lang w:val="ro-RO"/>
              </w:rPr>
            </w:pPr>
            <w:r w:rsidRPr="00311D99">
              <w:rPr>
                <w:rFonts w:ascii="Calibri" w:hAnsi="Calibri" w:cs="Arial"/>
                <w:b/>
                <w:color w:val="000000" w:themeColor="text1"/>
                <w:lang w:val="ro-RO"/>
              </w:rPr>
              <w:t>Contribuţie UE</w:t>
            </w: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325"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293"/>
        </w:trPr>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325"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322"/>
        </w:trPr>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36.417.226,92</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27.312.920,19</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25.900.639,02</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19.425.479,27</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lang w:val="ro-RO"/>
              </w:rPr>
            </w:pPr>
            <w:r w:rsidRPr="00311D99">
              <w:rPr>
                <w:rFonts w:ascii="Calibri" w:hAnsi="Calibri" w:cs="Arial"/>
                <w:color w:val="000000" w:themeColor="text1"/>
                <w:lang w:val="ro-RO"/>
              </w:rPr>
              <w:t>17.482.931,30</w:t>
            </w:r>
          </w:p>
        </w:tc>
        <w:tc>
          <w:tcPr>
            <w:tcW w:w="1325" w:type="dxa"/>
            <w:noWrap/>
          </w:tcPr>
          <w:p w:rsidR="00311D99" w:rsidRPr="00311D99" w:rsidRDefault="00311D99" w:rsidP="00311D99">
            <w:pPr>
              <w:tabs>
                <w:tab w:val="left" w:pos="709"/>
                <w:tab w:val="left" w:pos="1899"/>
              </w:tabs>
              <w:jc w:val="center"/>
              <w:rPr>
                <w:rFonts w:ascii="Calibri" w:hAnsi="Calibri" w:cs="Arial"/>
                <w:color w:val="000000" w:themeColor="text1"/>
                <w:lang w:val="ro-RO"/>
              </w:rPr>
            </w:pPr>
            <w:r w:rsidRPr="00311D99">
              <w:rPr>
                <w:rFonts w:ascii="Calibri" w:hAnsi="Calibri" w:cs="Arial"/>
                <w:color w:val="000000" w:themeColor="text1"/>
                <w:lang w:val="ro-RO"/>
              </w:rPr>
              <w:t>12,35</w:t>
            </w:r>
          </w:p>
        </w:tc>
      </w:tr>
    </w:tbl>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r w:rsidRPr="00311D99">
        <w:rPr>
          <w:rFonts w:ascii="Calibri" w:eastAsia="Calibri" w:hAnsi="Calibri" w:cs="Arial"/>
          <w:color w:val="000000" w:themeColor="text1"/>
          <w:lang w:val="ro-RO"/>
        </w:rPr>
        <w:t>Transformarea sumelor din lei în euro în prezentul document s-a efectuat la cursul INFOREURO aferent lunii OCTOMBRIE 2018: 1 euro = 4,6701 lei</w:t>
      </w:r>
    </w:p>
    <w:p w:rsidR="00311D99" w:rsidRPr="00311D99" w:rsidRDefault="00311D99" w:rsidP="00311D99">
      <w:pPr>
        <w:spacing w:line="276" w:lineRule="auto"/>
        <w:contextualSpacing/>
        <w:jc w:val="both"/>
        <w:rPr>
          <w:rFonts w:ascii="Calibri" w:eastAsia="Calibri" w:hAnsi="Calibri"/>
          <w:color w:val="000000"/>
          <w:lang w:val="ro-RO"/>
        </w:rPr>
      </w:pPr>
    </w:p>
    <w:p w:rsidR="00311D99" w:rsidRPr="00311D99" w:rsidRDefault="00311D99" w:rsidP="00311D99">
      <w:pPr>
        <w:spacing w:line="276" w:lineRule="auto"/>
        <w:contextualSpacing/>
        <w:jc w:val="both"/>
        <w:rPr>
          <w:rFonts w:ascii="Calibri" w:eastAsia="Calibri" w:hAnsi="Calibri"/>
          <w:color w:val="000000"/>
          <w:lang w:val="ro-RO"/>
        </w:rPr>
      </w:pPr>
    </w:p>
    <w:p w:rsidR="00311D99" w:rsidRPr="00311D99" w:rsidRDefault="00311D99" w:rsidP="00311D99">
      <w:pPr>
        <w:numPr>
          <w:ilvl w:val="0"/>
          <w:numId w:val="70"/>
        </w:numPr>
        <w:spacing w:line="276" w:lineRule="auto"/>
        <w:contextualSpacing/>
        <w:jc w:val="both"/>
        <w:outlineLvl w:val="0"/>
        <w:rPr>
          <w:rFonts w:ascii="Calibri" w:eastAsia="Calibri" w:hAnsi="Calibri"/>
          <w:b/>
          <w:bCs/>
          <w:kern w:val="36"/>
          <w:szCs w:val="22"/>
          <w:lang w:val="ro-RO" w:eastAsia="ro-RO"/>
        </w:rPr>
      </w:pPr>
      <w:r w:rsidRPr="00311D99">
        <w:rPr>
          <w:rFonts w:ascii="Calibri" w:eastAsia="Calibri" w:hAnsi="Calibri"/>
          <w:b/>
          <w:bCs/>
          <w:kern w:val="36"/>
          <w:szCs w:val="22"/>
          <w:lang w:val="ro-RO" w:eastAsia="ro-RO"/>
        </w:rPr>
        <w:t xml:space="preserve">MĂSURI FINANȚATE DIN BUGETUL NAȚIONAL PE SECTOARELE VEGETAL, ZOOTEHNIC ȘI  CERCETARE </w:t>
      </w:r>
    </w:p>
    <w:p w:rsidR="00311D99" w:rsidRPr="00311D99" w:rsidRDefault="00311D99" w:rsidP="00311D99">
      <w:pPr>
        <w:jc w:val="center"/>
        <w:rPr>
          <w:rFonts w:ascii="Calibri" w:hAnsi="Calibri"/>
          <w:b/>
          <w:color w:val="FF0000"/>
          <w:lang w:val="ro-RO" w:eastAsia="ro-RO"/>
        </w:rPr>
      </w:pPr>
    </w:p>
    <w:p w:rsidR="00311D99" w:rsidRPr="00311D99" w:rsidRDefault="00311D99" w:rsidP="00311D99">
      <w:pPr>
        <w:jc w:val="both"/>
        <w:rPr>
          <w:rFonts w:ascii="Calibri" w:hAnsi="Calibri"/>
          <w:lang w:val="ro-RO" w:eastAsia="ro-RO"/>
        </w:rPr>
      </w:pPr>
      <w:r w:rsidRPr="00311D99">
        <w:rPr>
          <w:rFonts w:ascii="Calibri" w:hAnsi="Calibri"/>
          <w:b/>
          <w:color w:val="FF0000"/>
          <w:lang w:val="ro-RO" w:eastAsia="ro-RO"/>
        </w:rPr>
        <w:tab/>
      </w:r>
    </w:p>
    <w:p w:rsidR="00311D99" w:rsidRPr="003964D3" w:rsidRDefault="00311D99" w:rsidP="00311D99">
      <w:pPr>
        <w:numPr>
          <w:ilvl w:val="0"/>
          <w:numId w:val="23"/>
        </w:numPr>
        <w:jc w:val="both"/>
        <w:rPr>
          <w:rFonts w:ascii="Calibri" w:hAnsi="Calibri"/>
          <w:lang w:val="ro-RO"/>
        </w:rPr>
      </w:pPr>
      <w:r w:rsidRPr="003964D3">
        <w:rPr>
          <w:rFonts w:ascii="Calibri" w:hAnsi="Calibri"/>
          <w:b/>
          <w:lang w:val="ro-RO"/>
        </w:rPr>
        <w:t xml:space="preserve">Ajutoare naționale tranzitorii (ANT) </w:t>
      </w:r>
      <w:r w:rsidRPr="003964D3">
        <w:rPr>
          <w:rFonts w:ascii="Calibri" w:hAnsi="Calibri"/>
          <w:lang w:val="ro-RO"/>
        </w:rPr>
        <w:t>în sectorul vegetal și zootehnic, având ca scop creșterea veniturilor producătorilor agricoli.</w:t>
      </w:r>
    </w:p>
    <w:p w:rsidR="00311D99" w:rsidRPr="003964D3" w:rsidRDefault="00311D99" w:rsidP="00311D99">
      <w:pPr>
        <w:jc w:val="both"/>
        <w:rPr>
          <w:rFonts w:ascii="Calibri" w:hAnsi="Calibri"/>
          <w:lang w:val="ro-RO"/>
        </w:rPr>
      </w:pPr>
    </w:p>
    <w:p w:rsidR="00311D99" w:rsidRPr="00311D99" w:rsidRDefault="00311D99" w:rsidP="00311D99">
      <w:pPr>
        <w:shd w:val="clear" w:color="auto" w:fill="FFFFFF"/>
        <w:jc w:val="both"/>
        <w:rPr>
          <w:rFonts w:ascii="Calibri" w:hAnsi="Calibri"/>
        </w:rPr>
      </w:pPr>
      <w:r w:rsidRPr="00311D99">
        <w:rPr>
          <w:rFonts w:ascii="Calibri" w:hAnsi="Calibri"/>
        </w:rPr>
        <w:t>Plafoanele maxime (mii euro) sunt prezentate în tabelul următor:</w:t>
      </w:r>
    </w:p>
    <w:tbl>
      <w:tblPr>
        <w:tblW w:w="10065" w:type="dxa"/>
        <w:tblInd w:w="-147" w:type="dxa"/>
        <w:tblLayout w:type="fixed"/>
        <w:tblLook w:val="04A0" w:firstRow="1" w:lastRow="0" w:firstColumn="1" w:lastColumn="0" w:noHBand="0" w:noVBand="1"/>
      </w:tblPr>
      <w:tblGrid>
        <w:gridCol w:w="4962"/>
        <w:gridCol w:w="1276"/>
        <w:gridCol w:w="1275"/>
        <w:gridCol w:w="1276"/>
        <w:gridCol w:w="1276"/>
      </w:tblGrid>
      <w:tr w:rsidR="00311D99" w:rsidRPr="00311D99" w:rsidTr="00311D99">
        <w:trPr>
          <w:trHeight w:val="529"/>
        </w:trPr>
        <w:tc>
          <w:tcPr>
            <w:tcW w:w="496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Specificare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2018</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2019</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sidRPr="00311D99">
              <w:rPr>
                <w:rFonts w:ascii="Calibri" w:hAnsi="Calibri" w:cs="Arial"/>
                <w:b/>
                <w:bCs/>
              </w:rPr>
              <w:t>2021</w:t>
            </w:r>
          </w:p>
        </w:tc>
      </w:tr>
      <w:tr w:rsidR="00311D99" w:rsidRPr="00311D99" w:rsidTr="00311D99">
        <w:trPr>
          <w:trHeight w:val="38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311D99" w:rsidRPr="003964D3" w:rsidRDefault="00311D99" w:rsidP="00311D99">
            <w:pPr>
              <w:rPr>
                <w:rFonts w:ascii="Calibri" w:hAnsi="Calibri" w:cs="Arial"/>
                <w:bCs/>
                <w:sz w:val="22"/>
                <w:szCs w:val="22"/>
                <w:lang w:val="fr-FR"/>
              </w:rPr>
            </w:pPr>
            <w:r w:rsidRPr="003964D3">
              <w:rPr>
                <w:rFonts w:ascii="Calibri" w:hAnsi="Calibri" w:cs="Arial"/>
                <w:bCs/>
                <w:sz w:val="22"/>
                <w:szCs w:val="22"/>
                <w:lang w:val="fr-FR"/>
              </w:rPr>
              <w:t>ANT 1-plata decuplată pe suprafață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 xml:space="preserve">110891,950 </w:t>
            </w:r>
          </w:p>
        </w:tc>
        <w:tc>
          <w:tcPr>
            <w:tcW w:w="127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102361,800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93831,650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85301,500</w:t>
            </w:r>
          </w:p>
        </w:tc>
      </w:tr>
      <w:tr w:rsidR="00311D99" w:rsidRPr="00311D99" w:rsidTr="00311D99">
        <w:trPr>
          <w:trHeight w:val="318"/>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sidRPr="00311D99">
              <w:rPr>
                <w:rFonts w:ascii="Calibri" w:hAnsi="Calibri" w:cs="Arial"/>
                <w:bCs/>
                <w:sz w:val="22"/>
                <w:szCs w:val="22"/>
              </w:rPr>
              <w:t>ANT 2,3-pl decuplată pt. in și cânepă pt. fibră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7,150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6,600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6,050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5.500</w:t>
            </w:r>
          </w:p>
        </w:tc>
      </w:tr>
      <w:tr w:rsidR="00311D99" w:rsidRPr="00311D99" w:rsidTr="00311D99">
        <w:trPr>
          <w:trHeight w:val="333"/>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sidRPr="00311D99">
              <w:rPr>
                <w:rFonts w:ascii="Calibri" w:hAnsi="Calibri" w:cs="Arial"/>
                <w:bCs/>
                <w:sz w:val="22"/>
                <w:szCs w:val="22"/>
              </w:rPr>
              <w:t>ANT 4-pl decuplată pt. tutun</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1656,200</w:t>
            </w:r>
          </w:p>
        </w:tc>
        <w:tc>
          <w:tcPr>
            <w:tcW w:w="127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1656,200</w:t>
            </w:r>
          </w:p>
        </w:tc>
        <w:tc>
          <w:tcPr>
            <w:tcW w:w="127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1656,200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1656,200</w:t>
            </w:r>
          </w:p>
        </w:tc>
      </w:tr>
      <w:tr w:rsidR="00311D99" w:rsidRPr="00311D99" w:rsidTr="00311D99">
        <w:trPr>
          <w:trHeight w:val="304"/>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sidRPr="00311D99">
              <w:rPr>
                <w:rFonts w:ascii="Calibri" w:hAnsi="Calibri" w:cs="Arial"/>
                <w:bCs/>
                <w:sz w:val="22"/>
                <w:szCs w:val="22"/>
              </w:rPr>
              <w:t>ANT 5-pl decuplată pt. hamei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109,200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100,800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92,400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84,000</w:t>
            </w:r>
          </w:p>
        </w:tc>
      </w:tr>
      <w:tr w:rsidR="00311D99" w:rsidRPr="00311D99" w:rsidTr="00311D99">
        <w:trPr>
          <w:trHeight w:val="411"/>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964D3" w:rsidRDefault="00311D99" w:rsidP="00311D99">
            <w:pPr>
              <w:rPr>
                <w:rFonts w:ascii="Calibri" w:hAnsi="Calibri" w:cs="Arial"/>
                <w:bCs/>
                <w:sz w:val="22"/>
                <w:szCs w:val="22"/>
                <w:lang w:val="fr-FR"/>
              </w:rPr>
            </w:pPr>
            <w:r w:rsidRPr="003964D3">
              <w:rPr>
                <w:rFonts w:ascii="Calibri" w:hAnsi="Calibri" w:cs="Arial"/>
                <w:bCs/>
                <w:sz w:val="22"/>
                <w:szCs w:val="22"/>
                <w:lang w:val="fr-FR"/>
              </w:rPr>
              <w:t>ANT 6-pl decuplată pt. sfecla de zahăr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1970,150</w:t>
            </w:r>
          </w:p>
        </w:tc>
        <w:tc>
          <w:tcPr>
            <w:tcW w:w="127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1818,600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1667,050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1515,500</w:t>
            </w:r>
          </w:p>
        </w:tc>
      </w:tr>
      <w:tr w:rsidR="00311D99" w:rsidRPr="00311D99" w:rsidTr="00311D99">
        <w:trPr>
          <w:trHeight w:val="416"/>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964D3" w:rsidRDefault="00311D99" w:rsidP="00311D99">
            <w:pPr>
              <w:rPr>
                <w:rFonts w:ascii="Calibri" w:hAnsi="Calibri" w:cs="Arial"/>
                <w:bCs/>
                <w:sz w:val="22"/>
                <w:szCs w:val="22"/>
                <w:lang w:val="fr-FR"/>
              </w:rPr>
            </w:pPr>
            <w:r w:rsidRPr="003964D3">
              <w:rPr>
                <w:rFonts w:ascii="Calibri" w:hAnsi="Calibri" w:cs="Arial"/>
                <w:bCs/>
                <w:sz w:val="22"/>
                <w:szCs w:val="22"/>
                <w:lang w:val="fr-FR"/>
              </w:rPr>
              <w:t>ANT 7-lapte de vacă-pl decupl de producție</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 xml:space="preserve">24081,200 </w:t>
            </w:r>
          </w:p>
        </w:tc>
        <w:tc>
          <w:tcPr>
            <w:tcW w:w="127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22228,800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20376,400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sidRPr="00311D99">
              <w:rPr>
                <w:rFonts w:ascii="Calibri" w:hAnsi="Calibri" w:cs="Arial"/>
                <w:sz w:val="22"/>
                <w:szCs w:val="22"/>
              </w:rPr>
              <w:t>18524,000</w:t>
            </w:r>
          </w:p>
        </w:tc>
      </w:tr>
      <w:tr w:rsidR="00311D99" w:rsidRPr="00311D99" w:rsidTr="00311D99">
        <w:trPr>
          <w:trHeight w:val="42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D99" w:rsidRPr="003964D3" w:rsidRDefault="00311D99" w:rsidP="00311D99">
            <w:pPr>
              <w:rPr>
                <w:rFonts w:ascii="Calibri" w:hAnsi="Calibri" w:cs="Arial"/>
                <w:bCs/>
                <w:sz w:val="22"/>
                <w:szCs w:val="22"/>
                <w:lang w:val="fr-FR"/>
              </w:rPr>
            </w:pPr>
            <w:r w:rsidRPr="003964D3">
              <w:rPr>
                <w:rFonts w:ascii="Calibri" w:hAnsi="Calibri" w:cs="Arial"/>
                <w:bCs/>
                <w:sz w:val="22"/>
                <w:szCs w:val="22"/>
                <w:lang w:val="fr-FR"/>
              </w:rPr>
              <w:t>ANT 8- carne de vită și mânzat-pl decupl de producție</w:t>
            </w: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311D99" w:rsidRPr="00311D99" w:rsidRDefault="00311D99" w:rsidP="00311D99">
            <w:pPr>
              <w:jc w:val="right"/>
              <w:rPr>
                <w:rFonts w:ascii="Calibri" w:hAnsi="Calibri" w:cs="Calibri"/>
                <w:bCs/>
                <w:color w:val="000000"/>
                <w:sz w:val="22"/>
                <w:szCs w:val="22"/>
              </w:rPr>
            </w:pPr>
            <w:r w:rsidRPr="00311D99">
              <w:rPr>
                <w:rFonts w:ascii="Calibri" w:hAnsi="Calibri" w:cs="Calibri"/>
                <w:bCs/>
                <w:color w:val="000000"/>
                <w:sz w:val="22"/>
                <w:szCs w:val="22"/>
              </w:rPr>
              <w:t>101201,100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93416,400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85631,700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77847,000</w:t>
            </w:r>
          </w:p>
        </w:tc>
      </w:tr>
      <w:tr w:rsidR="00311D99" w:rsidRPr="00311D99" w:rsidTr="00311D99">
        <w:trPr>
          <w:trHeight w:val="42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D99" w:rsidRPr="003964D3" w:rsidRDefault="00311D99" w:rsidP="00311D99">
            <w:pPr>
              <w:rPr>
                <w:rFonts w:ascii="Calibri" w:hAnsi="Calibri" w:cs="Arial"/>
                <w:bCs/>
                <w:sz w:val="22"/>
                <w:szCs w:val="22"/>
                <w:lang w:val="fr-FR"/>
              </w:rPr>
            </w:pPr>
            <w:r w:rsidRPr="003964D3">
              <w:rPr>
                <w:rFonts w:ascii="Calibri" w:hAnsi="Calibri" w:cs="Arial"/>
                <w:bCs/>
                <w:sz w:val="22"/>
                <w:szCs w:val="22"/>
                <w:lang w:val="fr-FR"/>
              </w:rPr>
              <w:t>ANT 9- ovine și caprine femele-pl cupl de producție</w:t>
            </w:r>
          </w:p>
        </w:tc>
        <w:tc>
          <w:tcPr>
            <w:tcW w:w="1276" w:type="dxa"/>
            <w:tcBorders>
              <w:top w:val="single" w:sz="4" w:space="0" w:color="auto"/>
              <w:left w:val="nil"/>
              <w:bottom w:val="single" w:sz="4" w:space="0" w:color="auto"/>
              <w:right w:val="single" w:sz="4" w:space="0" w:color="000000"/>
            </w:tcBorders>
            <w:shd w:val="clear" w:color="auto" w:fill="auto"/>
            <w:vAlign w:val="bottom"/>
          </w:tcPr>
          <w:p w:rsidR="00311D99" w:rsidRPr="00311D99" w:rsidRDefault="00311D99" w:rsidP="00311D99">
            <w:pPr>
              <w:jc w:val="right"/>
              <w:rPr>
                <w:rFonts w:ascii="Calibri" w:hAnsi="Calibri" w:cs="Calibri"/>
                <w:bCs/>
                <w:color w:val="000000"/>
                <w:sz w:val="22"/>
                <w:szCs w:val="22"/>
              </w:rPr>
            </w:pPr>
            <w:r w:rsidRPr="00311D99">
              <w:rPr>
                <w:rFonts w:ascii="Calibri" w:hAnsi="Calibri" w:cs="Calibri"/>
                <w:bCs/>
                <w:color w:val="000000"/>
                <w:sz w:val="22"/>
                <w:szCs w:val="22"/>
              </w:rPr>
              <w:t>50783,850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46877,400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42970,950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sidRPr="00311D99">
              <w:rPr>
                <w:rFonts w:ascii="Calibri" w:hAnsi="Calibri" w:cs="Arial"/>
                <w:bCs/>
                <w:sz w:val="22"/>
                <w:szCs w:val="22"/>
              </w:rPr>
              <w:t>39064,500</w:t>
            </w:r>
          </w:p>
        </w:tc>
      </w:tr>
    </w:tbl>
    <w:p w:rsidR="00311D99" w:rsidRPr="00311D99" w:rsidRDefault="00311D99" w:rsidP="00311D99">
      <w:pPr>
        <w:tabs>
          <w:tab w:val="left" w:pos="405"/>
        </w:tabs>
        <w:rPr>
          <w:rFonts w:ascii="Calibri" w:eastAsia="MS Mincho" w:hAnsi="Calibri"/>
        </w:rPr>
      </w:pPr>
    </w:p>
    <w:p w:rsidR="00311D99" w:rsidRPr="00311D99" w:rsidRDefault="00311D99" w:rsidP="00311D99">
      <w:pPr>
        <w:rPr>
          <w:rFonts w:ascii="Calibri" w:hAnsi="Calibri"/>
          <w:b/>
          <w:u w:val="single"/>
          <w:lang w:val="ro-RO" w:eastAsia="ro-RO"/>
        </w:rPr>
      </w:pPr>
    </w:p>
    <w:p w:rsidR="00311D99" w:rsidRPr="00311D99" w:rsidRDefault="00311D99" w:rsidP="00311D99">
      <w:pPr>
        <w:numPr>
          <w:ilvl w:val="0"/>
          <w:numId w:val="23"/>
        </w:numPr>
        <w:jc w:val="both"/>
        <w:rPr>
          <w:rFonts w:ascii="Calibri" w:hAnsi="Calibri"/>
          <w:b/>
          <w:lang w:val="ro-RO" w:eastAsia="ro-RO"/>
        </w:rPr>
      </w:pPr>
      <w:r w:rsidRPr="00311D99">
        <w:rPr>
          <w:rFonts w:ascii="Calibri" w:hAnsi="Calibri"/>
          <w:b/>
          <w:lang w:val="ro-RO" w:eastAsia="ro-RO"/>
        </w:rPr>
        <w:t xml:space="preserve">Ajutor de stat pentru achiziționarea motorinei cu acciză redusă - </w:t>
      </w:r>
      <w:r w:rsidRPr="00311D99">
        <w:rPr>
          <w:rFonts w:ascii="Calibri" w:hAnsi="Calibri"/>
          <w:lang w:val="ro-RO" w:eastAsia="ro-RO"/>
        </w:rPr>
        <w:t>se acordă</w:t>
      </w:r>
      <w:r w:rsidRPr="00311D99">
        <w:rPr>
          <w:rFonts w:ascii="Calibri" w:hAnsi="Calibri"/>
          <w:b/>
          <w:lang w:val="ro-RO" w:eastAsia="ro-RO"/>
        </w:rPr>
        <w:t xml:space="preserve"> 1,7385 lei </w:t>
      </w:r>
      <w:r w:rsidRPr="00311D99">
        <w:rPr>
          <w:rFonts w:ascii="Calibri" w:hAnsi="Calibri"/>
          <w:lang w:val="ro-RO" w:eastAsia="ro-RO"/>
        </w:rPr>
        <w:t xml:space="preserve">per litru de motorină utilizată în efectuarea lucrărilor mecanizate în agricultură, respectiv în sectoarele vegetal, zootehnic şi îmbunătăţiri funciare. </w:t>
      </w:r>
    </w:p>
    <w:p w:rsidR="00311D99" w:rsidRPr="00311D99" w:rsidRDefault="00311D99" w:rsidP="00311D99">
      <w:pPr>
        <w:jc w:val="both"/>
        <w:rPr>
          <w:rFonts w:ascii="Calibri" w:hAnsi="Calibri"/>
          <w:b/>
          <w:lang w:val="ro-RO" w:eastAsia="ro-RO"/>
        </w:rPr>
      </w:pPr>
    </w:p>
    <w:p w:rsidR="00311D99" w:rsidRPr="00311D99" w:rsidRDefault="00311D99" w:rsidP="00311D99">
      <w:pPr>
        <w:jc w:val="both"/>
        <w:rPr>
          <w:rFonts w:ascii="Calibri" w:hAnsi="Calibri"/>
          <w:b/>
          <w:strike/>
          <w:color w:val="FF0000"/>
          <w:lang w:val="ro-RO" w:eastAsia="ro-RO"/>
        </w:rPr>
      </w:pPr>
    </w:p>
    <w:p w:rsidR="00311D99" w:rsidRPr="00311D99" w:rsidRDefault="00311D99" w:rsidP="00311D99">
      <w:pPr>
        <w:numPr>
          <w:ilvl w:val="0"/>
          <w:numId w:val="24"/>
        </w:numPr>
        <w:jc w:val="both"/>
        <w:rPr>
          <w:rFonts w:ascii="Calibri" w:hAnsi="Calibri"/>
          <w:b/>
          <w:lang w:val="ro-RO" w:eastAsia="ro-RO"/>
        </w:rPr>
      </w:pPr>
      <w:r w:rsidRPr="00311D99">
        <w:rPr>
          <w:rFonts w:ascii="Calibri" w:hAnsi="Calibri"/>
          <w:b/>
          <w:lang w:val="ro-RO" w:eastAsia="ro-RO"/>
        </w:rPr>
        <w:t>Ajutor de stat în sectorul creșterii animalelor, în scopul îmbunătățirii calității genetice</w:t>
      </w:r>
      <w:r w:rsidRPr="00311D99">
        <w:rPr>
          <w:rFonts w:ascii="Calibri" w:hAnsi="Calibri"/>
          <w:lang w:val="ro-RO" w:eastAsia="ro-RO"/>
        </w:rPr>
        <w:t xml:space="preserve"> a efectivelor de animale și implicit a potențialului de producție la rasele de animale care au întocmite programe de ameliorare. Beneficiază  circa 20 mii exploatații.</w:t>
      </w:r>
    </w:p>
    <w:p w:rsidR="00311D99" w:rsidRPr="00311D99" w:rsidRDefault="00311D99" w:rsidP="00311D99">
      <w:pPr>
        <w:ind w:left="720"/>
        <w:jc w:val="both"/>
        <w:rPr>
          <w:rFonts w:ascii="Calibri" w:hAnsi="Calibri"/>
          <w:b/>
          <w:lang w:val="ro-RO" w:eastAsia="ro-RO"/>
        </w:rPr>
      </w:pPr>
    </w:p>
    <w:p w:rsidR="00311D99" w:rsidRPr="00311D99" w:rsidRDefault="00311D99" w:rsidP="00311D99">
      <w:pPr>
        <w:numPr>
          <w:ilvl w:val="0"/>
          <w:numId w:val="23"/>
        </w:numPr>
        <w:jc w:val="both"/>
        <w:rPr>
          <w:rFonts w:ascii="Calibri" w:hAnsi="Calibri"/>
        </w:rPr>
      </w:pPr>
      <w:r w:rsidRPr="00311D99">
        <w:rPr>
          <w:rFonts w:ascii="Calibri" w:hAnsi="Calibri"/>
          <w:b/>
        </w:rPr>
        <w:t>Ajutor de stat pentru neutralizarea deşeurilor de origine animală</w:t>
      </w:r>
    </w:p>
    <w:p w:rsidR="00311D99" w:rsidRPr="00311D99" w:rsidRDefault="00311D99" w:rsidP="00311D99">
      <w:pPr>
        <w:rPr>
          <w:rFonts w:ascii="Calibri" w:hAnsi="Calibri"/>
        </w:rPr>
      </w:pPr>
    </w:p>
    <w:p w:rsidR="00311D99" w:rsidRPr="00311D99" w:rsidRDefault="00311D99" w:rsidP="00311D99">
      <w:pPr>
        <w:jc w:val="both"/>
        <w:rPr>
          <w:rFonts w:ascii="Calibri" w:hAnsi="Calibri"/>
        </w:rPr>
      </w:pPr>
      <w:r w:rsidRPr="00311D99">
        <w:rPr>
          <w:rFonts w:ascii="Calibri" w:hAnsi="Calibri"/>
          <w:b/>
        </w:rPr>
        <w:sym w:font="Wingdings" w:char="F0D8"/>
      </w:r>
      <w:r w:rsidRPr="00311D99">
        <w:rPr>
          <w:rFonts w:ascii="Calibri" w:hAnsi="Calibri"/>
          <w:b/>
        </w:rPr>
        <w:t xml:space="preserve"> Ajutor de minimis  pentru aplicarea programului de susținere a produsului „tomate în spații protejate”</w:t>
      </w:r>
      <w:r w:rsidRPr="00311D99">
        <w:rPr>
          <w:rFonts w:ascii="Calibri" w:hAnsi="Calibri"/>
        </w:rPr>
        <w:t xml:space="preserve"> –se acordă 3.000 euro/beneficiar/an pentru fermierii care au cel puțin 1000 mp, obțin minim 2 kg/mp și comercializează producția în perioadele ianuarie-15 iunie inclusiv și/sau noiembrie – 20 decembrie inclusiv.</w:t>
      </w:r>
    </w:p>
    <w:p w:rsidR="00311D99" w:rsidRPr="00311D99" w:rsidRDefault="00311D99" w:rsidP="00311D99">
      <w:pPr>
        <w:jc w:val="both"/>
        <w:rPr>
          <w:rFonts w:ascii="Calibri" w:hAnsi="Calibri"/>
        </w:rPr>
      </w:pPr>
    </w:p>
    <w:p w:rsidR="00311D99" w:rsidRPr="00311D99" w:rsidRDefault="00311D99" w:rsidP="00311D99">
      <w:pPr>
        <w:tabs>
          <w:tab w:val="left" w:pos="450"/>
        </w:tabs>
        <w:jc w:val="both"/>
        <w:rPr>
          <w:rFonts w:ascii="Trebuchet MS" w:eastAsia="Calibri" w:hAnsi="Trebuchet MS" w:cs="Arial"/>
          <w:color w:val="000000" w:themeColor="text1"/>
          <w:sz w:val="22"/>
          <w:szCs w:val="22"/>
          <w:lang w:val="ro-RO"/>
        </w:rPr>
      </w:pPr>
      <w:r w:rsidRPr="003964D3">
        <w:rPr>
          <w:rFonts w:ascii="Calibri" w:hAnsi="Calibri"/>
          <w:lang w:val="fr-FR"/>
        </w:rPr>
        <w:t xml:space="preserve">În anul 2017 au beneficiat de program un număr de cca. 8000 de fermieri, suma plătită fiind de 108201 mii lei. </w:t>
      </w:r>
      <w:r w:rsidRPr="00311D99">
        <w:rPr>
          <w:rFonts w:ascii="Trebuchet MS" w:eastAsia="Calibri" w:hAnsi="Trebuchet MS" w:cs="Arial"/>
          <w:color w:val="000000" w:themeColor="text1"/>
          <w:sz w:val="22"/>
          <w:szCs w:val="22"/>
          <w:lang w:val="ro-RO"/>
        </w:rPr>
        <w:t xml:space="preserve">Până la data de 15 octombrie 2018 s-au înscris în program cca. 16200 fermieri. </w:t>
      </w:r>
    </w:p>
    <w:p w:rsidR="00311D99" w:rsidRPr="00311D99" w:rsidRDefault="00311D99" w:rsidP="00311D99">
      <w:pPr>
        <w:tabs>
          <w:tab w:val="left" w:pos="450"/>
        </w:tabs>
        <w:jc w:val="both"/>
        <w:rPr>
          <w:rFonts w:ascii="Trebuchet MS" w:eastAsia="Calibri" w:hAnsi="Trebuchet MS" w:cs="Arial"/>
          <w:color w:val="000000" w:themeColor="text1"/>
          <w:sz w:val="22"/>
          <w:szCs w:val="22"/>
          <w:lang w:val="ro-RO"/>
        </w:rPr>
      </w:pPr>
      <w:r w:rsidRPr="00311D99">
        <w:rPr>
          <w:rFonts w:ascii="Trebuchet MS" w:eastAsia="Calibri" w:hAnsi="Trebuchet MS" w:cs="Arial"/>
          <w:color w:val="000000" w:themeColor="text1"/>
          <w:sz w:val="22"/>
          <w:szCs w:val="22"/>
          <w:lang w:val="ro-RO"/>
        </w:rPr>
        <w:t>Suma plătită în ciclul I pentru 10.946 fermieri este de 151.031.813,40 lei.</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p>
    <w:p w:rsidR="00311D99" w:rsidRPr="003964D3" w:rsidRDefault="00311D99" w:rsidP="00311D99">
      <w:pPr>
        <w:ind w:left="567" w:hanging="283"/>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Ajutor de minimis pentru aplicarea programului de susținere a crescătorilor de porci din rasele Bazna și Mangalița în vederea producerii cărnii de porc </w:t>
      </w:r>
      <w:r w:rsidRPr="003964D3">
        <w:rPr>
          <w:rFonts w:ascii="Calibri" w:hAnsi="Calibri"/>
          <w:lang w:val="fr-FR"/>
        </w:rPr>
        <w:t>– cuantum 250 lei/cap</w:t>
      </w:r>
    </w:p>
    <w:p w:rsidR="00311D99" w:rsidRPr="003964D3" w:rsidRDefault="00311D99" w:rsidP="00311D99">
      <w:pPr>
        <w:jc w:val="both"/>
        <w:rPr>
          <w:rFonts w:ascii="Calibri" w:hAnsi="Calibri"/>
          <w:lang w:val="fr-FR"/>
        </w:rPr>
      </w:pPr>
    </w:p>
    <w:p w:rsidR="00311D99" w:rsidRPr="003964D3" w:rsidRDefault="00311D99" w:rsidP="00311D99">
      <w:pPr>
        <w:ind w:left="567" w:hanging="283"/>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Ajutor de minimis pentru aplicarea programului de susținere a crescătorilor de ovine pentru comercializarea lânii </w:t>
      </w:r>
      <w:r w:rsidRPr="003964D3">
        <w:rPr>
          <w:rFonts w:ascii="Calibri" w:hAnsi="Calibri"/>
          <w:lang w:val="fr-FR"/>
        </w:rPr>
        <w:t>– 1 leu/kg</w:t>
      </w:r>
    </w:p>
    <w:p w:rsidR="00311D99" w:rsidRPr="003964D3" w:rsidRDefault="00311D99" w:rsidP="00311D99">
      <w:pPr>
        <w:jc w:val="both"/>
        <w:rPr>
          <w:rFonts w:ascii="Calibri" w:hAnsi="Calibri"/>
          <w:b/>
          <w:lang w:val="fr-FR"/>
        </w:rPr>
      </w:pPr>
    </w:p>
    <w:p w:rsidR="00311D99" w:rsidRPr="003964D3" w:rsidRDefault="00311D99" w:rsidP="00311D99">
      <w:pPr>
        <w:jc w:val="both"/>
        <w:rPr>
          <w:rFonts w:ascii="Calibri" w:hAnsi="Calibri"/>
          <w:lang w:val="fr-FR"/>
        </w:rPr>
      </w:pPr>
      <w:r w:rsidRPr="003964D3">
        <w:rPr>
          <w:rFonts w:ascii="Calibri" w:hAnsi="Calibri"/>
          <w:lang w:val="fr-FR"/>
        </w:rPr>
        <w:t>Sunt înscriși în program în 2018 circa 32300 beneficiari, cantitatea de lână estimată fiind de 23 mii tone.</w:t>
      </w:r>
    </w:p>
    <w:p w:rsidR="00311D99" w:rsidRPr="003964D3" w:rsidRDefault="00311D99" w:rsidP="00311D99">
      <w:pPr>
        <w:rPr>
          <w:rFonts w:ascii="Calibri" w:hAnsi="Calibri"/>
          <w:lang w:val="fr-FR"/>
        </w:rPr>
      </w:pPr>
    </w:p>
    <w:p w:rsidR="00311D99" w:rsidRPr="003964D3" w:rsidRDefault="00311D99" w:rsidP="00311D99">
      <w:pPr>
        <w:ind w:left="567" w:hanging="283"/>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Programul de susținere pentru activitatea de reproducție, incubație și de creștere în sectorul avicol </w:t>
      </w:r>
      <w:r w:rsidRPr="003964D3">
        <w:rPr>
          <w:rFonts w:ascii="Calibri" w:hAnsi="Calibri"/>
          <w:lang w:val="fr-FR"/>
        </w:rPr>
        <w:t>– schema de ajutor de stat</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964D3">
        <w:rPr>
          <w:rFonts w:ascii="Calibri" w:hAnsi="Calibri"/>
          <w:lang w:val="fr-FR"/>
        </w:rPr>
        <w:t xml:space="preserve">Programul urmărește menținearea efectivelor de păsări, asigurarea produselor din producție internă, creșterea interesului fermierilor pentru activitatea de creștere a păsărilor. </w:t>
      </w:r>
    </w:p>
    <w:p w:rsidR="00311D99" w:rsidRPr="003964D3" w:rsidRDefault="00311D99" w:rsidP="00311D99">
      <w:pPr>
        <w:rPr>
          <w:rFonts w:ascii="Calibri" w:hAnsi="Calibri"/>
          <w:lang w:val="fr-FR"/>
        </w:rPr>
      </w:pPr>
    </w:p>
    <w:p w:rsidR="00311D99" w:rsidRPr="003964D3" w:rsidRDefault="00311D99" w:rsidP="00311D99">
      <w:pPr>
        <w:ind w:left="567" w:hanging="283"/>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Programul de susținere a crescătorilor de suine pentru activitatea de reproducție </w:t>
      </w:r>
      <w:r w:rsidRPr="003964D3">
        <w:rPr>
          <w:rFonts w:ascii="Calibri" w:hAnsi="Calibri"/>
          <w:lang w:val="fr-FR"/>
        </w:rPr>
        <w:t>– schema de ajutor de stat</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964D3">
        <w:rPr>
          <w:rFonts w:ascii="Calibri" w:hAnsi="Calibri"/>
          <w:lang w:val="fr-FR"/>
        </w:rPr>
        <w:t xml:space="preserve">Programul urmărește menținearea efectivelor de porci, asigurarea produselor din producție internă și reducerea importurilor, eficientizarea sectorului, creșterea interesului crescătorilor pentru dezvoltarea fermelor. </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Programul de înființare a centrelor de colectare și procesare pentru legume/fructe </w:t>
      </w:r>
      <w:r w:rsidRPr="003964D3">
        <w:rPr>
          <w:rFonts w:ascii="Calibri" w:hAnsi="Calibri"/>
          <w:lang w:val="fr-FR"/>
        </w:rPr>
        <w:t>se adresează producătorilor din sectorul fructe și legume în vederea valorificării integrale a producției, creșterea veniturilor producătorilor agricoli, evitarea pierderilor și o bună aprovizionare a consumatorilor.</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964D3">
        <w:rPr>
          <w:rFonts w:ascii="Calibri" w:hAnsi="Calibri"/>
          <w:lang w:val="fr-FR"/>
        </w:rPr>
        <w:t>Beneficiari sunt producătorii de legume/fructe în vederea dezvoltării de capacități noi de producție, obținerea de venituri suplimentare la bugetul de stat prin valorificarea în totalitate a producției de circa 490 mii tone de legume și creșterea numărului de locuri de muncă.</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11D99">
        <w:rPr>
          <w:rFonts w:ascii="Calibri" w:hAnsi="Calibri"/>
          <w:b/>
        </w:rPr>
        <w:sym w:font="Wingdings" w:char="F0D8"/>
      </w:r>
      <w:r w:rsidRPr="003964D3">
        <w:rPr>
          <w:rFonts w:ascii="Calibri" w:hAnsi="Calibri"/>
          <w:b/>
          <w:lang w:val="fr-FR"/>
        </w:rPr>
        <w:t xml:space="preserve"> Programul de înființare a centrelor de colectare și procesare lână și piei </w:t>
      </w:r>
      <w:r w:rsidRPr="003964D3">
        <w:rPr>
          <w:rFonts w:ascii="Calibri" w:hAnsi="Calibri"/>
          <w:lang w:val="fr-FR"/>
        </w:rPr>
        <w:t>se adresează crescătorilor de ovine și caprine în vederea creșterii veniturilor, evitarea pierderilor acestora, reducerea poluării mediului, precum și crearea de noi locuri de muncă.</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r w:rsidRPr="003964D3">
        <w:rPr>
          <w:rFonts w:ascii="Calibri" w:hAnsi="Calibri"/>
          <w:lang w:val="fr-FR"/>
        </w:rPr>
        <w:t>Beneficiari sunt crescătorii de ovine și caprine care pot obține venituri suplimentare, contribuind la bugetul de stat prin valorificarea în totalitate a producției în vederea dezvoltării de capacități noi de producție și creșterea numărului de locuri de muncă.</w:t>
      </w:r>
    </w:p>
    <w:p w:rsidR="00311D99" w:rsidRPr="003964D3" w:rsidRDefault="00311D99" w:rsidP="00311D99">
      <w:pPr>
        <w:jc w:val="both"/>
        <w:rPr>
          <w:rFonts w:ascii="Calibri" w:hAnsi="Calibri"/>
          <w:lang w:val="fr-FR"/>
        </w:rPr>
      </w:pPr>
    </w:p>
    <w:p w:rsidR="00311D99" w:rsidRPr="003964D3" w:rsidRDefault="00311D99" w:rsidP="00311D99">
      <w:pPr>
        <w:rPr>
          <w:rFonts w:ascii="Calibri" w:hAnsi="Calibri"/>
          <w:lang w:val="fr-FR"/>
        </w:rPr>
      </w:pPr>
      <w:r w:rsidRPr="003964D3">
        <w:rPr>
          <w:rFonts w:ascii="Calibri" w:hAnsi="Calibri"/>
          <w:lang w:val="fr-FR"/>
        </w:rPr>
        <w:t>Se preconizează înființarea a 8 centre regionale de colectare.</w:t>
      </w:r>
    </w:p>
    <w:p w:rsidR="00311D99" w:rsidRPr="003964D3" w:rsidRDefault="00311D99" w:rsidP="00311D99">
      <w:pPr>
        <w:rPr>
          <w:rFonts w:ascii="Calibri" w:hAnsi="Calibri"/>
          <w:lang w:val="fr-FR"/>
        </w:rPr>
      </w:pPr>
    </w:p>
    <w:p w:rsidR="00311D99" w:rsidRPr="00311D99" w:rsidRDefault="00311D99" w:rsidP="00311D99">
      <w:pPr>
        <w:jc w:val="both"/>
        <w:rPr>
          <w:rFonts w:ascii="Calibri" w:hAnsi="Calibri"/>
        </w:rPr>
      </w:pPr>
      <w:r w:rsidRPr="00311D99">
        <w:rPr>
          <w:rFonts w:ascii="Calibri" w:hAnsi="Calibri"/>
          <w:b/>
        </w:rPr>
        <w:sym w:font="Wingdings" w:char="F0D8"/>
      </w:r>
      <w:r w:rsidRPr="00311D99">
        <w:rPr>
          <w:rFonts w:ascii="Calibri" w:hAnsi="Calibri"/>
          <w:b/>
        </w:rPr>
        <w:t xml:space="preserve"> Amenajamente pastorale</w:t>
      </w:r>
    </w:p>
    <w:p w:rsidR="00311D99" w:rsidRPr="00311D99" w:rsidRDefault="00311D99" w:rsidP="00311D99">
      <w:pPr>
        <w:jc w:val="both"/>
        <w:rPr>
          <w:rFonts w:ascii="Calibri" w:hAnsi="Calibri"/>
        </w:rPr>
      </w:pPr>
    </w:p>
    <w:p w:rsidR="00311D99" w:rsidRPr="00311D99" w:rsidRDefault="00311D99" w:rsidP="00311D99">
      <w:pPr>
        <w:numPr>
          <w:ilvl w:val="0"/>
          <w:numId w:val="23"/>
        </w:numPr>
        <w:ind w:left="284" w:hanging="284"/>
        <w:jc w:val="both"/>
        <w:rPr>
          <w:rFonts w:ascii="Calibri" w:eastAsia="Calibri" w:hAnsi="Calibri"/>
          <w:lang w:val="ro-RO"/>
        </w:rPr>
      </w:pPr>
      <w:r w:rsidRPr="00311D99">
        <w:rPr>
          <w:rFonts w:ascii="Calibri" w:eastAsia="Calibri" w:hAnsi="Calibri"/>
          <w:b/>
          <w:bCs/>
          <w:lang w:val="ro-RO"/>
        </w:rPr>
        <w:t>Schema de garantare a finanţărilor acordate de instituţiile finanţatoare pe baza certificatelor de depozit</w:t>
      </w:r>
    </w:p>
    <w:p w:rsidR="00311D99" w:rsidRPr="00311D99" w:rsidRDefault="00311D99" w:rsidP="00311D99">
      <w:pPr>
        <w:jc w:val="both"/>
        <w:rPr>
          <w:rFonts w:ascii="Calibri" w:eastAsia="Calibri" w:hAnsi="Calibri"/>
          <w:lang w:val="ro-RO"/>
        </w:rPr>
      </w:pPr>
    </w:p>
    <w:p w:rsidR="00311D99" w:rsidRPr="003964D3" w:rsidRDefault="00311D99" w:rsidP="00311D99">
      <w:pPr>
        <w:rPr>
          <w:rFonts w:ascii="Calibri" w:hAnsi="Calibri"/>
          <w:lang w:val="fr-FR"/>
        </w:rPr>
      </w:pPr>
      <w:r w:rsidRPr="003964D3">
        <w:rPr>
          <w:rFonts w:ascii="Calibri" w:hAnsi="Calibri"/>
          <w:lang w:val="fr-FR"/>
        </w:rPr>
        <w:t>Se preconizează depozitarea cantității de 100 mii tone semințe de consum, în valoare de 70.000 lei pentru care se solicită certificate de deposit și se accesează credite bancare.</w:t>
      </w:r>
    </w:p>
    <w:p w:rsidR="00311D99" w:rsidRPr="003964D3" w:rsidRDefault="00311D99" w:rsidP="00311D99">
      <w:pPr>
        <w:rPr>
          <w:rFonts w:ascii="Calibri" w:hAnsi="Calibri"/>
          <w:lang w:val="fr-FR"/>
        </w:rPr>
      </w:pPr>
    </w:p>
    <w:p w:rsidR="00311D99" w:rsidRPr="00311D99" w:rsidRDefault="00311D99" w:rsidP="00311D99">
      <w:pPr>
        <w:jc w:val="both"/>
        <w:rPr>
          <w:rFonts w:ascii="Calibri" w:eastAsia="Calibri" w:hAnsi="Calibri"/>
          <w:lang w:val="ro-RO"/>
        </w:rPr>
      </w:pPr>
      <w:r w:rsidRPr="00311D99">
        <w:rPr>
          <w:rFonts w:ascii="Calibri" w:eastAsia="Calibri" w:hAnsi="Calibri"/>
          <w:b/>
          <w:bCs/>
          <w:lang w:val="ro-RO"/>
        </w:rPr>
        <w:t>Mentenanța și dezvoltarea sistemului informatic AE</w:t>
      </w:r>
    </w:p>
    <w:p w:rsidR="00311D99" w:rsidRPr="00311D99" w:rsidRDefault="00311D99" w:rsidP="00311D99">
      <w:pPr>
        <w:jc w:val="both"/>
        <w:rPr>
          <w:rFonts w:ascii="Calibri" w:eastAsia="Calibri" w:hAnsi="Calibri"/>
          <w:lang w:val="ro-RO"/>
        </w:rPr>
      </w:pPr>
    </w:p>
    <w:p w:rsidR="00311D99" w:rsidRPr="003964D3" w:rsidRDefault="00311D99" w:rsidP="00311D99">
      <w:pPr>
        <w:jc w:val="both"/>
        <w:rPr>
          <w:rFonts w:ascii="Calibri" w:hAnsi="Calibri"/>
          <w:lang w:val="fr-FR"/>
        </w:rPr>
      </w:pPr>
      <w:r w:rsidRPr="003964D3">
        <w:rPr>
          <w:rFonts w:ascii="Calibri" w:hAnsi="Calibri"/>
          <w:lang w:val="fr-FR"/>
        </w:rPr>
        <w:t xml:space="preserve">MADR are în derulare, în prezent, procedura de atribuire a acordului-cadru având ca obiect </w:t>
      </w:r>
      <w:r w:rsidRPr="003964D3">
        <w:rPr>
          <w:rFonts w:ascii="Calibri" w:hAnsi="Calibri"/>
          <w:i/>
          <w:lang w:val="fr-FR"/>
        </w:rPr>
        <w:t>Achiziția de servicii de mentenanță și suport tehnic pentru Sistemul Informatic Integrat pentru Agricultura Ecologică (SII – AE)</w:t>
      </w:r>
      <w:r w:rsidRPr="003964D3">
        <w:rPr>
          <w:rFonts w:ascii="Calibri" w:hAnsi="Calibri"/>
          <w:lang w:val="fr-FR"/>
        </w:rPr>
        <w:t>. Contractul de achiziție publică are ca obiectiv general menținerea funcționalităților Sistemul Informatic Integrat pentru Agricultura Ecologică (SII – AE) în acord cu modificările legislației europene și naționale pentru asigurarea gestionării corecte a solicitărilor de plată.</w:t>
      </w:r>
    </w:p>
    <w:p w:rsidR="00E440EC" w:rsidRPr="003964D3" w:rsidRDefault="00E440EC" w:rsidP="00E440EC">
      <w:pPr>
        <w:jc w:val="both"/>
        <w:rPr>
          <w:rFonts w:ascii="Calibri" w:hAnsi="Calibri"/>
          <w:lang w:val="fr-FR"/>
        </w:rPr>
      </w:pPr>
    </w:p>
    <w:p w:rsidR="00573232" w:rsidRPr="00C86702" w:rsidRDefault="00573232" w:rsidP="001E0D47">
      <w:pPr>
        <w:pStyle w:val="Frspaiere1"/>
        <w:jc w:val="both"/>
        <w:rPr>
          <w:sz w:val="24"/>
          <w:szCs w:val="24"/>
          <w:lang w:val="ro-RO"/>
        </w:rPr>
      </w:pPr>
    </w:p>
    <w:tbl>
      <w:tblPr>
        <w:tblW w:w="5000" w:type="pct"/>
        <w:shd w:val="clear" w:color="auto" w:fill="FFFFFF"/>
        <w:tblLook w:val="01E0" w:firstRow="1" w:lastRow="1" w:firstColumn="1" w:lastColumn="1" w:noHBand="0" w:noVBand="0"/>
      </w:tblPr>
      <w:tblGrid>
        <w:gridCol w:w="10081"/>
      </w:tblGrid>
      <w:tr w:rsidR="00581A64" w:rsidRPr="00C86702" w:rsidTr="00D7373B">
        <w:tc>
          <w:tcPr>
            <w:tcW w:w="5000" w:type="pct"/>
            <w:shd w:val="clear" w:color="auto" w:fill="99CCFF"/>
          </w:tcPr>
          <w:p w:rsidR="00581A64" w:rsidRPr="00C86702" w:rsidRDefault="00581A64" w:rsidP="00BE7071">
            <w:pPr>
              <w:spacing w:line="269" w:lineRule="auto"/>
              <w:jc w:val="both"/>
              <w:rPr>
                <w:rFonts w:ascii="Calibri" w:hAnsi="Calibri"/>
                <w:b/>
                <w:color w:val="000080"/>
                <w:lang w:val="ro-RO"/>
              </w:rPr>
            </w:pPr>
            <w:r w:rsidRPr="00C86702">
              <w:rPr>
                <w:rFonts w:ascii="Calibri" w:hAnsi="Calibri"/>
                <w:b/>
                <w:color w:val="000080"/>
                <w:lang w:val="ro-RO"/>
              </w:rPr>
              <w:t>Bugete locale</w:t>
            </w:r>
          </w:p>
        </w:tc>
      </w:tr>
    </w:tbl>
    <w:p w:rsidR="00DE78ED" w:rsidRPr="007A7502" w:rsidRDefault="00DE78ED" w:rsidP="00623A55">
      <w:pPr>
        <w:spacing w:line="269" w:lineRule="auto"/>
        <w:jc w:val="both"/>
        <w:rPr>
          <w:rFonts w:ascii="Calibri" w:hAnsi="Calibri" w:cs="Arial"/>
          <w:sz w:val="12"/>
          <w:lang w:val="ro-RO"/>
        </w:rPr>
      </w:pPr>
    </w:p>
    <w:p w:rsidR="003D4AE3" w:rsidRPr="00BB06DB" w:rsidRDefault="003D4AE3" w:rsidP="003D4AE3">
      <w:pPr>
        <w:pStyle w:val="BodyText"/>
        <w:spacing w:after="0" w:line="269" w:lineRule="auto"/>
        <w:jc w:val="both"/>
        <w:rPr>
          <w:rFonts w:ascii="Calibri" w:hAnsi="Calibri" w:cs="Arial"/>
          <w:lang w:val="ro-RO"/>
        </w:rPr>
      </w:pPr>
      <w:r w:rsidRPr="00BB06DB">
        <w:rPr>
          <w:rFonts w:ascii="Calibri" w:hAnsi="Calibri" w:cs="Arial"/>
          <w:lang w:val="ro-RO"/>
        </w:rPr>
        <w:t>Sumele defalcate din taxa pe valoarea adăugată pentru bugetele locale au fost estimate, pe orizontul de referinţă, în baza legislaţiei în vigoare.</w:t>
      </w:r>
    </w:p>
    <w:p w:rsidR="003D4AE3" w:rsidRDefault="003D4AE3" w:rsidP="003D4AE3">
      <w:pPr>
        <w:pStyle w:val="BodyText"/>
        <w:spacing w:after="0" w:line="269" w:lineRule="auto"/>
        <w:jc w:val="both"/>
        <w:rPr>
          <w:rFonts w:ascii="Calibri" w:hAnsi="Calibri" w:cs="Arial"/>
          <w:lang w:val="ro-RO"/>
        </w:rPr>
      </w:pPr>
      <w:r w:rsidRPr="00BB06DB">
        <w:rPr>
          <w:rFonts w:ascii="Calibri" w:hAnsi="Calibri"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învăţământ și servicii sociale.</w:t>
      </w:r>
    </w:p>
    <w:p w:rsidR="003D4AE3" w:rsidRPr="00BB06DB" w:rsidRDefault="003D4AE3" w:rsidP="003D4AE3">
      <w:pPr>
        <w:pStyle w:val="BodyText"/>
        <w:spacing w:after="0" w:line="269" w:lineRule="auto"/>
        <w:jc w:val="both"/>
        <w:rPr>
          <w:rFonts w:ascii="Calibri" w:hAnsi="Calibri" w:cs="Arial"/>
          <w:b/>
          <w:bCs/>
          <w:lang w:val="ro-RO"/>
        </w:rPr>
      </w:pPr>
      <w:r w:rsidRPr="00BB06DB">
        <w:rPr>
          <w:rFonts w:ascii="Calibri" w:hAnsi="Calibri" w:cs="Arial"/>
          <w:b/>
          <w:bCs/>
          <w:lang w:val="ro-RO"/>
        </w:rPr>
        <w:t>Sumele defalcate din taxa pe valoarea adăugată sunt destinate finanțării:</w:t>
      </w:r>
    </w:p>
    <w:p w:rsidR="003D4AE3" w:rsidRPr="00BB06DB" w:rsidRDefault="003D4AE3" w:rsidP="003D4AE3">
      <w:pPr>
        <w:pStyle w:val="BodyText"/>
        <w:numPr>
          <w:ilvl w:val="0"/>
          <w:numId w:val="130"/>
        </w:numPr>
        <w:spacing w:after="0" w:line="269" w:lineRule="auto"/>
        <w:jc w:val="both"/>
        <w:rPr>
          <w:rFonts w:ascii="Calibri" w:hAnsi="Calibri" w:cs="Arial"/>
          <w:b/>
          <w:bCs/>
          <w:lang w:val="ro-RO"/>
        </w:rPr>
      </w:pPr>
      <w:r w:rsidRPr="00BB06DB">
        <w:rPr>
          <w:rFonts w:ascii="Calibri" w:hAnsi="Calibri" w:cs="Arial"/>
          <w:b/>
          <w:bCs/>
          <w:lang w:val="ro-RO"/>
        </w:rPr>
        <w:t xml:space="preserve">cheltuielilor descentralizate la nivelul județelor : </w:t>
      </w:r>
    </w:p>
    <w:p w:rsidR="003D4AE3" w:rsidRPr="005D1F66" w:rsidRDefault="003D4AE3" w:rsidP="003D4AE3">
      <w:pPr>
        <w:pStyle w:val="ListParagraph"/>
        <w:numPr>
          <w:ilvl w:val="0"/>
          <w:numId w:val="232"/>
        </w:numPr>
        <w:autoSpaceDE w:val="0"/>
        <w:spacing w:line="269" w:lineRule="auto"/>
        <w:jc w:val="both"/>
        <w:rPr>
          <w:rFonts w:ascii="Calibri" w:hAnsi="Calibri" w:cs="Arial"/>
          <w:lang w:eastAsia="ro-RO"/>
        </w:rPr>
      </w:pPr>
      <w:r w:rsidRPr="005D1F66">
        <w:rPr>
          <w:rFonts w:ascii="Calibri" w:hAnsi="Calibri" w:cs="Arial"/>
        </w:rPr>
        <w:t xml:space="preserve">finanțarea Programului pentru şcoli al României, în perioada ianuarie-iunie a anului şcolar </w:t>
      </w:r>
      <w:r w:rsidRPr="005D1F66">
        <w:rPr>
          <w:rFonts w:asciiTheme="minorHAnsi" w:hAnsiTheme="minorHAnsi" w:cs="Arial"/>
        </w:rPr>
        <w:t>2018 - 2019, potrivit prevederilor Hotărârii Guvernului nr. 533/2018 privind stabilirea bugetului pentru implementarea Programului pentru şcoli al României în perioada 2017 - 2023 pentru anul şcolar 2018 - 2019, precum şi modificarea şi completarea Hotărârii Guvernului nr. 640/2017 pentru aprobarea Programului pentru şcoli al României în perioada 2017 - 2023 şi pentru stabilirea bugetului pentru implementarea acestuia în anul şcolar 2017 - 2018</w:t>
      </w:r>
      <w:r w:rsidRPr="005D1F66">
        <w:rPr>
          <w:rFonts w:ascii="Calibri" w:hAnsi="Calibri" w:cs="Arial"/>
        </w:rPr>
        <w:t>;</w:t>
      </w:r>
    </w:p>
    <w:p w:rsidR="003D4AE3" w:rsidRDefault="003D4AE3" w:rsidP="003D4AE3">
      <w:pPr>
        <w:pStyle w:val="ListParagraph"/>
        <w:numPr>
          <w:ilvl w:val="0"/>
          <w:numId w:val="232"/>
        </w:numPr>
        <w:autoSpaceDE w:val="0"/>
        <w:autoSpaceDN w:val="0"/>
        <w:adjustRightInd w:val="0"/>
        <w:spacing w:line="269" w:lineRule="auto"/>
        <w:jc w:val="both"/>
        <w:rPr>
          <w:rFonts w:ascii="Calibri" w:hAnsi="Calibri" w:cs="Arial"/>
          <w:lang w:eastAsia="ro-RO"/>
        </w:rPr>
      </w:pPr>
      <w:r w:rsidRPr="005D1F66">
        <w:rPr>
          <w:rFonts w:ascii="Calibri" w:hAnsi="Calibri" w:cs="Arial"/>
          <w:lang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în conformitate cu prevederile lit. A din anexa la Hotărârea Guvernului nr. 904/2014 pentru stabilirea limitelor minime de cheltuieli aferente drepturilor prevăzute de art. 129 alin. (1) din Legea </w:t>
      </w:r>
      <w:r w:rsidRPr="005D1F66">
        <w:rPr>
          <w:rFonts w:asciiTheme="minorHAnsi" w:eastAsiaTheme="minorHAnsi" w:hAnsiTheme="minorHAnsi" w:cs="Arial"/>
        </w:rPr>
        <w:t>educației naționale</w:t>
      </w:r>
      <w:r w:rsidRPr="005D1F66">
        <w:rPr>
          <w:rFonts w:ascii="Calibri" w:hAnsi="Calibri" w:cs="Arial"/>
          <w:lang w:eastAsia="ro-RO"/>
        </w:rPr>
        <w:t xml:space="preserve"> nr. 272/2004 privind protecția și promovarea drepturilor copilului;</w:t>
      </w:r>
    </w:p>
    <w:p w:rsidR="003D4AE3" w:rsidRDefault="003D4AE3" w:rsidP="003D4AE3">
      <w:pPr>
        <w:pStyle w:val="ListParagraph"/>
        <w:numPr>
          <w:ilvl w:val="0"/>
          <w:numId w:val="232"/>
        </w:numPr>
        <w:autoSpaceDE w:val="0"/>
        <w:autoSpaceDN w:val="0"/>
        <w:adjustRightInd w:val="0"/>
        <w:spacing w:line="269" w:lineRule="auto"/>
        <w:jc w:val="both"/>
        <w:rPr>
          <w:rFonts w:ascii="Calibri" w:hAnsi="Calibri" w:cs="Arial"/>
        </w:rPr>
      </w:pPr>
      <w:r w:rsidRPr="005D1F66">
        <w:rPr>
          <w:rFonts w:ascii="Calibri" w:hAnsi="Calibri" w:cs="Arial"/>
        </w:rPr>
        <w:t xml:space="preserve"> finanţarea </w:t>
      </w:r>
      <w:r w:rsidRPr="005D1F66">
        <w:rPr>
          <w:rFonts w:asciiTheme="minorHAnsi" w:hAnsiTheme="minorHAnsi" w:cs="Arial"/>
        </w:rPr>
        <w:t>cheltuielilor cu bunuri şi servicii pentru întreţinerea curentă a unităţilor de învăţământ special şi centrelor judeţene de resurse şi asistenţă educaţională din învăţământul special</w:t>
      </w:r>
      <w:r w:rsidRPr="005D1F66">
        <w:rPr>
          <w:rFonts w:ascii="Calibri" w:hAnsi="Calibri" w:cs="Arial"/>
          <w:lang w:eastAsia="ro-RO"/>
        </w:rPr>
        <w:t>;</w:t>
      </w:r>
    </w:p>
    <w:p w:rsidR="003D4AE3" w:rsidRPr="000D3066" w:rsidRDefault="003D4AE3" w:rsidP="003D4AE3">
      <w:pPr>
        <w:pStyle w:val="ListParagraph"/>
        <w:numPr>
          <w:ilvl w:val="0"/>
          <w:numId w:val="234"/>
        </w:numPr>
        <w:suppressAutoHyphens/>
        <w:autoSpaceDE w:val="0"/>
        <w:autoSpaceDN w:val="0"/>
        <w:adjustRightInd w:val="0"/>
        <w:spacing w:line="269" w:lineRule="auto"/>
        <w:jc w:val="both"/>
        <w:rPr>
          <w:rFonts w:asciiTheme="minorHAnsi" w:hAnsiTheme="minorHAnsi" w:cs="Arial"/>
          <w:szCs w:val="24"/>
          <w:lang w:eastAsia="ro-RO"/>
        </w:rPr>
      </w:pPr>
      <w:r w:rsidRPr="000D3066">
        <w:rPr>
          <w:rFonts w:asciiTheme="minorHAnsi" w:hAnsiTheme="minorHAnsi" w:cs="Arial"/>
        </w:rPr>
        <w:t>finanţarea instituţiilor de cultură descentralizate începând cu anul 2002;</w:t>
      </w:r>
    </w:p>
    <w:p w:rsidR="003D4AE3" w:rsidRPr="007A7502" w:rsidRDefault="003D4AE3" w:rsidP="003D4AE3">
      <w:pPr>
        <w:pStyle w:val="ListParagraph"/>
        <w:numPr>
          <w:ilvl w:val="0"/>
          <w:numId w:val="234"/>
        </w:numPr>
        <w:suppressAutoHyphens/>
        <w:autoSpaceDE w:val="0"/>
        <w:autoSpaceDN w:val="0"/>
        <w:adjustRightInd w:val="0"/>
        <w:spacing w:line="269" w:lineRule="auto"/>
        <w:jc w:val="both"/>
        <w:rPr>
          <w:rFonts w:asciiTheme="minorHAnsi" w:hAnsiTheme="minorHAnsi" w:cs="Arial"/>
          <w:szCs w:val="24"/>
          <w:lang w:eastAsia="ro-RO"/>
        </w:rPr>
      </w:pPr>
      <w:r w:rsidRPr="007A7502">
        <w:rPr>
          <w:rFonts w:asciiTheme="minorHAnsi" w:eastAsiaTheme="minorHAnsi" w:hAnsiTheme="minorHAnsi" w:cs="Arial"/>
        </w:rPr>
        <w:t>plata sprijinului sub formă de contribuții care va asigura completarea drepturilor salariale neacoperite din fondurile proprii ale unităților de cult locale, pentru personalul neclerical angajat în unitățile de cult din țară, potrivit prevederilor Legii-cadru nr. 153/2017 privind salarizarea personalului plătit din fonduri publice, cu modificările și completările ulterioare;</w:t>
      </w:r>
    </w:p>
    <w:p w:rsidR="003D4AE3" w:rsidRPr="000D3066" w:rsidRDefault="003D4AE3" w:rsidP="003D4AE3">
      <w:pPr>
        <w:pStyle w:val="ListParagraph"/>
        <w:numPr>
          <w:ilvl w:val="0"/>
          <w:numId w:val="234"/>
        </w:numPr>
        <w:suppressAutoHyphens/>
        <w:autoSpaceDE w:val="0"/>
        <w:autoSpaceDN w:val="0"/>
        <w:adjustRightInd w:val="0"/>
        <w:spacing w:line="269" w:lineRule="auto"/>
        <w:jc w:val="both"/>
        <w:rPr>
          <w:rFonts w:ascii="Calibri" w:hAnsi="Calibri" w:cs="Arial"/>
          <w:szCs w:val="24"/>
          <w:lang w:eastAsia="ro-RO"/>
        </w:rPr>
      </w:pPr>
      <w:r w:rsidRPr="000D3066">
        <w:rPr>
          <w:rFonts w:asciiTheme="minorHAnsi" w:hAnsiTheme="minorHAnsi" w:cs="Arial"/>
        </w:rPr>
        <w:t>finanţarea serviciilor pu</w:t>
      </w:r>
      <w:r w:rsidRPr="000D3066">
        <w:rPr>
          <w:rFonts w:ascii="Calibri" w:hAnsi="Calibri" w:cs="Arial"/>
        </w:rPr>
        <w:t>blice comunitare de evidenţă a persoanelor de sub autoritatea consiliilor judeţene;</w:t>
      </w:r>
    </w:p>
    <w:p w:rsidR="003D4AE3" w:rsidRDefault="003D4AE3" w:rsidP="003D4AE3">
      <w:pPr>
        <w:pStyle w:val="ListParagraph"/>
        <w:numPr>
          <w:ilvl w:val="0"/>
          <w:numId w:val="234"/>
        </w:numPr>
        <w:suppressAutoHyphens/>
        <w:autoSpaceDE w:val="0"/>
        <w:spacing w:line="269" w:lineRule="auto"/>
        <w:jc w:val="both"/>
        <w:rPr>
          <w:rFonts w:ascii="Calibri" w:hAnsi="Calibri" w:cs="Arial"/>
          <w:szCs w:val="24"/>
          <w:lang w:eastAsia="ro-RO"/>
        </w:rPr>
      </w:pPr>
      <w:r w:rsidRPr="005D1F66">
        <w:rPr>
          <w:rFonts w:ascii="Calibri" w:hAnsi="Calibri" w:cs="Arial"/>
          <w:szCs w:val="24"/>
          <w:lang w:eastAsia="ro-RO"/>
        </w:rPr>
        <w:t xml:space="preserve">finanțarea cheltuielilor de funcționare ale căminelor pentru persoane vârstnice de la nivelul județelor, potrivit prevederilor art.18, alin.(5), lit.c) din Legea nr.17/2000 privind asistența socială a persoanelor vârstnice, republicată, cu modificările și completările ulterioare; </w:t>
      </w:r>
    </w:p>
    <w:p w:rsidR="003D4AE3" w:rsidRPr="005D1F66" w:rsidRDefault="003D4AE3" w:rsidP="003D4AE3">
      <w:pPr>
        <w:pStyle w:val="ListParagraph"/>
        <w:numPr>
          <w:ilvl w:val="0"/>
          <w:numId w:val="234"/>
        </w:numPr>
        <w:suppressAutoHyphens/>
        <w:autoSpaceDE w:val="0"/>
        <w:spacing w:line="269" w:lineRule="auto"/>
        <w:jc w:val="both"/>
        <w:rPr>
          <w:rFonts w:ascii="Calibri" w:hAnsi="Calibri" w:cs="Arial"/>
          <w:szCs w:val="24"/>
          <w:lang w:eastAsia="ro-RO"/>
        </w:rPr>
      </w:pPr>
      <w:r w:rsidRPr="005D1F66">
        <w:rPr>
          <w:rFonts w:ascii="Calibri" w:hAnsi="Calibri" w:cs="Arial"/>
          <w:szCs w:val="24"/>
          <w:lang w:eastAsia="ro-RO"/>
        </w:rPr>
        <w:t>finanțarea drepturilor stabilite de Legea nr. 248/2015 privind stimularea participării în învățământul preșcolar a copiilor provenind din familii defavorizate, cu modificările și completările ulterioare.</w:t>
      </w:r>
    </w:p>
    <w:p w:rsidR="003D4AE3" w:rsidRPr="007A7502" w:rsidRDefault="003D4AE3" w:rsidP="003D4AE3">
      <w:pPr>
        <w:autoSpaceDE w:val="0"/>
        <w:spacing w:line="269" w:lineRule="auto"/>
        <w:jc w:val="both"/>
        <w:rPr>
          <w:rFonts w:ascii="Calibri" w:hAnsi="Calibri" w:cs="Arial"/>
          <w:sz w:val="14"/>
          <w:lang w:val="ro-RO"/>
        </w:rPr>
      </w:pPr>
    </w:p>
    <w:p w:rsidR="003D4AE3" w:rsidRDefault="003D4AE3" w:rsidP="003D4AE3">
      <w:pPr>
        <w:pStyle w:val="BodyText"/>
        <w:numPr>
          <w:ilvl w:val="0"/>
          <w:numId w:val="130"/>
        </w:numPr>
        <w:spacing w:after="0" w:line="269" w:lineRule="auto"/>
        <w:jc w:val="both"/>
        <w:rPr>
          <w:rFonts w:ascii="Calibri" w:hAnsi="Calibri" w:cs="Arial"/>
          <w:b/>
          <w:bCs/>
          <w:lang w:val="ro-RO"/>
        </w:rPr>
      </w:pPr>
      <w:r w:rsidRPr="00BB06DB">
        <w:rPr>
          <w:rFonts w:ascii="Calibri" w:hAnsi="Calibri" w:cs="Arial"/>
          <w:b/>
          <w:bCs/>
          <w:lang w:val="ro-RO"/>
        </w:rPr>
        <w:t>cheltuielilor descentralizate la nivelul comunelor, oraşelor, municipiilor şi sectoarelor municipiului Bucureşti:</w:t>
      </w:r>
    </w:p>
    <w:p w:rsidR="003D4AE3" w:rsidRPr="007A7502" w:rsidRDefault="003D4AE3" w:rsidP="003D4AE3">
      <w:pPr>
        <w:pStyle w:val="BodyText"/>
        <w:spacing w:after="0" w:line="269" w:lineRule="auto"/>
        <w:ind w:left="720"/>
        <w:jc w:val="both"/>
        <w:rPr>
          <w:rFonts w:ascii="Calibri" w:hAnsi="Calibri" w:cs="Arial"/>
          <w:b/>
          <w:bCs/>
          <w:sz w:val="10"/>
          <w:lang w:val="ro-RO"/>
        </w:rPr>
      </w:pPr>
    </w:p>
    <w:p w:rsidR="003D4AE3" w:rsidRPr="005D1F66" w:rsidRDefault="003D4AE3" w:rsidP="003D4AE3">
      <w:pPr>
        <w:pStyle w:val="ListParagraph"/>
        <w:numPr>
          <w:ilvl w:val="0"/>
          <w:numId w:val="233"/>
        </w:numPr>
        <w:autoSpaceDE w:val="0"/>
        <w:autoSpaceDN w:val="0"/>
        <w:adjustRightInd w:val="0"/>
        <w:spacing w:line="269" w:lineRule="auto"/>
        <w:jc w:val="both"/>
        <w:rPr>
          <w:rFonts w:ascii="Calibri" w:hAnsi="Calibri" w:cs="Arial"/>
          <w:lang w:eastAsia="ro-RO"/>
        </w:rPr>
      </w:pPr>
      <w:r w:rsidRPr="005D1F66">
        <w:rPr>
          <w:rFonts w:ascii="Calibri" w:hAnsi="Calibri" w:cs="Arial"/>
        </w:rPr>
        <w:t xml:space="preserve">finanţarea </w:t>
      </w:r>
      <w:r w:rsidRPr="005D1F66">
        <w:rPr>
          <w:rFonts w:ascii="Calibri" w:hAnsi="Calibri" w:cs="Arial"/>
          <w:lang w:eastAsia="ro-RO"/>
        </w:rPr>
        <w:t>de bază a unităților de învățământ preuniversitar de stat pentru categoriile de cheltuieli prevăzute la art. 104 alin. (2) lit. b) - d) din Legea educației naționale nr. 1/2011, cu modificările și completările ulterioare;</w:t>
      </w:r>
    </w:p>
    <w:p w:rsidR="003D4AE3" w:rsidRPr="00BB06DB" w:rsidRDefault="003D4AE3" w:rsidP="003D4AE3">
      <w:pPr>
        <w:pStyle w:val="BodyText"/>
        <w:numPr>
          <w:ilvl w:val="0"/>
          <w:numId w:val="233"/>
        </w:numPr>
        <w:spacing w:after="0" w:line="269" w:lineRule="auto"/>
        <w:jc w:val="both"/>
        <w:rPr>
          <w:rFonts w:ascii="Calibri" w:hAnsi="Calibri" w:cs="Arial"/>
          <w:lang w:val="ro-RO"/>
        </w:rPr>
      </w:pPr>
      <w:r w:rsidRPr="00BB06DB">
        <w:rPr>
          <w:rFonts w:ascii="Calibri" w:hAnsi="Calibri" w:cs="Arial"/>
          <w:lang w:val="ro-RO"/>
        </w:rPr>
        <w:t>ajutorul pentru încălzirea locuinţei cu lemne, cărbuni şi combustibili petrolieri, pentru beneficiarii de ajutor social;</w:t>
      </w:r>
    </w:p>
    <w:p w:rsidR="003D4AE3" w:rsidRPr="00BB06DB" w:rsidRDefault="003D4AE3" w:rsidP="003D4AE3">
      <w:pPr>
        <w:pStyle w:val="BodyText"/>
        <w:numPr>
          <w:ilvl w:val="0"/>
          <w:numId w:val="233"/>
        </w:numPr>
        <w:spacing w:after="0" w:line="269" w:lineRule="auto"/>
        <w:jc w:val="both"/>
        <w:rPr>
          <w:rFonts w:ascii="Calibri" w:hAnsi="Calibri" w:cs="Arial"/>
          <w:lang w:val="ro-RO"/>
        </w:rPr>
      </w:pPr>
      <w:r w:rsidRPr="00BB06DB">
        <w:rPr>
          <w:rFonts w:ascii="Calibri" w:hAnsi="Calibri" w:cs="Arial"/>
          <w:lang w:val="ro-RO"/>
        </w:rPr>
        <w:t>serviciile publice comunitare de evidenţă a persoanelor de sub autoritatea consiliilor locale ale comunelor, oraşelor, municipiilor, sectoarelor şi Consiliului General al Municipiului Bucureşti;</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lang w:val="ro-RO" w:eastAsia="ro-RO"/>
        </w:rPr>
      </w:pPr>
      <w:r w:rsidRPr="00BB06DB">
        <w:rPr>
          <w:rFonts w:ascii="Calibri" w:hAnsi="Calibri" w:cs="Arial"/>
          <w:sz w:val="24"/>
          <w:szCs w:val="24"/>
          <w:lang w:val="ro-RO" w:eastAsia="ro-RO"/>
        </w:rPr>
        <w:t>finanțarea cheltuielilor creșelor;</w:t>
      </w:r>
    </w:p>
    <w:p w:rsidR="003D4AE3" w:rsidRPr="007A7502" w:rsidRDefault="003D4AE3" w:rsidP="003D4AE3">
      <w:pPr>
        <w:pStyle w:val="ListParagraph"/>
        <w:numPr>
          <w:ilvl w:val="0"/>
          <w:numId w:val="233"/>
        </w:numPr>
        <w:autoSpaceDE w:val="0"/>
        <w:autoSpaceDN w:val="0"/>
        <w:adjustRightInd w:val="0"/>
        <w:spacing w:line="269" w:lineRule="auto"/>
        <w:jc w:val="both"/>
        <w:rPr>
          <w:rFonts w:asciiTheme="minorHAnsi" w:hAnsiTheme="minorHAnsi" w:cs="Arial"/>
          <w:lang w:eastAsia="ro-RO"/>
        </w:rPr>
      </w:pPr>
      <w:r w:rsidRPr="005D1F66">
        <w:rPr>
          <w:rFonts w:ascii="Calibri" w:hAnsi="Calibri" w:cs="Arial"/>
          <w:lang w:eastAsia="ro-RO"/>
        </w:rPr>
        <w:t xml:space="preserve">finanțarea cheltuielilor descentralizate la nivelul sectoarelor și municipiului București, respectiv pentru: </w:t>
      </w:r>
      <w:r w:rsidRPr="007C3181">
        <w:rPr>
          <w:rFonts w:asciiTheme="minorHAnsi" w:hAnsiTheme="minorHAnsi" w:cs="Arial"/>
        </w:rPr>
        <w:t xml:space="preserve">finanțarea </w:t>
      </w:r>
      <w:r w:rsidRPr="005D1F66">
        <w:rPr>
          <w:rFonts w:asciiTheme="minorHAnsi" w:hAnsiTheme="minorHAnsi" w:cs="Arial"/>
        </w:rPr>
        <w:t xml:space="preserve">cheltuielilor determinate de implementarea Programului pentru şcoli al României, în perioada ianuarie - iunie a anului şcolar 2018 - 2019, potrivit prevederilor Hotărârii Guvernului nr. 533/2018, cheltuielile cu bunuri şi servicii pentru întreţinerea curentă a unităţilor de învăţământ special şi centrele de resurse şi </w:t>
      </w:r>
      <w:r w:rsidRPr="000D3066">
        <w:rPr>
          <w:rFonts w:asciiTheme="minorHAnsi" w:hAnsiTheme="minorHAnsi" w:cs="Arial"/>
        </w:rPr>
        <w:t xml:space="preserve">asistenţă educaţională, instituţiile de cultură descentralizate începând cu anul </w:t>
      </w:r>
      <w:r w:rsidRPr="007A7502">
        <w:rPr>
          <w:rFonts w:asciiTheme="minorHAnsi" w:hAnsiTheme="minorHAnsi" w:cs="Arial"/>
        </w:rPr>
        <w:t xml:space="preserve">2002 și </w:t>
      </w:r>
      <w:r w:rsidRPr="007A7502">
        <w:rPr>
          <w:rFonts w:asciiTheme="minorHAnsi" w:eastAsiaTheme="minorHAnsi" w:hAnsiTheme="minorHAnsi" w:cs="Arial"/>
        </w:rPr>
        <w:t>plata sprijinului sub formă de contribuții care va asigura completarea drepturilor salariale neacoperite din fondurile proprii ale unităților de cult locale pentru personalul neclerical angajat în unitățile de cult, potrivit prevederilor Legii-cadru nr. 153/2017, cu modificările și completările ulterioare</w:t>
      </w:r>
      <w:r w:rsidRPr="007A7502">
        <w:rPr>
          <w:rFonts w:asciiTheme="minorHAnsi" w:hAnsiTheme="minorHAnsi" w:cs="Arial"/>
        </w:rPr>
        <w:t xml:space="preserve">; </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lang w:val="ro-RO" w:eastAsia="ro-RO"/>
        </w:rPr>
      </w:pPr>
      <w:r w:rsidRPr="000D3066">
        <w:rPr>
          <w:rFonts w:asciiTheme="minorHAnsi" w:hAnsiTheme="minorHAnsi" w:cs="Arial"/>
          <w:sz w:val="24"/>
          <w:szCs w:val="24"/>
          <w:lang w:val="ro-RO" w:eastAsia="ro-RO"/>
        </w:rPr>
        <w:t>finanțarea drepturilor stabilite de Legea nr. 248/2015 privind stimularea</w:t>
      </w:r>
      <w:r w:rsidRPr="00BB06DB">
        <w:rPr>
          <w:rFonts w:ascii="Calibri" w:hAnsi="Calibri" w:cs="Arial"/>
          <w:sz w:val="24"/>
          <w:szCs w:val="24"/>
          <w:lang w:val="ro-RO" w:eastAsia="ro-RO"/>
        </w:rPr>
        <w:t xml:space="preserve"> participării în învățământul preșcolar a copiilor provenind din familii defavorizate, cu modificările ulterioare;</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lang w:val="ro-RO" w:eastAsia="ro-RO"/>
        </w:rPr>
      </w:pPr>
      <w:r w:rsidRPr="00BB06DB">
        <w:rPr>
          <w:rFonts w:ascii="Calibri" w:hAnsi="Calibri" w:cs="Arial"/>
          <w:sz w:val="24"/>
          <w:szCs w:val="24"/>
          <w:lang w:val="ro-RO" w:eastAsia="ro-RO"/>
        </w:rPr>
        <w:t>finanțarea drepturilor copiilor cu cerințe educaționale speciale integrați în învățământul de masă, potrivit prevederilor Hotărârii Guvernului nr.564/2017 în conformitate cu prevederile lit. A din anexa la Hotărârea Guvernului nr. 904/2014 pentru stabilirea limitelor minime de cheltuieli aferente drepturilor prevăzute de art. 129 alin. (1) din Legea nr. 272/2004 privind protecția și promovarea drepturilor copilului;</w:t>
      </w:r>
    </w:p>
    <w:p w:rsidR="003D4AE3" w:rsidRDefault="003D4AE3" w:rsidP="003D4AE3">
      <w:pPr>
        <w:pStyle w:val="S1"/>
        <w:numPr>
          <w:ilvl w:val="0"/>
          <w:numId w:val="233"/>
        </w:numPr>
        <w:suppressAutoHyphens/>
        <w:spacing w:line="269" w:lineRule="auto"/>
        <w:ind w:right="0"/>
        <w:rPr>
          <w:rFonts w:ascii="Calibri" w:hAnsi="Calibri" w:cs="Arial"/>
          <w:sz w:val="24"/>
          <w:szCs w:val="24"/>
          <w:lang w:val="ro-RO" w:eastAsia="ro-RO"/>
        </w:rPr>
      </w:pPr>
      <w:r w:rsidRPr="00BB06DB">
        <w:rPr>
          <w:rFonts w:ascii="Calibri" w:hAnsi="Calibri" w:cs="Arial"/>
          <w:sz w:val="24"/>
          <w:szCs w:val="24"/>
          <w:lang w:val="ro-RO" w:eastAsia="ro-RO"/>
        </w:rPr>
        <w:t>finanțarea cheltuielilor de funcționare ale căminelor pentru persoane vârstnice de la nivelul comunelor, orașelor, municipiilor, sectoarelor municipiului București și municipiului București, potrivit prevederilor art.18 alin.(5) lit.c) din Legea nr.17/2000 privind asistența socială a persoanelor vârstnice, republicată, cu modificările și completările ulterioare;</w:t>
      </w:r>
    </w:p>
    <w:p w:rsidR="003D4AE3" w:rsidRPr="005D1F66" w:rsidRDefault="003D4AE3" w:rsidP="003D4AE3">
      <w:pPr>
        <w:pStyle w:val="S1"/>
        <w:numPr>
          <w:ilvl w:val="0"/>
          <w:numId w:val="233"/>
        </w:numPr>
        <w:suppressAutoHyphens/>
        <w:spacing w:line="269" w:lineRule="auto"/>
        <w:ind w:right="0"/>
        <w:rPr>
          <w:rFonts w:ascii="Calibri" w:hAnsi="Calibri" w:cs="Arial"/>
          <w:sz w:val="24"/>
          <w:szCs w:val="24"/>
          <w:lang w:val="ro-RO" w:eastAsia="ro-RO"/>
        </w:rPr>
      </w:pPr>
      <w:r w:rsidRPr="00715536">
        <w:rPr>
          <w:rFonts w:asciiTheme="minorHAnsi" w:hAnsiTheme="minorHAnsi" w:cs="Arial"/>
          <w:sz w:val="24"/>
          <w:szCs w:val="24"/>
          <w:lang w:val="ro-RO"/>
        </w:rPr>
        <w:t xml:space="preserve"> finanţarea cheltuielilor privind acordarea unui suport alimentar, potrivit prevederilor Ordonanței de urgență a Guvernului  nr.97/2018 privind aprobarea Programului-pilot de acordare a unui suport alimentar pentru preşcolarii şi elevii din 50 de unităţi de învăţământ preuniversitar de stat.</w:t>
      </w:r>
    </w:p>
    <w:p w:rsidR="003D4AE3" w:rsidRPr="007A7502" w:rsidRDefault="003D4AE3" w:rsidP="003D4AE3">
      <w:pPr>
        <w:pStyle w:val="S1"/>
        <w:suppressAutoHyphens/>
        <w:spacing w:line="269" w:lineRule="auto"/>
        <w:ind w:left="0" w:right="0" w:firstLine="0"/>
        <w:rPr>
          <w:rFonts w:ascii="Calibri" w:hAnsi="Calibri" w:cs="Arial"/>
          <w:sz w:val="10"/>
          <w:szCs w:val="24"/>
          <w:lang w:val="ro-RO" w:eastAsia="ro-RO"/>
        </w:rPr>
      </w:pPr>
    </w:p>
    <w:p w:rsidR="003D4AE3" w:rsidRPr="00BB06DB" w:rsidRDefault="003D4AE3" w:rsidP="003D4AE3">
      <w:pPr>
        <w:pStyle w:val="BodyText"/>
        <w:numPr>
          <w:ilvl w:val="0"/>
          <w:numId w:val="130"/>
        </w:numPr>
        <w:spacing w:after="0" w:line="269" w:lineRule="auto"/>
        <w:jc w:val="both"/>
        <w:rPr>
          <w:rFonts w:ascii="Calibri" w:hAnsi="Calibri" w:cs="Arial"/>
          <w:b/>
          <w:bCs/>
          <w:lang w:val="ro-RO"/>
        </w:rPr>
      </w:pPr>
      <w:r w:rsidRPr="00BB06DB">
        <w:rPr>
          <w:rFonts w:ascii="Calibri" w:hAnsi="Calibri" w:cs="Arial"/>
          <w:b/>
          <w:bCs/>
          <w:lang w:val="ro-RO"/>
        </w:rPr>
        <w:t>finanţarea cheltuielilor privind drumurile judeţene şi comunale;</w:t>
      </w:r>
    </w:p>
    <w:p w:rsidR="003D4AE3" w:rsidRPr="007A7502" w:rsidRDefault="003D4AE3" w:rsidP="003D4AE3">
      <w:pPr>
        <w:pStyle w:val="BodyText"/>
        <w:spacing w:after="0" w:line="269" w:lineRule="auto"/>
        <w:ind w:left="720"/>
        <w:jc w:val="both"/>
        <w:rPr>
          <w:rFonts w:ascii="Calibri" w:hAnsi="Calibri" w:cs="Arial"/>
          <w:b/>
          <w:bCs/>
          <w:sz w:val="14"/>
          <w:lang w:val="ro-RO"/>
        </w:rPr>
      </w:pPr>
    </w:p>
    <w:p w:rsidR="003D4AE3" w:rsidRPr="00BB06DB" w:rsidRDefault="003D4AE3" w:rsidP="003D4AE3">
      <w:pPr>
        <w:pStyle w:val="BodyText"/>
        <w:numPr>
          <w:ilvl w:val="0"/>
          <w:numId w:val="130"/>
        </w:numPr>
        <w:spacing w:after="0" w:line="269" w:lineRule="auto"/>
        <w:jc w:val="both"/>
        <w:rPr>
          <w:rFonts w:ascii="Calibri" w:hAnsi="Calibri" w:cs="Arial"/>
          <w:b/>
          <w:bCs/>
          <w:lang w:val="ro-RO"/>
        </w:rPr>
      </w:pPr>
      <w:r w:rsidRPr="00BB06DB">
        <w:rPr>
          <w:rFonts w:ascii="Calibri" w:hAnsi="Calibri" w:cs="Arial"/>
          <w:b/>
          <w:bCs/>
          <w:lang w:val="ro-RO"/>
        </w:rPr>
        <w:t>echilibrarea bugetelor locale ale comunelor, oraşelor, municipiilor şi judeţelor;</w:t>
      </w:r>
    </w:p>
    <w:p w:rsidR="003D4AE3" w:rsidRPr="007A7502" w:rsidRDefault="003D4AE3" w:rsidP="003D4AE3">
      <w:pPr>
        <w:pStyle w:val="BodyText"/>
        <w:spacing w:after="0" w:line="269" w:lineRule="auto"/>
        <w:ind w:left="720"/>
        <w:jc w:val="both"/>
        <w:rPr>
          <w:rFonts w:ascii="Calibri" w:hAnsi="Calibri" w:cs="Arial"/>
          <w:b/>
          <w:bCs/>
          <w:sz w:val="14"/>
          <w:lang w:val="ro-RO"/>
        </w:rPr>
      </w:pPr>
    </w:p>
    <w:p w:rsidR="003D4AE3" w:rsidRPr="00BB06DB" w:rsidRDefault="003D4AE3" w:rsidP="003D4AE3">
      <w:pPr>
        <w:pStyle w:val="BodyText"/>
        <w:numPr>
          <w:ilvl w:val="0"/>
          <w:numId w:val="130"/>
        </w:numPr>
        <w:spacing w:after="0" w:line="269" w:lineRule="auto"/>
        <w:jc w:val="both"/>
        <w:rPr>
          <w:rFonts w:ascii="Calibri" w:hAnsi="Calibri" w:cs="Arial"/>
          <w:lang w:val="ro-RO"/>
        </w:rPr>
      </w:pPr>
      <w:r w:rsidRPr="00BB06DB">
        <w:rPr>
          <w:rFonts w:ascii="Calibri" w:hAnsi="Calibri" w:cs="Arial"/>
          <w:b/>
          <w:bCs/>
          <w:lang w:val="ro-RO"/>
        </w:rPr>
        <w:t xml:space="preserve">finanțarea învățământului particular </w:t>
      </w:r>
      <w:r w:rsidRPr="00BB06DB">
        <w:rPr>
          <w:rFonts w:asciiTheme="minorHAnsi" w:eastAsiaTheme="minorHAnsi" w:hAnsiTheme="minorHAnsi" w:cs="Arial"/>
          <w:b/>
          <w:lang w:val="ro-RO"/>
        </w:rPr>
        <w:t>și cel confesional, acreditate</w:t>
      </w:r>
      <w:r w:rsidRPr="00BB06DB">
        <w:rPr>
          <w:rFonts w:ascii="Calibri" w:hAnsi="Calibri" w:cs="Arial"/>
          <w:b/>
          <w:bCs/>
          <w:lang w:val="ro-RO"/>
        </w:rPr>
        <w:t>.</w:t>
      </w:r>
    </w:p>
    <w:p w:rsidR="003D4AE3" w:rsidRPr="007A7502" w:rsidRDefault="003D4AE3" w:rsidP="003D4AE3">
      <w:pPr>
        <w:pStyle w:val="BodyText"/>
        <w:spacing w:after="0" w:line="269" w:lineRule="auto"/>
        <w:ind w:left="720"/>
        <w:jc w:val="both"/>
        <w:rPr>
          <w:rFonts w:ascii="Calibri" w:hAnsi="Calibri" w:cs="Arial"/>
          <w:sz w:val="14"/>
          <w:lang w:val="ro-RO"/>
        </w:rPr>
      </w:pPr>
    </w:p>
    <w:p w:rsidR="003D4AE3" w:rsidRPr="0030468A" w:rsidRDefault="003D4AE3" w:rsidP="0030468A">
      <w:pPr>
        <w:pStyle w:val="BodyText"/>
        <w:spacing w:after="0" w:line="269" w:lineRule="auto"/>
        <w:jc w:val="both"/>
        <w:rPr>
          <w:rFonts w:ascii="Calibri" w:hAnsi="Calibri" w:cs="Arial"/>
          <w:lang w:val="ro-RO"/>
        </w:rPr>
      </w:pPr>
      <w:r w:rsidRPr="00BB06DB">
        <w:rPr>
          <w:rFonts w:ascii="Calibri" w:hAnsi="Calibri" w:cs="Arial"/>
          <w:lang w:val="ro-RO"/>
        </w:rPr>
        <w:t xml:space="preserve">Destinaţia sumelor defalcate din taxa pe valoarea adăugată pentru bugetele locale, precum şi a subvenţiilor alocate de la bugetul de stat, prin bugetele unor ministere, către unităţile administrativ-teritoriale pe orizontul de referinţă este prezentată în tabelul de mai jos.  </w:t>
      </w:r>
    </w:p>
    <w:p w:rsidR="003D4AE3" w:rsidRPr="00BB06DB" w:rsidRDefault="0030468A" w:rsidP="0030468A">
      <w:pPr>
        <w:pStyle w:val="BodyText"/>
        <w:spacing w:after="0" w:line="288" w:lineRule="auto"/>
        <w:jc w:val="both"/>
        <w:rPr>
          <w:rFonts w:ascii="Calibri" w:hAnsi="Calibri" w:cs="Arial"/>
          <w:lang w:val="ro-RO"/>
        </w:rPr>
      </w:pPr>
      <w:r w:rsidRPr="0030468A">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t xml:space="preserve">                    - </w:t>
      </w:r>
      <w:r w:rsidR="003D4AE3" w:rsidRPr="00BB06DB">
        <w:rPr>
          <w:rFonts w:ascii="Calibri" w:hAnsi="Calibri" w:cs="Arial"/>
          <w:lang w:val="ro-RO"/>
        </w:rPr>
        <w:t>mii lei</w:t>
      </w:r>
      <w:r>
        <w:rPr>
          <w:rFonts w:ascii="Calibri" w:hAnsi="Calibri" w:cs="Arial"/>
          <w:lang w:val="ro-RO"/>
        </w:rPr>
        <w:t xml:space="preserve"> -</w:t>
      </w:r>
    </w:p>
    <w:tbl>
      <w:tblPr>
        <w:tblW w:w="10529" w:type="dxa"/>
        <w:jc w:val="center"/>
        <w:tblLayout w:type="fixed"/>
        <w:tblLook w:val="04A0" w:firstRow="1" w:lastRow="0" w:firstColumn="1" w:lastColumn="0" w:noHBand="0" w:noVBand="1"/>
      </w:tblPr>
      <w:tblGrid>
        <w:gridCol w:w="3823"/>
        <w:gridCol w:w="1134"/>
        <w:gridCol w:w="1134"/>
        <w:gridCol w:w="1134"/>
        <w:gridCol w:w="1134"/>
        <w:gridCol w:w="1134"/>
        <w:gridCol w:w="1036"/>
      </w:tblGrid>
      <w:tr w:rsidR="003D4AE3" w:rsidRPr="00BB06DB" w:rsidTr="00C41DD6">
        <w:trPr>
          <w:trHeight w:val="255"/>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lang w:val="ro-RO" w:eastAsia="ro-RO"/>
              </w:rPr>
            </w:pPr>
            <w:r w:rsidRPr="00BB06DB">
              <w:rPr>
                <w:rFonts w:ascii="Arial" w:hAnsi="Arial" w:cs="Arial"/>
                <w:b/>
                <w:bCs/>
                <w:sz w:val="16"/>
                <w:szCs w:val="16"/>
              </w:rPr>
              <w:t>D E N U M I R E A     I N D I C A T O R I L O 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BB06DB">
              <w:rPr>
                <w:rFonts w:ascii="Arial" w:hAnsi="Arial" w:cs="Arial"/>
                <w:b/>
                <w:bCs/>
                <w:sz w:val="16"/>
                <w:szCs w:val="16"/>
              </w:rPr>
              <w:t>Realizari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D05167">
              <w:rPr>
                <w:rFonts w:ascii="Arial" w:hAnsi="Arial" w:cs="Arial"/>
                <w:b/>
                <w:bCs/>
                <w:sz w:val="16"/>
                <w:szCs w:val="16"/>
              </w:rPr>
              <w:t>Realizări 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BB06DB">
              <w:rPr>
                <w:rFonts w:ascii="Arial" w:hAnsi="Arial" w:cs="Arial"/>
                <w:b/>
                <w:bCs/>
                <w:sz w:val="16"/>
                <w:szCs w:val="16"/>
              </w:rPr>
              <w:t>Propunere buget 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BB06DB">
              <w:rPr>
                <w:rFonts w:ascii="Arial" w:hAnsi="Arial" w:cs="Arial"/>
                <w:b/>
                <w:bCs/>
                <w:sz w:val="16"/>
                <w:szCs w:val="16"/>
              </w:rPr>
              <w:t>ESTIMARI 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BB06DB">
              <w:rPr>
                <w:rFonts w:ascii="Arial" w:hAnsi="Arial" w:cs="Arial"/>
                <w:b/>
                <w:bCs/>
                <w:sz w:val="16"/>
                <w:szCs w:val="16"/>
              </w:rPr>
              <w:t>ESTIMARI 2021</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sidRPr="00BB06DB">
              <w:rPr>
                <w:rFonts w:ascii="Arial" w:hAnsi="Arial" w:cs="Arial"/>
                <w:b/>
                <w:bCs/>
                <w:sz w:val="16"/>
                <w:szCs w:val="16"/>
              </w:rPr>
              <w:t>ESTIMARI 2022</w:t>
            </w:r>
          </w:p>
        </w:tc>
      </w:tr>
      <w:tr w:rsidR="003D4AE3" w:rsidRPr="00BB06DB" w:rsidTr="00C41DD6">
        <w:trPr>
          <w:trHeight w:val="930"/>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r>
      <w:tr w:rsidR="003D4AE3" w:rsidRPr="00BB06DB" w:rsidTr="00C41DD6">
        <w:trPr>
          <w:trHeight w:val="255"/>
          <w:jc w:val="center"/>
        </w:trPr>
        <w:tc>
          <w:tcPr>
            <w:tcW w:w="3823"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3D4AE3" w:rsidRPr="00BB06DB" w:rsidRDefault="003D4AE3" w:rsidP="00C41DD6">
            <w:pPr>
              <w:rPr>
                <w:rFonts w:ascii="Arial" w:hAnsi="Arial" w:cs="Arial"/>
                <w:b/>
                <w:bCs/>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4</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5</w:t>
            </w:r>
          </w:p>
        </w:tc>
        <w:tc>
          <w:tcPr>
            <w:tcW w:w="1036"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sidRPr="00BB06DB">
              <w:rPr>
                <w:rFonts w:ascii="Arial" w:hAnsi="Arial" w:cs="Arial"/>
                <w:sz w:val="14"/>
                <w:szCs w:val="14"/>
              </w:rPr>
              <w:t>6</w:t>
            </w:r>
          </w:p>
        </w:tc>
      </w:tr>
      <w:tr w:rsidR="003D4AE3" w:rsidRPr="00BB06DB" w:rsidTr="00C41DD6">
        <w:trPr>
          <w:trHeight w:val="4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sidRPr="00BB06DB">
              <w:rPr>
                <w:rFonts w:ascii="Arial" w:hAnsi="Arial" w:cs="Arial"/>
                <w:b/>
                <w:bCs/>
                <w:sz w:val="16"/>
                <w:szCs w:val="16"/>
              </w:rPr>
              <w:t xml:space="preserve">Sume defalcate din TVA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lang w:val="ro-RO" w:eastAsia="ro-RO"/>
              </w:rPr>
            </w:pPr>
            <w:r w:rsidRPr="00BB06DB">
              <w:rPr>
                <w:rFonts w:ascii="Arial" w:hAnsi="Arial" w:cs="Arial"/>
                <w:b/>
                <w:bCs/>
                <w:sz w:val="16"/>
                <w:szCs w:val="16"/>
              </w:rPr>
              <w:t>23.549.351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lang w:val="ro-RO"/>
              </w:rPr>
            </w:pPr>
            <w:r>
              <w:rPr>
                <w:rFonts w:ascii="Arial" w:hAnsi="Arial" w:cs="Arial"/>
                <w:b/>
                <w:bCs/>
                <w:sz w:val="16"/>
                <w:szCs w:val="16"/>
              </w:rPr>
              <w:t>15.369.842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b/>
                <w:bCs/>
                <w:sz w:val="16"/>
                <w:szCs w:val="16"/>
                <w:lang w:val="ro-RO"/>
              </w:rPr>
            </w:pPr>
            <w:r>
              <w:rPr>
                <w:rFonts w:ascii="Arial" w:hAnsi="Arial" w:cs="Arial"/>
                <w:b/>
                <w:bCs/>
                <w:sz w:val="16"/>
                <w:szCs w:val="16"/>
                <w:lang w:val="ro-RO"/>
              </w:rPr>
              <w:t>14.792.359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19.841.110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20.801.154</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21.555.933</w:t>
            </w:r>
          </w:p>
        </w:tc>
      </w:tr>
      <w:tr w:rsidR="003D4AE3" w:rsidRPr="00BB06DB" w:rsidTr="00C41DD6">
        <w:trPr>
          <w:trHeight w:val="5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Sume defalcate din taxa pe valoarea adăugată pentru finanţarea cheltuielilor descentralizate la nivelul judeţelor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2.903.904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2.296.277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cs="Arial"/>
                <w:sz w:val="16"/>
                <w:szCs w:val="16"/>
              </w:rPr>
              <w:t>938.772</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2.205.532</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2.208.009</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2.210.446</w:t>
            </w:r>
          </w:p>
        </w:tc>
      </w:tr>
      <w:tr w:rsidR="003D4AE3" w:rsidRPr="00BB06DB" w:rsidTr="00C41DD6">
        <w:trPr>
          <w:trHeight w:val="7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Sume defalcate din TVA pentru finanţarea cheltuielilor descentralizate la nivelul comunelor, oraşelor, municipiilor şi sectoarelor Municipiului Bucureşti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17.121.825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5.013.041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cs="Arial"/>
                <w:sz w:val="16"/>
                <w:szCs w:val="16"/>
              </w:rPr>
              <w:t>1.665.041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6.620.478</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6.653.919</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6.686.824</w:t>
            </w:r>
          </w:p>
        </w:tc>
      </w:tr>
      <w:tr w:rsidR="003D4AE3" w:rsidRPr="00BB06DB" w:rsidTr="00C41DD6">
        <w:trPr>
          <w:trHeight w:val="46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Sume defalcate din taxa pe valoarea adăugată pentru drumuri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426.464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435.307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cs="Arial"/>
                <w:sz w:val="16"/>
                <w:szCs w:val="16"/>
              </w:rPr>
              <w:t>6</w:t>
            </w:r>
            <w:r w:rsidRPr="005D1F66">
              <w:rPr>
                <w:rFonts w:ascii="Arial" w:hAnsi="Arial" w:cs="Arial"/>
                <w:sz w:val="16"/>
                <w:szCs w:val="16"/>
              </w:rPr>
              <w:t>00.000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300.000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300.000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300.000</w:t>
            </w:r>
          </w:p>
        </w:tc>
      </w:tr>
      <w:tr w:rsidR="003D4AE3" w:rsidRPr="00BB06DB" w:rsidTr="00C41DD6">
        <w:trPr>
          <w:trHeight w:val="40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Sume defalcate din taxa pe valoarea adăugată pentru echilibrarea bugetelor locale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2.990.338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7.459.079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sidRPr="005D1F66">
              <w:rPr>
                <w:rFonts w:ascii="Arial" w:hAnsi="Arial" w:cs="Arial"/>
                <w:sz w:val="16"/>
                <w:szCs w:val="16"/>
              </w:rPr>
              <w:t>1</w:t>
            </w:r>
            <w:r>
              <w:rPr>
                <w:rFonts w:ascii="Arial" w:hAnsi="Arial" w:cs="Arial"/>
                <w:sz w:val="16"/>
                <w:szCs w:val="16"/>
              </w:rPr>
              <w:t>1</w:t>
            </w:r>
            <w:r w:rsidRPr="005D1F66">
              <w:rPr>
                <w:rFonts w:ascii="Arial" w:hAnsi="Arial" w:cs="Arial"/>
                <w:sz w:val="16"/>
                <w:szCs w:val="16"/>
              </w:rPr>
              <w:t>.</w:t>
            </w:r>
            <w:r>
              <w:rPr>
                <w:rFonts w:ascii="Arial" w:hAnsi="Arial" w:cs="Arial"/>
                <w:sz w:val="16"/>
                <w:szCs w:val="16"/>
              </w:rPr>
              <w:t>409</w:t>
            </w:r>
            <w:r w:rsidRPr="005D1F66">
              <w:rPr>
                <w:rFonts w:ascii="Arial" w:hAnsi="Arial" w:cs="Arial"/>
                <w:sz w:val="16"/>
                <w:szCs w:val="16"/>
              </w:rPr>
              <w:t>.</w:t>
            </w:r>
            <w:r>
              <w:rPr>
                <w:rFonts w:ascii="Arial" w:hAnsi="Arial" w:cs="Arial"/>
                <w:sz w:val="16"/>
                <w:szCs w:val="16"/>
              </w:rPr>
              <w:t>946</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10.536.500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11.460.626</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12.180.063</w:t>
            </w:r>
          </w:p>
        </w:tc>
      </w:tr>
      <w:tr w:rsidR="003D4AE3" w:rsidRPr="00BB06DB" w:rsidTr="00C41DD6">
        <w:trPr>
          <w:trHeight w:val="5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Sume defalcate din taxa pe valoarea adăugată pentru finanțarea învățământului particular sau confesional acreditat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eastAsia="ro-RO"/>
              </w:rPr>
            </w:pPr>
            <w:r w:rsidRPr="00BB06DB">
              <w:rPr>
                <w:rFonts w:ascii="Arial" w:hAnsi="Arial" w:cs="Arial"/>
                <w:sz w:val="16"/>
                <w:szCs w:val="16"/>
              </w:rPr>
              <w:t>106.820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cs="Arial"/>
                <w:sz w:val="16"/>
                <w:szCs w:val="16"/>
              </w:rPr>
              <w:t>166.138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lang w:val="ro-RO"/>
              </w:rPr>
            </w:pPr>
            <w:r w:rsidRPr="005D1F66">
              <w:rPr>
                <w:rFonts w:ascii="Arial" w:hAnsi="Arial" w:cs="Arial"/>
                <w:sz w:val="16"/>
                <w:szCs w:val="16"/>
              </w:rPr>
              <w:t>178.600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178.600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178.600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178.600</w:t>
            </w:r>
          </w:p>
        </w:tc>
      </w:tr>
      <w:tr w:rsidR="003D4AE3" w:rsidRPr="00BB06DB" w:rsidTr="00C41DD6">
        <w:trPr>
          <w:trHeight w:val="42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sidRPr="00BB06DB">
              <w:rPr>
                <w:rFonts w:ascii="Arial" w:hAnsi="Arial" w:cs="Arial"/>
                <w:b/>
                <w:bCs/>
                <w:sz w:val="16"/>
                <w:szCs w:val="16"/>
              </w:rPr>
              <w:t xml:space="preserve">IV.  SUBVENTII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lang w:val="ro-RO" w:eastAsia="ro-RO"/>
              </w:rPr>
            </w:pPr>
            <w:r w:rsidRPr="00BB06DB">
              <w:rPr>
                <w:rFonts w:ascii="Arial" w:hAnsi="Arial" w:cs="Arial"/>
                <w:b/>
                <w:bCs/>
                <w:sz w:val="16"/>
                <w:szCs w:val="16"/>
              </w:rPr>
              <w:t>6.517.695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lang w:val="ro-RO"/>
              </w:rPr>
            </w:pPr>
            <w:r>
              <w:rPr>
                <w:rFonts w:ascii="Arial" w:hAnsi="Arial" w:cs="Arial"/>
                <w:b/>
                <w:bCs/>
                <w:sz w:val="16"/>
                <w:szCs w:val="16"/>
              </w:rPr>
              <w:t>10.449.219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lang w:val="ro-RO"/>
              </w:rPr>
            </w:pPr>
            <w:r>
              <w:rPr>
                <w:rFonts w:ascii="Arial" w:hAnsi="Arial" w:cs="Arial"/>
                <w:b/>
                <w:bCs/>
                <w:sz w:val="16"/>
                <w:szCs w:val="16"/>
              </w:rPr>
              <w:t>4.996.199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4.447.531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4.610.613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5.084.328</w:t>
            </w:r>
          </w:p>
        </w:tc>
      </w:tr>
      <w:tr w:rsidR="003D4AE3" w:rsidRPr="00BB06DB" w:rsidTr="00C41DD6">
        <w:trPr>
          <w:trHeight w:val="2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b/>
                <w:bCs/>
                <w:sz w:val="16"/>
                <w:szCs w:val="16"/>
                <w:lang w:val="fr-FR"/>
              </w:rPr>
            </w:pPr>
            <w:r w:rsidRPr="00715536">
              <w:rPr>
                <w:rFonts w:ascii="Arial" w:hAnsi="Arial" w:cs="Arial"/>
                <w:b/>
                <w:bCs/>
                <w:sz w:val="16"/>
                <w:szCs w:val="16"/>
                <w:lang w:val="fr-FR"/>
              </w:rPr>
              <w:t xml:space="preserve">SUBVENTII DE LA ALTE NIVELE ALE ADMINISTRATIEI PUBLICE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6.517.695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10.449.219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4.996.199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4.447.531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4.610.613</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5.084.328</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b/>
                <w:bCs/>
                <w:sz w:val="16"/>
                <w:szCs w:val="16"/>
                <w:lang w:val="fr-FR"/>
              </w:rPr>
            </w:pPr>
            <w:r w:rsidRPr="00715536">
              <w:rPr>
                <w:rFonts w:ascii="Arial" w:hAnsi="Arial" w:cs="Arial"/>
                <w:b/>
                <w:bCs/>
                <w:sz w:val="16"/>
                <w:szCs w:val="16"/>
                <w:lang w:val="fr-FR"/>
              </w:rPr>
              <w:t>Subventii de la bugetul de stat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5.876.676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9.904.743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4.986.199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4.435.086</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4.598.168</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5.071.883</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sidRPr="00BB06DB">
              <w:rPr>
                <w:rFonts w:ascii="Arial" w:hAnsi="Arial" w:cs="Arial"/>
                <w:b/>
                <w:bCs/>
                <w:sz w:val="16"/>
                <w:szCs w:val="16"/>
              </w:rPr>
              <w:t xml:space="preserve">A. De capital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2.621.137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5.207.111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4.590.599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4.018.435</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4.173.034</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4.637.319</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Retehnologizarea centralelor termice şi electrice  de termoficare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24.245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23.299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Planuri si  regulamente de urbanism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eastAsia="ro-RO"/>
              </w:rPr>
            </w:pPr>
            <w:r w:rsidRPr="00BB06DB">
              <w:rPr>
                <w:rFonts w:ascii="Arial" w:hAnsi="Arial" w:cs="Arial"/>
                <w:sz w:val="16"/>
                <w:szCs w:val="16"/>
              </w:rPr>
              <w:t>16.013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cs="Arial"/>
                <w:sz w:val="16"/>
                <w:szCs w:val="16"/>
              </w:rPr>
              <w:t>18.075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rPr>
            </w:pPr>
            <w:r w:rsidRPr="00BB06DB">
              <w:rPr>
                <w:rFonts w:ascii="Arial" w:hAnsi="Arial" w:cs="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rPr>
            </w:pPr>
            <w:r w:rsidRPr="00BB06DB">
              <w:rPr>
                <w:rFonts w:ascii="Arial" w:hAnsi="Arial" w:cs="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Finanţarea subprogramului privind alimentare cu apă a satelor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p>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 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0 </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Finanţarea acţiunilor privind reducerea riscului seismic al construcţiilor existente cu destinaţie de locuinţă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eastAsia="ro-RO"/>
              </w:rPr>
            </w:pPr>
            <w:r w:rsidRPr="00BB06DB">
              <w:rPr>
                <w:rFonts w:ascii="Arial" w:hAnsi="Arial" w:cs="Arial"/>
                <w:sz w:val="16"/>
                <w:szCs w:val="16"/>
              </w:rPr>
              <w:t>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lang w:val="ro-RO"/>
              </w:rPr>
            </w:pPr>
            <w:r w:rsidRPr="00F2678B">
              <w:rPr>
                <w:rFonts w:ascii="Arial" w:hAnsi="Arial" w:cs="Arial"/>
                <w:bCs/>
                <w:sz w:val="16"/>
                <w:szCs w:val="16"/>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rPr>
            </w:pPr>
            <w:r w:rsidRPr="00BB06DB">
              <w:rPr>
                <w:rFonts w:ascii="Arial" w:hAnsi="Arial" w:cs="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lang w:val="ro-RO"/>
              </w:rPr>
            </w:pPr>
            <w:r w:rsidRPr="00BB06DB">
              <w:rPr>
                <w:rFonts w:ascii="Arial" w:hAnsi="Arial" w:cs="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Subventii pentru reabilitarea termica a cladirilor de locuit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7.190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sidRPr="00F2678B">
              <w:rPr>
                <w:rFonts w:ascii="Arial" w:hAnsi="Arial" w:cs="Arial"/>
                <w:bCs/>
                <w:sz w:val="16"/>
                <w:szCs w:val="16"/>
              </w:rPr>
              <w:t>5.597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15.000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Subventii pentru finantarea programelor multianuale prioritare de mediu si gospodarire a apelor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24.396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8F7B96" w:rsidRDefault="003D4AE3" w:rsidP="00C41DD6">
            <w:pPr>
              <w:jc w:val="right"/>
              <w:rPr>
                <w:rFonts w:ascii="Arial" w:hAnsi="Arial" w:cs="Arial"/>
                <w:bCs/>
                <w:sz w:val="16"/>
                <w:szCs w:val="16"/>
              </w:rPr>
            </w:pPr>
            <w:r w:rsidRPr="008F7B96">
              <w:rPr>
                <w:rFonts w:ascii="Arial" w:hAnsi="Arial" w:cs="Arial"/>
                <w:bCs/>
                <w:sz w:val="16"/>
                <w:szCs w:val="16"/>
              </w:rPr>
              <w:t>9.041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8F7B96" w:rsidRDefault="003D4AE3" w:rsidP="00C41DD6">
            <w:pPr>
              <w:jc w:val="right"/>
              <w:rPr>
                <w:rFonts w:ascii="Arial" w:hAnsi="Arial" w:cs="Arial"/>
                <w:bCs/>
                <w:sz w:val="16"/>
                <w:szCs w:val="16"/>
              </w:rPr>
            </w:pPr>
            <w:r w:rsidRPr="008F7B96">
              <w:rPr>
                <w:rFonts w:ascii="Arial" w:hAnsi="Arial" w:cs="Arial"/>
                <w:bCs/>
                <w:sz w:val="16"/>
                <w:szCs w:val="16"/>
              </w:rPr>
              <w:t>4.653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FC6DED" w:rsidRDefault="003D4AE3" w:rsidP="00C41DD6">
            <w:pPr>
              <w:jc w:val="right"/>
              <w:rPr>
                <w:rFonts w:ascii="Arial" w:hAnsi="Arial" w:cs="Arial"/>
                <w:bCs/>
                <w:sz w:val="16"/>
                <w:szCs w:val="16"/>
              </w:rPr>
            </w:pPr>
            <w:r w:rsidRPr="00FC6DED">
              <w:rPr>
                <w:rFonts w:ascii="Arial" w:hAnsi="Arial" w:cs="Arial"/>
                <w:b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sidRPr="00F2678B">
              <w:rPr>
                <w:rFonts w:ascii="Arial" w:hAnsi="Arial" w:cs="Arial"/>
                <w:b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sidRPr="00F2678B">
              <w:rPr>
                <w:rFonts w:ascii="Arial" w:hAnsi="Arial" w:cs="Arial"/>
                <w:bCs/>
                <w:sz w:val="16"/>
                <w:szCs w:val="16"/>
              </w:rPr>
              <w:t>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Finanţarea cheltuielilor de capital ale unităţilor de învăţământ preuniversitar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-163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-376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cs="Arial"/>
                <w:sz w:val="16"/>
                <w:szCs w:val="16"/>
              </w:rPr>
              <w:t>65.00</w:t>
            </w:r>
            <w:r w:rsidRPr="00265343">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de la bugetul  de stat catre bugetele locale pentru finanţarea investiţiilor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lang w:val="ro-RO" w:eastAsia="ro-RO"/>
              </w:rPr>
            </w:pPr>
            <w:r w:rsidRPr="00265343">
              <w:rPr>
                <w:rFonts w:ascii="Arial" w:hAnsi="Arial" w:cs="Arial"/>
                <w:i/>
                <w:iCs/>
                <w:sz w:val="16"/>
                <w:szCs w:val="16"/>
              </w:rPr>
              <w:t>36.597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cs="Arial"/>
                <w:i/>
                <w:iCs/>
                <w:sz w:val="16"/>
                <w:szCs w:val="16"/>
              </w:rPr>
              <w:t>12.350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lang w:val="ro-RO"/>
              </w:rPr>
            </w:pPr>
            <w:r w:rsidRPr="00265343">
              <w:rPr>
                <w:rFonts w:ascii="Arial" w:hAnsi="Arial" w:cs="Arial"/>
                <w:i/>
                <w:iCs/>
                <w:sz w:val="16"/>
                <w:szCs w:val="16"/>
              </w:rPr>
              <w:t>614.513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sidRPr="00265343">
              <w:rPr>
                <w:rFonts w:ascii="Arial" w:hAnsi="Arial" w:cs="Arial"/>
                <w:i/>
                <w:iCs/>
                <w:sz w:val="16"/>
                <w:szCs w:val="16"/>
              </w:rPr>
              <w:t>61.000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sidRPr="00BB06DB">
              <w:rPr>
                <w:rFonts w:ascii="Arial" w:hAnsi="Arial" w:cs="Arial"/>
                <w:i/>
                <w:iCs/>
                <w:sz w:val="16"/>
                <w:szCs w:val="16"/>
              </w:rPr>
              <w:t>61.000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sidRPr="00BB06DB">
              <w:rPr>
                <w:rFonts w:ascii="Arial" w:hAnsi="Arial" w:cs="Arial"/>
                <w:i/>
                <w:iCs/>
                <w:sz w:val="16"/>
                <w:szCs w:val="16"/>
              </w:rPr>
              <w:t>61.000</w:t>
            </w:r>
          </w:p>
        </w:tc>
      </w:tr>
      <w:tr w:rsidR="003D4AE3" w:rsidRPr="00BB06DB" w:rsidTr="00C41DD6">
        <w:trPr>
          <w:trHeight w:val="72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lang w:val="fr-FR"/>
              </w:rPr>
            </w:pPr>
            <w:r w:rsidRPr="00715536">
              <w:rPr>
                <w:rFonts w:ascii="Arial" w:hAnsi="Arial" w:cs="Arial"/>
                <w:i/>
                <w:iCs/>
                <w:sz w:val="16"/>
                <w:szCs w:val="16"/>
                <w:lang w:val="fr-FR"/>
              </w:rPr>
              <w:t>Subvenţii de la bugetul  de stat catre bugetele locale pentru finanţarea aparaturii medicale şi echipamentelor de comunicaţii în urgenţă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10.578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lang w:val="ro-RO"/>
              </w:rPr>
            </w:pPr>
            <w:r>
              <w:rPr>
                <w:rFonts w:ascii="Arial" w:hAnsi="Arial" w:cs="Arial"/>
                <w:sz w:val="16"/>
                <w:szCs w:val="16"/>
              </w:rPr>
              <w:t>6.983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483.000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25.000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25.000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25.000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lang w:val="fr-FR"/>
              </w:rPr>
            </w:pPr>
            <w:r w:rsidRPr="00715536">
              <w:rPr>
                <w:rFonts w:ascii="Arial" w:hAnsi="Arial" w:cs="Arial"/>
                <w:i/>
                <w:iCs/>
                <w:sz w:val="16"/>
                <w:szCs w:val="16"/>
                <w:lang w:val="fr-FR"/>
              </w:rPr>
              <w:t>Subvenţii de la bugetul  de stat catre bugetele locale pentru finanţarea reparaţiilor capitale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14.258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1.708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26.000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10.000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lang w:val="fr-FR"/>
              </w:rPr>
            </w:pPr>
            <w:r w:rsidRPr="00715536">
              <w:rPr>
                <w:rFonts w:ascii="Arial" w:hAnsi="Arial" w:cs="Arial"/>
                <w:i/>
                <w:iCs/>
                <w:sz w:val="16"/>
                <w:szCs w:val="16"/>
                <w:lang w:val="fr-FR"/>
              </w:rPr>
              <w:t>Subvenţii de la bugetul  de stat catre bugetele locale pentru finanţarea altor investiţii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11.761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3.659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105.513</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sidRPr="00265343">
              <w:rPr>
                <w:rFonts w:ascii="Arial" w:hAnsi="Arial" w:cs="Arial"/>
                <w:sz w:val="16"/>
                <w:szCs w:val="16"/>
              </w:rPr>
              <w:t>26.000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26.000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26.000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din veniturile proprii ale MS către bugetele locale pentru finanţarea investiţiilor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lang w:val="ro-RO" w:eastAsia="ro-RO"/>
              </w:rPr>
            </w:pPr>
            <w:r w:rsidRPr="00BB06DB">
              <w:rPr>
                <w:rFonts w:ascii="Arial" w:hAnsi="Arial" w:cs="Arial"/>
                <w:i/>
                <w:iCs/>
                <w:sz w:val="16"/>
                <w:szCs w:val="16"/>
              </w:rPr>
              <w:t>30.222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i/>
                <w:iCs/>
                <w:sz w:val="16"/>
                <w:szCs w:val="16"/>
                <w:lang w:val="ro-RO"/>
              </w:rPr>
            </w:pPr>
            <w:r>
              <w:rPr>
                <w:rFonts w:ascii="Arial" w:hAnsi="Arial" w:cs="Arial"/>
                <w:i/>
                <w:iCs/>
                <w:sz w:val="16"/>
                <w:szCs w:val="16"/>
              </w:rPr>
              <w:t>53.001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sidRPr="00265343">
              <w:rPr>
                <w:rFonts w:ascii="Arial" w:hAnsi="Arial" w:cs="Arial"/>
                <w:i/>
                <w:i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sidRPr="00265343">
              <w:rPr>
                <w:rFonts w:ascii="Arial" w:hAnsi="Arial" w:cs="Arial"/>
                <w:i/>
                <w:i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sidRPr="00BB06DB">
              <w:rPr>
                <w:rFonts w:ascii="Arial" w:hAnsi="Arial" w:cs="Arial"/>
                <w:i/>
                <w:i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sidRPr="00BB06DB">
              <w:rPr>
                <w:rFonts w:ascii="Arial" w:hAnsi="Arial" w:cs="Arial"/>
                <w:i/>
                <w:iCs/>
                <w:sz w:val="16"/>
                <w:szCs w:val="16"/>
              </w:rPr>
              <w:t>0</w:t>
            </w:r>
          </w:p>
        </w:tc>
      </w:tr>
      <w:tr w:rsidR="003D4AE3" w:rsidRPr="00BB06DB" w:rsidTr="00C41DD6">
        <w:trPr>
          <w:trHeight w:val="7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sidRPr="00BB06DB">
              <w:rPr>
                <w:rFonts w:ascii="Arial" w:hAnsi="Arial" w:cs="Arial"/>
                <w:i/>
                <w:iCs/>
                <w:sz w:val="16"/>
                <w:szCs w:val="16"/>
              </w:rPr>
              <w:t>Subvenţii din veniturile proprii ale MS catre bugetele locale pentru finanţarea aparaturii medicale şi echipamentelor de comunicaţii în urgenţă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8.116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32.903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sidRPr="00BB06DB">
              <w:rPr>
                <w:rFonts w:ascii="Arial" w:hAnsi="Arial" w:cs="Arial"/>
                <w:i/>
                <w:iCs/>
                <w:sz w:val="16"/>
                <w:szCs w:val="16"/>
              </w:rPr>
              <w:t>Subvenţii din veniturile proprii ale MS catre bugetele locale pentru finanţarea reparaţiilor capitale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7.919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1.942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sidRPr="00BB06DB">
              <w:rPr>
                <w:rFonts w:ascii="Arial" w:hAnsi="Arial" w:cs="Arial"/>
                <w:i/>
                <w:iCs/>
                <w:sz w:val="16"/>
                <w:szCs w:val="16"/>
              </w:rPr>
              <w:t>Subvenţii din veniturile proprii ale MS catre bugetele locale pentru finanţarea altor investiţii în sănătate.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14.187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cs="Arial"/>
                <w:sz w:val="16"/>
                <w:szCs w:val="16"/>
              </w:rPr>
              <w:t>18.156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sidRPr="00BB06DB">
              <w:rPr>
                <w:rFonts w:ascii="Arial" w:hAnsi="Arial" w:cs="Arial"/>
                <w:sz w:val="16"/>
                <w:szCs w:val="16"/>
              </w:rPr>
              <w:t>0</w:t>
            </w:r>
          </w:p>
        </w:tc>
      </w:tr>
      <w:tr w:rsidR="003D4AE3" w:rsidRPr="00BB06DB" w:rsidTr="00C41DD6">
        <w:trPr>
          <w:trHeight w:val="7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pentru finanţarea programului multianual de asistenţă tehnică pentru pregătirea proiectelor de investiţii publice finanţate prin Programul operaţional regional 2007-2013.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Subvenţii de la bugetul  de stat catre bugetele locale necesare susţinerii derulării proiectelor finanţate din fonduri externe nerambursabile (FEN) postaderare.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12.957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7.271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Subvenţii de la  bugetul de stat către bugetele locale pentru realizarea obiectivelor de investiţii în turism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10.453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6.859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10.000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20.000</w:t>
            </w:r>
          </w:p>
        </w:tc>
      </w:tr>
      <w:tr w:rsidR="003D4AE3" w:rsidRPr="00BB06DB" w:rsidTr="00C41DD6">
        <w:trPr>
          <w:trHeight w:val="7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primite de la bugetul de stat pentru finanţarea unor programe de interes naţional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2.120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19.192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w:t>
            </w:r>
            <w:r>
              <w:rPr>
                <w:rFonts w:ascii="Arial" w:hAnsi="Arial" w:cs="Arial"/>
                <w:sz w:val="16"/>
                <w:szCs w:val="16"/>
              </w:rPr>
              <w:t>23</w:t>
            </w:r>
            <w:r w:rsidRPr="00A12C15">
              <w:rPr>
                <w:rFonts w:ascii="Arial" w:hAnsi="Arial" w:cs="Arial"/>
                <w:sz w:val="16"/>
                <w:szCs w:val="16"/>
              </w:rPr>
              <w:t>.408</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68.091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70.000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71.016</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primite de la bugetul de stat pentru finanţarea investitiilor pentru institutii publice de asistenta sociala si unitati de asistenta medico-sociala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4.082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1C4FE7" w:rsidRDefault="003D4AE3" w:rsidP="00C41DD6">
            <w:pPr>
              <w:jc w:val="right"/>
              <w:rPr>
                <w:rFonts w:ascii="Arial" w:hAnsi="Arial" w:cs="Arial"/>
                <w:sz w:val="16"/>
                <w:szCs w:val="16"/>
              </w:rPr>
            </w:pPr>
            <w:r w:rsidRPr="001C4FE7">
              <w:rPr>
                <w:rFonts w:ascii="Arial" w:hAnsi="Arial" w:cs="Arial"/>
                <w:sz w:val="16"/>
                <w:szCs w:val="16"/>
              </w:rPr>
              <w:t>5.199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5834F3" w:rsidRDefault="003D4AE3" w:rsidP="00C41DD6">
            <w:pPr>
              <w:jc w:val="right"/>
              <w:rPr>
                <w:rFonts w:ascii="Arial" w:hAnsi="Arial" w:cs="Arial"/>
                <w:bCs/>
                <w:sz w:val="16"/>
                <w:szCs w:val="16"/>
              </w:rPr>
            </w:pPr>
            <w:r w:rsidRPr="005834F3">
              <w:rPr>
                <w:rFonts w:ascii="Arial" w:hAnsi="Arial" w:cs="Arial"/>
                <w:bCs/>
                <w:sz w:val="16"/>
                <w:szCs w:val="16"/>
              </w:rPr>
              <w:t>4.000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0</w:t>
            </w:r>
          </w:p>
        </w:tc>
      </w:tr>
      <w:tr w:rsidR="003D4AE3" w:rsidRPr="00BB06DB" w:rsidTr="00C41DD6">
        <w:trPr>
          <w:trHeight w:val="34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pentru finanţarea locuinţelor sociale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5.151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1C4FE7" w:rsidRDefault="003D4AE3" w:rsidP="00C41DD6">
            <w:pPr>
              <w:jc w:val="right"/>
              <w:rPr>
                <w:rFonts w:ascii="Arial" w:hAnsi="Arial" w:cs="Arial"/>
                <w:sz w:val="16"/>
                <w:szCs w:val="16"/>
              </w:rPr>
            </w:pPr>
            <w:r w:rsidRPr="001C4FE7">
              <w:rPr>
                <w:rFonts w:ascii="Arial" w:hAnsi="Arial" w:cs="Arial"/>
                <w:sz w:val="16"/>
                <w:szCs w:val="16"/>
              </w:rPr>
              <w:t>6.566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cs="Arial"/>
                <w:sz w:val="16"/>
                <w:szCs w:val="16"/>
              </w:rPr>
              <w:t>0</w:t>
            </w:r>
            <w:r w:rsidRPr="00A12C15">
              <w:rPr>
                <w:rFonts w:ascii="Arial" w:hAnsi="Arial"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cs="Arial"/>
                <w:sz w:val="16"/>
                <w:szCs w:val="16"/>
              </w:rPr>
              <w:t>0</w:t>
            </w:r>
            <w:r w:rsidRPr="00A12C15">
              <w:rPr>
                <w:rFonts w:ascii="Arial" w:hAnsi="Arial" w:cs="Arial"/>
                <w:sz w:val="16"/>
                <w:szCs w:val="16"/>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cs="Arial"/>
                <w:sz w:val="16"/>
                <w:szCs w:val="16"/>
              </w:rPr>
              <w:t>0</w:t>
            </w:r>
            <w:r w:rsidRPr="00A12C15">
              <w:rPr>
                <w:rFonts w:ascii="Arial" w:hAnsi="Arial" w:cs="Arial"/>
                <w:sz w:val="16"/>
                <w:szCs w:val="16"/>
              </w:rPr>
              <w:t> </w:t>
            </w:r>
          </w:p>
        </w:tc>
      </w:tr>
      <w:tr w:rsidR="003D4AE3" w:rsidRPr="00BB06DB" w:rsidTr="00C41DD6">
        <w:trPr>
          <w:trHeight w:val="51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Sume alocate din bugetul de stat aferente corectiilor financiare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816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65.079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35.000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30.000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6.323</w:t>
            </w:r>
          </w:p>
        </w:tc>
      </w:tr>
      <w:tr w:rsidR="003D4AE3" w:rsidRPr="00BB06DB" w:rsidTr="00C41DD6">
        <w:trPr>
          <w:trHeight w:val="63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Finanţarea Programului Naţional de Dezvoltare Locală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2.354.265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4.606.550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2.500.000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2.769.353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2.867.837</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3.071.345</w:t>
            </w:r>
          </w:p>
        </w:tc>
      </w:tr>
      <w:tr w:rsidR="003D4AE3" w:rsidRPr="00BB06DB" w:rsidTr="00C41DD6">
        <w:trPr>
          <w:trHeight w:val="63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Subventii din bugetul de stat alocate conform contractelor incheiate cu directiile de sanatate publica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14.424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23.057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430.000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400.000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410.000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415.000</w:t>
            </w:r>
          </w:p>
        </w:tc>
      </w:tr>
      <w:tr w:rsidR="003D4AE3" w:rsidRPr="00BB06DB" w:rsidTr="00C41DD6">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de la bugetul  de stat catre bugetele locale necesare susţinerii derulării proiectelor finanţate din fonduri externe nerambursabile (FEN) aferente cadrului financiar 2014-2020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25.241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395.110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636.675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534.991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584.197</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867.635</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sidRPr="00BB06DB">
              <w:rPr>
                <w:rFonts w:ascii="Arial" w:hAnsi="Arial" w:cs="Arial"/>
                <w:b/>
                <w:bCs/>
                <w:sz w:val="16"/>
                <w:szCs w:val="16"/>
              </w:rPr>
              <w:t xml:space="preserve">B.  Curente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lang w:val="ro-RO" w:eastAsia="ro-RO"/>
              </w:rPr>
            </w:pPr>
            <w:r w:rsidRPr="00BB06DB">
              <w:rPr>
                <w:rFonts w:ascii="Arial" w:hAnsi="Arial" w:cs="Arial"/>
                <w:b/>
                <w:bCs/>
                <w:sz w:val="16"/>
                <w:szCs w:val="16"/>
              </w:rPr>
              <w:t>3.255.539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cs="Arial"/>
                <w:b/>
                <w:bCs/>
                <w:sz w:val="16"/>
                <w:szCs w:val="16"/>
              </w:rPr>
              <w:t>4.697.632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395.600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376.651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291.316</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289.564</w:t>
            </w:r>
          </w:p>
        </w:tc>
      </w:tr>
      <w:tr w:rsidR="003D4AE3" w:rsidRPr="00BB06DB" w:rsidTr="00C41DD6">
        <w:trPr>
          <w:trHeight w:val="2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Finantarea drepturilor acordate persoanelor cu handicap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2.955.081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3.923.794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94.000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96.000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96.000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98.000</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Subventii primite din Fondul de Interventie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20.721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380.144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r>
      <w:tr w:rsidR="003D4AE3" w:rsidRPr="00BB06DB" w:rsidTr="00C41DD6">
        <w:trPr>
          <w:trHeight w:val="3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sidRPr="00BB06DB">
              <w:rPr>
                <w:rFonts w:ascii="Arial" w:hAnsi="Arial" w:cs="Arial"/>
                <w:sz w:val="16"/>
                <w:szCs w:val="16"/>
              </w:rPr>
              <w:t xml:space="preserve">Subventii pentru acordarea ajutorului pentru încălzirea locuinţei cu lemne, cărbuni, combustibili petrolieri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53.167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33.449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50.000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51.826</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53.000</w:t>
            </w:r>
          </w:p>
        </w:tc>
      </w:tr>
      <w:tr w:rsidR="003D4AE3" w:rsidRPr="00BB06DB" w:rsidTr="00C41DD6">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Subvenţii din bugetul de stat pentru finanţarea unităţilor de asistenţă medico-sociale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36.331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36.635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68.600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70.384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72.143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73.875</w:t>
            </w:r>
          </w:p>
        </w:tc>
      </w:tr>
      <w:tr w:rsidR="003D4AE3" w:rsidRPr="00BB06DB" w:rsidTr="00C41DD6">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Subvenţii de la  bugetul de stat către bugetele locale pentru finanţarea sănătăţii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188.607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lang w:val="ro-RO"/>
              </w:rPr>
            </w:pPr>
            <w:r w:rsidRPr="00A12C15">
              <w:rPr>
                <w:rFonts w:ascii="Arial" w:hAnsi="Arial" w:cs="Arial"/>
                <w:bCs/>
                <w:sz w:val="16"/>
                <w:szCs w:val="16"/>
              </w:rPr>
              <w:t>301.562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100.000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102.600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105.165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107.689</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 xml:space="preserve">Sume primite de administraţiile locale în cadrul programelor FEGA implementate de APIA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-493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 </w:t>
            </w:r>
          </w:p>
        </w:tc>
      </w:tr>
      <w:tr w:rsidR="003D4AE3" w:rsidRPr="00BB06DB"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primite de la bugetul de stat pentru finanţarea unor programe de interes naţional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21.892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60.000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87.667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92.000</w:t>
            </w:r>
          </w:p>
        </w:tc>
      </w:tr>
      <w:tr w:rsidR="001C4FE7" w:rsidRPr="001C4FE7"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rsidR="003D4AE3" w:rsidRPr="001C4FE7" w:rsidRDefault="003D4AE3" w:rsidP="00C41DD6">
            <w:pPr>
              <w:rPr>
                <w:rFonts w:ascii="Arial" w:hAnsi="Arial" w:cs="Arial"/>
                <w:sz w:val="16"/>
                <w:szCs w:val="16"/>
                <w:lang w:val="fr-FR"/>
              </w:rPr>
            </w:pPr>
            <w:r w:rsidRPr="001C4FE7">
              <w:rPr>
                <w:rFonts w:ascii="Arial" w:hAnsi="Arial" w:cs="Arial"/>
                <w:sz w:val="16"/>
                <w:szCs w:val="16"/>
                <w:lang w:val="fr-FR"/>
              </w:rPr>
              <w:t>Subvenții pentru sprijinirea construcției de locuințe</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683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sidRPr="001C4FE7">
              <w:rPr>
                <w:rFonts w:ascii="Arial" w:hAnsi="Arial" w:cs="Arial"/>
                <w:sz w:val="16"/>
                <w:szCs w:val="16"/>
              </w:rPr>
              <w:t>0</w:t>
            </w:r>
          </w:p>
        </w:tc>
      </w:tr>
      <w:tr w:rsidR="003D4AE3" w:rsidRPr="00BB06DB"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Subventii de la BS pentru finantarea cheltuielilor urgente specifice sezonului rece, destinate SF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0</w:t>
            </w:r>
          </w:p>
        </w:tc>
      </w:tr>
      <w:tr w:rsidR="003D4AE3" w:rsidRPr="00BB06DB" w:rsidTr="00C41DD6">
        <w:trPr>
          <w:trHeight w:val="834"/>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lang w:val="fr-FR"/>
              </w:rPr>
            </w:pPr>
            <w:r w:rsidRPr="00715536">
              <w:rPr>
                <w:rFonts w:ascii="Arial" w:hAnsi="Arial" w:cs="Arial"/>
                <w:sz w:val="16"/>
                <w:szCs w:val="16"/>
                <w:lang w:val="fr-FR"/>
              </w:rPr>
              <w:t>Subvenţii pentru realizarea activitatii de colectare, transport, depozitare si neutralizare a deseurilor de origine animala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eastAsia="ro-RO"/>
              </w:rPr>
            </w:pPr>
            <w:r w:rsidRPr="00A12C15">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sidRPr="00A12C15">
              <w:rPr>
                <w:rFonts w:ascii="Arial" w:hAnsi="Arial" w:cs="Arial"/>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lang w:val="ro-RO"/>
              </w:rPr>
            </w:pPr>
            <w:r w:rsidRPr="00A12C15">
              <w:rPr>
                <w:rFonts w:ascii="Arial" w:hAnsi="Arial" w:cs="Arial"/>
                <w:sz w:val="16"/>
                <w:szCs w:val="16"/>
              </w:rPr>
              <w:t>23.000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sidRPr="00A12C15">
              <w:rPr>
                <w:rFonts w:ascii="Arial" w:hAnsi="Arial" w:cs="Arial"/>
                <w:sz w:val="16"/>
                <w:szCs w:val="16"/>
              </w:rPr>
              <w:t>10.000</w:t>
            </w:r>
          </w:p>
        </w:tc>
      </w:tr>
      <w:tr w:rsidR="003D4AE3" w:rsidRPr="00BB06DB" w:rsidTr="00C41DD6">
        <w:trPr>
          <w:trHeight w:val="5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4AE3" w:rsidRPr="00715536" w:rsidRDefault="003D4AE3" w:rsidP="00C41DD6">
            <w:pPr>
              <w:rPr>
                <w:rFonts w:ascii="Arial" w:hAnsi="Arial" w:cs="Arial"/>
                <w:b/>
                <w:bCs/>
                <w:sz w:val="16"/>
                <w:szCs w:val="16"/>
                <w:lang w:val="fr-FR"/>
              </w:rPr>
            </w:pPr>
            <w:r w:rsidRPr="00715536">
              <w:rPr>
                <w:rFonts w:ascii="Arial" w:hAnsi="Arial" w:cs="Arial"/>
                <w:b/>
                <w:bCs/>
                <w:sz w:val="16"/>
                <w:szCs w:val="16"/>
                <w:lang w:val="fr-FR"/>
              </w:rPr>
              <w:t xml:space="preserve">Subventii de la alte administratii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641.019</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cs="Arial"/>
                <w:b/>
                <w:bCs/>
                <w:sz w:val="16"/>
                <w:szCs w:val="16"/>
              </w:rPr>
              <w:t>544.476</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10.000</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12.445</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12.445</w:t>
            </w:r>
          </w:p>
        </w:tc>
        <w:tc>
          <w:tcPr>
            <w:tcW w:w="1036"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sidRPr="00BB06DB">
              <w:rPr>
                <w:rFonts w:ascii="Arial" w:hAnsi="Arial" w:cs="Arial"/>
                <w:b/>
                <w:bCs/>
                <w:sz w:val="16"/>
                <w:szCs w:val="16"/>
              </w:rPr>
              <w:t>12.445</w:t>
            </w:r>
          </w:p>
        </w:tc>
      </w:tr>
    </w:tbl>
    <w:p w:rsidR="003D4AE3" w:rsidRDefault="003D4AE3" w:rsidP="003D4AE3">
      <w:pPr>
        <w:pStyle w:val="BodyText"/>
        <w:spacing w:after="0" w:line="288" w:lineRule="auto"/>
        <w:jc w:val="both"/>
        <w:rPr>
          <w:rFonts w:ascii="Arial" w:hAnsi="Arial" w:cs="Arial"/>
          <w:lang w:val="ro-RO"/>
        </w:rPr>
      </w:pPr>
    </w:p>
    <w:p w:rsidR="00091029" w:rsidRPr="0036525D" w:rsidRDefault="00932083" w:rsidP="0036525D">
      <w:pPr>
        <w:pStyle w:val="Style35001908"/>
        <w:rPr>
          <w:rFonts w:ascii="Calibri" w:hAnsi="Calibri" w:cs="Arial"/>
          <w:b/>
          <w:color w:val="000080"/>
          <w:shd w:val="clear" w:color="auto" w:fill="99CCFF"/>
          <w:lang w:val="ro-RO"/>
        </w:rPr>
      </w:pPr>
      <w:r>
        <w:rPr>
          <w:rFonts w:ascii="Calibri" w:hAnsi="Calibri" w:cs="Arial"/>
          <w:b/>
          <w:color w:val="000080"/>
          <w:shd w:val="clear" w:color="auto" w:fill="99CCFF"/>
          <w:lang w:val="ro-RO"/>
        </w:rPr>
        <w:t>4.7</w:t>
      </w:r>
      <w:r w:rsidR="00A37269" w:rsidRPr="00C86702">
        <w:rPr>
          <w:rFonts w:ascii="Calibri" w:hAnsi="Calibri" w:cs="Arial"/>
          <w:b/>
          <w:color w:val="000080"/>
          <w:shd w:val="clear" w:color="auto" w:fill="99CCFF"/>
          <w:lang w:val="ro-RO"/>
        </w:rPr>
        <w:t xml:space="preserve">  Investiţiile publice semnificative prioritizate</w:t>
      </w:r>
    </w:p>
    <w:p w:rsidR="0036525D" w:rsidRPr="0036525D" w:rsidRDefault="0036525D" w:rsidP="0036525D">
      <w:pPr>
        <w:spacing w:before="120"/>
        <w:jc w:val="both"/>
        <w:rPr>
          <w:rFonts w:ascii="Calibri" w:eastAsia="SimSun" w:hAnsi="Calibri" w:cs="Mangal"/>
          <w:lang w:val="ro-RO" w:eastAsia="zh-CN" w:bidi="hi-IN"/>
        </w:rPr>
      </w:pPr>
      <w:r w:rsidRPr="0036525D">
        <w:rPr>
          <w:rFonts w:ascii="Calibri" w:eastAsia="SimSun" w:hAnsi="Calibri" w:cs="Mangal"/>
          <w:lang w:val="ro-RO" w:eastAsia="zh-CN" w:bidi="hi-IN"/>
        </w:rPr>
        <w:t xml:space="preserve">În vederea îmbunătățirii managementului investițiilor publice, în cursul anului 2018 au fost completate și modificate Normele metodologice privind prioritizarea proiectelor de investiții publice (Hotărârea Guvernului nr.225/2014) prin Hotărârea Guvernului nr.363 (publicată în M.O. nr. 460/05.06.2018). Noile reglementări vor asigura aplicarea uniformă şi coerentă de către toate părţile implicate, respectiv ordonatorii principali de credite şi Ministerul Finanţelor Publice, a prevederilor legale în vigoare referitoare la evaluarea și prioritizarea investițiilor publice semnificative. </w:t>
      </w:r>
    </w:p>
    <w:p w:rsidR="0036525D" w:rsidRPr="0036525D" w:rsidRDefault="0036525D" w:rsidP="0036525D">
      <w:pPr>
        <w:spacing w:before="120"/>
        <w:jc w:val="both"/>
        <w:rPr>
          <w:rFonts w:ascii="Calibri" w:eastAsia="SimSun" w:hAnsi="Calibri" w:cs="Mangal"/>
          <w:lang w:val="ro-RO" w:eastAsia="zh-CN" w:bidi="hi-IN"/>
        </w:rPr>
      </w:pPr>
      <w:r w:rsidRPr="0036525D">
        <w:rPr>
          <w:rFonts w:ascii="Calibri" w:eastAsia="SimSun" w:hAnsi="Calibri" w:cs="Mangal"/>
          <w:lang w:val="ro-RO" w:eastAsia="zh-CN" w:bidi="hi-IN"/>
        </w:rPr>
        <w:t xml:space="preserve">Conform prevederilor Ordonanței de urgență a Guvernului nr. 88/2013 și ale Normelor metodologice privind prioritizarea proiectelor de investiții publice, aprobate prin Hotărârea Guvernului nr. 225/2014, cu modificările şi completările ulterioare, în perioada aprilie - septembrie 2018, la nivelul ordonatorilor principali de credite și al Ministerului Finanțelor Publice, s-a derulat procesul de evaluare a proiectelor de investiții publice semnificative, în scopul elaborării și prezentării de către Ministerul Finanțelor Publice, spre aprobare Guvernului, a listei proiectelor de investiții publice semnificative prioritizate. </w:t>
      </w:r>
    </w:p>
    <w:p w:rsidR="0036525D" w:rsidRPr="0036525D" w:rsidRDefault="0036525D" w:rsidP="0036525D">
      <w:pPr>
        <w:widowControl w:val="0"/>
        <w:suppressAutoHyphens/>
        <w:spacing w:before="120"/>
        <w:jc w:val="both"/>
        <w:rPr>
          <w:rFonts w:ascii="Calibri" w:eastAsia="SimSun" w:hAnsi="Calibri"/>
          <w:lang w:val="ro-RO" w:eastAsia="zh-CN" w:bidi="hi-IN"/>
        </w:rPr>
      </w:pPr>
      <w:r w:rsidRPr="0036525D">
        <w:rPr>
          <w:rFonts w:ascii="Calibri" w:eastAsia="SimSun" w:hAnsi="Calibri"/>
          <w:lang w:val="ro-RO" w:eastAsia="zh-CN" w:bidi="hi-IN"/>
        </w:rPr>
        <w:t xml:space="preserve">La elaborarea proiectului de buget pe anul 2019, ordonatorii principali de credite vor respecta rezultatele prioritizării în procesul de repartizare a resurselor bugetare pentru proiectele de investiţii publice semnificative, potrivit prevederilor art. 45 alin. </w:t>
      </w:r>
      <w:r w:rsidRPr="003964D3">
        <w:rPr>
          <w:rFonts w:ascii="Calibri" w:eastAsia="SimSun" w:hAnsi="Calibri"/>
          <w:lang w:val="fr-FR" w:eastAsia="zh-CN" w:bidi="hi-IN"/>
        </w:rPr>
        <w:t>(4)</w:t>
      </w:r>
      <w:r w:rsidRPr="0036525D">
        <w:rPr>
          <w:rFonts w:ascii="Calibri" w:eastAsia="SimSun" w:hAnsi="Calibri"/>
          <w:lang w:val="ro-RO" w:eastAsia="zh-CN" w:bidi="hi-IN"/>
        </w:rPr>
        <w:t xml:space="preserve"> din Ordonanța de urgență a Guvernului nr.88/2013.</w:t>
      </w:r>
    </w:p>
    <w:p w:rsidR="0036525D" w:rsidRPr="0036525D" w:rsidRDefault="0036525D" w:rsidP="0036525D">
      <w:pPr>
        <w:widowControl w:val="0"/>
        <w:suppressAutoHyphens/>
        <w:spacing w:before="120"/>
        <w:jc w:val="both"/>
        <w:rPr>
          <w:rFonts w:ascii="Calibri" w:eastAsia="SimSun" w:hAnsi="Calibri" w:cs="Mangal"/>
          <w:bCs/>
          <w:lang w:val="ro-RO" w:eastAsia="zh-CN" w:bidi="hi-IN"/>
        </w:rPr>
      </w:pPr>
      <w:r w:rsidRPr="0036525D">
        <w:rPr>
          <w:rFonts w:ascii="Calibri" w:eastAsia="SimSun" w:hAnsi="Calibri" w:cs="Mangal"/>
          <w:color w:val="000000"/>
          <w:lang w:val="ro-RO" w:eastAsia="zh-CN" w:bidi="hi-IN"/>
        </w:rPr>
        <w:t xml:space="preserve">În cadrul procesului de prioritizare, </w:t>
      </w:r>
      <w:r w:rsidRPr="0036525D">
        <w:rPr>
          <w:rFonts w:ascii="Calibri" w:eastAsia="SimSun" w:hAnsi="Calibri" w:cs="Mangal"/>
          <w:bCs/>
          <w:lang w:val="ro-RO" w:eastAsia="zh-CN" w:bidi="hi-IN"/>
        </w:rPr>
        <w:t>10 ordonatori principali de credite au prezentat informații cu privire la 136 de proiecte de investiții publice semnificative, cu o valoare actualizată totală de 173.842.803 mii lei și un rest de finanțat în vederea finalizării de 104.778.498 mii lei. Cea mai mare pondere în acest portofoliu o deține Ministerul Transporturilor, care administrează 114 proiecte de investiții publice semnificative, cu o valoare actualizată totală de 166.019.031 mii lei, urmat de Ministerul Apelor și Pădurilor cu 9 proiecte de investiții publice semnificative, cu o valoare actualizată totală de 3.722.720 mii lei. La polul opus se situează Ministerul Economiei, Ministerul Cercetării și Inovării, Serviciul de Protecție și Pază, Ministerul Comunicațiilor și Societății Informaționale și Ministerul Apărării Naționale, care administrează fiecare câte un proiect de investiții publice semnificativ, așa cum este prezentat în tabelul de mai jos:</w:t>
      </w: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36525D" w:rsidRPr="00AC4302" w:rsidTr="0036525D">
        <w:trPr>
          <w:trHeight w:hRule="exact" w:val="719"/>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b/>
                <w:lang w:val="ro-RO" w:eastAsia="zh-CN" w:bidi="hi-IN"/>
              </w:rPr>
            </w:pPr>
            <w:r w:rsidRPr="0036525D">
              <w:rPr>
                <w:rFonts w:ascii="Calibri" w:eastAsia="SimSun" w:hAnsi="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b/>
                <w:lang w:val="ro-RO" w:eastAsia="zh-CN" w:bidi="hi-IN"/>
              </w:rPr>
              <w:t>Număr de proiecte evaluate în procesul de prioritizare</w:t>
            </w:r>
          </w:p>
        </w:tc>
      </w:tr>
      <w:tr w:rsidR="0036525D" w:rsidRPr="0036525D" w:rsidTr="0036525D">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Transporturilor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114</w:t>
            </w:r>
          </w:p>
        </w:tc>
      </w:tr>
      <w:tr w:rsidR="0036525D" w:rsidRPr="0036525D" w:rsidTr="0036525D">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2</w:t>
            </w:r>
          </w:p>
        </w:tc>
      </w:tr>
      <w:tr w:rsidR="0036525D" w:rsidRPr="0036525D" w:rsidTr="0036525D">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2</w:t>
            </w:r>
          </w:p>
        </w:tc>
      </w:tr>
      <w:tr w:rsidR="0036525D" w:rsidRPr="0036525D" w:rsidTr="0036525D">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Dezvoltării Regionale și Administraţiei Publice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4</w:t>
            </w:r>
          </w:p>
        </w:tc>
      </w:tr>
      <w:tr w:rsidR="0036525D" w:rsidRPr="0036525D" w:rsidTr="0036525D">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9</w:t>
            </w:r>
          </w:p>
        </w:tc>
      </w:tr>
      <w:tr w:rsidR="0036525D" w:rsidRPr="0036525D" w:rsidTr="0036525D">
        <w:trPr>
          <w:trHeight w:val="401"/>
        </w:trPr>
        <w:tc>
          <w:tcPr>
            <w:tcW w:w="5855" w:type="dxa"/>
            <w:tcBorders>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Economiei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w:t>
            </w:r>
          </w:p>
        </w:tc>
      </w:tr>
      <w:tr w:rsidR="0036525D" w:rsidRPr="0036525D" w:rsidTr="0036525D">
        <w:trPr>
          <w:trHeight w:val="42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Cercetării și Inovării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w:t>
            </w:r>
          </w:p>
        </w:tc>
      </w:tr>
      <w:tr w:rsidR="0036525D" w:rsidRPr="0036525D" w:rsidTr="0036525D">
        <w:trPr>
          <w:trHeight w:val="414"/>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Serviciul de Protecţie şi Pază</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w:t>
            </w:r>
          </w:p>
        </w:tc>
      </w:tr>
      <w:tr w:rsidR="0036525D" w:rsidRPr="0036525D" w:rsidTr="0036525D">
        <w:trPr>
          <w:trHeight w:val="43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Ministerul Comunicațiilor și Societății Informaționale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w:t>
            </w:r>
          </w:p>
        </w:tc>
      </w:tr>
      <w:tr w:rsidR="0036525D" w:rsidRPr="0036525D" w:rsidTr="0036525D">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ro-RO"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lang w:val="ro-RO" w:eastAsia="zh-CN" w:bidi="hi-IN"/>
              </w:rPr>
            </w:pPr>
            <w:r w:rsidRPr="0036525D">
              <w:rPr>
                <w:rFonts w:ascii="Calibri" w:eastAsia="SimSun" w:hAnsi="Calibri"/>
                <w:lang w:val="ro-RO" w:eastAsia="zh-CN" w:bidi="hi-IN"/>
              </w:rPr>
              <w:t>1</w:t>
            </w:r>
          </w:p>
        </w:tc>
      </w:tr>
      <w:tr w:rsidR="0036525D" w:rsidRPr="0036525D" w:rsidTr="0036525D">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spacing w:line="276" w:lineRule="auto"/>
              <w:contextualSpacing/>
              <w:jc w:val="center"/>
              <w:rPr>
                <w:rFonts w:ascii="Calibri" w:eastAsia="SimSun" w:hAnsi="Calibri"/>
                <w:b/>
                <w:lang w:val="ro-RO" w:eastAsia="zh-CN" w:bidi="hi-IN"/>
              </w:rPr>
            </w:pPr>
            <w:r w:rsidRPr="0036525D">
              <w:rPr>
                <w:rFonts w:ascii="Calibri" w:eastAsia="SimSun" w:hAnsi="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spacing w:line="276" w:lineRule="auto"/>
              <w:contextualSpacing/>
              <w:jc w:val="center"/>
              <w:rPr>
                <w:rFonts w:ascii="Calibri" w:eastAsia="SimSun" w:hAnsi="Calibri"/>
                <w:b/>
                <w:lang w:val="ro-RO" w:eastAsia="zh-CN" w:bidi="hi-IN"/>
              </w:rPr>
            </w:pPr>
            <w:r w:rsidRPr="0036525D">
              <w:rPr>
                <w:rFonts w:ascii="Calibri" w:eastAsia="SimSun" w:hAnsi="Calibri"/>
                <w:b/>
                <w:lang w:val="ro-RO" w:eastAsia="zh-CN" w:bidi="hi-IN"/>
              </w:rPr>
              <w:t>136</w:t>
            </w:r>
          </w:p>
        </w:tc>
      </w:tr>
    </w:tbl>
    <w:p w:rsidR="0036525D" w:rsidRPr="0036525D" w:rsidRDefault="0036525D" w:rsidP="0036525D">
      <w:pPr>
        <w:widowControl w:val="0"/>
        <w:suppressAutoHyphens/>
        <w:jc w:val="both"/>
        <w:rPr>
          <w:rFonts w:ascii="Calibri" w:eastAsia="SimSun" w:hAnsi="Calibri"/>
          <w:lang w:val="ro-RO" w:eastAsia="zh-CN" w:bidi="hi-IN"/>
        </w:rPr>
      </w:pPr>
      <w:r w:rsidRPr="0036525D">
        <w:rPr>
          <w:rFonts w:ascii="Calibri" w:eastAsia="SimSun" w:hAnsi="Calibri"/>
          <w:lang w:val="ro-RO" w:eastAsia="zh-CN" w:bidi="hi-IN"/>
        </w:rPr>
        <w:t>Urmare analizării informațiilor transmise de cei 10 ordonatori principali de credite, Ministerul Finanțelor Publice a întocmit și înaintat Guvernului, spre aprobare, memorandumul conținând rezultatele prioritizării, acesta fiind aprobat în ședința din data de 11 octombrie 2018.</w:t>
      </w:r>
    </w:p>
    <w:p w:rsidR="0036525D" w:rsidRPr="0036525D" w:rsidRDefault="0036525D" w:rsidP="0036525D">
      <w:pPr>
        <w:widowControl w:val="0"/>
        <w:suppressAutoHyphens/>
        <w:spacing w:before="120"/>
        <w:jc w:val="both"/>
        <w:rPr>
          <w:rFonts w:ascii="Calibri" w:eastAsia="SimSun" w:hAnsi="Calibri"/>
          <w:lang w:val="ro-RO" w:eastAsia="zh-CN" w:bidi="hi-IN"/>
        </w:rPr>
      </w:pPr>
      <w:r w:rsidRPr="0036525D">
        <w:rPr>
          <w:rFonts w:ascii="Calibri" w:eastAsia="SimSun" w:hAnsi="Calibri"/>
          <w:lang w:val="ro-RO" w:eastAsia="zh-CN" w:bidi="hi-IN"/>
        </w:rPr>
        <w:t>Prezentăm mai jos aspectele principale evidențiate în cuprinsul memorandumului:</w:t>
      </w:r>
    </w:p>
    <w:p w:rsidR="00D91D74" w:rsidRDefault="0036525D" w:rsidP="0036525D">
      <w:pPr>
        <w:widowControl w:val="0"/>
        <w:numPr>
          <w:ilvl w:val="0"/>
          <w:numId w:val="161"/>
        </w:numPr>
        <w:suppressAutoHyphens/>
        <w:spacing w:before="120"/>
        <w:jc w:val="both"/>
        <w:rPr>
          <w:rFonts w:ascii="Calibri" w:hAnsi="Calibri"/>
          <w:bCs/>
          <w:color w:val="00000A"/>
          <w:kern w:val="1"/>
        </w:rPr>
      </w:pPr>
      <w:r w:rsidRPr="003964D3">
        <w:rPr>
          <w:rFonts w:ascii="Calibri" w:hAnsi="Calibri"/>
          <w:color w:val="00000A"/>
          <w:kern w:val="1"/>
          <w:lang w:val="ro-RO"/>
        </w:rPr>
        <w:t xml:space="preserve">Distribuția cheltuielilor reprezentând valoarea actualizată totală a proiectelor pe ordonatorii principali de credite: s-a constatat că cea mai ridicată pondere a cheltuielilor revine Ministerului Transportului (95,50%), urmat de </w:t>
      </w:r>
      <w:r w:rsidRPr="003964D3">
        <w:rPr>
          <w:rFonts w:ascii="Calibri" w:hAnsi="Calibri"/>
          <w:bCs/>
          <w:color w:val="00000A"/>
          <w:kern w:val="1"/>
          <w:lang w:val="ro-RO"/>
        </w:rPr>
        <w:t xml:space="preserve">Ministerul Apelor și Pădurilor (2,14 %). </w:t>
      </w:r>
      <w:r w:rsidRPr="0036525D">
        <w:rPr>
          <w:rFonts w:ascii="Calibri" w:hAnsi="Calibri"/>
          <w:bCs/>
          <w:color w:val="00000A"/>
          <w:kern w:val="1"/>
        </w:rPr>
        <w:t>Celelalte ministere dețin o pondere de sub 1% (Figura 1).</w:t>
      </w:r>
    </w:p>
    <w:p w:rsidR="0030468A" w:rsidRDefault="0030468A" w:rsidP="0030468A">
      <w:pPr>
        <w:widowControl w:val="0"/>
        <w:suppressAutoHyphens/>
        <w:spacing w:before="120"/>
        <w:jc w:val="both"/>
        <w:rPr>
          <w:rFonts w:ascii="Calibri" w:hAnsi="Calibri"/>
          <w:bCs/>
          <w:color w:val="00000A"/>
          <w:kern w:val="1"/>
        </w:rPr>
      </w:pPr>
    </w:p>
    <w:p w:rsidR="0030468A" w:rsidRDefault="0030468A" w:rsidP="0030468A">
      <w:pPr>
        <w:widowControl w:val="0"/>
        <w:suppressAutoHyphens/>
        <w:spacing w:before="120"/>
        <w:jc w:val="both"/>
        <w:rPr>
          <w:rFonts w:ascii="Calibri" w:hAnsi="Calibri"/>
          <w:bCs/>
          <w:color w:val="00000A"/>
          <w:kern w:val="1"/>
        </w:rPr>
      </w:pPr>
    </w:p>
    <w:p w:rsidR="0030468A" w:rsidRDefault="0030468A" w:rsidP="0030468A">
      <w:pPr>
        <w:widowControl w:val="0"/>
        <w:suppressAutoHyphens/>
        <w:spacing w:before="120"/>
        <w:jc w:val="both"/>
        <w:rPr>
          <w:rFonts w:ascii="Calibri" w:hAnsi="Calibri"/>
          <w:bCs/>
          <w:color w:val="00000A"/>
          <w:kern w:val="1"/>
        </w:rPr>
      </w:pPr>
    </w:p>
    <w:p w:rsidR="0030468A" w:rsidRPr="000321A4" w:rsidRDefault="0030468A" w:rsidP="0030468A">
      <w:pPr>
        <w:widowControl w:val="0"/>
        <w:suppressAutoHyphens/>
        <w:spacing w:before="120"/>
        <w:jc w:val="both"/>
        <w:rPr>
          <w:rFonts w:ascii="Calibri" w:hAnsi="Calibri"/>
          <w:bCs/>
          <w:color w:val="00000A"/>
          <w:kern w:val="1"/>
        </w:rPr>
      </w:pPr>
    </w:p>
    <w:p w:rsidR="0036525D" w:rsidRPr="0036525D" w:rsidRDefault="0036525D" w:rsidP="0036525D">
      <w:pPr>
        <w:widowControl w:val="0"/>
        <w:suppressAutoHyphens/>
        <w:spacing w:before="120"/>
        <w:jc w:val="both"/>
        <w:rPr>
          <w:rFonts w:ascii="Calibri" w:eastAsia="SimSun" w:hAnsi="Calibri"/>
          <w:lang w:val="ro-RO" w:eastAsia="zh-CN" w:bidi="hi-IN"/>
        </w:rPr>
      </w:pPr>
      <w:r w:rsidRPr="0036525D">
        <w:rPr>
          <w:rFonts w:ascii="Calibri" w:eastAsia="SimSun" w:hAnsi="Calibri"/>
          <w:lang w:val="ro-RO" w:eastAsia="zh-CN" w:bidi="hi-IN"/>
        </w:rPr>
        <w:t>Figura 1</w:t>
      </w:r>
    </w:p>
    <w:p w:rsidR="0036525D" w:rsidRPr="0036525D" w:rsidRDefault="0036525D" w:rsidP="0036525D">
      <w:pPr>
        <w:widowControl w:val="0"/>
        <w:suppressAutoHyphens/>
        <w:jc w:val="center"/>
        <w:rPr>
          <w:rFonts w:ascii="Calibri" w:eastAsia="SimSun" w:hAnsi="Calibri"/>
          <w:lang w:val="ro-RO" w:eastAsia="zh-CN" w:bidi="hi-IN"/>
        </w:rPr>
      </w:pPr>
      <w:r w:rsidRPr="0036525D">
        <w:rPr>
          <w:rFonts w:ascii="Calibri" w:eastAsia="SimSun" w:hAnsi="Calibri"/>
          <w:noProof/>
          <w:lang w:val="ro-RO" w:eastAsia="ro-RO"/>
        </w:rPr>
        <w:drawing>
          <wp:inline distT="0" distB="0" distL="0" distR="0">
            <wp:extent cx="4448175" cy="3038475"/>
            <wp:effectExtent l="0" t="0" r="9525" b="9525"/>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525D" w:rsidRPr="0036525D" w:rsidRDefault="0036525D" w:rsidP="0036525D">
      <w:pPr>
        <w:widowControl w:val="0"/>
        <w:suppressAutoHyphens/>
        <w:rPr>
          <w:rFonts w:ascii="Calibri" w:eastAsia="SimSun" w:hAnsi="Calibri"/>
          <w:lang w:val="ro-RO" w:eastAsia="zh-CN" w:bidi="hi-IN"/>
        </w:rPr>
      </w:pPr>
    </w:p>
    <w:p w:rsidR="0036525D" w:rsidRPr="0036525D" w:rsidRDefault="0036525D" w:rsidP="00021698">
      <w:pPr>
        <w:widowControl w:val="0"/>
        <w:numPr>
          <w:ilvl w:val="0"/>
          <w:numId w:val="160"/>
        </w:numPr>
        <w:suppressAutoHyphens/>
        <w:spacing w:line="276" w:lineRule="auto"/>
        <w:contextualSpacing/>
        <w:jc w:val="both"/>
        <w:rPr>
          <w:rFonts w:ascii="Calibri" w:hAnsi="Calibri"/>
          <w:color w:val="00000A"/>
          <w:kern w:val="1"/>
          <w:lang w:val="en-GB"/>
        </w:rPr>
      </w:pPr>
      <w:r w:rsidRPr="003964D3">
        <w:rPr>
          <w:rFonts w:ascii="Calibri" w:hAnsi="Calibri"/>
          <w:color w:val="00000A"/>
          <w:kern w:val="1"/>
          <w:lang w:val="fr-FR"/>
        </w:rPr>
        <w:t xml:space="preserve">Distribuția restului de finanțare până la finalizarea proiectelor de investiții pe ordonatorii de credite:din datele prezentate în </w:t>
      </w:r>
      <w:r w:rsidRPr="003964D3">
        <w:rPr>
          <w:rFonts w:ascii="Calibri" w:hAnsi="Calibri"/>
          <w:i/>
          <w:color w:val="00000A"/>
          <w:kern w:val="1"/>
          <w:lang w:val="fr-FR"/>
        </w:rPr>
        <w:t>Figura 2</w:t>
      </w:r>
      <w:r w:rsidRPr="003964D3">
        <w:rPr>
          <w:rFonts w:ascii="Calibri" w:hAnsi="Calibri"/>
          <w:color w:val="00000A"/>
          <w:kern w:val="1"/>
          <w:lang w:val="fr-FR"/>
        </w:rPr>
        <w:t xml:space="preserve"> rezultă că cea mai mare pondere revine Ministerului Transporturilor (95,88%), urmat de Ministerul Apelor și Pădurilor (2,40%) . </w:t>
      </w:r>
      <w:r w:rsidRPr="0036525D">
        <w:rPr>
          <w:rFonts w:ascii="Calibri" w:hAnsi="Calibri"/>
          <w:color w:val="00000A"/>
          <w:kern w:val="1"/>
          <w:lang w:val="en-GB"/>
        </w:rPr>
        <w:t>Celelalte ministere dețin o pondere de sub 1%.</w:t>
      </w:r>
    </w:p>
    <w:p w:rsidR="0036525D" w:rsidRPr="0036525D" w:rsidRDefault="0036525D" w:rsidP="0036525D">
      <w:pPr>
        <w:widowControl w:val="0"/>
        <w:suppressAutoHyphens/>
        <w:jc w:val="both"/>
        <w:rPr>
          <w:rFonts w:ascii="Calibri" w:eastAsia="SimSun" w:hAnsi="Calibri"/>
          <w:lang w:val="ro-RO" w:eastAsia="zh-CN" w:bidi="hi-IN"/>
        </w:rPr>
      </w:pPr>
    </w:p>
    <w:p w:rsidR="0036525D" w:rsidRPr="0036525D" w:rsidRDefault="0036525D" w:rsidP="0036525D">
      <w:pPr>
        <w:widowControl w:val="0"/>
        <w:suppressAutoHyphens/>
        <w:jc w:val="both"/>
        <w:rPr>
          <w:rFonts w:ascii="Calibri" w:eastAsia="SimSun" w:hAnsi="Calibri"/>
          <w:lang w:val="ro-RO" w:eastAsia="zh-CN" w:bidi="hi-IN"/>
        </w:rPr>
      </w:pPr>
      <w:r w:rsidRPr="0036525D">
        <w:rPr>
          <w:rFonts w:ascii="Calibri" w:eastAsia="SimSun" w:hAnsi="Calibri"/>
          <w:lang w:val="ro-RO" w:eastAsia="zh-CN" w:bidi="hi-IN"/>
        </w:rPr>
        <w:t>Figura 2</w:t>
      </w:r>
    </w:p>
    <w:p w:rsidR="0036525D" w:rsidRPr="0036525D" w:rsidRDefault="0036525D" w:rsidP="0036525D">
      <w:pPr>
        <w:widowControl w:val="0"/>
        <w:suppressAutoHyphens/>
        <w:jc w:val="center"/>
        <w:rPr>
          <w:rFonts w:ascii="Calibri" w:eastAsia="SimSun" w:hAnsi="Calibri"/>
          <w:lang w:val="ro-RO" w:eastAsia="zh-CN" w:bidi="hi-IN"/>
        </w:rPr>
      </w:pPr>
      <w:r w:rsidRPr="0036525D">
        <w:rPr>
          <w:rFonts w:ascii="Calibri" w:eastAsia="SimSun" w:hAnsi="Calibri"/>
          <w:noProof/>
          <w:lang w:val="ro-RO" w:eastAsia="ro-RO"/>
        </w:rPr>
        <w:drawing>
          <wp:inline distT="0" distB="0" distL="0" distR="0">
            <wp:extent cx="4465320" cy="2453640"/>
            <wp:effectExtent l="0" t="0" r="11430" b="381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525D" w:rsidRPr="0036525D" w:rsidRDefault="0036525D" w:rsidP="0036525D">
      <w:pPr>
        <w:widowControl w:val="0"/>
        <w:suppressAutoHyphens/>
        <w:jc w:val="both"/>
        <w:rPr>
          <w:rFonts w:ascii="Calibri" w:eastAsia="SimSun" w:hAnsi="Calibri"/>
          <w:lang w:val="ro-RO" w:eastAsia="zh-CN" w:bidi="hi-IN"/>
        </w:rPr>
      </w:pPr>
    </w:p>
    <w:p w:rsidR="0036525D" w:rsidRPr="003964D3" w:rsidRDefault="0036525D" w:rsidP="0036525D">
      <w:pPr>
        <w:widowControl w:val="0"/>
        <w:suppressAutoHyphens/>
        <w:jc w:val="both"/>
        <w:rPr>
          <w:rFonts w:ascii="Calibri" w:eastAsia="SimSun" w:hAnsi="Calibri"/>
          <w:lang w:val="fr-FR" w:eastAsia="zh-CN" w:bidi="hi-IN"/>
        </w:rPr>
      </w:pPr>
      <w:r w:rsidRPr="0036525D">
        <w:rPr>
          <w:rFonts w:ascii="Calibri" w:eastAsia="SimSun" w:hAnsi="Calibri"/>
          <w:lang w:val="ro-RO" w:eastAsia="zh-CN" w:bidi="hi-IN"/>
        </w:rPr>
        <w:t>Referitor la stadiul de implementare al celor 136 de proiecte de investiții publice semnificative transmise de ordonatorii principali de credite în cadrul procesului de prioritizare, se constată că</w:t>
      </w:r>
      <w:r w:rsidRPr="003964D3">
        <w:rPr>
          <w:rFonts w:ascii="Calibri" w:eastAsia="SimSun" w:hAnsi="Calibri"/>
          <w:lang w:val="fr-FR" w:eastAsia="zh-CN" w:bidi="hi-IN"/>
        </w:rPr>
        <w:t>:</w:t>
      </w:r>
    </w:p>
    <w:p w:rsidR="0036525D" w:rsidRPr="003964D3" w:rsidRDefault="0036525D" w:rsidP="0036525D">
      <w:pPr>
        <w:widowControl w:val="0"/>
        <w:suppressAutoHyphens/>
        <w:jc w:val="both"/>
        <w:rPr>
          <w:rFonts w:ascii="Calibri" w:eastAsia="SimSun" w:hAnsi="Calibri"/>
          <w:lang w:val="fr-FR" w:eastAsia="zh-CN" w:bidi="hi-IN"/>
        </w:rPr>
      </w:pPr>
    </w:p>
    <w:tbl>
      <w:tblPr>
        <w:tblStyle w:val="TableGrid8"/>
        <w:tblW w:w="0" w:type="auto"/>
        <w:tblLook w:val="04A0" w:firstRow="1" w:lastRow="0" w:firstColumn="1" w:lastColumn="0" w:noHBand="0" w:noVBand="1"/>
      </w:tblPr>
      <w:tblGrid>
        <w:gridCol w:w="4927"/>
        <w:gridCol w:w="4927"/>
      </w:tblGrid>
      <w:tr w:rsidR="0036525D" w:rsidRPr="0036525D" w:rsidTr="0036525D">
        <w:tc>
          <w:tcPr>
            <w:tcW w:w="4927" w:type="dxa"/>
          </w:tcPr>
          <w:p w:rsidR="0036525D" w:rsidRPr="0036525D" w:rsidRDefault="0036525D" w:rsidP="0036525D">
            <w:pPr>
              <w:widowControl w:val="0"/>
              <w:suppressAutoHyphens/>
              <w:jc w:val="center"/>
              <w:rPr>
                <w:rFonts w:ascii="Calibri" w:hAnsi="Calibri"/>
                <w:b/>
                <w:lang w:val="ro-RO" w:eastAsia="zh-CN"/>
              </w:rPr>
            </w:pPr>
            <w:r w:rsidRPr="0036525D">
              <w:rPr>
                <w:rFonts w:ascii="Calibri" w:hAnsi="Calibri"/>
                <w:b/>
                <w:lang w:val="ro-RO" w:eastAsia="zh-CN"/>
              </w:rPr>
              <w:t>Stadiul implementării</w:t>
            </w:r>
          </w:p>
        </w:tc>
        <w:tc>
          <w:tcPr>
            <w:tcW w:w="4927" w:type="dxa"/>
          </w:tcPr>
          <w:p w:rsidR="0036525D" w:rsidRPr="0036525D" w:rsidRDefault="0036525D" w:rsidP="0036525D">
            <w:pPr>
              <w:widowControl w:val="0"/>
              <w:suppressAutoHyphens/>
              <w:jc w:val="center"/>
              <w:rPr>
                <w:rFonts w:ascii="Calibri" w:hAnsi="Calibri"/>
                <w:b/>
                <w:lang w:val="ro-RO" w:eastAsia="zh-CN"/>
              </w:rPr>
            </w:pPr>
            <w:r w:rsidRPr="0036525D">
              <w:rPr>
                <w:rFonts w:ascii="Calibri" w:hAnsi="Calibri"/>
                <w:b/>
                <w:lang w:val="ro-RO" w:eastAsia="zh-CN"/>
              </w:rPr>
              <w:t>Număr de proiecte</w:t>
            </w:r>
          </w:p>
        </w:tc>
      </w:tr>
      <w:tr w:rsidR="0036525D" w:rsidRPr="0036525D" w:rsidTr="0036525D">
        <w:tc>
          <w:tcPr>
            <w:tcW w:w="4927" w:type="dxa"/>
          </w:tcPr>
          <w:p w:rsidR="0036525D" w:rsidRPr="0036525D" w:rsidRDefault="0036525D" w:rsidP="0036525D">
            <w:pPr>
              <w:widowControl w:val="0"/>
              <w:suppressAutoHyphens/>
              <w:jc w:val="both"/>
              <w:rPr>
                <w:rFonts w:ascii="Calibri" w:hAnsi="Calibri"/>
                <w:lang w:val="ro-RO" w:eastAsia="zh-CN"/>
              </w:rPr>
            </w:pPr>
            <w:r w:rsidRPr="0036525D">
              <w:rPr>
                <w:rFonts w:ascii="Calibri" w:hAnsi="Calibri"/>
                <w:lang w:val="ro-RO" w:eastAsia="zh-CN"/>
              </w:rPr>
              <w:t>Stadiu fizic de 0%</w:t>
            </w:r>
          </w:p>
        </w:tc>
        <w:tc>
          <w:tcPr>
            <w:tcW w:w="4927" w:type="dxa"/>
          </w:tcPr>
          <w:p w:rsidR="0036525D" w:rsidRPr="0036525D" w:rsidRDefault="0036525D" w:rsidP="0036525D">
            <w:pPr>
              <w:widowControl w:val="0"/>
              <w:suppressAutoHyphens/>
              <w:jc w:val="center"/>
              <w:rPr>
                <w:rFonts w:ascii="Calibri" w:hAnsi="Calibri"/>
                <w:lang w:val="ro-RO" w:eastAsia="zh-CN"/>
              </w:rPr>
            </w:pPr>
            <w:r w:rsidRPr="0036525D">
              <w:rPr>
                <w:rFonts w:ascii="Calibri" w:hAnsi="Calibri"/>
                <w:lang w:val="ro-RO" w:eastAsia="zh-CN"/>
              </w:rPr>
              <w:t>35</w:t>
            </w:r>
          </w:p>
        </w:tc>
      </w:tr>
      <w:tr w:rsidR="0036525D" w:rsidRPr="0036525D" w:rsidTr="0036525D">
        <w:tc>
          <w:tcPr>
            <w:tcW w:w="4927" w:type="dxa"/>
          </w:tcPr>
          <w:p w:rsidR="0036525D" w:rsidRPr="0036525D" w:rsidRDefault="0036525D" w:rsidP="0036525D">
            <w:pPr>
              <w:widowControl w:val="0"/>
              <w:suppressAutoHyphens/>
              <w:jc w:val="both"/>
              <w:rPr>
                <w:rFonts w:ascii="Calibri" w:hAnsi="Calibri"/>
                <w:lang w:val="ro-RO" w:eastAsia="zh-CN"/>
              </w:rPr>
            </w:pPr>
            <w:r w:rsidRPr="0036525D">
              <w:rPr>
                <w:rFonts w:ascii="Calibri" w:hAnsi="Calibri"/>
                <w:lang w:val="ro-RO" w:eastAsia="zh-CN"/>
              </w:rPr>
              <w:t>Proiecte în curs de implementare</w:t>
            </w:r>
          </w:p>
        </w:tc>
        <w:tc>
          <w:tcPr>
            <w:tcW w:w="4927" w:type="dxa"/>
          </w:tcPr>
          <w:p w:rsidR="0036525D" w:rsidRPr="0036525D" w:rsidRDefault="0036525D" w:rsidP="0036525D">
            <w:pPr>
              <w:widowControl w:val="0"/>
              <w:suppressAutoHyphens/>
              <w:jc w:val="center"/>
              <w:rPr>
                <w:rFonts w:ascii="Calibri" w:hAnsi="Calibri"/>
                <w:lang w:val="ro-RO" w:eastAsia="zh-CN"/>
              </w:rPr>
            </w:pPr>
            <w:r w:rsidRPr="0036525D">
              <w:rPr>
                <w:rFonts w:ascii="Calibri" w:hAnsi="Calibri"/>
                <w:lang w:val="ro-RO" w:eastAsia="zh-CN"/>
              </w:rPr>
              <w:t>60</w:t>
            </w:r>
          </w:p>
        </w:tc>
      </w:tr>
      <w:tr w:rsidR="0036525D" w:rsidRPr="0036525D" w:rsidTr="0036525D">
        <w:tc>
          <w:tcPr>
            <w:tcW w:w="4927" w:type="dxa"/>
          </w:tcPr>
          <w:p w:rsidR="0036525D" w:rsidRPr="0036525D" w:rsidRDefault="0036525D" w:rsidP="0036525D">
            <w:pPr>
              <w:widowControl w:val="0"/>
              <w:suppressAutoHyphens/>
              <w:jc w:val="both"/>
              <w:rPr>
                <w:rFonts w:ascii="Calibri" w:hAnsi="Calibri"/>
                <w:lang w:val="ro-RO" w:eastAsia="zh-CN"/>
              </w:rPr>
            </w:pPr>
            <w:r w:rsidRPr="0036525D">
              <w:rPr>
                <w:rFonts w:ascii="Calibri" w:hAnsi="Calibri"/>
                <w:lang w:val="ro-RO" w:eastAsia="zh-CN"/>
              </w:rPr>
              <w:t>Proiecte cu stadiu fizic de execuție de 100%</w:t>
            </w:r>
          </w:p>
        </w:tc>
        <w:tc>
          <w:tcPr>
            <w:tcW w:w="4927" w:type="dxa"/>
          </w:tcPr>
          <w:p w:rsidR="0036525D" w:rsidRPr="0036525D" w:rsidRDefault="0036525D" w:rsidP="0036525D">
            <w:pPr>
              <w:widowControl w:val="0"/>
              <w:suppressAutoHyphens/>
              <w:jc w:val="center"/>
              <w:rPr>
                <w:rFonts w:ascii="Calibri" w:hAnsi="Calibri"/>
                <w:lang w:val="ro-RO" w:eastAsia="zh-CN"/>
              </w:rPr>
            </w:pPr>
            <w:r w:rsidRPr="0036525D">
              <w:rPr>
                <w:rFonts w:ascii="Calibri" w:hAnsi="Calibri"/>
                <w:lang w:val="ro-RO" w:eastAsia="zh-CN"/>
              </w:rPr>
              <w:t>41</w:t>
            </w:r>
          </w:p>
        </w:tc>
      </w:tr>
    </w:tbl>
    <w:p w:rsidR="004467B6" w:rsidRDefault="004467B6" w:rsidP="00CB21FA">
      <w:pPr>
        <w:widowControl w:val="0"/>
        <w:autoSpaceDE w:val="0"/>
        <w:autoSpaceDN w:val="0"/>
        <w:adjustRightInd w:val="0"/>
        <w:rPr>
          <w:rFonts w:ascii="Calibri" w:hAnsi="Calibri" w:cs="Arial"/>
          <w:b/>
          <w:color w:val="000080"/>
          <w:shd w:val="clear" w:color="auto" w:fill="99CCFF"/>
          <w:lang w:val="ro-RO"/>
        </w:rPr>
      </w:pPr>
    </w:p>
    <w:p w:rsidR="00CB21FA" w:rsidRPr="00CB21FA" w:rsidRDefault="00CB21FA" w:rsidP="00CB21FA">
      <w:pPr>
        <w:widowControl w:val="0"/>
        <w:autoSpaceDE w:val="0"/>
        <w:autoSpaceDN w:val="0"/>
        <w:adjustRightInd w:val="0"/>
        <w:rPr>
          <w:rFonts w:ascii="Calibri" w:hAnsi="Calibri" w:cs="Arial"/>
          <w:b/>
          <w:color w:val="0000CC"/>
          <w:lang w:val="ro-RO"/>
        </w:rPr>
      </w:pPr>
      <w:r w:rsidRPr="00CB21FA">
        <w:rPr>
          <w:rFonts w:ascii="Calibri" w:hAnsi="Calibri" w:cs="Arial"/>
          <w:b/>
          <w:color w:val="000080"/>
          <w:shd w:val="clear" w:color="auto" w:fill="99CCFF"/>
          <w:lang w:val="ro-RO"/>
        </w:rPr>
        <w:t>Investiţii realizate în parteneriat public-privat în România</w:t>
      </w:r>
    </w:p>
    <w:p w:rsidR="00CB21FA" w:rsidRPr="00CB21FA" w:rsidRDefault="00CB21FA" w:rsidP="00CB21FA">
      <w:pPr>
        <w:spacing w:before="120" w:after="120"/>
        <w:rPr>
          <w:rFonts w:ascii="Calibri" w:hAnsi="Calibri" w:cs="Arial"/>
          <w:b/>
          <w:color w:val="365F91"/>
          <w:lang w:val="ro-RO"/>
        </w:rPr>
      </w:pPr>
      <w:r w:rsidRPr="00CB21FA">
        <w:rPr>
          <w:rFonts w:ascii="Calibri" w:hAnsi="Calibri" w:cs="Arial"/>
          <w:b/>
          <w:color w:val="365F91"/>
          <w:lang w:val="ro-RO"/>
        </w:rPr>
        <w:t>Cadrul legal actual</w:t>
      </w:r>
    </w:p>
    <w:p w:rsidR="00581DA7" w:rsidRPr="00CB21FA" w:rsidRDefault="00581DA7" w:rsidP="00581DA7">
      <w:pPr>
        <w:spacing w:before="120" w:after="120"/>
        <w:jc w:val="both"/>
        <w:rPr>
          <w:rFonts w:ascii="Calibri" w:hAnsi="Calibri" w:cs="Arial"/>
          <w:lang w:val="ro-RO"/>
        </w:rPr>
      </w:pPr>
      <w:r w:rsidRPr="00CB21FA">
        <w:rPr>
          <w:rFonts w:ascii="Calibri" w:hAnsi="Calibri" w:cs="Arial"/>
          <w:lang w:val="ro-RO"/>
        </w:rPr>
        <w:t>Guvernul actual a schimbat profund cadrul actual legal pentru PPP, pentru a simplifica şi eficientiza procesul de atribuire şi realizare a proiectelor de investiţii în PPP prin adoptarea Ordonanţei de urgenţă nr.39/2018 privind parteneriatul public-privat, o lege care nu are norme de aplicare.</w:t>
      </w:r>
    </w:p>
    <w:p w:rsidR="00581DA7" w:rsidRPr="00CB21FA" w:rsidRDefault="00581DA7" w:rsidP="00581DA7">
      <w:pPr>
        <w:spacing w:before="120" w:after="120"/>
        <w:jc w:val="both"/>
        <w:rPr>
          <w:rFonts w:ascii="Calibri" w:hAnsi="Calibri" w:cs="Arial"/>
          <w:lang w:val="ro-RO"/>
        </w:rPr>
      </w:pPr>
      <w:r w:rsidRPr="00CB21FA">
        <w:rPr>
          <w:rFonts w:ascii="Calibri" w:hAnsi="Calibri" w:cs="Arial"/>
          <w:lang w:val="ro-RO"/>
        </w:rPr>
        <w:t>Principalele prevederi ale Ordonanţei de urgentă nr.39/2018 sunt:</w:t>
      </w:r>
    </w:p>
    <w:p w:rsidR="00581DA7" w:rsidRPr="00CB21FA" w:rsidRDefault="00581DA7" w:rsidP="00021698">
      <w:pPr>
        <w:numPr>
          <w:ilvl w:val="0"/>
          <w:numId w:val="163"/>
        </w:numPr>
        <w:spacing w:before="120" w:after="120" w:line="276" w:lineRule="auto"/>
        <w:ind w:left="426" w:hanging="426"/>
        <w:jc w:val="both"/>
        <w:rPr>
          <w:rFonts w:ascii="Calibri" w:hAnsi="Calibri" w:cs="Arial"/>
          <w:lang w:val="ro-RO"/>
        </w:rPr>
      </w:pPr>
      <w:r w:rsidRPr="00CB21FA">
        <w:rPr>
          <w:rFonts w:ascii="Calibri" w:hAnsi="Calibri" w:cs="Arial"/>
          <w:lang w:val="ro-RO"/>
        </w:rPr>
        <w:t>Parteneriatul public-privat are ca obiect realizarea sau, după caz, reabilitarea şi/sau extinderea unui bun sau a unor bunuri care vor aparţine patrimoniului partenerului public şi/sau operarea unui serviciu public.</w:t>
      </w:r>
    </w:p>
    <w:p w:rsidR="00581DA7" w:rsidRPr="00CB21FA" w:rsidRDefault="00581DA7" w:rsidP="00021698">
      <w:pPr>
        <w:numPr>
          <w:ilvl w:val="0"/>
          <w:numId w:val="163"/>
        </w:numPr>
        <w:spacing w:after="200" w:line="276" w:lineRule="auto"/>
        <w:ind w:left="425" w:hanging="426"/>
        <w:jc w:val="both"/>
        <w:rPr>
          <w:rFonts w:ascii="Calibri" w:hAnsi="Calibri" w:cs="Arial"/>
          <w:lang w:val="ro-RO"/>
        </w:rPr>
      </w:pPr>
      <w:r w:rsidRPr="00CB21FA">
        <w:rPr>
          <w:rFonts w:ascii="Calibri" w:hAnsi="Calibri" w:cs="Arial"/>
          <w:lang w:val="ro-RO"/>
        </w:rPr>
        <w:t>Finanţarea pentru investiţii, care este realizată în cadrul contractelor de parteneriat public-privat, poate fi asigurată, după cum urmează:</w:t>
      </w:r>
    </w:p>
    <w:p w:rsidR="00581DA7" w:rsidRPr="00CB21FA" w:rsidRDefault="00581DA7" w:rsidP="00021698">
      <w:pPr>
        <w:numPr>
          <w:ilvl w:val="0"/>
          <w:numId w:val="165"/>
        </w:numPr>
        <w:spacing w:after="200" w:line="276" w:lineRule="auto"/>
        <w:ind w:left="425" w:firstLine="0"/>
        <w:jc w:val="both"/>
        <w:rPr>
          <w:rFonts w:ascii="Calibri" w:hAnsi="Calibri" w:cs="Arial"/>
          <w:lang w:val="ro-RO"/>
        </w:rPr>
      </w:pPr>
      <w:r w:rsidRPr="00CB21FA">
        <w:rPr>
          <w:rFonts w:ascii="Calibri" w:hAnsi="Calibri" w:cs="Arial"/>
          <w:lang w:val="ro-RO"/>
        </w:rPr>
        <w:t>Integral, din resurse financiare furnizate de către partenerul privat;</w:t>
      </w:r>
    </w:p>
    <w:p w:rsidR="00581DA7" w:rsidRPr="00CB21FA" w:rsidRDefault="00581DA7" w:rsidP="00021698">
      <w:pPr>
        <w:numPr>
          <w:ilvl w:val="0"/>
          <w:numId w:val="165"/>
        </w:numPr>
        <w:spacing w:after="200" w:line="276" w:lineRule="auto"/>
        <w:ind w:left="425" w:firstLine="0"/>
        <w:jc w:val="both"/>
        <w:rPr>
          <w:rFonts w:ascii="Calibri" w:hAnsi="Calibri" w:cs="Arial"/>
          <w:lang w:val="ro-RO"/>
        </w:rPr>
      </w:pPr>
      <w:r w:rsidRPr="00CB21FA">
        <w:rPr>
          <w:rFonts w:ascii="Calibri" w:hAnsi="Calibri" w:cs="Arial"/>
          <w:lang w:val="ro-RO"/>
        </w:rPr>
        <w:t>Din resurse financiare furnizate de partenerul privat, împreună cu partenerul public.</w:t>
      </w:r>
    </w:p>
    <w:p w:rsidR="00581DA7" w:rsidRPr="00CB21FA" w:rsidRDefault="00581DA7" w:rsidP="00021698">
      <w:pPr>
        <w:numPr>
          <w:ilvl w:val="0"/>
          <w:numId w:val="163"/>
        </w:numPr>
        <w:spacing w:before="120" w:after="120" w:line="276" w:lineRule="auto"/>
        <w:ind w:left="426" w:hanging="426"/>
        <w:jc w:val="both"/>
        <w:rPr>
          <w:rFonts w:ascii="Calibri" w:hAnsi="Calibri" w:cs="Arial"/>
          <w:lang w:val="ro-RO"/>
        </w:rPr>
      </w:pPr>
      <w:r w:rsidRPr="00CB21FA">
        <w:rPr>
          <w:rFonts w:ascii="Calibri" w:hAnsi="Calibri" w:cs="Arial"/>
          <w:lang w:val="ro-RO"/>
        </w:rPr>
        <w:t>Ponderea contribuţiei partenerului public la finanţarea investiţiilor din cadrul  unui contract PPP nu trebuie să depăşească 25% din totalul investiţiei, inclusiv din fonduri europene.</w:t>
      </w:r>
    </w:p>
    <w:p w:rsidR="00581DA7" w:rsidRPr="00CB21FA" w:rsidRDefault="00581DA7" w:rsidP="00021698">
      <w:pPr>
        <w:numPr>
          <w:ilvl w:val="0"/>
          <w:numId w:val="163"/>
        </w:numPr>
        <w:spacing w:before="120" w:after="120" w:line="276" w:lineRule="auto"/>
        <w:ind w:left="426" w:hanging="426"/>
        <w:rPr>
          <w:rFonts w:ascii="Calibri" w:hAnsi="Calibri" w:cs="Arial"/>
          <w:lang w:val="ro-RO"/>
        </w:rPr>
      </w:pPr>
      <w:r w:rsidRPr="00CB21FA">
        <w:rPr>
          <w:rFonts w:ascii="Calibri" w:hAnsi="Calibri" w:cs="Arial"/>
          <w:lang w:val="ro-RO"/>
        </w:rPr>
        <w:t>Mecanismul parteneriatului public-privat este caracterizat de următoarele elemente principale:</w:t>
      </w:r>
    </w:p>
    <w:p w:rsidR="00581DA7" w:rsidRPr="00CB21FA" w:rsidRDefault="00581DA7" w:rsidP="00021698">
      <w:pPr>
        <w:numPr>
          <w:ilvl w:val="0"/>
          <w:numId w:val="164"/>
        </w:numPr>
        <w:spacing w:after="200" w:line="276" w:lineRule="auto"/>
        <w:ind w:left="567" w:hanging="142"/>
        <w:jc w:val="both"/>
        <w:rPr>
          <w:rFonts w:ascii="Calibri" w:hAnsi="Calibri" w:cs="Arial"/>
          <w:lang w:val="ro-RO"/>
        </w:rPr>
      </w:pPr>
      <w:r w:rsidRPr="00CB21FA">
        <w:rPr>
          <w:rFonts w:ascii="Calibri" w:hAnsi="Calibri" w:cs="Arial"/>
          <w:lang w:val="ro-RO"/>
        </w:rPr>
        <w:t>cooperarea dintre partenerul public şi partenerul privat, în vederea implementării unui proiect public;</w:t>
      </w:r>
    </w:p>
    <w:p w:rsidR="00581DA7" w:rsidRPr="00CB21FA" w:rsidRDefault="00581DA7" w:rsidP="00021698">
      <w:pPr>
        <w:numPr>
          <w:ilvl w:val="0"/>
          <w:numId w:val="164"/>
        </w:numPr>
        <w:spacing w:after="200" w:line="276" w:lineRule="auto"/>
        <w:ind w:left="567" w:hanging="142"/>
        <w:jc w:val="both"/>
        <w:rPr>
          <w:rFonts w:ascii="Calibri" w:hAnsi="Calibri" w:cs="Arial"/>
          <w:lang w:val="ro-RO"/>
        </w:rPr>
      </w:pPr>
      <w:r w:rsidRPr="00CB21FA">
        <w:rPr>
          <w:rFonts w:ascii="Calibri" w:hAnsi="Calibri" w:cs="Arial"/>
          <w:lang w:val="ro-RO"/>
        </w:rPr>
        <w:t>durata relativ lungă de derulare a raporturilor contractuale, de peste 5 ani, care să permită partenerului privat recuperarea investiţiei şi realizarea unui profit rezonabil;</w:t>
      </w:r>
    </w:p>
    <w:p w:rsidR="00581DA7" w:rsidRPr="00CB21FA" w:rsidRDefault="00581DA7" w:rsidP="00021698">
      <w:pPr>
        <w:numPr>
          <w:ilvl w:val="0"/>
          <w:numId w:val="164"/>
        </w:numPr>
        <w:spacing w:after="200" w:line="276" w:lineRule="auto"/>
        <w:ind w:left="567" w:hanging="142"/>
        <w:jc w:val="both"/>
        <w:rPr>
          <w:rFonts w:ascii="Calibri" w:hAnsi="Calibri" w:cs="Arial"/>
          <w:lang w:val="ro-RO"/>
        </w:rPr>
      </w:pPr>
      <w:r w:rsidRPr="00CB21FA">
        <w:rPr>
          <w:rFonts w:ascii="Calibri" w:hAnsi="Calibri" w:cs="Arial"/>
          <w:lang w:val="ro-RO"/>
        </w:rPr>
        <w:t>finanţarea proiectului, în principal din fonduri private şi, după caz, prin punerea în comun a fondurilor private cu fonduri publice;</w:t>
      </w:r>
    </w:p>
    <w:p w:rsidR="00581DA7" w:rsidRPr="00CB21FA" w:rsidRDefault="00581DA7" w:rsidP="00021698">
      <w:pPr>
        <w:numPr>
          <w:ilvl w:val="0"/>
          <w:numId w:val="164"/>
        </w:numPr>
        <w:spacing w:after="200" w:line="276" w:lineRule="auto"/>
        <w:ind w:left="567" w:hanging="142"/>
        <w:jc w:val="both"/>
        <w:rPr>
          <w:rFonts w:ascii="Calibri" w:hAnsi="Calibri" w:cs="Arial"/>
          <w:lang w:val="ro-RO"/>
        </w:rPr>
      </w:pPr>
      <w:r w:rsidRPr="00CB21FA">
        <w:rPr>
          <w:rFonts w:ascii="Calibri" w:hAnsi="Calibri" w:cs="Arial"/>
          <w:lang w:val="ro-RO"/>
        </w:rPr>
        <w:t>atingerea scopului urmărit de partenerul public şi partenerul privat;</w:t>
      </w:r>
    </w:p>
    <w:p w:rsidR="00581DA7" w:rsidRPr="00CB21FA" w:rsidRDefault="00581DA7" w:rsidP="00021698">
      <w:pPr>
        <w:numPr>
          <w:ilvl w:val="0"/>
          <w:numId w:val="164"/>
        </w:numPr>
        <w:spacing w:after="200" w:line="276" w:lineRule="auto"/>
        <w:ind w:left="567" w:hanging="142"/>
        <w:jc w:val="both"/>
        <w:rPr>
          <w:rFonts w:ascii="Calibri" w:hAnsi="Calibri" w:cs="Arial"/>
          <w:lang w:val="ro-RO"/>
        </w:rPr>
      </w:pPr>
      <w:r w:rsidRPr="00CB21FA">
        <w:rPr>
          <w:rFonts w:ascii="Calibri" w:hAnsi="Calibri" w:cs="Arial"/>
          <w:lang w:val="ro-RO"/>
        </w:rPr>
        <w:t>distribuirea riscurilor între partenerul public şi partenerul privat, în funcţie de capacitatea fiecărei părţi contractante de a evalua, gestiona şi controla un anumit risc.</w:t>
      </w:r>
    </w:p>
    <w:p w:rsidR="00581DA7" w:rsidRPr="00CB21FA" w:rsidRDefault="00581DA7" w:rsidP="00021698">
      <w:pPr>
        <w:numPr>
          <w:ilvl w:val="0"/>
          <w:numId w:val="163"/>
        </w:numPr>
        <w:spacing w:before="120" w:after="120" w:line="276" w:lineRule="auto"/>
        <w:ind w:left="426" w:hanging="426"/>
        <w:jc w:val="both"/>
        <w:rPr>
          <w:rFonts w:ascii="Calibri" w:hAnsi="Calibri" w:cs="Arial"/>
          <w:lang w:val="ro-RO"/>
        </w:rPr>
      </w:pPr>
      <w:r w:rsidRPr="00CB21FA">
        <w:rPr>
          <w:rFonts w:ascii="Calibri" w:hAnsi="Calibri" w:cs="Arial"/>
          <w:lang w:val="ro-RO"/>
        </w:rPr>
        <w:t>În scopul încheierii şi iniţierii realizării obligaţiilor din cadrul contractului PPP este necesar să se parcurgă următoarele etape:</w:t>
      </w:r>
    </w:p>
    <w:p w:rsidR="00581DA7" w:rsidRPr="00CB21FA" w:rsidRDefault="00581DA7" w:rsidP="00021698">
      <w:pPr>
        <w:numPr>
          <w:ilvl w:val="0"/>
          <w:numId w:val="166"/>
        </w:numPr>
        <w:spacing w:after="200" w:line="276" w:lineRule="auto"/>
        <w:ind w:left="709" w:hanging="284"/>
        <w:jc w:val="both"/>
        <w:rPr>
          <w:rFonts w:ascii="Calibri" w:hAnsi="Calibri" w:cs="Arial"/>
          <w:lang w:val="ro-RO"/>
        </w:rPr>
      </w:pPr>
      <w:r w:rsidRPr="00CB21FA">
        <w:rPr>
          <w:rFonts w:ascii="Calibri" w:hAnsi="Calibri" w:cs="Arial"/>
          <w:lang w:val="ro-RO"/>
        </w:rPr>
        <w:t>realizarea unui studiu de fundamentare de către partenerul public;</w:t>
      </w:r>
    </w:p>
    <w:p w:rsidR="00581DA7" w:rsidRPr="00CB21FA" w:rsidRDefault="00581DA7" w:rsidP="00021698">
      <w:pPr>
        <w:numPr>
          <w:ilvl w:val="0"/>
          <w:numId w:val="166"/>
        </w:numPr>
        <w:spacing w:after="200" w:line="276" w:lineRule="auto"/>
        <w:ind w:left="709" w:hanging="284"/>
        <w:jc w:val="both"/>
        <w:rPr>
          <w:rFonts w:ascii="Calibri" w:hAnsi="Calibri" w:cs="Arial"/>
          <w:lang w:val="ro-RO"/>
        </w:rPr>
      </w:pPr>
      <w:r w:rsidRPr="00CB21FA">
        <w:rPr>
          <w:rFonts w:ascii="Calibri" w:hAnsi="Calibri" w:cs="Arial"/>
          <w:lang w:val="ro-RO"/>
        </w:rPr>
        <w:t>aprobarea de către Guvern a studiului de fundamentare pentru proiectele din administraţia centrală sau, dupa caz, de către autorităţile competente pentru proiectele din administraţia publică locală;</w:t>
      </w:r>
    </w:p>
    <w:p w:rsidR="00581DA7" w:rsidRPr="00CB21FA" w:rsidRDefault="00581DA7" w:rsidP="00021698">
      <w:pPr>
        <w:numPr>
          <w:ilvl w:val="0"/>
          <w:numId w:val="166"/>
        </w:numPr>
        <w:spacing w:after="200" w:line="276" w:lineRule="auto"/>
        <w:ind w:left="709" w:hanging="284"/>
        <w:jc w:val="both"/>
        <w:rPr>
          <w:rFonts w:ascii="Calibri" w:hAnsi="Calibri" w:cs="Arial"/>
          <w:lang w:val="ro-RO"/>
        </w:rPr>
      </w:pPr>
      <w:r w:rsidRPr="00CB21FA">
        <w:rPr>
          <w:rFonts w:ascii="Calibri" w:hAnsi="Calibri" w:cs="Arial"/>
          <w:lang w:val="ro-RO"/>
        </w:rPr>
        <w:t>procedura de atribuire a contractului PPP;</w:t>
      </w:r>
    </w:p>
    <w:p w:rsidR="00581DA7" w:rsidRPr="00CB21FA" w:rsidRDefault="00581DA7" w:rsidP="00021698">
      <w:pPr>
        <w:numPr>
          <w:ilvl w:val="0"/>
          <w:numId w:val="166"/>
        </w:numPr>
        <w:spacing w:after="200" w:line="276" w:lineRule="auto"/>
        <w:ind w:left="709" w:hanging="284"/>
        <w:jc w:val="both"/>
        <w:rPr>
          <w:rFonts w:ascii="Calibri" w:hAnsi="Calibri" w:cs="Arial"/>
          <w:lang w:val="ro-RO"/>
        </w:rPr>
      </w:pPr>
      <w:r w:rsidRPr="00CB21FA">
        <w:rPr>
          <w:rFonts w:ascii="Calibri" w:hAnsi="Calibri" w:cs="Arial"/>
          <w:lang w:val="ro-RO"/>
        </w:rPr>
        <w:t>aprobarea de către guvern a contractului PPP, rezultat după finalizarea negocierilor iniţiate de părţi, în cazul proiectelor din administraţia centrală sau, după caz, de autorităţile competente pentru proiectele din administraţia publică locală;</w:t>
      </w:r>
    </w:p>
    <w:p w:rsidR="00581DA7" w:rsidRPr="00CB21FA" w:rsidRDefault="00581DA7" w:rsidP="00021698">
      <w:pPr>
        <w:numPr>
          <w:ilvl w:val="0"/>
          <w:numId w:val="166"/>
        </w:numPr>
        <w:spacing w:after="200" w:line="276" w:lineRule="auto"/>
        <w:ind w:left="709" w:hanging="284"/>
        <w:jc w:val="both"/>
        <w:rPr>
          <w:rFonts w:ascii="Calibri" w:hAnsi="Calibri" w:cs="Arial"/>
          <w:lang w:val="ro-RO"/>
        </w:rPr>
      </w:pPr>
      <w:r w:rsidRPr="00CB21FA">
        <w:rPr>
          <w:rFonts w:ascii="Calibri" w:hAnsi="Calibri" w:cs="Arial"/>
          <w:lang w:val="ro-RO"/>
        </w:rPr>
        <w:t>semnarea contractelor PPP.</w:t>
      </w:r>
    </w:p>
    <w:p w:rsidR="00581DA7" w:rsidRPr="003137F7" w:rsidRDefault="00581DA7" w:rsidP="00021698">
      <w:pPr>
        <w:numPr>
          <w:ilvl w:val="0"/>
          <w:numId w:val="163"/>
        </w:numPr>
        <w:spacing w:before="120" w:after="120" w:line="276" w:lineRule="auto"/>
        <w:ind w:left="426" w:hanging="426"/>
        <w:jc w:val="both"/>
        <w:rPr>
          <w:rFonts w:ascii="Calibri" w:hAnsi="Calibri" w:cs="Arial"/>
          <w:lang w:val="ro-RO"/>
        </w:rPr>
      </w:pPr>
      <w:r w:rsidRPr="00CB21FA">
        <w:rPr>
          <w:rFonts w:ascii="Calibri" w:hAnsi="Calibri" w:cs="Arial"/>
          <w:lang w:val="ro-RO"/>
        </w:rPr>
        <w:t>Conform OUG nr.39/2018, instituţia care se ocupă de pregătirea şi atribuirea proiectelor strategice de PPP este Comisia Natională de Strategie şi Prognoză. Conform  Ordonanţei de urgenţă nr. 28/2018, Comisia Naţională de Strategie şi Prognoză este unitate centrală</w:t>
      </w:r>
      <w:r w:rsidRPr="00CB21FA">
        <w:rPr>
          <w:rFonts w:ascii="Calibri" w:hAnsi="Calibri" w:cs="Arial"/>
          <w:shd w:val="clear" w:color="auto" w:fill="F9F9F9"/>
          <w:lang w:val="ro-RO"/>
        </w:rPr>
        <w:t> </w:t>
      </w:r>
      <w:r w:rsidRPr="00CB21FA">
        <w:rPr>
          <w:rFonts w:ascii="Calibri" w:hAnsi="Calibri" w:cs="Arial"/>
          <w:lang w:val="ro-RO"/>
        </w:rPr>
        <w:t xml:space="preserve"> de fundamentare şi atribuire pentru proiectele strategice de investiţii realizate între sectorul public şi unul sau mai mulţi parteneri privaţi.</w:t>
      </w:r>
    </w:p>
    <w:p w:rsidR="00581DA7" w:rsidRPr="00CB21FA" w:rsidRDefault="00581DA7" w:rsidP="00581DA7">
      <w:pPr>
        <w:spacing w:before="120" w:after="120"/>
        <w:jc w:val="both"/>
        <w:rPr>
          <w:rFonts w:ascii="Calibri" w:hAnsi="Calibri" w:cs="Arial"/>
          <w:b/>
          <w:color w:val="365F91"/>
          <w:lang w:val="ro-RO"/>
        </w:rPr>
      </w:pPr>
      <w:r w:rsidRPr="00CB21FA">
        <w:rPr>
          <w:rFonts w:ascii="Calibri" w:hAnsi="Calibri" w:cs="Arial"/>
          <w:b/>
          <w:color w:val="365F91"/>
          <w:lang w:val="ro-RO"/>
        </w:rPr>
        <w:t>Proiecte strategice de investiţii în PPP programate să fie lansate:</w:t>
      </w:r>
    </w:p>
    <w:p w:rsidR="00581DA7" w:rsidRPr="00CB21FA" w:rsidRDefault="00581DA7" w:rsidP="00021698">
      <w:pPr>
        <w:numPr>
          <w:ilvl w:val="0"/>
          <w:numId w:val="162"/>
        </w:numPr>
        <w:spacing w:before="120" w:after="120" w:line="276" w:lineRule="auto"/>
        <w:ind w:hanging="357"/>
        <w:jc w:val="both"/>
        <w:rPr>
          <w:rFonts w:ascii="Calibri" w:hAnsi="Calibri" w:cs="Arial"/>
          <w:b/>
          <w:lang w:val="ro-RO"/>
        </w:rPr>
      </w:pPr>
      <w:r w:rsidRPr="00CB21FA">
        <w:rPr>
          <w:rFonts w:ascii="Calibri" w:hAnsi="Calibri" w:cs="Arial"/>
          <w:lang w:val="ro-RO"/>
        </w:rPr>
        <w:t xml:space="preserve">Prin Hotărârea de guvern nr. 357/2018 s-a stabilit ca Comisia Naţională de Strategie şi Prognoză să pregătească şi să atribuie în numele partenerilor publici care urmează să le implementeze următoarele proiecte: </w:t>
      </w:r>
    </w:p>
    <w:p w:rsidR="00581DA7" w:rsidRPr="00CB21FA" w:rsidRDefault="00581DA7" w:rsidP="00021698">
      <w:pPr>
        <w:numPr>
          <w:ilvl w:val="0"/>
          <w:numId w:val="163"/>
        </w:numPr>
        <w:spacing w:after="200" w:line="276" w:lineRule="auto"/>
        <w:ind w:left="567" w:hanging="283"/>
        <w:rPr>
          <w:rFonts w:ascii="Calibri" w:hAnsi="Calibri" w:cs="Arial"/>
          <w:lang w:val="ro-RO"/>
        </w:rPr>
      </w:pPr>
      <w:r w:rsidRPr="00CB21FA">
        <w:rPr>
          <w:rFonts w:ascii="Calibri" w:hAnsi="Calibri" w:cs="Arial"/>
          <w:lang w:val="ro-RO"/>
        </w:rPr>
        <w:t>Autostrada Ploieşti-Braşov;</w:t>
      </w:r>
    </w:p>
    <w:p w:rsidR="00581DA7" w:rsidRPr="00CB21FA" w:rsidRDefault="00581DA7" w:rsidP="00021698">
      <w:pPr>
        <w:numPr>
          <w:ilvl w:val="0"/>
          <w:numId w:val="163"/>
        </w:numPr>
        <w:spacing w:after="200" w:line="276" w:lineRule="auto"/>
        <w:ind w:left="567" w:hanging="283"/>
        <w:rPr>
          <w:rFonts w:ascii="Calibri" w:hAnsi="Calibri" w:cs="Arial"/>
          <w:lang w:val="ro-RO"/>
        </w:rPr>
      </w:pPr>
      <w:r w:rsidRPr="00CB21FA">
        <w:rPr>
          <w:rFonts w:ascii="Calibri" w:hAnsi="Calibri" w:cs="Arial"/>
          <w:lang w:val="ro-RO"/>
        </w:rPr>
        <w:t>Autostrada Bucureşti - Craiova - Calafat - Drobeta-Turnu Severin - Lugoj;</w:t>
      </w:r>
    </w:p>
    <w:p w:rsidR="00581DA7" w:rsidRPr="00CB21FA" w:rsidRDefault="00581DA7" w:rsidP="00021698">
      <w:pPr>
        <w:numPr>
          <w:ilvl w:val="0"/>
          <w:numId w:val="163"/>
        </w:numPr>
        <w:spacing w:after="200" w:line="276" w:lineRule="auto"/>
        <w:ind w:left="567" w:hanging="283"/>
        <w:rPr>
          <w:rFonts w:ascii="Calibri" w:hAnsi="Calibri" w:cs="Arial"/>
          <w:lang w:val="ro-RO"/>
        </w:rPr>
      </w:pPr>
      <w:r w:rsidRPr="00CB21FA">
        <w:rPr>
          <w:rFonts w:ascii="Calibri" w:hAnsi="Calibri" w:cs="Arial"/>
          <w:lang w:val="ro-RO"/>
        </w:rPr>
        <w:t>Autostrada Târgu-Neamţ - Iaşi - Ungheni;</w:t>
      </w:r>
    </w:p>
    <w:p w:rsidR="00581DA7" w:rsidRPr="00CB21FA" w:rsidRDefault="00581DA7" w:rsidP="00021698">
      <w:pPr>
        <w:numPr>
          <w:ilvl w:val="0"/>
          <w:numId w:val="163"/>
        </w:numPr>
        <w:spacing w:after="200" w:line="276" w:lineRule="auto"/>
        <w:ind w:left="567" w:hanging="283"/>
        <w:rPr>
          <w:rFonts w:ascii="Calibri" w:hAnsi="Calibri" w:cs="Arial"/>
          <w:lang w:val="ro-RO"/>
        </w:rPr>
      </w:pPr>
      <w:r w:rsidRPr="00CB21FA">
        <w:rPr>
          <w:rFonts w:ascii="Calibri" w:hAnsi="Calibri" w:cs="Arial"/>
          <w:lang w:val="ro-RO"/>
        </w:rPr>
        <w:t>Operarea de servicii în parteneriat public-privat, în domeniul sănătăţii, în cadrul unui pachet compus din spitale CFR;</w:t>
      </w:r>
    </w:p>
    <w:p w:rsidR="00581DA7" w:rsidRPr="00CB21FA" w:rsidRDefault="00581DA7" w:rsidP="00021698">
      <w:pPr>
        <w:numPr>
          <w:ilvl w:val="0"/>
          <w:numId w:val="163"/>
        </w:numPr>
        <w:spacing w:after="200" w:line="276" w:lineRule="auto"/>
        <w:ind w:left="567" w:hanging="283"/>
        <w:rPr>
          <w:rFonts w:ascii="Calibri" w:hAnsi="Calibri" w:cs="Arial"/>
          <w:lang w:val="ro-RO"/>
        </w:rPr>
      </w:pPr>
      <w:r w:rsidRPr="00CB21FA">
        <w:rPr>
          <w:rFonts w:ascii="Calibri" w:hAnsi="Calibri" w:cs="Arial"/>
          <w:lang w:val="ro-RO"/>
        </w:rPr>
        <w:t>Complexul Medical "Carol Davila - Universitary Medical City".</w:t>
      </w:r>
    </w:p>
    <w:p w:rsidR="00581DA7" w:rsidRPr="00CB21FA" w:rsidRDefault="00581DA7" w:rsidP="00021698">
      <w:pPr>
        <w:numPr>
          <w:ilvl w:val="0"/>
          <w:numId w:val="162"/>
        </w:numPr>
        <w:spacing w:before="120" w:after="120" w:line="276" w:lineRule="auto"/>
        <w:ind w:hanging="357"/>
        <w:jc w:val="both"/>
        <w:rPr>
          <w:rFonts w:ascii="Calibri" w:hAnsi="Calibri" w:cs="Arial"/>
          <w:lang w:val="ro-RO"/>
        </w:rPr>
      </w:pPr>
      <w:r w:rsidRPr="00CB21FA">
        <w:rPr>
          <w:rFonts w:ascii="Calibri" w:hAnsi="Calibri" w:cs="Arial"/>
          <w:lang w:val="ro-RO"/>
        </w:rPr>
        <w:t>Prin Hotărârea de guvern nr. 643/2018 a fost completată Lista proiectelor strategice de investiţii cu următoarele proiecte:</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Linia ferată de mare viteză Bucureşti-Craiova/Sofia-Timişoara/Belgrad-Cluj/Budapesta;</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 Extinderea reţelei de metrou prin r ealizarea magistralei M7;</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Construirea aeroportului Bucureşti Sud;</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Molurile nr. 3 şi 4 din Portul Constanţa Sud;</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 Finalizarea canalul magistral Siret-Bărăgan;</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 Amenajarea râurilor Argeş şi Dâmboviţa pentru navigaţie;</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Complexul hidrotehnic Turnu Măgurele-Nicopole pe fluviul Dunărea;</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Centrala hidroelectrică cu acumulare prin pompaj Tarniţa-Lăpuşteşti;</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Construcţia unei fabrici de mijloace de transport electrice;</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Construcţia unui sistem de resorturi de lux la Marea Neagră - New Costineşti;</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Un nou complex turistic pentru ski în masivul Făgăraş;</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shd w:val="clear" w:color="auto" w:fill="F9F9F9"/>
          <w:lang w:val="ro-RO"/>
        </w:rPr>
        <w:t> </w:t>
      </w:r>
      <w:r w:rsidRPr="00CB21FA">
        <w:rPr>
          <w:rFonts w:ascii="Calibri" w:hAnsi="Calibri" w:cs="Arial"/>
          <w:lang w:val="ro-RO"/>
        </w:rPr>
        <w:t>Construirea şi operarea unei bănci naţionale de sânge, plasmă umană şi celule stem;</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Clinica multifuncţională «Dr. Calistrat Grozovici»;</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Spitalul regional Timişoara;</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Spitalul regional Brăila-Galaţi;</w:t>
      </w:r>
    </w:p>
    <w:p w:rsidR="00581DA7" w:rsidRPr="00CB21FA" w:rsidRDefault="00581DA7" w:rsidP="00021698">
      <w:pPr>
        <w:numPr>
          <w:ilvl w:val="0"/>
          <w:numId w:val="163"/>
        </w:numPr>
        <w:spacing w:after="200" w:line="276" w:lineRule="auto"/>
        <w:ind w:left="567" w:hanging="283"/>
        <w:jc w:val="both"/>
        <w:rPr>
          <w:rFonts w:ascii="Calibri" w:hAnsi="Calibri" w:cs="Arial"/>
          <w:lang w:val="ro-RO"/>
        </w:rPr>
      </w:pPr>
      <w:r w:rsidRPr="00CB21FA">
        <w:rPr>
          <w:rFonts w:ascii="Calibri" w:hAnsi="Calibri" w:cs="Arial"/>
          <w:lang w:val="ro-RO"/>
        </w:rPr>
        <w:t>Spitalul regional Târgu-Mureş.</w:t>
      </w:r>
    </w:p>
    <w:p w:rsidR="00581DA7" w:rsidRPr="00CB21FA" w:rsidRDefault="00581DA7" w:rsidP="00581DA7">
      <w:pPr>
        <w:spacing w:before="120" w:after="120"/>
        <w:jc w:val="both"/>
        <w:rPr>
          <w:rFonts w:ascii="Calibri" w:hAnsi="Calibri" w:cs="Arial"/>
          <w:b/>
          <w:color w:val="365F91"/>
          <w:lang w:val="ro-RO"/>
        </w:rPr>
      </w:pPr>
      <w:r w:rsidRPr="00CB21FA">
        <w:rPr>
          <w:rFonts w:ascii="Calibri" w:hAnsi="Calibri" w:cs="Arial"/>
          <w:b/>
          <w:color w:val="365F91"/>
          <w:lang w:val="ro-RO"/>
        </w:rPr>
        <w:t>Stadiul atribuirii contractelor  în parteneriat public-privat</w:t>
      </w:r>
    </w:p>
    <w:p w:rsidR="00581DA7" w:rsidRPr="003137F7" w:rsidRDefault="00581DA7" w:rsidP="00581DA7">
      <w:pPr>
        <w:spacing w:before="120" w:after="120"/>
        <w:jc w:val="both"/>
        <w:rPr>
          <w:rFonts w:ascii="Calibri" w:hAnsi="Calibri" w:cs="Arial"/>
          <w:b/>
          <w:color w:val="365F91"/>
          <w:lang w:val="ro-RO"/>
        </w:rPr>
      </w:pPr>
      <w:r w:rsidRPr="003137F7">
        <w:rPr>
          <w:rFonts w:ascii="Calibri" w:hAnsi="Calibri" w:cs="Arial"/>
          <w:lang w:val="ro-RO"/>
        </w:rPr>
        <w:t xml:space="preserve">Până în prezent nu s-a încheiat nici un contract în parteneriat public-privat în condiţiile noii legislaţii. Atribuirea de contracte în parteneriat public-privat de către Comisia Naţională de Strategie şi Prognoză, în numele partenerilor publici se află în diverse etape de pregătire, respectiv: </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Pentru  </w:t>
      </w:r>
      <w:r w:rsidRPr="003137F7">
        <w:rPr>
          <w:rFonts w:ascii="Calibri" w:hAnsi="Calibri" w:cs="Arial"/>
          <w:b/>
          <w:lang w:val="ro-RO"/>
        </w:rPr>
        <w:t>Autostrada Ploieşti-Braşov, p</w:t>
      </w:r>
      <w:r w:rsidRPr="003137F7">
        <w:rPr>
          <w:rFonts w:ascii="Calibri" w:hAnsi="Calibri" w:cs="Arial"/>
          <w:lang w:val="ro-RO"/>
        </w:rPr>
        <w:t>rin HG nr.667/2018 s-a aprobat Studiul de fundamentare. Documentaţia de atribuire a contractului de parteneriat public-privat a fost publicată în SICAP şi în Jurnalul European al Achiziţiilor Publice. Procedura aleasă de licitaţie a partenerilor privaţi pentru societatea de proiect care va realiza şi opera această autostradă este negociere competitivă.</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Autostrada, în lungime de 109,3 km,  tranzitează şi conectează areale cu o densitate a populaţiei peste media la nivel naţional, dar şi cu unităţi economice importante. De asemenea, se tranzitează o arie turistică importantă, cum este Valea Prahovei, arie care generează fluxuri rutiere de destinaţie sau de tranzit importante, tot timpul anului, dar mai ales la sfârşitul de săptămână şi în perioada sărbătorilor şi a vacanţelor.</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Se prevede ca autostrada să se realizeze în maxim patru ani, inclusiv faza de proiectare. Costul investiţiei este de 1,36 miliarde euro.Realizarea obiectivului de investiţii în parteneriat public – privat presupune  darea în exploatare şi întreţinere către partenerul privat pentru o perioadă de 20 ani. Proiectul prevede operarea întregului tronson de autostradă, de la Bucureşti la Braşov, ceea ce înseamnă operarea încă din primul an a porţiunii dintre Bucureşti şi Ploieşti, care este deja în funcţiune.</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Dacă execuţia se devansează cu un an se va acorda o bonificaţie de 100 milioane euro, iar orice întârziere va fi penalizată la fel. Pentru asigurarea profitabilităţii pe întreaga durată de execuţie şi operare, statul va efectua plăţi anuale de circa 55 milioane euro. </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Proiectul de parteneriat public-privat privind autostrada "PLOIEŞTI-BRAŞOV" a fost foarte bine receptat de investitorii străini. La această licitaţie s-au înscris 5 candidaţi, reprezentând asocieri ale celor mai reprezentative firme internaţionale. Practic sunt 10 investitori din China, Turcia, Spania şi Austria, mulţi din aceştia reprezentând unele din cele mai importante soci</w:t>
      </w:r>
      <w:r w:rsidR="001B31BC">
        <w:rPr>
          <w:rFonts w:ascii="Calibri" w:hAnsi="Calibri" w:cs="Arial"/>
          <w:lang w:val="ro-RO"/>
        </w:rPr>
        <w:t>etăţi de construcţii, respectiv</w:t>
      </w:r>
      <w:r w:rsidRPr="003137F7">
        <w:rPr>
          <w:rFonts w:ascii="Calibri" w:hAnsi="Calibri" w:cs="Arial"/>
          <w:lang w:val="ro-RO"/>
        </w:rPr>
        <w:t>:</w:t>
      </w:r>
    </w:p>
    <w:p w:rsidR="00581DA7" w:rsidRPr="003137F7" w:rsidRDefault="00581DA7" w:rsidP="00565476">
      <w:pPr>
        <w:numPr>
          <w:ilvl w:val="0"/>
          <w:numId w:val="211"/>
        </w:numPr>
        <w:spacing w:after="200" w:line="276" w:lineRule="auto"/>
        <w:contextualSpacing/>
        <w:jc w:val="both"/>
        <w:rPr>
          <w:rFonts w:ascii="Calibri" w:hAnsi="Calibri" w:cs="Arial"/>
          <w:sz w:val="22"/>
          <w:szCs w:val="22"/>
          <w:lang w:val="ro-RO"/>
        </w:rPr>
      </w:pPr>
      <w:r w:rsidRPr="003137F7">
        <w:rPr>
          <w:rFonts w:ascii="Calibri" w:hAnsi="Calibri" w:cs="Arial"/>
          <w:sz w:val="22"/>
          <w:szCs w:val="22"/>
          <w:lang w:val="ro-RO"/>
        </w:rPr>
        <w:t>Asocierea  STRABAG-IC ICTAS (Lider de asociere STRABAG AG)</w:t>
      </w:r>
    </w:p>
    <w:p w:rsidR="00581DA7" w:rsidRPr="003137F7" w:rsidRDefault="00581DA7" w:rsidP="00565476">
      <w:pPr>
        <w:numPr>
          <w:ilvl w:val="0"/>
          <w:numId w:val="211"/>
        </w:numPr>
        <w:spacing w:after="200" w:line="276" w:lineRule="auto"/>
        <w:contextualSpacing/>
        <w:jc w:val="both"/>
        <w:rPr>
          <w:rFonts w:ascii="Calibri" w:hAnsi="Calibri" w:cs="Arial"/>
          <w:sz w:val="22"/>
          <w:szCs w:val="22"/>
          <w:lang w:val="ro-RO"/>
        </w:rPr>
      </w:pPr>
      <w:r w:rsidRPr="003137F7">
        <w:rPr>
          <w:rFonts w:ascii="Calibri" w:hAnsi="Calibri" w:cs="Arial"/>
          <w:sz w:val="22"/>
          <w:szCs w:val="22"/>
          <w:lang w:val="ro-RO"/>
        </w:rPr>
        <w:t>Asocierea  China Communiucations Construction Company LTD(CCCC) - MAKYOL (Lider de asociere CCCC)</w:t>
      </w:r>
    </w:p>
    <w:p w:rsidR="00581DA7" w:rsidRPr="003137F7" w:rsidRDefault="00581DA7" w:rsidP="00565476">
      <w:pPr>
        <w:numPr>
          <w:ilvl w:val="0"/>
          <w:numId w:val="211"/>
        </w:numPr>
        <w:spacing w:after="200" w:line="276" w:lineRule="auto"/>
        <w:contextualSpacing/>
        <w:jc w:val="both"/>
        <w:rPr>
          <w:rFonts w:ascii="Calibri" w:hAnsi="Calibri" w:cs="Arial"/>
          <w:sz w:val="22"/>
          <w:szCs w:val="22"/>
          <w:lang w:val="ro-RO"/>
        </w:rPr>
      </w:pPr>
      <w:r w:rsidRPr="003137F7">
        <w:rPr>
          <w:rFonts w:ascii="Calibri" w:hAnsi="Calibri" w:cs="Arial"/>
          <w:sz w:val="22"/>
          <w:szCs w:val="22"/>
          <w:lang w:val="ro-RO"/>
        </w:rPr>
        <w:t>SINOHYDRO CORPORATION LIMITED(ofertant)- POWER CHINA ROADBRIDGE GROUP CO LTD(terţ sustinător)</w:t>
      </w:r>
    </w:p>
    <w:p w:rsidR="00581DA7" w:rsidRPr="003137F7" w:rsidRDefault="00581DA7" w:rsidP="00565476">
      <w:pPr>
        <w:numPr>
          <w:ilvl w:val="0"/>
          <w:numId w:val="211"/>
        </w:numPr>
        <w:spacing w:after="200" w:line="276" w:lineRule="auto"/>
        <w:contextualSpacing/>
        <w:jc w:val="both"/>
        <w:rPr>
          <w:rFonts w:ascii="Calibri" w:hAnsi="Calibri" w:cs="Arial"/>
          <w:sz w:val="22"/>
          <w:szCs w:val="22"/>
          <w:lang w:val="ro-RO"/>
        </w:rPr>
      </w:pPr>
      <w:r w:rsidRPr="003137F7">
        <w:rPr>
          <w:rFonts w:ascii="Calibri" w:hAnsi="Calibri" w:cs="Arial"/>
          <w:sz w:val="22"/>
          <w:szCs w:val="22"/>
          <w:lang w:val="ro-RO"/>
        </w:rPr>
        <w:t>ERG Insaat Ticaret ve Sanayi A.S (ofertant) - SSB SAUERWEIN &amp; SHAEFER BAU AG (subcontractant)</w:t>
      </w:r>
    </w:p>
    <w:p w:rsidR="00581DA7" w:rsidRPr="003137F7" w:rsidRDefault="00581DA7" w:rsidP="00565476">
      <w:pPr>
        <w:numPr>
          <w:ilvl w:val="0"/>
          <w:numId w:val="211"/>
        </w:numPr>
        <w:spacing w:after="200" w:line="276" w:lineRule="auto"/>
        <w:contextualSpacing/>
        <w:jc w:val="both"/>
        <w:rPr>
          <w:rFonts w:ascii="Calibri" w:hAnsi="Calibri" w:cs="Arial"/>
          <w:sz w:val="22"/>
          <w:szCs w:val="22"/>
          <w:lang w:val="ro-RO"/>
        </w:rPr>
      </w:pPr>
      <w:r w:rsidRPr="003137F7">
        <w:rPr>
          <w:rFonts w:ascii="Calibri" w:hAnsi="Calibri" w:cs="Arial"/>
          <w:sz w:val="22"/>
          <w:szCs w:val="22"/>
          <w:lang w:val="ro-RO"/>
        </w:rPr>
        <w:t>Asocierea ACCIONA CONCESIONES S.L - FCC CONSTRUCCION S.A.- avand ca subcontractant ACCIONA CONSTRUCCION SA (Lider de asociere ACCIONA CONCESIONES SL)</w:t>
      </w:r>
    </w:p>
    <w:p w:rsidR="00581DA7" w:rsidRPr="003137F7" w:rsidRDefault="00581DA7" w:rsidP="00581DA7">
      <w:pPr>
        <w:spacing w:after="200" w:line="276" w:lineRule="auto"/>
        <w:contextualSpacing/>
        <w:jc w:val="both"/>
        <w:rPr>
          <w:rFonts w:ascii="Calibri" w:hAnsi="Calibri" w:cs="Arial"/>
          <w:sz w:val="22"/>
          <w:szCs w:val="22"/>
          <w:lang w:val="ro-RO"/>
        </w:rPr>
      </w:pPr>
      <w:r w:rsidRPr="003137F7">
        <w:rPr>
          <w:rFonts w:ascii="Calibri" w:hAnsi="Calibri" w:cs="Arial"/>
          <w:lang w:val="ro-RO"/>
        </w:rPr>
        <w:t>Procedura de atribuire se află în derulare, în stadiul de evaluare privind calificarea şi selecţia candidaţilor, urmând ca ulterior încheierii acestei etape, investitorii selectaţi să fie invitaţi să depună ofertele pe baza cărora se va desfăşura negocierea contractului de parteneriat public-privat.</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Pentru </w:t>
      </w:r>
      <w:r w:rsidRPr="003137F7">
        <w:rPr>
          <w:rFonts w:ascii="Calibri" w:hAnsi="Calibri" w:cs="Arial"/>
          <w:b/>
          <w:lang w:val="ro-RO"/>
        </w:rPr>
        <w:t xml:space="preserve">Clinica multifuncţională  «Dr. Calistrat Grozovici», </w:t>
      </w:r>
      <w:r w:rsidRPr="003137F7">
        <w:rPr>
          <w:rFonts w:ascii="Calibri" w:hAnsi="Calibri" w:cs="Arial"/>
          <w:lang w:val="ro-RO"/>
        </w:rPr>
        <w:t xml:space="preserve">prin H.G. nr.920/2018 s-a aprobat Studiul de fundamentare. Documentaţia de atribuire a contractului de parteneriat public-privat va fi publicată în luna decembrie a.c. în SICAP şi în Jurnalul European al Achiziţiilor Publice. Procedura aleasă de licitaţie a partenerilor privaţi pentru societatea de proiect care va realiza şi opera această </w:t>
      </w:r>
      <w:r w:rsidR="001B31BC">
        <w:rPr>
          <w:rFonts w:ascii="Calibri" w:hAnsi="Calibri" w:cs="Arial"/>
          <w:lang w:val="ro-RO"/>
        </w:rPr>
        <w:t>investiţie</w:t>
      </w:r>
      <w:r w:rsidRPr="003137F7">
        <w:rPr>
          <w:rFonts w:ascii="Calibri" w:hAnsi="Calibri" w:cs="Arial"/>
          <w:lang w:val="ro-RO"/>
        </w:rPr>
        <w:t xml:space="preserve"> este negociere competitivă. </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Studiul de fundamentare a fost întocmit de către Comisia Naţională de Strategie şi Prognoză în colaborare cu specialişti independenţi, în conformitate cu prevederile OUG nr. 39/2018 privind parteneriatul public-privat.</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Acesta este primul proiect în parteneriat public-privat demarat în România, în domeniul sănătăţii, unul din domeniile prioritare ale Guvernului. Clinica "Dr. Calistrat Grozovici" este situată pe terenul oferit de Institutul Național de Boli Infecţioase "Prof. Dr. Matei Balș " din București, care va avea şi calitatea de partener public în acest proiect şi care va avea astfel responsabilitatea ca acest proiect de investiţii să se realizeze la standarde înalte de calitate.</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Perioada de proiectare şi execuţie este de maxim 2 ani şi jumătate, iar perioada de operare de către investitorul privat este de 15 ani.</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Costurile totale estimate aferente realizării investiţiei se ridică la aproximativ 650 milioane lei, respectiv 140 milioane euro. Acestea vor fi acoperite prin contravaloarea prestaţiilor medicale oferite şi prin plăţi de disponibilitate de la stat în valoare de circa  2,5 milioane euro anual.</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În studiul de fundamentare se prevăd bonificaţii din partea statului dacă lucrările de execuţie se finalizează în avans, dar şi penalităţi pentru întârziere.</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Clinica va avea 636 paturi, multiple cabinete de consultaţie şi săli de operaţie, laboratoare de cercetare, săli de învăţământ etc., precum şi cele mai moderne  dotări în scopul asigurării unui act medical de înaltă calitate.</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Clinica multifuncţională va asigura asistenţă medicală de specialitate în domeniul bolilor infecţioase, neurochirurgiei, cardiologiei, având centru de radioterapie, săli de operaţie, dotări pentru cazuri de urgenţă, inclusiv heliport. </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b/>
          <w:lang w:val="ro-RO"/>
        </w:rPr>
        <w:t xml:space="preserve">Autostrada Târgu-Neamţ - Iaşi, </w:t>
      </w:r>
      <w:r w:rsidRPr="003137F7">
        <w:rPr>
          <w:rFonts w:ascii="Calibri" w:hAnsi="Calibri" w:cs="Arial"/>
          <w:lang w:val="ro-RO"/>
        </w:rPr>
        <w:t>un alt proiect major de investiţie în parteneriat public-privat a intrat în etapa finală de lucru. Studiul de fundamentare pentru autostrada "TÂRGU NEAMŢ - IAŞI" este finalizat şi se află în procedura de transparenţă decizională pe site-ul Comisiei Naţionale de Strategie şi Prognoză.</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Valoarea totală a investiţiei este de aproximativ 1,2 miliarde euro. Perioada de proiectare şi realizare a autostrăzii este estimată la 48 luni.   </w:t>
      </w:r>
      <w:r w:rsidRPr="003137F7">
        <w:rPr>
          <w:rFonts w:ascii="Calibri" w:hAnsi="Calibri" w:cs="Arial"/>
          <w:lang w:val="ro-RO"/>
        </w:rPr>
        <w:tab/>
        <w:t>Se estimează că recuperarea investiţiei, cât şi asigurarea unui profit rezonabil pentru partenerul privat, se poate realiza prin încheierea unui contract de parteneriat public – privat  pe o perioadă de 30 ani, care include perioada de proiectare şi realizare.</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Pentru </w:t>
      </w:r>
      <w:r w:rsidRPr="003137F7">
        <w:rPr>
          <w:rFonts w:ascii="Calibri" w:hAnsi="Calibri" w:cs="Arial"/>
          <w:b/>
          <w:lang w:val="ro-RO"/>
        </w:rPr>
        <w:t xml:space="preserve"> Amenajarea râului Argeş pentru navigaţie </w:t>
      </w:r>
      <w:r w:rsidRPr="003137F7">
        <w:rPr>
          <w:rFonts w:ascii="Calibri" w:hAnsi="Calibri" w:cs="Arial"/>
          <w:lang w:val="ro-RO"/>
        </w:rPr>
        <w:t>studiul de fundamentare este finalizat şi se află în procedura de transparenţă decizională pe site-ul Comisiei Naţionale de Strategie şi Prognoză.</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 xml:space="preserve">Prin amenajarea râului Argeş pentru navigaţie, municipiul Bucureşti se va racorda la principala arteră de navigaţie transeuropeană care va permite legătura directă a Bucureştiului cu alte capitale, accesul direct la portul maritim Constanţa, iar prin canalul Rhin – Main – Dunăre accesul la reţeaua europeană de căi navigabile. </w:t>
      </w:r>
    </w:p>
    <w:p w:rsidR="00581DA7" w:rsidRPr="003137F7" w:rsidRDefault="00581DA7" w:rsidP="00581DA7">
      <w:pPr>
        <w:spacing w:after="200" w:line="276" w:lineRule="auto"/>
        <w:jc w:val="both"/>
        <w:rPr>
          <w:rFonts w:ascii="Calibri" w:hAnsi="Calibri" w:cs="Arial"/>
          <w:lang w:val="ro-RO"/>
        </w:rPr>
      </w:pPr>
      <w:r w:rsidRPr="003137F7">
        <w:rPr>
          <w:rFonts w:ascii="Calibri" w:hAnsi="Calibri" w:cs="Arial"/>
          <w:lang w:val="ro-RO"/>
        </w:rPr>
        <w:t>Se estimează că recuperarea investiţiei, cât şi asigurarea unui profit rezonabil pentru partenerul privat, se poate realiza prin încheierea unui contract de parteneriat public – privat  pe o perioadă de 25 ani, inclusiv cu perioada de proiectare şi realizare.</w:t>
      </w:r>
    </w:p>
    <w:p w:rsidR="0036525D" w:rsidRDefault="0036525D" w:rsidP="0036525D">
      <w:pPr>
        <w:widowControl w:val="0"/>
        <w:suppressAutoHyphens/>
        <w:jc w:val="both"/>
        <w:rPr>
          <w:rFonts w:ascii="Calibri" w:eastAsia="SimSun" w:hAnsi="Calibri"/>
          <w:lang w:val="ro-RO" w:eastAsia="zh-CN" w:bidi="hi-IN"/>
        </w:rPr>
      </w:pPr>
    </w:p>
    <w:p w:rsidR="00581DA7" w:rsidRDefault="00581DA7" w:rsidP="0036525D">
      <w:pPr>
        <w:widowControl w:val="0"/>
        <w:suppressAutoHyphens/>
        <w:jc w:val="both"/>
        <w:rPr>
          <w:rFonts w:ascii="Calibri" w:eastAsia="SimSun" w:hAnsi="Calibri"/>
          <w:lang w:val="ro-RO" w:eastAsia="zh-CN" w:bidi="hi-IN"/>
        </w:rPr>
      </w:pPr>
    </w:p>
    <w:p w:rsidR="00581DA7" w:rsidRDefault="00581DA7" w:rsidP="0036525D">
      <w:pPr>
        <w:widowControl w:val="0"/>
        <w:suppressAutoHyphens/>
        <w:jc w:val="both"/>
        <w:rPr>
          <w:rFonts w:ascii="Calibri" w:eastAsia="SimSun" w:hAnsi="Calibri"/>
          <w:lang w:val="ro-RO" w:eastAsia="zh-CN" w:bidi="hi-IN"/>
        </w:rPr>
      </w:pPr>
    </w:p>
    <w:p w:rsidR="00581DA7" w:rsidRDefault="00581DA7" w:rsidP="0036525D">
      <w:pPr>
        <w:widowControl w:val="0"/>
        <w:suppressAutoHyphens/>
        <w:jc w:val="both"/>
        <w:rPr>
          <w:rFonts w:ascii="Calibri" w:eastAsia="SimSun" w:hAnsi="Calibri"/>
          <w:lang w:val="ro-RO" w:eastAsia="zh-CN" w:bidi="hi-IN"/>
        </w:rPr>
      </w:pPr>
    </w:p>
    <w:p w:rsidR="00581DA7" w:rsidRPr="0036525D" w:rsidRDefault="00581DA7" w:rsidP="0036525D">
      <w:pPr>
        <w:widowControl w:val="0"/>
        <w:suppressAutoHyphens/>
        <w:jc w:val="both"/>
        <w:rPr>
          <w:rFonts w:ascii="Calibri" w:eastAsia="SimSun" w:hAnsi="Calibri"/>
          <w:lang w:val="ro-RO" w:eastAsia="zh-CN" w:bidi="hi-IN"/>
        </w:rPr>
      </w:pPr>
    </w:p>
    <w:p w:rsidR="00091029" w:rsidRPr="003964D3" w:rsidRDefault="00091029" w:rsidP="00AF6EA5">
      <w:pPr>
        <w:jc w:val="both"/>
        <w:rPr>
          <w:rFonts w:asciiTheme="minorHAnsi" w:hAnsiTheme="minorHAnsi"/>
          <w:i/>
          <w:sz w:val="20"/>
          <w:szCs w:val="20"/>
          <w:lang w:val="ro-RO"/>
        </w:rPr>
      </w:pPr>
    </w:p>
    <w:p w:rsidR="00091029" w:rsidRPr="003964D3" w:rsidRDefault="00091029"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4467B6" w:rsidRPr="003964D3" w:rsidRDefault="004467B6" w:rsidP="00AF6EA5">
      <w:pPr>
        <w:jc w:val="both"/>
        <w:rPr>
          <w:rFonts w:asciiTheme="minorHAnsi" w:hAnsiTheme="minorHAnsi"/>
          <w:i/>
          <w:sz w:val="20"/>
          <w:szCs w:val="20"/>
          <w:lang w:val="ro-RO"/>
        </w:rPr>
      </w:pPr>
    </w:p>
    <w:p w:rsidR="00091029" w:rsidRPr="003964D3" w:rsidRDefault="00091029" w:rsidP="00AF6EA5">
      <w:pPr>
        <w:jc w:val="both"/>
        <w:rPr>
          <w:rFonts w:asciiTheme="minorHAnsi" w:hAnsiTheme="minorHAnsi"/>
          <w:i/>
          <w:sz w:val="20"/>
          <w:szCs w:val="20"/>
          <w:lang w:val="ro-RO"/>
        </w:rPr>
      </w:pPr>
    </w:p>
    <w:p w:rsidR="009725DE" w:rsidRDefault="009725DE" w:rsidP="00AF6EA5">
      <w:pPr>
        <w:jc w:val="both"/>
        <w:rPr>
          <w:rFonts w:asciiTheme="minorHAnsi" w:hAnsiTheme="minorHAnsi"/>
          <w:i/>
          <w:sz w:val="20"/>
          <w:szCs w:val="20"/>
          <w:lang w:val="ro-RO"/>
        </w:rPr>
      </w:pPr>
    </w:p>
    <w:p w:rsidR="00910FF8" w:rsidRDefault="00910FF8" w:rsidP="00AF6EA5">
      <w:pPr>
        <w:jc w:val="both"/>
        <w:rPr>
          <w:rFonts w:asciiTheme="minorHAnsi" w:hAnsiTheme="minorHAnsi"/>
          <w:i/>
          <w:sz w:val="20"/>
          <w:szCs w:val="20"/>
          <w:lang w:val="ro-RO"/>
        </w:rPr>
      </w:pPr>
    </w:p>
    <w:p w:rsidR="00910FF8" w:rsidRDefault="00910FF8" w:rsidP="00AF6EA5">
      <w:pPr>
        <w:jc w:val="both"/>
        <w:rPr>
          <w:rFonts w:asciiTheme="minorHAnsi" w:hAnsiTheme="minorHAnsi"/>
          <w:i/>
          <w:sz w:val="20"/>
          <w:szCs w:val="20"/>
          <w:lang w:val="ro-RO"/>
        </w:rPr>
      </w:pPr>
    </w:p>
    <w:p w:rsidR="00910FF8" w:rsidRDefault="00910FF8" w:rsidP="00AF6EA5">
      <w:pPr>
        <w:jc w:val="both"/>
        <w:rPr>
          <w:rFonts w:asciiTheme="minorHAnsi" w:hAnsiTheme="minorHAnsi"/>
          <w:i/>
          <w:sz w:val="20"/>
          <w:szCs w:val="20"/>
          <w:lang w:val="ro-RO"/>
        </w:rPr>
      </w:pPr>
    </w:p>
    <w:p w:rsidR="00091029" w:rsidRPr="003964D3" w:rsidRDefault="00091029" w:rsidP="00AF6EA5">
      <w:pPr>
        <w:jc w:val="both"/>
        <w:rPr>
          <w:rFonts w:asciiTheme="minorHAnsi" w:hAnsiTheme="minorHAnsi"/>
          <w:i/>
          <w:sz w:val="20"/>
          <w:szCs w:val="20"/>
          <w:lang w:val="ro-RO"/>
        </w:rPr>
      </w:pPr>
    </w:p>
    <w:p w:rsidR="00F01B5F" w:rsidRPr="00C86702" w:rsidRDefault="00932083" w:rsidP="001F7825">
      <w:pPr>
        <w:pStyle w:val="Style35001908"/>
        <w:shd w:val="clear" w:color="auto" w:fill="99CCFF"/>
        <w:rPr>
          <w:rFonts w:ascii="Calibri" w:hAnsi="Calibri" w:cs="Arial"/>
          <w:b/>
          <w:color w:val="000080"/>
          <w:shd w:val="clear" w:color="auto" w:fill="99CCFF"/>
          <w:lang w:val="ro-RO"/>
        </w:rPr>
      </w:pPr>
      <w:r>
        <w:rPr>
          <w:rFonts w:ascii="Calibri" w:hAnsi="Calibri" w:cs="Arial"/>
          <w:b/>
          <w:color w:val="000080"/>
          <w:shd w:val="clear" w:color="auto" w:fill="99CCFF"/>
          <w:lang w:val="ro-RO"/>
        </w:rPr>
        <w:t>4.8</w:t>
      </w:r>
      <w:r w:rsidR="0030468A">
        <w:rPr>
          <w:rFonts w:ascii="Calibri" w:hAnsi="Calibri" w:cs="Arial"/>
          <w:b/>
          <w:color w:val="000080"/>
          <w:shd w:val="clear" w:color="auto" w:fill="99CCFF"/>
          <w:lang w:val="ro-RO"/>
        </w:rPr>
        <w:t xml:space="preserve"> </w:t>
      </w:r>
      <w:r w:rsidR="00F01B5F" w:rsidRPr="00C86702">
        <w:rPr>
          <w:rFonts w:ascii="Calibri" w:hAnsi="Calibri" w:cs="Arial"/>
          <w:b/>
          <w:color w:val="000080"/>
          <w:shd w:val="clear" w:color="auto" w:fill="99CCFF"/>
          <w:lang w:val="ro-RO"/>
        </w:rPr>
        <w:t>Politica în domeniul Fondurilor Europene</w:t>
      </w:r>
    </w:p>
    <w:p w:rsidR="00BD4A3E" w:rsidRPr="003964D3" w:rsidRDefault="00BD4A3E" w:rsidP="00BD4A3E">
      <w:pPr>
        <w:keepNext/>
        <w:keepLines/>
        <w:spacing w:before="240" w:after="60"/>
        <w:ind w:left="360" w:hanging="360"/>
        <w:jc w:val="both"/>
        <w:outlineLvl w:val="0"/>
        <w:rPr>
          <w:rFonts w:ascii="Calibri" w:hAnsi="Calibri" w:cs="Arial"/>
          <w:b/>
          <w:kern w:val="32"/>
          <w:lang w:val="fr-FR"/>
        </w:rPr>
      </w:pPr>
      <w:r w:rsidRPr="003964D3">
        <w:rPr>
          <w:rFonts w:ascii="Calibri" w:hAnsi="Calibri" w:cs="Arial"/>
          <w:b/>
          <w:kern w:val="32"/>
          <w:lang w:val="fr-FR"/>
        </w:rPr>
        <w:t>A. FONDURI STRUCTURALE ŞI DE COEZIUNE</w:t>
      </w:r>
    </w:p>
    <w:p w:rsidR="00BD4A3E" w:rsidRPr="00BD4A3E" w:rsidRDefault="00BD4A3E" w:rsidP="009F7237">
      <w:pPr>
        <w:keepNext/>
        <w:keepLines/>
        <w:numPr>
          <w:ilvl w:val="0"/>
          <w:numId w:val="20"/>
        </w:numPr>
        <w:spacing w:before="40"/>
        <w:jc w:val="both"/>
        <w:outlineLvl w:val="2"/>
        <w:rPr>
          <w:rFonts w:ascii="Calibri" w:hAnsi="Calibri" w:cs="Arial"/>
          <w:b/>
          <w:lang w:val="it-CH"/>
        </w:rPr>
      </w:pPr>
      <w:r w:rsidRPr="00BD4A3E">
        <w:rPr>
          <w:rFonts w:ascii="Calibri" w:hAnsi="Calibri" w:cs="Arial"/>
          <w:b/>
          <w:lang w:val="it-CH"/>
        </w:rPr>
        <w:t>Principalele evoluţii în anii 2016 - 2018</w:t>
      </w:r>
    </w:p>
    <w:p w:rsidR="00BD4A3E" w:rsidRPr="00BD4A3E" w:rsidRDefault="00BD4A3E" w:rsidP="00BD4A3E">
      <w:pPr>
        <w:suppressAutoHyphens/>
        <w:ind w:firstLine="720"/>
        <w:jc w:val="both"/>
        <w:rPr>
          <w:rFonts w:ascii="Calibri" w:hAnsi="Calibri" w:cs="Arial"/>
          <w:lang w:val="ro-RO" w:eastAsia="zh-CN"/>
        </w:rPr>
      </w:pPr>
      <w:r w:rsidRPr="00BD4A3E">
        <w:rPr>
          <w:rFonts w:ascii="Calibri" w:hAnsi="Calibri" w:cs="Arial"/>
          <w:lang w:val="ro-RO" w:eastAsia="zh-CN"/>
        </w:rPr>
        <w:t xml:space="preserve">Anul 2016 a fost un an important pentru procesul de gestionare a fondurilor europene, deoarece  autoritățile de management au transmis către Autoritatea de Certificare și Plată, în conformitate cu calendarul stabilit prin H.G. nr. 678/2015 privind închiderea programelor operaţionale finanţate în perioada 2007 - 2013, ultimele declarații de cheltuieli aferente acestui cadru financiar, care cuprind cheltuieli efectuate de beneficiari până la 31 decembrie 2015. </w:t>
      </w:r>
    </w:p>
    <w:p w:rsidR="00BD4A3E" w:rsidRPr="00BD4A3E" w:rsidRDefault="00BD4A3E" w:rsidP="00BD4A3E">
      <w:pPr>
        <w:suppressAutoHyphens/>
        <w:ind w:firstLine="720"/>
        <w:jc w:val="both"/>
        <w:rPr>
          <w:rFonts w:ascii="Calibri" w:hAnsi="Calibri" w:cs="Arial"/>
          <w:lang w:val="ro-RO" w:eastAsia="zh-CN"/>
        </w:rPr>
      </w:pPr>
      <w:r w:rsidRPr="00BD4A3E">
        <w:rPr>
          <w:rFonts w:ascii="Calibri" w:hAnsi="Calibri" w:cs="Arial"/>
          <w:lang w:val="ro-RO" w:eastAsia="zh-CN"/>
        </w:rPr>
        <w:t>De asemenea, în conformitate cu prevederile regulamentelor europene aplicabile acestui cadru financiar, până la 31 martie 2017, au fost transmise către CE aplicațiile de plată finale pentru toate PO finanțate din 2007 - 2013. În consecință, rata de absorbție înregistrată este de aprox. 95,23% din alocarea UE aferentă.</w:t>
      </w:r>
    </w:p>
    <w:p w:rsidR="00BD4A3E" w:rsidRPr="00BD4A3E" w:rsidRDefault="00BD4A3E" w:rsidP="00BD4A3E">
      <w:pPr>
        <w:suppressAutoHyphens/>
        <w:ind w:firstLine="720"/>
        <w:jc w:val="both"/>
        <w:rPr>
          <w:rFonts w:ascii="Calibri" w:hAnsi="Calibri" w:cs="Arial"/>
          <w:lang w:val="ro-RO" w:eastAsia="zh-CN"/>
        </w:rPr>
      </w:pPr>
    </w:p>
    <w:p w:rsidR="00BD4A3E" w:rsidRPr="00BD4A3E" w:rsidRDefault="00BD4A3E" w:rsidP="00BD4A3E">
      <w:pPr>
        <w:suppressAutoHyphens/>
        <w:ind w:firstLine="720"/>
        <w:jc w:val="both"/>
        <w:rPr>
          <w:rFonts w:ascii="Calibri" w:hAnsi="Calibri" w:cs="Arial"/>
          <w:lang w:val="ro-RO" w:eastAsia="zh-CN"/>
        </w:rPr>
      </w:pPr>
      <w:r w:rsidRPr="00BD4A3E">
        <w:rPr>
          <w:rFonts w:ascii="Calibri" w:hAnsi="Calibri" w:cs="Arial"/>
          <w:lang w:val="ro-RO" w:eastAsia="zh-CN"/>
        </w:rPr>
        <w:t>Pentru cadrul financiar 2014 - 2020 au fost desemnate toate autoritățile implicate în sistemul de management și control pentru Programele Operaţionale finanţate în actuala perioadă de programare, respectiv:</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INTERREG IPA de cooperare transfrontalieră România-Serbia (15.07.2016);</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de cooperare transfrontalieră INTERREG V-A România-Bulgaria (05.12.2016);</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Ajutorarea persoanelor defavorizate (09.12.2016);</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Inițiativa pentru IMM-uri (24.07.2017);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Asistență Tehnică (27.07.2017);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Capacitate Administrativă (27.07.2017);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INTERREG V-A România-Ungaria (28.07.2017);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Infrastructură Mare (07.08.2017);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Competitivitate (07.08.2017);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pentru Pescuit și Afaceri Maritime (07.08.2017);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Regional (07.08.2017);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Capital Uman (11.08.2017);</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Comun România-Republica Moldova 2014-2020 (09.10.2017 - raport final AA şi opinia de audit fără rezerve);</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Comun România-Ucraina 2014-2020 (11.10.2017 - raport final AA şi opinia de audit fără rezerve);</w:t>
      </w:r>
    </w:p>
    <w:p w:rsidR="00BD4A3E" w:rsidRPr="00BD4A3E" w:rsidRDefault="00BD4A3E" w:rsidP="009F7237">
      <w:pPr>
        <w:numPr>
          <w:ilvl w:val="0"/>
          <w:numId w:val="22"/>
        </w:numPr>
        <w:suppressAutoHyphens/>
        <w:jc w:val="both"/>
        <w:rPr>
          <w:rFonts w:ascii="Calibri" w:hAnsi="Calibri" w:cs="Arial"/>
          <w:lang w:val="ro-RO" w:eastAsia="zh-CN"/>
        </w:rPr>
      </w:pPr>
      <w:r w:rsidRPr="00BD4A3E">
        <w:rPr>
          <w:rFonts w:ascii="Calibri" w:hAnsi="Calibri" w:cs="Arial"/>
          <w:lang w:val="ro-RO" w:eastAsia="zh-CN"/>
        </w:rPr>
        <w:t>Programul Operațional Comun Bazinul Mării Negre 2014-2020 (13.10.2017 - raport final AA şi opinia de audit fără rezerve).</w:t>
      </w:r>
    </w:p>
    <w:p w:rsidR="00BD4A3E" w:rsidRPr="00BD4A3E" w:rsidRDefault="00BD4A3E" w:rsidP="00BD4A3E">
      <w:pPr>
        <w:suppressAutoHyphens/>
        <w:ind w:firstLine="720"/>
        <w:jc w:val="both"/>
        <w:rPr>
          <w:rFonts w:ascii="Calibri" w:hAnsi="Calibri" w:cs="Arial"/>
          <w:lang w:val="ro-RO" w:eastAsia="zh-CN"/>
        </w:rPr>
      </w:pPr>
    </w:p>
    <w:p w:rsidR="00BD4A3E" w:rsidRPr="00BD4A3E" w:rsidRDefault="00BD4A3E" w:rsidP="00BD4A3E">
      <w:pPr>
        <w:suppressAutoHyphens/>
        <w:ind w:firstLine="720"/>
        <w:jc w:val="both"/>
        <w:rPr>
          <w:rFonts w:ascii="Calibri" w:hAnsi="Calibri" w:cs="Arial"/>
          <w:lang w:val="ro-RO" w:eastAsia="zh-CN"/>
        </w:rPr>
      </w:pPr>
      <w:r w:rsidRPr="00BD4A3E">
        <w:rPr>
          <w:rFonts w:ascii="Calibri" w:hAnsi="Calibri" w:cs="Arial"/>
          <w:lang w:val="ro-RO" w:eastAsia="zh-CN"/>
        </w:rPr>
        <w:t>Totodată, au fost întreprinse acțiuni în vederea:</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lang w:val="ro-RO" w:eastAsia="zh-CN"/>
        </w:rPr>
      </w:pPr>
      <w:r w:rsidRPr="00BD4A3E">
        <w:rPr>
          <w:rFonts w:ascii="Calibri" w:eastAsia="Calibri" w:hAnsi="Calibri" w:cs="Arial"/>
          <w:szCs w:val="22"/>
          <w:lang w:val="ro-RO" w:eastAsia="zh-CN"/>
        </w:rPr>
        <w:t>dezvoltării și operaționalizării sistemelor informatice de colectare și gestionare a datelor (MySMIS2014 și SMIS2014+);</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lang w:val="ro-RO" w:eastAsia="zh-CN"/>
        </w:rPr>
      </w:pPr>
      <w:r w:rsidRPr="00BD4A3E">
        <w:rPr>
          <w:rFonts w:ascii="Calibri" w:eastAsia="Calibri" w:hAnsi="Calibri" w:cs="Arial"/>
          <w:szCs w:val="22"/>
          <w:lang w:val="ro-RO" w:eastAsia="zh-CN"/>
        </w:rPr>
        <w:t>lansării apelurilor de proiecte în cadrul programelor operaţionale;</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lang w:val="ro-RO" w:eastAsia="zh-CN"/>
        </w:rPr>
      </w:pPr>
      <w:r w:rsidRPr="00BD4A3E">
        <w:rPr>
          <w:rFonts w:ascii="Calibri" w:eastAsia="Calibri" w:hAnsi="Calibri" w:cs="Arial"/>
          <w:szCs w:val="22"/>
          <w:lang w:val="ro-RO" w:eastAsia="zh-CN"/>
        </w:rPr>
        <w:t>îndeplinirii condiționalităților ex–ante.</w:t>
      </w:r>
    </w:p>
    <w:p w:rsidR="00BD4A3E" w:rsidRPr="00BD4A3E" w:rsidRDefault="00BD4A3E" w:rsidP="00BD4A3E">
      <w:pPr>
        <w:widowControl w:val="0"/>
        <w:autoSpaceDE w:val="0"/>
        <w:autoSpaceDN w:val="0"/>
        <w:adjustRightInd w:val="0"/>
        <w:spacing w:line="276" w:lineRule="auto"/>
        <w:ind w:left="360"/>
        <w:contextualSpacing/>
        <w:jc w:val="both"/>
        <w:rPr>
          <w:rFonts w:ascii="Calibri" w:eastAsia="Calibri" w:hAnsi="Calibri" w:cs="Arial"/>
          <w:sz w:val="22"/>
          <w:szCs w:val="22"/>
          <w:lang w:val="ro-RO"/>
        </w:rPr>
      </w:pPr>
    </w:p>
    <w:p w:rsidR="00BD4A3E" w:rsidRPr="00BD4A3E" w:rsidRDefault="00BD4A3E" w:rsidP="00BD4A3E">
      <w:pPr>
        <w:suppressAutoHyphens/>
        <w:jc w:val="both"/>
        <w:rPr>
          <w:rFonts w:ascii="Calibri" w:hAnsi="Calibri"/>
          <w:lang w:val="ro-RO"/>
        </w:rPr>
      </w:pPr>
      <w:r w:rsidRPr="00BD4A3E">
        <w:rPr>
          <w:rFonts w:ascii="Calibri" w:hAnsi="Calibri" w:cs="Arial"/>
          <w:b/>
          <w:lang w:val="ro-RO" w:eastAsia="zh-CN"/>
        </w:rPr>
        <w:t>Acţiuni aferente cadrului financiar multianual (CFM) 2007 – 2013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D4A3E" w:rsidRPr="00BD4A3E" w:rsidTr="00BD4A3E">
        <w:tc>
          <w:tcPr>
            <w:tcW w:w="9923" w:type="dxa"/>
            <w:shd w:val="clear" w:color="auto" w:fill="auto"/>
          </w:tcPr>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înregistrarea unei rate ridicate de absorbţie curentă pentru anul 2016, astfel încât față de finalul anului 2015, aceasta a crescut cu aprox. 20 puncte procentuale, de la aprox. 63% la aprox. 83% (aprox. 15,5 miliarde euro) la 31 decembrie 2016;</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transmiterea Comisiei Europene spre rambursare a aplicațiilor de plată finale în conformitate cu prevederile regulamentelor europene aplicabile acestui cadru financiar;</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valoarea totală solicitată CE a fost de aprox. 16,73 miliarde euro, ceea ce reprezintă cca. 95,23% din alocarea UE aferentă acestor programe;</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transmiterea în 2017 Comisiei Europene spre rambursare a aplicațiilor de plată finale în conformitate cu prevederile regulamentelor europene aplicabile acestui cadru financiar</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aprobarea de către Comisia Europeană a finanțării unor proiecte majore de mediu și transport în două etape (fazare), în condițiile nefinalizării acestora până la 31 decembrie 2015;</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maximizarea absorbției prin identificarea de proiecte retrospective și introducerea cheltuielilor aferente în aplicații de plată pentru a fi rambursate de către Comisia Europeană;</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completarea/modificarea cadrului legal și procedural la nivelul întregului sistem de gestionare a fondurilor structurale și de coeziune pentru procesul de închidere a exercițiului de programare 2007-2013;</w:t>
            </w:r>
          </w:p>
          <w:p w:rsidR="00BD4A3E" w:rsidRPr="00BD4A3E" w:rsidRDefault="00BD4A3E" w:rsidP="009F7237">
            <w:pPr>
              <w:widowControl w:val="0"/>
              <w:numPr>
                <w:ilvl w:val="0"/>
                <w:numId w:val="7"/>
              </w:numPr>
              <w:ind w:left="567" w:hanging="357"/>
              <w:jc w:val="both"/>
              <w:rPr>
                <w:rFonts w:ascii="Calibri" w:eastAsia="Calibri" w:hAnsi="Calibri" w:cs="Arial"/>
                <w:sz w:val="22"/>
                <w:szCs w:val="22"/>
                <w:lang w:val="ro-RO"/>
              </w:rPr>
            </w:pPr>
            <w:r w:rsidRPr="00BD4A3E">
              <w:rPr>
                <w:rFonts w:ascii="Calibri" w:eastAsia="Calibri" w:hAnsi="Calibri" w:cs="EUAlbertina"/>
                <w:iCs/>
                <w:szCs w:val="22"/>
                <w:lang w:val="ro-RO"/>
              </w:rPr>
              <w:t>aprobarea de către Guvern a listelor proiectelor fazate și nefuncționale.</w:t>
            </w:r>
          </w:p>
        </w:tc>
      </w:tr>
    </w:tbl>
    <w:p w:rsidR="00BD4A3E" w:rsidRPr="00BD4A3E" w:rsidRDefault="00BD4A3E" w:rsidP="00BD4A3E">
      <w:pPr>
        <w:suppressAutoHyphens/>
        <w:jc w:val="both"/>
        <w:rPr>
          <w:rFonts w:ascii="Calibri" w:hAnsi="Calibri" w:cs="Arial"/>
          <w:b/>
          <w:lang w:val="ro-RO" w:eastAsia="zh-CN"/>
        </w:rPr>
      </w:pPr>
    </w:p>
    <w:p w:rsidR="00BD4A3E" w:rsidRPr="00BD4A3E" w:rsidRDefault="00BD4A3E" w:rsidP="00BD4A3E">
      <w:pPr>
        <w:suppressAutoHyphens/>
        <w:jc w:val="both"/>
        <w:rPr>
          <w:rFonts w:ascii="Calibri" w:hAnsi="Calibri" w:cs="Arial"/>
          <w:b/>
          <w:lang w:val="ro-RO" w:eastAsia="zh-CN"/>
        </w:rPr>
      </w:pPr>
    </w:p>
    <w:p w:rsidR="00BD4A3E" w:rsidRPr="00BD4A3E" w:rsidRDefault="00BD4A3E" w:rsidP="00BD4A3E">
      <w:pPr>
        <w:suppressAutoHyphens/>
        <w:jc w:val="both"/>
        <w:rPr>
          <w:rFonts w:ascii="Calibri" w:hAnsi="Calibri" w:cs="Arial"/>
          <w:b/>
          <w:lang w:val="ro-RO" w:eastAsia="zh-CN"/>
        </w:rPr>
      </w:pPr>
      <w:r w:rsidRPr="00BD4A3E">
        <w:rPr>
          <w:rFonts w:ascii="Calibri" w:hAnsi="Calibri" w:cs="Arial"/>
          <w:b/>
          <w:lang w:val="ro-RO" w:eastAsia="zh-CN"/>
        </w:rPr>
        <w:t>Acţiuni aferente CFM 2014 – 2020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D4A3E" w:rsidRPr="00AC4302" w:rsidTr="00BD4A3E">
        <w:tc>
          <w:tcPr>
            <w:tcW w:w="9923" w:type="dxa"/>
            <w:shd w:val="clear" w:color="auto" w:fill="auto"/>
          </w:tcPr>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implementarea programelor operaționale aferente cadrului financiar 2014 - 2020 prin lansarea ghidurilor solicitantului și a apelurilor de proiecte, inclusiv semnarea de contracte de finanțare și efectuarea de plăți către beneficiari;</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asigurarea unui dialog mai eficient cu beneficiarii fondurilor europene;</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creșterea transparenței modului de implementare a programelor operaționale finanțate din fonduri europene;</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transpunerea în legislația națională a noilor directive europene în domeniul achizițiilor publice şi a cadrului instituţional aferent sistemului naţional de achiziţii publice, cu sprijinul instituțiilor de specialitate;</w:t>
            </w:r>
          </w:p>
          <w:p w:rsidR="00BD4A3E" w:rsidRPr="00BD4A3E" w:rsidRDefault="00BD4A3E" w:rsidP="009F7237">
            <w:pPr>
              <w:widowControl w:val="0"/>
              <w:numPr>
                <w:ilvl w:val="0"/>
                <w:numId w:val="7"/>
              </w:numPr>
              <w:ind w:left="567" w:hanging="357"/>
              <w:jc w:val="both"/>
              <w:rPr>
                <w:rFonts w:ascii="Calibri" w:eastAsia="Calibri" w:hAnsi="Calibri" w:cs="Arial"/>
                <w:sz w:val="22"/>
                <w:szCs w:val="22"/>
                <w:lang w:val="ro-RO"/>
              </w:rPr>
            </w:pPr>
            <w:r w:rsidRPr="00BD4A3E">
              <w:rPr>
                <w:rFonts w:ascii="Calibri" w:eastAsia="Calibri" w:hAnsi="Calibri" w:cs="EUAlbertina"/>
                <w:iCs/>
                <w:szCs w:val="22"/>
                <w:lang w:val="ro-RO"/>
              </w:rPr>
              <w:t>transmiterea către Autoritatea de Audit a documentelor aferente pachetelor de desemnare pentru toate programele operaționale și obținerea acreditării pentru toate autoritățile de management.</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 xml:space="preserve">finalizarea procesului de desemnare a autorităților implicate în sistemul de management și control al fondurilor, proces care a implicat evaluarea acestora de către Autoritatea de Audit din România și emiterea unei opinii cu privire la conformitatea sistemului cu cerințele de acreditare; </w:t>
            </w:r>
          </w:p>
          <w:p w:rsidR="00BD4A3E" w:rsidRPr="00BD4A3E" w:rsidRDefault="00BD4A3E" w:rsidP="009F7237">
            <w:pPr>
              <w:widowControl w:val="0"/>
              <w:numPr>
                <w:ilvl w:val="0"/>
                <w:numId w:val="7"/>
              </w:numPr>
              <w:ind w:left="567" w:hanging="357"/>
              <w:jc w:val="both"/>
              <w:rPr>
                <w:rFonts w:ascii="Calibri" w:eastAsia="Calibri" w:hAnsi="Calibri" w:cs="EUAlbertina"/>
                <w:iCs/>
                <w:szCs w:val="22"/>
                <w:lang w:val="ro-RO"/>
              </w:rPr>
            </w:pPr>
            <w:r w:rsidRPr="00BD4A3E">
              <w:rPr>
                <w:rFonts w:ascii="Calibri" w:eastAsia="Calibri" w:hAnsi="Calibri" w:cs="EUAlbertina"/>
                <w:iCs/>
                <w:szCs w:val="22"/>
                <w:lang w:val="ro-RO"/>
              </w:rPr>
              <w:t>continuarea procesului de îndeplinire a condiționalităților ex-ante, din diverse domenii, asumate de. România prin Acordul de Parteneriat. Responsabilitatea îndeplinirii condiționalităților ex–ante revine ministerelor de linie, deoarece acestea vizează existența politicilor/strategiilor/legislațiilor sectoriale, MFE coordonând procesul de monitorizare a stadiului îndeplinirii acestora.</w:t>
            </w:r>
          </w:p>
          <w:p w:rsidR="00BD4A3E" w:rsidRPr="00AC2FB0" w:rsidRDefault="00BD4A3E" w:rsidP="009F7237">
            <w:pPr>
              <w:widowControl w:val="0"/>
              <w:numPr>
                <w:ilvl w:val="0"/>
                <w:numId w:val="7"/>
              </w:numPr>
              <w:ind w:left="567" w:hanging="357"/>
              <w:jc w:val="both"/>
              <w:rPr>
                <w:rFonts w:ascii="Calibri" w:eastAsia="Calibri" w:hAnsi="Calibri" w:cs="Arial"/>
                <w:sz w:val="22"/>
                <w:szCs w:val="22"/>
                <w:lang w:val="ro-RO"/>
              </w:rPr>
            </w:pPr>
            <w:r w:rsidRPr="00AC2FB0">
              <w:rPr>
                <w:rFonts w:ascii="Calibri" w:eastAsia="Calibri" w:hAnsi="Calibri" w:cs="Arial"/>
                <w:bCs/>
                <w:sz w:val="22"/>
                <w:szCs w:val="22"/>
                <w:lang w:val="ro-RO"/>
              </w:rPr>
              <w:t>implementarea de măsuri de simplificare și debirocratizare</w:t>
            </w:r>
          </w:p>
        </w:tc>
      </w:tr>
    </w:tbl>
    <w:p w:rsidR="00BD4A3E" w:rsidRDefault="00BD4A3E" w:rsidP="00BD4A3E">
      <w:pPr>
        <w:jc w:val="both"/>
        <w:rPr>
          <w:rFonts w:ascii="Calibri" w:hAnsi="Calibri"/>
          <w:lang w:val="ro-RO"/>
        </w:rPr>
      </w:pPr>
    </w:p>
    <w:p w:rsidR="009725DE" w:rsidRDefault="009725DE" w:rsidP="00BD4A3E">
      <w:pPr>
        <w:jc w:val="both"/>
        <w:rPr>
          <w:rFonts w:ascii="Calibri" w:hAnsi="Calibri"/>
          <w:lang w:val="ro-RO"/>
        </w:rPr>
      </w:pPr>
    </w:p>
    <w:p w:rsidR="00E30C70" w:rsidRDefault="00E30C70" w:rsidP="00BD4A3E">
      <w:pPr>
        <w:jc w:val="both"/>
        <w:rPr>
          <w:rFonts w:ascii="Calibri" w:hAnsi="Calibri"/>
          <w:lang w:val="ro-RO"/>
        </w:rPr>
      </w:pPr>
    </w:p>
    <w:p w:rsidR="00E30C70" w:rsidRDefault="00E30C70" w:rsidP="00BD4A3E">
      <w:pPr>
        <w:jc w:val="both"/>
        <w:rPr>
          <w:rFonts w:ascii="Calibri" w:hAnsi="Calibri"/>
          <w:lang w:val="ro-RO"/>
        </w:rPr>
      </w:pPr>
    </w:p>
    <w:p w:rsidR="00E30C70" w:rsidRDefault="00E30C70" w:rsidP="00BD4A3E">
      <w:pPr>
        <w:jc w:val="both"/>
        <w:rPr>
          <w:rFonts w:ascii="Calibri" w:hAnsi="Calibri"/>
          <w:lang w:val="ro-RO"/>
        </w:rPr>
      </w:pPr>
    </w:p>
    <w:p w:rsidR="00E30C70" w:rsidRPr="00BD4A3E" w:rsidRDefault="00E30C70" w:rsidP="00BD4A3E">
      <w:pPr>
        <w:jc w:val="both"/>
        <w:rPr>
          <w:rFonts w:ascii="Calibri" w:hAnsi="Calibri"/>
          <w:lang w:val="ro-RO"/>
        </w:rPr>
      </w:pPr>
    </w:p>
    <w:p w:rsidR="00BD4A3E" w:rsidRPr="00BD4A3E" w:rsidRDefault="00BD4A3E" w:rsidP="009F7237">
      <w:pPr>
        <w:keepNext/>
        <w:keepLines/>
        <w:numPr>
          <w:ilvl w:val="0"/>
          <w:numId w:val="20"/>
        </w:numPr>
        <w:spacing w:before="40"/>
        <w:jc w:val="both"/>
        <w:outlineLvl w:val="2"/>
        <w:rPr>
          <w:rFonts w:ascii="Calibri" w:hAnsi="Calibri" w:cs="Arial"/>
          <w:b/>
        </w:rPr>
      </w:pPr>
      <w:r w:rsidRPr="00BD4A3E">
        <w:rPr>
          <w:rFonts w:ascii="Calibri" w:hAnsi="Calibri" w:cs="Arial"/>
          <w:b/>
        </w:rPr>
        <w:t xml:space="preserve">Stadiul implementării </w:t>
      </w:r>
    </w:p>
    <w:p w:rsidR="00BD4A3E" w:rsidRPr="00BD4A3E" w:rsidRDefault="00BD4A3E" w:rsidP="00BD4A3E">
      <w:pPr>
        <w:jc w:val="both"/>
        <w:rPr>
          <w:rFonts w:ascii="Calibri" w:hAnsi="Calibri"/>
          <w:lang w:val="ro-RO"/>
        </w:rPr>
      </w:pPr>
    </w:p>
    <w:p w:rsidR="00BD4A3E" w:rsidRPr="00BD4A3E" w:rsidRDefault="00BD4A3E" w:rsidP="00BD4A3E">
      <w:pPr>
        <w:keepNext/>
        <w:widowControl w:val="0"/>
        <w:spacing w:after="120"/>
        <w:ind w:left="284" w:firstLine="11"/>
        <w:jc w:val="both"/>
        <w:outlineLvl w:val="3"/>
        <w:rPr>
          <w:rFonts w:ascii="Calibri" w:hAnsi="Calibri"/>
          <w:b/>
          <w:bCs/>
          <w:szCs w:val="20"/>
          <w:lang w:val="ro-RO"/>
        </w:rPr>
      </w:pPr>
      <w:r w:rsidRPr="00BD4A3E">
        <w:rPr>
          <w:rFonts w:ascii="Calibri" w:hAnsi="Calibri"/>
          <w:b/>
          <w:bCs/>
          <w:szCs w:val="20"/>
          <w:lang w:val="ro-RO"/>
        </w:rPr>
        <w:t>2.1 Instrumente structurale Cadrul financiar Multianual (CFM) 2007-2013</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În cadrul obiectivului „Convergenţă”, din alocarea UE de 17,57 miliarde euro pentru cele                                   7 programe operaţionale</w:t>
      </w:r>
      <w:r w:rsidRPr="00BD4A3E">
        <w:rPr>
          <w:rFonts w:ascii="Calibri" w:hAnsi="Calibri" w:cs="Arial"/>
          <w:sz w:val="22"/>
          <w:szCs w:val="22"/>
          <w:vertAlign w:val="superscript"/>
          <w:lang w:val="ro-RO"/>
        </w:rPr>
        <w:footnoteReference w:id="21"/>
      </w:r>
      <w:r w:rsidRPr="00BD4A3E">
        <w:rPr>
          <w:rFonts w:ascii="Calibri" w:hAnsi="Calibri" w:cs="Arial"/>
          <w:lang w:val="ro-RO" w:eastAsia="zh-CN"/>
        </w:rPr>
        <w:t xml:space="preserve"> finanţate, au fost contractate fonduri UE în valoare de aprox. 20 miliarde euro reprezentând 108%.</w:t>
      </w:r>
    </w:p>
    <w:p w:rsidR="00BD4A3E" w:rsidRPr="00BD4A3E" w:rsidRDefault="00BD4A3E" w:rsidP="00BD4A3E">
      <w:pPr>
        <w:spacing w:before="120" w:after="120"/>
        <w:ind w:firstLine="284"/>
        <w:jc w:val="both"/>
        <w:rPr>
          <w:rFonts w:ascii="Calibri" w:hAnsi="Calibri" w:cs="Calibri"/>
          <w:bCs/>
          <w:szCs w:val="22"/>
          <w:u w:val="single"/>
          <w:lang w:val="ro-RO"/>
        </w:rPr>
      </w:pPr>
      <w:r w:rsidRPr="00BD4A3E">
        <w:rPr>
          <w:rFonts w:ascii="Calibri" w:hAnsi="Calibri" w:cs="Calibri"/>
          <w:bCs/>
          <w:szCs w:val="22"/>
          <w:u w:val="single"/>
          <w:lang w:val="ro-RO"/>
        </w:rPr>
        <w:t>Rata de absorbţiecurentă</w:t>
      </w:r>
      <w:r w:rsidRPr="00BD4A3E">
        <w:rPr>
          <w:rFonts w:ascii="Calibri" w:hAnsi="Calibri" w:cs="Arial"/>
          <w:sz w:val="22"/>
          <w:szCs w:val="22"/>
          <w:vertAlign w:val="superscript"/>
          <w:lang w:val="ro-RO"/>
        </w:rPr>
        <w:footnoteReference w:id="22"/>
      </w:r>
    </w:p>
    <w:p w:rsidR="00BD4A3E" w:rsidRPr="00BD4A3E" w:rsidRDefault="00BD4A3E" w:rsidP="00BD4A3E">
      <w:pPr>
        <w:spacing w:before="120" w:after="120"/>
        <w:ind w:firstLine="284"/>
        <w:jc w:val="both"/>
        <w:rPr>
          <w:rFonts w:ascii="Calibri" w:hAnsi="Calibri" w:cs="Arial"/>
          <w:bCs/>
          <w:sz w:val="22"/>
          <w:szCs w:val="22"/>
          <w:u w:val="single"/>
          <w:lang w:val="ro-RO"/>
        </w:rPr>
      </w:pPr>
      <w:r w:rsidRPr="00BD4A3E">
        <w:rPr>
          <w:rFonts w:ascii="Calibri" w:hAnsi="Calibri" w:cs="Arial"/>
          <w:lang w:val="ro-RO" w:eastAsia="zh-CN"/>
        </w:rPr>
        <w:t>Valoarea aplicațiilor de plată care a fost declarată Comisiei Europene este de 16,73 miliarde euro, ceea ce reprezintă o rată de absorbţie curentă de aprox. 95,23% din alocarea UE pentru perioada 2007 - 2013.</w:t>
      </w:r>
    </w:p>
    <w:p w:rsidR="00BD4A3E" w:rsidRPr="00BD4A3E" w:rsidRDefault="00BD4A3E" w:rsidP="00BD4A3E">
      <w:pPr>
        <w:spacing w:before="120" w:after="120"/>
        <w:ind w:firstLine="284"/>
        <w:jc w:val="both"/>
        <w:rPr>
          <w:rFonts w:ascii="Calibri" w:hAnsi="Calibri" w:cs="Arial"/>
          <w:b/>
          <w:bCs/>
          <w:sz w:val="22"/>
          <w:szCs w:val="22"/>
          <w:u w:val="single"/>
          <w:lang w:val="ro-RO"/>
        </w:rPr>
      </w:pPr>
      <w:r w:rsidRPr="00BD4A3E">
        <w:rPr>
          <w:rFonts w:ascii="Calibri" w:hAnsi="Calibri" w:cs="Calibri"/>
          <w:bCs/>
          <w:szCs w:val="22"/>
          <w:u w:val="single"/>
          <w:lang w:val="ro-RO"/>
        </w:rPr>
        <w:t>Rata rambursărilor</w:t>
      </w:r>
      <w:r w:rsidRPr="00BD4A3E">
        <w:rPr>
          <w:rFonts w:ascii="Calibri" w:hAnsi="Calibri" w:cs="Arial"/>
          <w:sz w:val="22"/>
          <w:szCs w:val="22"/>
          <w:vertAlign w:val="superscript"/>
          <w:lang w:val="ro-RO"/>
        </w:rPr>
        <w:footnoteReference w:id="23"/>
      </w:r>
    </w:p>
    <w:p w:rsidR="00BD4A3E" w:rsidRPr="00BD4A3E" w:rsidRDefault="00BD4A3E" w:rsidP="00BD4A3E">
      <w:pPr>
        <w:tabs>
          <w:tab w:val="left" w:pos="426"/>
        </w:tabs>
        <w:spacing w:before="120" w:after="120"/>
        <w:jc w:val="both"/>
        <w:rPr>
          <w:rFonts w:ascii="Calibri" w:hAnsi="Calibri" w:cs="Arial"/>
          <w:lang w:val="ro-RO" w:eastAsia="zh-CN"/>
        </w:rPr>
      </w:pPr>
      <w:r w:rsidRPr="00BD4A3E">
        <w:rPr>
          <w:rFonts w:ascii="Calibri" w:hAnsi="Calibri" w:cs="Arial"/>
          <w:lang w:val="ro-RO" w:eastAsia="zh-CN"/>
        </w:rPr>
        <w:t xml:space="preserve">     Suma totală primită de România de la Comisia Europeană pentru perioada 2007 - 2013 este de 16,99 miliarde euro, ceea ce reprezintă aprox. 96,69% din alocarea UE pentru perioada 2007 - 2013. Din această sumă, 2,17 miliarde euro reprezintă prefinanţări, în timp ce 14,88 miliarde euro reprezintă sume rambursate de către Comisia Europeană, rata rambursărilor fiind de 84,7% din totalul alocat pentru perioada 2007 - 2013.</w:t>
      </w:r>
    </w:p>
    <w:p w:rsidR="00BD4A3E" w:rsidRPr="00BD4A3E" w:rsidRDefault="00BD4A3E" w:rsidP="00BD4A3E">
      <w:pPr>
        <w:tabs>
          <w:tab w:val="left" w:pos="284"/>
        </w:tabs>
        <w:spacing w:before="120" w:after="120"/>
        <w:jc w:val="both"/>
        <w:rPr>
          <w:rFonts w:ascii="Calibri" w:hAnsi="Calibri" w:cs="Arial"/>
          <w:lang w:val="ro-RO" w:eastAsia="zh-CN"/>
        </w:rPr>
      </w:pPr>
      <w:r w:rsidRPr="00BD4A3E">
        <w:rPr>
          <w:rFonts w:ascii="Calibri" w:hAnsi="Calibri" w:cs="Arial"/>
          <w:lang w:val="ro-RO" w:eastAsia="zh-CN"/>
        </w:rPr>
        <w:t xml:space="preserve">     Repartizarea pe tipuri de fond a sumelor solicitate CE și rambursate de către aceasta, se prezintă astfel:</w:t>
      </w:r>
    </w:p>
    <w:p w:rsidR="00BD4A3E" w:rsidRPr="00BD4A3E" w:rsidRDefault="00BD4A3E" w:rsidP="00BD4A3E">
      <w:pPr>
        <w:suppressAutoHyphens/>
        <w:ind w:left="5672" w:firstLine="709"/>
        <w:jc w:val="both"/>
        <w:rPr>
          <w:rFonts w:ascii="Calibri" w:hAnsi="Calibri" w:cs="Arial"/>
          <w:sz w:val="22"/>
          <w:szCs w:val="22"/>
          <w:lang w:val="ro-RO" w:eastAsia="zh-CN"/>
        </w:rPr>
      </w:pPr>
      <w:r w:rsidRPr="00BD4A3E">
        <w:rPr>
          <w:rFonts w:ascii="Calibri" w:hAnsi="Calibri" w:cs="Arial"/>
          <w:sz w:val="22"/>
          <w:szCs w:val="22"/>
          <w:lang w:val="ro-RO" w:eastAsia="zh-CN"/>
        </w:rPr>
        <w:t>mil. euro</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260"/>
        <w:gridCol w:w="2612"/>
      </w:tblGrid>
      <w:tr w:rsidR="00BD4A3E" w:rsidRPr="00BD4A3E" w:rsidTr="00BD4A3E">
        <w:trPr>
          <w:trHeight w:val="281"/>
          <w:jc w:val="center"/>
        </w:trPr>
        <w:tc>
          <w:tcPr>
            <w:tcW w:w="2208" w:type="pct"/>
            <w:shd w:val="clear" w:color="auto" w:fill="auto"/>
            <w:vAlign w:val="center"/>
          </w:tcPr>
          <w:p w:rsidR="00BD4A3E" w:rsidRPr="00BD4A3E" w:rsidRDefault="00BD4A3E" w:rsidP="00BD4A3E">
            <w:pPr>
              <w:jc w:val="both"/>
              <w:rPr>
                <w:rFonts w:ascii="Calibri" w:eastAsia="Calibri" w:hAnsi="Calibri" w:cs="Arial"/>
                <w:b/>
                <w:sz w:val="22"/>
                <w:szCs w:val="22"/>
                <w:lang w:val="ro-RO"/>
              </w:rPr>
            </w:pPr>
            <w:r w:rsidRPr="00BD4A3E">
              <w:rPr>
                <w:rFonts w:ascii="Calibri" w:eastAsia="Calibri" w:hAnsi="Calibri" w:cs="Arial"/>
                <w:b/>
                <w:sz w:val="22"/>
                <w:szCs w:val="22"/>
                <w:lang w:val="ro-RO"/>
              </w:rPr>
              <w:t>Fond</w:t>
            </w:r>
          </w:p>
        </w:tc>
        <w:tc>
          <w:tcPr>
            <w:tcW w:w="1295" w:type="pct"/>
            <w:shd w:val="clear" w:color="auto" w:fill="auto"/>
            <w:vAlign w:val="center"/>
          </w:tcPr>
          <w:p w:rsidR="00BD4A3E" w:rsidRPr="00BD4A3E" w:rsidRDefault="00BD4A3E" w:rsidP="00BD4A3E">
            <w:pPr>
              <w:jc w:val="both"/>
              <w:rPr>
                <w:rFonts w:ascii="Calibri" w:eastAsia="Calibri" w:hAnsi="Calibri" w:cs="Arial"/>
                <w:b/>
                <w:sz w:val="22"/>
                <w:szCs w:val="22"/>
                <w:lang w:val="ro-RO"/>
              </w:rPr>
            </w:pPr>
            <w:r w:rsidRPr="00BD4A3E">
              <w:rPr>
                <w:rFonts w:ascii="Calibri" w:eastAsia="Calibri" w:hAnsi="Calibri" w:cs="Arial"/>
                <w:b/>
                <w:sz w:val="22"/>
                <w:szCs w:val="22"/>
                <w:lang w:val="ro-RO"/>
              </w:rPr>
              <w:t>Sume solicitate</w:t>
            </w:r>
          </w:p>
        </w:tc>
        <w:tc>
          <w:tcPr>
            <w:tcW w:w="1497" w:type="pct"/>
            <w:shd w:val="clear" w:color="auto" w:fill="auto"/>
            <w:vAlign w:val="center"/>
          </w:tcPr>
          <w:p w:rsidR="00BD4A3E" w:rsidRPr="00BD4A3E" w:rsidRDefault="00BD4A3E" w:rsidP="00BD4A3E">
            <w:pPr>
              <w:jc w:val="both"/>
              <w:rPr>
                <w:rFonts w:ascii="Calibri" w:eastAsia="Calibri" w:hAnsi="Calibri" w:cs="Arial"/>
                <w:b/>
                <w:sz w:val="22"/>
                <w:szCs w:val="22"/>
                <w:lang w:val="ro-RO"/>
              </w:rPr>
            </w:pPr>
            <w:r w:rsidRPr="00BD4A3E">
              <w:rPr>
                <w:rFonts w:ascii="Calibri" w:eastAsia="Calibri" w:hAnsi="Calibri" w:cs="Arial"/>
                <w:b/>
                <w:sz w:val="22"/>
                <w:szCs w:val="22"/>
                <w:lang w:val="ro-RO"/>
              </w:rPr>
              <w:t>Sume rambursate</w:t>
            </w:r>
          </w:p>
        </w:tc>
      </w:tr>
      <w:tr w:rsidR="00BD4A3E" w:rsidRPr="00BD4A3E" w:rsidTr="00BD4A3E">
        <w:trPr>
          <w:trHeight w:val="329"/>
          <w:jc w:val="center"/>
        </w:trPr>
        <w:tc>
          <w:tcPr>
            <w:tcW w:w="2208" w:type="pct"/>
            <w:shd w:val="clear" w:color="auto" w:fill="auto"/>
          </w:tcPr>
          <w:p w:rsidR="00BD4A3E" w:rsidRPr="00BD4A3E" w:rsidRDefault="00BD4A3E" w:rsidP="00BD4A3E">
            <w:pPr>
              <w:jc w:val="both"/>
              <w:rPr>
                <w:rFonts w:ascii="Calibri" w:eastAsia="Calibri" w:hAnsi="Calibri" w:cs="Arial"/>
                <w:sz w:val="22"/>
                <w:szCs w:val="22"/>
                <w:lang w:val="ro-RO"/>
              </w:rPr>
            </w:pPr>
            <w:r w:rsidRPr="00BD4A3E">
              <w:rPr>
                <w:rFonts w:ascii="Calibri" w:eastAsia="Calibri" w:hAnsi="Calibri" w:cs="Arial"/>
                <w:sz w:val="22"/>
                <w:szCs w:val="22"/>
                <w:lang w:val="ro-RO"/>
              </w:rPr>
              <w:t>FEDR</w:t>
            </w:r>
            <w:r w:rsidRPr="00BD4A3E">
              <w:rPr>
                <w:rFonts w:ascii="Calibri" w:eastAsia="Calibri" w:hAnsi="Calibri" w:cs="Arial"/>
                <w:sz w:val="22"/>
                <w:szCs w:val="22"/>
                <w:vertAlign w:val="superscript"/>
                <w:lang w:val="ro-RO"/>
              </w:rPr>
              <w:footnoteReference w:id="24"/>
            </w:r>
          </w:p>
        </w:tc>
        <w:tc>
          <w:tcPr>
            <w:tcW w:w="1295" w:type="pct"/>
            <w:shd w:val="clear" w:color="auto" w:fill="auto"/>
            <w:vAlign w:val="center"/>
          </w:tcPr>
          <w:p w:rsidR="00BD4A3E" w:rsidRPr="00BD4A3E" w:rsidRDefault="00BD4A3E" w:rsidP="00BD4A3E">
            <w:pPr>
              <w:jc w:val="right"/>
              <w:rPr>
                <w:rFonts w:ascii="Calibri" w:hAnsi="Calibri" w:cs="Arial"/>
                <w:sz w:val="22"/>
                <w:szCs w:val="22"/>
                <w:lang w:val="ro-RO"/>
              </w:rPr>
            </w:pPr>
            <w:r w:rsidRPr="00BD4A3E">
              <w:rPr>
                <w:rFonts w:ascii="Calibri" w:hAnsi="Calibri" w:cs="Arial"/>
                <w:sz w:val="22"/>
                <w:szCs w:val="22"/>
                <w:lang w:val="ro-RO"/>
              </w:rPr>
              <w:t>8.250</w:t>
            </w:r>
          </w:p>
        </w:tc>
        <w:tc>
          <w:tcPr>
            <w:tcW w:w="1497" w:type="pct"/>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7.333</w:t>
            </w:r>
          </w:p>
        </w:tc>
      </w:tr>
      <w:tr w:rsidR="00BD4A3E" w:rsidRPr="00BD4A3E" w:rsidTr="00BD4A3E">
        <w:trPr>
          <w:trHeight w:val="281"/>
          <w:jc w:val="center"/>
        </w:trPr>
        <w:tc>
          <w:tcPr>
            <w:tcW w:w="2208" w:type="pct"/>
            <w:shd w:val="clear" w:color="auto" w:fill="auto"/>
          </w:tcPr>
          <w:p w:rsidR="00BD4A3E" w:rsidRPr="00BD4A3E" w:rsidRDefault="00BD4A3E" w:rsidP="00BD4A3E">
            <w:pPr>
              <w:jc w:val="both"/>
              <w:rPr>
                <w:rFonts w:ascii="Calibri" w:eastAsia="Calibri" w:hAnsi="Calibri" w:cs="Arial"/>
                <w:sz w:val="22"/>
                <w:szCs w:val="22"/>
                <w:lang w:val="ro-RO"/>
              </w:rPr>
            </w:pPr>
            <w:r w:rsidRPr="00BD4A3E">
              <w:rPr>
                <w:rFonts w:ascii="Calibri" w:eastAsia="Calibri" w:hAnsi="Calibri" w:cs="Arial"/>
                <w:sz w:val="22"/>
                <w:szCs w:val="22"/>
                <w:lang w:val="ro-RO"/>
              </w:rPr>
              <w:t>FC</w:t>
            </w:r>
            <w:r w:rsidRPr="00BD4A3E">
              <w:rPr>
                <w:rFonts w:ascii="Calibri" w:eastAsia="Calibri" w:hAnsi="Calibri" w:cs="Arial"/>
                <w:sz w:val="22"/>
                <w:szCs w:val="22"/>
                <w:vertAlign w:val="superscript"/>
                <w:lang w:val="ro-RO"/>
              </w:rPr>
              <w:footnoteReference w:id="25"/>
            </w:r>
          </w:p>
        </w:tc>
        <w:tc>
          <w:tcPr>
            <w:tcW w:w="1295" w:type="pct"/>
            <w:shd w:val="clear" w:color="auto" w:fill="auto"/>
            <w:vAlign w:val="center"/>
          </w:tcPr>
          <w:p w:rsidR="00BD4A3E" w:rsidRPr="00BD4A3E" w:rsidRDefault="00BD4A3E" w:rsidP="00BD4A3E">
            <w:pPr>
              <w:jc w:val="right"/>
              <w:rPr>
                <w:rFonts w:ascii="Calibri" w:hAnsi="Calibri" w:cs="Arial"/>
                <w:sz w:val="22"/>
                <w:szCs w:val="22"/>
                <w:lang w:val="ro-RO"/>
              </w:rPr>
            </w:pPr>
            <w:r w:rsidRPr="00BD4A3E">
              <w:rPr>
                <w:rFonts w:ascii="Calibri" w:hAnsi="Calibri" w:cs="Arial"/>
                <w:sz w:val="22"/>
                <w:szCs w:val="22"/>
                <w:lang w:val="ro-RO"/>
              </w:rPr>
              <w:t>5.365</w:t>
            </w:r>
          </w:p>
        </w:tc>
        <w:tc>
          <w:tcPr>
            <w:tcW w:w="1497" w:type="pct"/>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5.030</w:t>
            </w:r>
          </w:p>
        </w:tc>
      </w:tr>
      <w:tr w:rsidR="00BD4A3E" w:rsidRPr="00BD4A3E" w:rsidTr="00BD4A3E">
        <w:trPr>
          <w:trHeight w:val="314"/>
          <w:jc w:val="center"/>
        </w:trPr>
        <w:tc>
          <w:tcPr>
            <w:tcW w:w="2208" w:type="pct"/>
            <w:shd w:val="clear" w:color="auto" w:fill="auto"/>
          </w:tcPr>
          <w:p w:rsidR="00BD4A3E" w:rsidRPr="00BD4A3E" w:rsidRDefault="00BD4A3E" w:rsidP="00BD4A3E">
            <w:pPr>
              <w:tabs>
                <w:tab w:val="left" w:pos="3675"/>
              </w:tabs>
              <w:jc w:val="both"/>
              <w:rPr>
                <w:rFonts w:ascii="Calibri" w:eastAsia="Calibri" w:hAnsi="Calibri" w:cs="Arial"/>
                <w:sz w:val="22"/>
                <w:szCs w:val="22"/>
                <w:lang w:val="ro-RO"/>
              </w:rPr>
            </w:pPr>
            <w:r w:rsidRPr="00BD4A3E">
              <w:rPr>
                <w:rFonts w:ascii="Calibri" w:eastAsia="Calibri" w:hAnsi="Calibri" w:cs="Arial"/>
                <w:sz w:val="22"/>
                <w:szCs w:val="22"/>
                <w:lang w:val="ro-RO"/>
              </w:rPr>
              <w:t>FSE</w:t>
            </w:r>
            <w:r w:rsidRPr="00BD4A3E">
              <w:rPr>
                <w:rFonts w:ascii="Calibri" w:eastAsia="Calibri" w:hAnsi="Calibri" w:cs="Arial"/>
                <w:sz w:val="22"/>
                <w:szCs w:val="22"/>
                <w:vertAlign w:val="superscript"/>
                <w:lang w:val="ro-RO"/>
              </w:rPr>
              <w:footnoteReference w:id="26"/>
            </w:r>
          </w:p>
        </w:tc>
        <w:tc>
          <w:tcPr>
            <w:tcW w:w="1295" w:type="pct"/>
            <w:shd w:val="clear" w:color="auto" w:fill="auto"/>
            <w:vAlign w:val="center"/>
          </w:tcPr>
          <w:p w:rsidR="00BD4A3E" w:rsidRPr="00BD4A3E" w:rsidRDefault="00BD4A3E" w:rsidP="00BD4A3E">
            <w:pPr>
              <w:jc w:val="right"/>
              <w:rPr>
                <w:rFonts w:ascii="Calibri" w:hAnsi="Calibri" w:cs="Arial"/>
                <w:sz w:val="22"/>
                <w:szCs w:val="22"/>
                <w:lang w:val="ro-RO"/>
              </w:rPr>
            </w:pPr>
            <w:r w:rsidRPr="00BD4A3E">
              <w:rPr>
                <w:rFonts w:ascii="Calibri" w:hAnsi="Calibri" w:cs="Arial"/>
                <w:sz w:val="22"/>
                <w:szCs w:val="22"/>
                <w:lang w:val="ro-RO"/>
              </w:rPr>
              <w:t>3.114</w:t>
            </w:r>
          </w:p>
        </w:tc>
        <w:tc>
          <w:tcPr>
            <w:tcW w:w="1497" w:type="pct"/>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2.518</w:t>
            </w:r>
          </w:p>
        </w:tc>
      </w:tr>
    </w:tbl>
    <w:p w:rsidR="00BD4A3E" w:rsidRPr="00BD4A3E" w:rsidRDefault="00BD4A3E" w:rsidP="00BD4A3E">
      <w:pPr>
        <w:suppressAutoHyphens/>
        <w:jc w:val="both"/>
        <w:rPr>
          <w:rFonts w:ascii="Calibri" w:hAnsi="Calibri" w:cs="Arial"/>
          <w:sz w:val="22"/>
          <w:szCs w:val="22"/>
          <w:lang w:val="ro-RO" w:eastAsia="zh-CN"/>
        </w:rPr>
      </w:pPr>
    </w:p>
    <w:p w:rsidR="00BD4A3E" w:rsidRPr="00BD4A3E" w:rsidRDefault="00BD4A3E" w:rsidP="00BD4A3E">
      <w:pPr>
        <w:spacing w:before="120" w:after="120"/>
        <w:ind w:firstLine="426"/>
        <w:jc w:val="both"/>
        <w:rPr>
          <w:rFonts w:ascii="Calibri" w:hAnsi="Calibri" w:cs="Arial"/>
          <w:lang w:val="ro-RO" w:eastAsia="zh-CN"/>
        </w:rPr>
      </w:pPr>
      <w:r w:rsidRPr="00BD4A3E">
        <w:rPr>
          <w:rFonts w:ascii="Calibri" w:hAnsi="Calibri" w:cs="Arial"/>
          <w:lang w:val="ro-RO" w:eastAsia="zh-CN"/>
        </w:rPr>
        <w:t xml:space="preserve">Rata finală de absorbție va putea fi stabilită numai după acceptarea pachetului de închidere de către CE și plata soldului final aferent aplicațiilor de plată finale transmise de către România până la data de 31 martie 2017, în conformitate cu prevederile regulamentelor europene aplicabile acestui cadru financiar. </w:t>
      </w:r>
    </w:p>
    <w:p w:rsidR="00BD4A3E" w:rsidRPr="00BD4A3E" w:rsidRDefault="00BD4A3E" w:rsidP="00BD4A3E">
      <w:pPr>
        <w:spacing w:before="120" w:after="120"/>
        <w:ind w:firstLine="426"/>
        <w:jc w:val="both"/>
        <w:rPr>
          <w:rFonts w:ascii="Calibri" w:hAnsi="Calibri" w:cs="Arial"/>
          <w:lang w:val="ro-RO" w:eastAsia="zh-CN"/>
        </w:rPr>
      </w:pPr>
    </w:p>
    <w:p w:rsidR="00BD4A3E" w:rsidRPr="00BD4A3E" w:rsidRDefault="00BD4A3E" w:rsidP="00BD4A3E">
      <w:pPr>
        <w:keepNext/>
        <w:widowControl w:val="0"/>
        <w:spacing w:after="120"/>
        <w:ind w:left="284" w:firstLine="11"/>
        <w:jc w:val="both"/>
        <w:outlineLvl w:val="3"/>
        <w:rPr>
          <w:rFonts w:ascii="Calibri" w:hAnsi="Calibri"/>
          <w:b/>
          <w:bCs/>
          <w:szCs w:val="20"/>
          <w:lang w:val="ro-RO"/>
        </w:rPr>
      </w:pPr>
      <w:r w:rsidRPr="00BD4A3E">
        <w:rPr>
          <w:rFonts w:ascii="Calibri" w:hAnsi="Calibri"/>
          <w:b/>
          <w:bCs/>
          <w:szCs w:val="20"/>
          <w:lang w:val="ro-RO"/>
        </w:rPr>
        <w:t xml:space="preserve">2.2 Fondurile Europene Structurale și de Investiții – CFM 2014-2020 </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Începând cu anul 2015, au fost lansate apeluri de proiecte pentru toate cele 7 programe operaționale FESI - PO Infrastructură Mare, Capital Uman, Competitivitate, Asistență Tehnică, Regional, Capacitate Administrativă, Inițiativa pentru IMM-uri. Bugetul total lansat pentru aceste apeluri este de aprox. 24,7 miliarde euro, reprezentând 89% din alocarea totală de aprox. 28 miliarde euro disponibilă pentru implementarea acestor programe.</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Până la data de 12 octombrie 2018 au fost semnate 5.068 contracte de finanțare, în valoare totală eligibilă de aprox. 15 miliarde euro, reprezentând 54% din alocarea totală aferentă acestor PO. În cadrul acestor contracte au fost efectuate plăți de către autoritățile de management însumând 2,7 miliarde euro.</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 xml:space="preserve">Pentru PO mai sus menționate, s-au primit de la CE fonduri de prefinanțare în cuantum de 1,4 miliarde euro, reprezentând 6,3% din alocarea UE de aproximativ 22,58 miliarde euro aferentă acestora. </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Până în prezent, valoarea aplicațiilor de plată transmise la Comisia Europeană este de aproximativ 1,8 miliarde euro, din care CE a rambursat, până în prezent, suma de 1,5 miliarde euro.</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 xml:space="preserve">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 </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 xml:space="preserve">Prin Acordul de Parteneriat, România și-a asumat finanțarea tuturor obiectivelor tematice stabilite prin Regulamentul (UE) nr. 1303/2013, ceea ce a impus aplicarea tuturor celor 36 de condiționalități ex-ante prevăzute în anexa XI a Regulamentului menționat. </w:t>
      </w:r>
    </w:p>
    <w:p w:rsidR="00BD4A3E" w:rsidRPr="00BD4A3E" w:rsidRDefault="00BD4A3E" w:rsidP="00BD4A3E">
      <w:pPr>
        <w:spacing w:before="120" w:after="120"/>
        <w:ind w:firstLine="284"/>
        <w:jc w:val="both"/>
        <w:rPr>
          <w:rFonts w:ascii="Calibri" w:hAnsi="Calibri" w:cs="Arial"/>
          <w:lang w:val="ro-RO" w:eastAsia="zh-CN"/>
        </w:rPr>
      </w:pPr>
      <w:r w:rsidRPr="00BD4A3E">
        <w:rPr>
          <w:rFonts w:ascii="Calibri" w:hAnsi="Calibri" w:cs="Arial"/>
          <w:lang w:val="ro-RO" w:eastAsia="zh-CN"/>
        </w:rPr>
        <w:t>În prezent (iulie 2018), 34 de condiționalități sunt îndeplinite. Documentele privind îndeplinirea condiționalității tematice 11 referitoare la „</w:t>
      </w:r>
      <w:r w:rsidRPr="00BD4A3E">
        <w:rPr>
          <w:rFonts w:ascii="Calibri" w:hAnsi="Calibri" w:cs="Arial"/>
          <w:i/>
          <w:lang w:val="ro-RO" w:eastAsia="zh-CN"/>
        </w:rPr>
        <w:t>Existența unui cadru strategic de politică pentru consolidarea eficienței administrative a statelor membre, inclusiv reforma administrației publice</w:t>
      </w:r>
      <w:r w:rsidRPr="00BD4A3E">
        <w:rPr>
          <w:rFonts w:ascii="Calibri" w:hAnsi="Calibri" w:cs="Arial"/>
          <w:lang w:val="ro-RO" w:eastAsia="zh-CN"/>
        </w:rPr>
        <w:t>” sunt în analiză la nivelul CE. În ceea ce privește condiționalitatea tematică 6.2 – „</w:t>
      </w:r>
      <w:r w:rsidRPr="00BD4A3E">
        <w:rPr>
          <w:rFonts w:ascii="Calibri" w:hAnsi="Calibri" w:cs="Arial"/>
          <w:i/>
          <w:lang w:val="ro-RO" w:eastAsia="zh-CN"/>
        </w:rPr>
        <w:t>Promovarea unor investiţii sustenabile din punct de vedere economic şi de mediu în sectorul deşeurilor, în special prin elaborarea de planuri de gestionare a deşeurilor în conformitate cu Directiva 2008/98/CE privind deşeurile şi cu ierarhia deşeurilor</w:t>
      </w:r>
      <w:r w:rsidRPr="00BD4A3E">
        <w:rPr>
          <w:rFonts w:ascii="Calibri" w:hAnsi="Calibri" w:cs="Arial"/>
          <w:lang w:val="ro-RO" w:eastAsia="zh-CN"/>
        </w:rPr>
        <w:t>”, neîndeplinită, Comisia Europeană a notificat necesitatea aplicării art.142, alin. (1), lit. (e) din Regulamentul (UE) nr. 1303/2013 și suspendarea co-finanțării asigurată prin Fondul de Coeziune pentru investițiile realizate în cadrul POIM, obiectivul specific 3.1 – Reducerea numărului de depozite de deșeuri non-conforme și creșterea gradului de pregătire pentru reciclarea deșeurilor în România. Responsabilitatea îndeplinirii condiționalității ex–ante revine Ministerului Mediului.</w:t>
      </w:r>
    </w:p>
    <w:p w:rsidR="00BD4A3E" w:rsidRDefault="00BD4A3E" w:rsidP="00BD4A3E">
      <w:pPr>
        <w:spacing w:before="120" w:after="120"/>
        <w:ind w:firstLine="284"/>
        <w:jc w:val="both"/>
        <w:rPr>
          <w:rFonts w:ascii="Calibri" w:hAnsi="Calibri" w:cs="Arial"/>
          <w:lang w:val="ro-RO" w:eastAsia="zh-CN"/>
        </w:rPr>
      </w:pPr>
    </w:p>
    <w:p w:rsidR="00A86CF1" w:rsidRPr="00BD4A3E" w:rsidRDefault="00A86CF1" w:rsidP="00BD4A3E">
      <w:pPr>
        <w:spacing w:before="120" w:after="120"/>
        <w:ind w:firstLine="284"/>
        <w:jc w:val="both"/>
        <w:rPr>
          <w:rFonts w:ascii="Calibri" w:hAnsi="Calibri" w:cs="Arial"/>
          <w:lang w:val="ro-RO" w:eastAsia="zh-CN"/>
        </w:rPr>
      </w:pPr>
    </w:p>
    <w:p w:rsidR="00BD4A3E" w:rsidRPr="00BD4A3E" w:rsidRDefault="00BD4A3E" w:rsidP="00BD4A3E">
      <w:pPr>
        <w:spacing w:before="120" w:after="120"/>
        <w:ind w:firstLine="284"/>
        <w:jc w:val="both"/>
        <w:rPr>
          <w:rFonts w:ascii="Calibri" w:hAnsi="Calibri" w:cs="Arial"/>
          <w:b/>
          <w:lang w:val="ro-RO" w:eastAsia="zh-CN"/>
        </w:rPr>
      </w:pPr>
      <w:r w:rsidRPr="00BD4A3E">
        <w:rPr>
          <w:rFonts w:ascii="Calibri" w:hAnsi="Calibri" w:cs="Arial"/>
          <w:b/>
          <w:lang w:val="ro-RO" w:eastAsia="zh-CN"/>
        </w:rPr>
        <w:t>2.3 Măsuri implementate şi planificate în domeniul fondurilor europene</w:t>
      </w:r>
    </w:p>
    <w:p w:rsidR="00BD4A3E" w:rsidRPr="00BD4A3E" w:rsidRDefault="00BD4A3E" w:rsidP="00BD4A3E">
      <w:pPr>
        <w:keepNext/>
        <w:widowControl w:val="0"/>
        <w:spacing w:after="120"/>
        <w:ind w:left="720"/>
        <w:jc w:val="both"/>
        <w:outlineLvl w:val="3"/>
        <w:rPr>
          <w:rFonts w:ascii="Calibri" w:hAnsi="Calibri"/>
          <w:b/>
          <w:szCs w:val="20"/>
          <w:lang w:val="ro-RO"/>
        </w:rPr>
      </w:pPr>
      <w:r w:rsidRPr="00BD4A3E">
        <w:rPr>
          <w:rFonts w:ascii="Calibri" w:hAnsi="Calibri"/>
          <w:b/>
          <w:szCs w:val="20"/>
          <w:lang w:val="ro-RO"/>
        </w:rPr>
        <w:t xml:space="preserve">2.3.1 Măsuri implementate </w:t>
      </w:r>
    </w:p>
    <w:p w:rsidR="00BD4A3E" w:rsidRPr="00BD4A3E" w:rsidRDefault="00BD4A3E" w:rsidP="00BD4A3E">
      <w:pPr>
        <w:suppressAutoHyphens/>
        <w:spacing w:before="120" w:after="120"/>
        <w:ind w:firstLine="709"/>
        <w:jc w:val="both"/>
        <w:rPr>
          <w:rFonts w:ascii="Calibri" w:hAnsi="Calibri" w:cs="Arial"/>
          <w:lang w:val="ro-RO" w:eastAsia="zh-CN"/>
        </w:rPr>
      </w:pPr>
      <w:r w:rsidRPr="00BD4A3E">
        <w:rPr>
          <w:rFonts w:ascii="Calibri" w:hAnsi="Calibri" w:cs="Arial"/>
          <w:lang w:val="ro-RO" w:eastAsia="zh-CN"/>
        </w:rPr>
        <w:t>Principalele măsuri întreprinse în anii 2016 - 2018 au vizat pe de-o parte procesul de închidere a programelor operaționale 2007 - 2013, iar pe de altă parte procesul de desemnare a autorităților implicate în gestionarea fondurilor ESI și accelerarea implementării programelor operaționale aferente perioadei 2014 - 2020.</w:t>
      </w:r>
    </w:p>
    <w:p w:rsidR="00BD4A3E" w:rsidRPr="00BD4A3E" w:rsidRDefault="00BD4A3E" w:rsidP="00BD4A3E">
      <w:pPr>
        <w:suppressAutoHyphens/>
        <w:jc w:val="both"/>
        <w:rPr>
          <w:rFonts w:ascii="Calibri" w:hAnsi="Calibri" w:cs="Arial"/>
          <w:lang w:val="ro-RO" w:eastAsia="zh-CN"/>
        </w:rPr>
      </w:pPr>
      <w:r w:rsidRPr="00BD4A3E">
        <w:rPr>
          <w:rFonts w:ascii="Calibri" w:hAnsi="Calibri" w:cs="Arial"/>
          <w:lang w:val="ro-RO" w:eastAsia="zh-CN"/>
        </w:rPr>
        <w:t>Astfel, s-au întreprins o serie de măsuri, dintre care menţionăm:</w:t>
      </w:r>
    </w:p>
    <w:p w:rsidR="00BD4A3E" w:rsidRPr="00BD4A3E" w:rsidRDefault="00BD4A3E" w:rsidP="009F7237">
      <w:pPr>
        <w:numPr>
          <w:ilvl w:val="0"/>
          <w:numId w:val="14"/>
        </w:numPr>
        <w:suppressAutoHyphens/>
        <w:spacing w:before="120" w:after="120"/>
        <w:jc w:val="both"/>
        <w:rPr>
          <w:rFonts w:ascii="Calibri" w:hAnsi="Calibri" w:cs="Arial"/>
          <w:lang w:val="ro-RO" w:eastAsia="zh-CN"/>
        </w:rPr>
      </w:pPr>
      <w:r w:rsidRPr="00BD4A3E">
        <w:rPr>
          <w:rFonts w:ascii="Calibri" w:hAnsi="Calibri" w:cs="Arial"/>
          <w:lang w:val="ro-RO" w:eastAsia="zh-CN"/>
        </w:rPr>
        <w:t>revizuirea cadrului legal și instituțional:</w:t>
      </w:r>
    </w:p>
    <w:p w:rsidR="00BD4A3E" w:rsidRPr="00BD4A3E" w:rsidRDefault="00BD4A3E" w:rsidP="009F7237">
      <w:pPr>
        <w:numPr>
          <w:ilvl w:val="0"/>
          <w:numId w:val="15"/>
        </w:numPr>
        <w:suppressAutoHyphens/>
        <w:spacing w:before="120" w:after="120"/>
        <w:jc w:val="both"/>
        <w:rPr>
          <w:rFonts w:ascii="Calibri" w:hAnsi="Calibri" w:cs="Arial"/>
          <w:lang w:val="ro-RO" w:eastAsia="zh-CN"/>
        </w:rPr>
      </w:pPr>
      <w:r w:rsidRPr="00BD4A3E">
        <w:rPr>
          <w:rFonts w:ascii="Calibri" w:hAnsi="Calibri" w:cs="Arial"/>
          <w:lang w:val="ro-RO" w:eastAsia="zh-CN"/>
        </w:rPr>
        <w:t>modificarea H.G. nr. 678/2015 privind închiderea programelor operaţionale finanţate în perioada 2007 - 2013 prin Fondul European de Dezvoltare Regională, Fondul Social European, Fondul de Coeziune şi Fondul European pentru Pescuit, prin care au fost stabilite principalele activități și termene care trebuie respectate de către toate structurile implicate în închiderea programelor operaționale;</w:t>
      </w:r>
    </w:p>
    <w:p w:rsidR="00BD4A3E" w:rsidRPr="00BD4A3E" w:rsidRDefault="00BD4A3E" w:rsidP="009F7237">
      <w:pPr>
        <w:numPr>
          <w:ilvl w:val="0"/>
          <w:numId w:val="15"/>
        </w:numPr>
        <w:suppressAutoHyphens/>
        <w:spacing w:before="120" w:after="120"/>
        <w:jc w:val="both"/>
        <w:rPr>
          <w:rFonts w:ascii="Calibri" w:hAnsi="Calibri" w:cs="Arial"/>
          <w:lang w:val="ro-RO" w:eastAsia="zh-CN"/>
        </w:rPr>
      </w:pPr>
      <w:r w:rsidRPr="00BD4A3E">
        <w:rPr>
          <w:rFonts w:ascii="Calibri" w:hAnsi="Calibri" w:cs="Arial"/>
          <w:lang w:val="ro-RO" w:eastAsia="zh-CN"/>
        </w:rPr>
        <w:t>modificarea și completarea O.U.G. nr. 64/2009 privind gestionarea financiară a instrumentelor structurale şi utilizarea acestora pentru obiectivul convergenţă, în scopul flexibilizării condițiilor de plată către beneficiari;</w:t>
      </w:r>
    </w:p>
    <w:p w:rsidR="00BD4A3E" w:rsidRPr="00BD4A3E" w:rsidRDefault="00BD4A3E" w:rsidP="009F7237">
      <w:pPr>
        <w:numPr>
          <w:ilvl w:val="0"/>
          <w:numId w:val="15"/>
        </w:numPr>
        <w:suppressAutoHyphens/>
        <w:spacing w:before="120" w:after="120"/>
        <w:jc w:val="both"/>
        <w:rPr>
          <w:rFonts w:ascii="Calibri" w:hAnsi="Calibri" w:cs="Arial"/>
          <w:lang w:val="ro-RO" w:eastAsia="zh-CN"/>
        </w:rPr>
      </w:pPr>
      <w:r w:rsidRPr="00BD4A3E">
        <w:rPr>
          <w:rFonts w:ascii="Calibri" w:hAnsi="Calibri" w:cs="Arial"/>
          <w:lang w:val="ro-RO" w:eastAsia="zh-CN"/>
        </w:rPr>
        <w:t>adoptarea/modificarea principalelor acte normative necesare procesului de implementare a FESI (H.G. nr. 398/2015 - cadrul instituţional de coordonare şi gestionare a FESI, O.U.G. nr. 40/2015 privind gestionarea financiară a fondurilor europene și                            H.G. nr. 93/2016 pentru aprobarea Normelor metodologice de aplicare a prevederilor Ordonanţei de urgenţă a Guvernului nr. 40/2015 și H.G. nr. 399/2015 – regulile de eligibilitate a cheltuielilor efectuate în cadrul operaţiunilor finanţate prin Fondul european de dezvoltare regională, Fondul social european şi Fondul de coeziune 2014 - 2020);</w:t>
      </w:r>
    </w:p>
    <w:p w:rsidR="00BD4A3E" w:rsidRPr="00BD4A3E" w:rsidRDefault="00BD4A3E" w:rsidP="009F7237">
      <w:pPr>
        <w:numPr>
          <w:ilvl w:val="0"/>
          <w:numId w:val="15"/>
        </w:numPr>
        <w:suppressAutoHyphens/>
        <w:spacing w:before="120" w:after="120"/>
        <w:jc w:val="both"/>
        <w:rPr>
          <w:rFonts w:ascii="Calibri" w:hAnsi="Calibri" w:cs="Arial"/>
          <w:lang w:val="ro-RO" w:eastAsia="zh-CN"/>
        </w:rPr>
      </w:pPr>
      <w:r w:rsidRPr="00BD4A3E">
        <w:rPr>
          <w:rFonts w:ascii="Calibri" w:hAnsi="Calibri" w:cs="Arial"/>
          <w:lang w:val="ro-RO" w:eastAsia="zh-CN"/>
        </w:rPr>
        <w:t>adoptarea O.U.G nr. 49/30.06.2017 privind unele măsuri în vederea accelerării implementării proiectelor de infrastructură de transport de interes naţional, pentru modificarea şi completarea Ordonanţei de Urgenţă a Guvernului nr. 40/2015 privind gestionarea financiară a fondurilor europene pentru perioada de programare 2014 - 2020, pentru completarea Legii nr. 105/2011 privind gestionarea şi utilizarea fondurilor externe nerambursabile şi a cofinanţării publice naţionale, pentru obiectivul „Cooperare Teritorială Europeană“, precum şi pentru modificarea şi completarea Ordonanţei Guvernului nr. 17/2015 privind reglementarea unor măsuri fiscal-bugetare şi modificareaşi completarea unor acte normative. Odată cu această modificare, se pot emite autorizații de construire fără elaborarea și aprobarea prealabilă a unei documentaţii de amenajare a teritoriului sau de urbanism pentru proiectele privind infrastructura de transport de interes naţional, care sunt cuprinse în planul de amenajare a teritoriului naţional – secţiunea I - Reţele de transport şi/sau în Master Planul General de Transport al României, cu excepția porturilor, aeroporturilor, gărilor, triajelor, depourilor, metroului, terminalelor de transport combinat şi punctelor de trecere a frontierei, fără afectarea prevederilor referitoare la calitatea și disciplina în construcții;</w:t>
      </w:r>
    </w:p>
    <w:p w:rsidR="00BD4A3E" w:rsidRPr="00BD4A3E" w:rsidRDefault="00BD4A3E" w:rsidP="009F7237">
      <w:pPr>
        <w:numPr>
          <w:ilvl w:val="0"/>
          <w:numId w:val="15"/>
        </w:numPr>
        <w:tabs>
          <w:tab w:val="left" w:pos="993"/>
        </w:tabs>
        <w:suppressAutoHyphens/>
        <w:spacing w:before="120" w:after="120"/>
        <w:jc w:val="both"/>
        <w:rPr>
          <w:rFonts w:ascii="Calibri" w:hAnsi="Calibri" w:cs="Arial"/>
          <w:lang w:val="ro-RO" w:eastAsia="zh-CN"/>
        </w:rPr>
      </w:pPr>
      <w:r w:rsidRPr="00BD4A3E">
        <w:rPr>
          <w:rFonts w:ascii="Calibri" w:hAnsi="Calibri" w:cs="Arial"/>
          <w:lang w:val="ro-RO" w:eastAsia="zh-CN"/>
        </w:rPr>
        <w:tab/>
        <w:t xml:space="preserve">adoptarea O.U.G. nr. 17/2018 pentru modificarea O.U.G. nr. 40/2015 privind gestionarea financiara a fondurilor europene pentru perioada de programare 2014 - 2020, cu modificările și completările ulterioare. Actul normativ vizează următoarele modificări: majorarea procentului de contractare la maxim 300% din alocare, în funcție de programul operațional vizat. Astfel, în cadrul POR și POC pot fi încheiate contracte de finanțare cu o valoare totală dublă față de alocarea programelor, pentru POIM – contracte de finanțare cu o valoare triplă față de alocarea programului, pentru POCU, POCA și POAT – valoarea contractelor depășește cu maximum 50% alocarea programelor, iar în cazul POAD – valoarea contractelor depășește cu maximum 20% alocarea program; extinderea posibilității de a efectua plăți, în cazul proiectelor cuprinse în bugetul ordonatorului principal de credite, în baza avizului de principiu al autorității de management POIM,  care au contractele de achiziție publica încheiate, dar ale căror contracte de finanţare nu au fost încheiate cu autoritatea de management; crearea temeiului legal pentru acordarea avizului de principiu conform  art. 11 din OUG nr. 40/2015 de către Organismul Intermediar Transport pentru proiectele finanțate în cadrul Axelor 1 și 2 POIM; </w:t>
      </w:r>
    </w:p>
    <w:p w:rsidR="00BD4A3E" w:rsidRPr="00BD4A3E" w:rsidRDefault="00BD4A3E" w:rsidP="009F7237">
      <w:pPr>
        <w:numPr>
          <w:ilvl w:val="0"/>
          <w:numId w:val="15"/>
        </w:numPr>
        <w:tabs>
          <w:tab w:val="left" w:pos="993"/>
        </w:tabs>
        <w:suppressAutoHyphens/>
        <w:spacing w:before="120" w:after="120"/>
        <w:jc w:val="both"/>
        <w:rPr>
          <w:rFonts w:ascii="Calibri" w:hAnsi="Calibri" w:cs="Arial"/>
          <w:lang w:val="ro-RO" w:eastAsia="zh-CN"/>
        </w:rPr>
      </w:pPr>
      <w:r w:rsidRPr="00BD4A3E">
        <w:rPr>
          <w:rFonts w:ascii="Calibri" w:hAnsi="Calibri" w:cs="Arial"/>
          <w:lang w:val="ro-RO" w:eastAsia="zh-CN"/>
        </w:rPr>
        <w:t xml:space="preserve"> prin adoptarea O.U.G. nr. 27/30.03.2017 privind adoptarea unor măsuri fiscal-bugetare, unităţile/subdiviziunile administrativ-teritoriale pot solicita, inclusiv pentru asociaţiile de dezvoltare intercomunitară, de la Ministerul Finanţelor Publice, în cursul anului 2017, contractarea de împrumuturi din venituri din privatizare, în limita sumei de 500.000 mii lei, pentru asigurarea prefinanţării şi/sau cofinanţării proiectelor finanţate din fonduri externe nerambursabile din perioada 2014 - 2020, inclusiv pentru cheltuielile neeligibile asociate proiectelor. Măsura acordării de împrumuturi unităților/subdiviziunilor administrativ-teritoriale susține acțiunile concertate în vederea atragerii sumelor estimate din Fondurile Europene Structurale și de Investiții și facilitării procesului de implementare a proiectelor. În acest fel, O.U.G. nr. 27/2017 urmărește crearea necesarului de resurse financiare pentru asigurarea cotei de cofinanțare proprii (2%) sau a cheltuielilor neeligibile, atât pentru proiectele aflate în implementare, cât și pentru cele în curs de contractare;</w:t>
      </w:r>
    </w:p>
    <w:p w:rsidR="00BD4A3E" w:rsidRPr="00BD4A3E" w:rsidRDefault="00BD4A3E" w:rsidP="009F7237">
      <w:pPr>
        <w:numPr>
          <w:ilvl w:val="0"/>
          <w:numId w:val="15"/>
        </w:numPr>
        <w:spacing w:before="120" w:after="120"/>
        <w:ind w:left="1066" w:hanging="357"/>
        <w:jc w:val="both"/>
        <w:rPr>
          <w:rFonts w:cs="Arial"/>
          <w:lang w:val="ro-RO" w:eastAsia="zh-CN"/>
        </w:rPr>
      </w:pPr>
      <w:r w:rsidRPr="00BD4A3E">
        <w:rPr>
          <w:rFonts w:cs="Arial"/>
          <w:lang w:val="ro-RO" w:eastAsia="zh-CN"/>
        </w:rPr>
        <w:t>prin adoptarea Legii nr. 240/2017 s-a creat o abordare unitară pentru toate programele operaționale cu privire la nivelul cofinanțării private la maxim 2% pentru beneficiarii/partenerii persoane juridice de drept privat fără scop patrimonial, înfiinţate conform legislaţiei în vigoare, inclusiv universităţi, sindicate şi patronate;</w:t>
      </w:r>
    </w:p>
    <w:p w:rsidR="00BD4A3E" w:rsidRPr="00BD4A3E" w:rsidRDefault="00BD4A3E" w:rsidP="009F7237">
      <w:pPr>
        <w:numPr>
          <w:ilvl w:val="0"/>
          <w:numId w:val="15"/>
        </w:numPr>
        <w:spacing w:before="120" w:after="120"/>
        <w:ind w:left="1066" w:hanging="357"/>
        <w:jc w:val="both"/>
        <w:rPr>
          <w:rFonts w:cs="Arial"/>
          <w:lang w:val="ro-RO" w:eastAsia="zh-CN"/>
        </w:rPr>
      </w:pPr>
      <w:r w:rsidRPr="00BD4A3E">
        <w:rPr>
          <w:rFonts w:cs="Arial"/>
          <w:lang w:val="ro-RO" w:eastAsia="zh-CN"/>
        </w:rPr>
        <w:t>definirea procentului prefinanțare pentru beneficiarii care primesc finanţare sub incidenţa ajutorului de stat/de minimis (o singură tranșă de maximum 40% din contribuția publica eligibilă a proiectului.);</w:t>
      </w:r>
    </w:p>
    <w:p w:rsidR="00BD4A3E" w:rsidRPr="00BD4A3E" w:rsidRDefault="00BD4A3E" w:rsidP="009F7237">
      <w:pPr>
        <w:numPr>
          <w:ilvl w:val="0"/>
          <w:numId w:val="15"/>
        </w:numPr>
        <w:suppressAutoHyphens/>
        <w:spacing w:before="120" w:after="120"/>
        <w:jc w:val="both"/>
        <w:rPr>
          <w:rFonts w:ascii="Calibri" w:hAnsi="Calibri" w:cs="Arial"/>
          <w:lang w:val="ro-RO" w:eastAsia="zh-CN"/>
        </w:rPr>
      </w:pPr>
      <w:r w:rsidRPr="00BD4A3E">
        <w:rPr>
          <w:rFonts w:ascii="Calibri" w:hAnsi="Calibri" w:cs="Arial"/>
          <w:lang w:val="ro-RO" w:eastAsia="zh-CN"/>
        </w:rPr>
        <w:t>Ministerul Transporturilor a fost desemnat organism intermediar pentru Programul Operațional Infrastructură Mare (POIM);</w:t>
      </w:r>
    </w:p>
    <w:p w:rsidR="00BD4A3E" w:rsidRPr="00BD4A3E" w:rsidRDefault="00BD4A3E" w:rsidP="009F7237">
      <w:pPr>
        <w:numPr>
          <w:ilvl w:val="0"/>
          <w:numId w:val="15"/>
        </w:numPr>
        <w:spacing w:before="120" w:after="120"/>
        <w:ind w:left="1066" w:hanging="357"/>
        <w:jc w:val="both"/>
        <w:rPr>
          <w:rFonts w:cs="Arial"/>
          <w:lang w:val="ro-RO" w:eastAsia="zh-CN"/>
        </w:rPr>
      </w:pPr>
      <w:r w:rsidRPr="00BD4A3E">
        <w:rPr>
          <w:rFonts w:ascii="Calibri" w:eastAsia="Calibri" w:hAnsi="Calibri" w:cs="Arial"/>
          <w:szCs w:val="22"/>
          <w:lang w:val="ro-RO" w:eastAsia="zh-CN"/>
        </w:rPr>
        <w:t>aprobarea unor măsuri de eficientizare a sistemului de gestionare a instrumentelor structurale și a fondurilor ESI prin preluarea de către fostul Minister al Fondurilor Europene a organismelor intermediare/intermed</w:t>
      </w:r>
      <w:r w:rsidRPr="00BD4A3E">
        <w:rPr>
          <w:rFonts w:eastAsia="Calibri" w:cs="Arial"/>
          <w:szCs w:val="22"/>
          <w:lang w:val="ro-RO" w:eastAsia="zh-CN"/>
        </w:rPr>
        <w:t>iare regionale POS M și POS DRU.</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simplificarea orientărilor pentru solicitanți:</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elaborarea și aplicarea acelorași reguli la întocmirea unui proiect, indiferent de programul operațional din care acesta este finanțat;</w:t>
      </w:r>
    </w:p>
    <w:p w:rsidR="00BD4A3E" w:rsidRPr="00BD4A3E" w:rsidRDefault="00BD4A3E" w:rsidP="00021698">
      <w:pPr>
        <w:numPr>
          <w:ilvl w:val="0"/>
          <w:numId w:val="115"/>
        </w:numPr>
        <w:pBdr>
          <w:top w:val="nil"/>
          <w:left w:val="nil"/>
          <w:bottom w:val="nil"/>
          <w:right w:val="nil"/>
          <w:between w:val="nil"/>
        </w:pBdr>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reducerea semnificativă a sarcinii administrative la nivelul potențialilor beneficiari/ beneficiarilor, concomitent cu furnizarea unui instrument eficient de monitorizare și management la nivelul AM, prin utilizarea sistemului electronic MySmis/SMIS 2014+;</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înființarea unui helpdesk pentru beneficiari;</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 xml:space="preserve">elaborarea de forme îmbunătățite ale manualului beneficiarului, cuprinzând informații clare și complete privind toate etapele derulării unui proiect; </w:t>
      </w:r>
    </w:p>
    <w:p w:rsidR="00BD4A3E" w:rsidRPr="00BD4A3E" w:rsidRDefault="00BD4A3E" w:rsidP="00021698">
      <w:pPr>
        <w:numPr>
          <w:ilvl w:val="0"/>
          <w:numId w:val="115"/>
        </w:numPr>
        <w:pBdr>
          <w:top w:val="nil"/>
          <w:left w:val="nil"/>
          <w:bottom w:val="nil"/>
          <w:right w:val="nil"/>
          <w:between w:val="nil"/>
        </w:pBdr>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publicarea spre consultare a Ghidurilor Solicitantului – Condiții Specifice în cadrul cărora pot fi formulate observații/ propuneri de către cei interesați în vederea îmbunătățirii conținutului acestora, precum și asigurarea unei perioade de timp rezonabile între momentul lansării efective a unei cereri de propuneri de proiecte și data limită de depunere a aplicațiilor de finanțare;</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lang w:val="ro-RO"/>
        </w:rPr>
      </w:pPr>
      <w:r w:rsidRPr="00BD4A3E">
        <w:rPr>
          <w:rFonts w:ascii="Calibri" w:eastAsia="Trebuchet MS" w:hAnsi="Calibri" w:cs="Trebuchet MS"/>
          <w:lang w:val="ro-RO"/>
        </w:rPr>
        <w:t>eliminarea ordinelor de ministru privind cheltuielile eligibile la nivelul fiecărui program operațional.</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fazarea proiectelor: o serie de proiecte majore și non-majore finanțate prin cadrul financiar 2007 – 2013 care nu s-au încheiat la termenul de eligibilitate au putut fi eșalonate, respectiv lucrările rămase de efectuat pot fi finanțate din bugetul 2014-2020. România a fazat 90 de proiecte pe două PO (84 POIM și 6 POC), pentru care valoarea totală eligibilă a fazei II este de 3,5 miliarde euro;</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simplificarea ghidurilor pentru beneficiari și a procedurilor de accesare a fondurilor, pentru o mai mare coerență în funcționarea sistemului, astfel încât regulile să fie aproximativ aceleași pentru beneficiarul care depune un proiect, indiferent de programul din care se finanțează;</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elaborarea unor Orientări generale la nivel de program și publicarea calendarelor pentru apelurile de proiecte 2016 - 2018, în vederea asigurării unei reale predictibilități a posibilităților de finanțare;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depunerea de către solicitanți în format electronic a cererilor de finanțare;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realocarea de fonduri către sectoarele cu potenţial maxim de absorbţie atât în cadrul, cât și între programele operaţionale, pentru a evita riscul dezangajării fondurilor alocate României. Au fost suplimentate alocările pentru Programul Operațional Regional (POR). Astfel au fost susținute suplimentar cheltuielile pentru entitățile de transfer tehnologic, activități antreprenoriale și tranziția către o economie cu emisii reduse de dioxid de carbon, precum si cele pentru creșterea eficienței resurselor umane implicate în sistemul de sistemul de coordonare, gestiune si control al fondurilor ESI.</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implementarea instrumentelor financiare în cadrul Programului Operațional Competitivitate (instrumentul de creditare cu partajarea riscului, instrumentul de capital de risc - acceleratoare) și în cadrulProgramului Operațional Regional (instrument de garantare neplafonată și instrument financiar de tip equity). </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dezvoltarea unui sistem de evaluare a funcționarilor publici care gestionează asistența financiară nerambursabilă folosind indicatori de performanță, atât de încadrare în timp, cât și de calitate, dezvoltați prin intermediul unui acord de servicii încheiat cu Banca Mondială;</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asigurarea fondurilor necesare autorităților de management pentru efectuarea plăților către beneficiari în cazul indisponibilității temporare de fonduri UE, prin accesarea mecanismului de alocare temporară a sumelor din venituri din privatizare (conform O.U.G. nr. 40/2015);</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Asigurarea unui cadru de implementare cât mai predictibil, care să sprijine beneficiarii pe tot parcursul procesului de accesare a fondurilor europene, plecând de la ideea de proiect până la înregistrarea unor rezultate concrete cu impact în economia reală (respectiv pregătirea/elaborarea/implementarea proiectelor);</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Identificarea cheltuielilor neeligibile într-un singur act normativ;</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Încadrarea în timpii scurţi de evaluare pentru proiectele depuse şi semnarea rapidă a contractelor de finanţare;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Monitorizarea atentă a fiecărui proiect, prin introducerea funcţiei de ofițer de monitorizare în AM-uri;</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Crearea de modele standard de contracte de lucrări - proiectare și execuție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Realocarea de fonduri către sectoarele cu potenţial maxim de absorbţie în interiorul şi între Programele Operaţionale: majorarea alocării destinate IMM-urilor; sprijinirea orașelor mici; crearea posibilității finanțării strategiilor regionale de specializare inteligentă;</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actualizarea permanentă a aplicațiilor informatice 2014; </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introducerea unor opțiuni de costuri simplificate, a unor rate forfetare și bareme standard pentru costurile unitare la nivelul programelor operaționale;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reducerea timpului de verificare de către autoritățile cu rol în gestionarea programelor operaționale a documentelor aferente procesului de contractare prin obținerea în mod direct de către autoritatea de management a certificatelor de atestare fiscală din sistemul informatic PATRIMVEN;</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Simplificarea procedurilor pentru autorizaţiile de construire a proiectelor de interes național, prevăzute în master planul general de transport: eliberarea autorizațiilor de construire fără elaborarea și aprobarea prealabilă a unei documentaţii de amenajarea teritoriului sau de urbanism, dar fără a afecta prevederile referitoare la calitatea și disciplina în construcții;</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Îmbunătățirea continuă a cadrului legal privind gestionarea financiară a fondurilor europene:</w:t>
      </w:r>
    </w:p>
    <w:p w:rsidR="00BD4A3E" w:rsidRPr="00BD4A3E" w:rsidRDefault="00BD4A3E" w:rsidP="00021698">
      <w:pPr>
        <w:numPr>
          <w:ilvl w:val="1"/>
          <w:numId w:val="128"/>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mecanismul de pre-finanţare a fost îmbunătățit pentru a asigura beneficiarilor lichiditățile necesare implementării (prin acordarea, în general, de tranșe de până la 10% din valoarea proiectului și de până la 40%, cu respectarea unor condiții, în cazul beneficiarilor cărora li se aplică regulile ajutorului de stat/minimis); </w:t>
      </w:r>
    </w:p>
    <w:p w:rsidR="00BD4A3E" w:rsidRPr="00BD4A3E" w:rsidRDefault="00BD4A3E" w:rsidP="00021698">
      <w:pPr>
        <w:numPr>
          <w:ilvl w:val="1"/>
          <w:numId w:val="128"/>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categoriile de cheltuieli ce pot fi incluse în cererile de plată (salarii, subvenții, burse) au fost extinse; </w:t>
      </w:r>
    </w:p>
    <w:p w:rsidR="00BD4A3E" w:rsidRPr="00BD4A3E" w:rsidRDefault="00BD4A3E" w:rsidP="00021698">
      <w:pPr>
        <w:numPr>
          <w:ilvl w:val="1"/>
          <w:numId w:val="128"/>
        </w:numPr>
        <w:suppressAutoHyphens/>
        <w:spacing w:before="120" w:after="120"/>
        <w:jc w:val="both"/>
        <w:rPr>
          <w:rFonts w:ascii="Calibri" w:hAnsi="Calibri" w:cs="Arial"/>
          <w:lang w:val="ro-RO" w:eastAsia="zh-CN"/>
        </w:rPr>
      </w:pPr>
      <w:r w:rsidRPr="00BD4A3E">
        <w:rPr>
          <w:rFonts w:ascii="Calibri" w:hAnsi="Calibri" w:cs="Arial"/>
          <w:lang w:val="ro-RO" w:eastAsia="zh-CN"/>
        </w:rPr>
        <w:t>premisele supracontractării până la 200% au fost create în funcţie de programul operaţional;</w:t>
      </w:r>
    </w:p>
    <w:p w:rsidR="00BD4A3E" w:rsidRPr="00BD4A3E" w:rsidRDefault="00BD4A3E" w:rsidP="00021698">
      <w:pPr>
        <w:numPr>
          <w:ilvl w:val="1"/>
          <w:numId w:val="128"/>
        </w:numPr>
        <w:suppressAutoHyphens/>
        <w:spacing w:before="120" w:after="120"/>
        <w:jc w:val="both"/>
        <w:rPr>
          <w:rFonts w:ascii="Calibri" w:hAnsi="Calibri" w:cs="Arial"/>
          <w:lang w:val="ro-RO" w:eastAsia="zh-CN"/>
        </w:rPr>
      </w:pPr>
      <w:r w:rsidRPr="00BD4A3E">
        <w:rPr>
          <w:rFonts w:ascii="Calibri" w:hAnsi="Calibri" w:cs="Arial"/>
          <w:lang w:val="ro-RO" w:eastAsia="zh-CN"/>
        </w:rPr>
        <w:t>sumele necesare pentru sprijinirea spitalelor publice, care nu își puteau asigura cofinanțarea proiectelor, au fost asigurate prin bugetul Ministerului Sănătății;</w:t>
      </w:r>
    </w:p>
    <w:p w:rsidR="00BD4A3E" w:rsidRPr="00BD4A3E" w:rsidRDefault="00BD4A3E" w:rsidP="00021698">
      <w:pPr>
        <w:numPr>
          <w:ilvl w:val="1"/>
          <w:numId w:val="128"/>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decontarea din fonduri europene a investițiilor demarate de autoritățile publice centrale/locale și plătite din alte surse (buget de stat/local sau împrumuturi); </w:t>
      </w:r>
    </w:p>
    <w:p w:rsidR="00BD4A3E" w:rsidRPr="00BD4A3E" w:rsidRDefault="00BD4A3E" w:rsidP="009F7237">
      <w:pPr>
        <w:numPr>
          <w:ilvl w:val="0"/>
          <w:numId w:val="16"/>
        </w:numPr>
        <w:tabs>
          <w:tab w:val="num" w:pos="720"/>
        </w:tabs>
        <w:suppressAutoHyphens/>
        <w:spacing w:before="120" w:after="120"/>
        <w:jc w:val="both"/>
        <w:rPr>
          <w:rFonts w:ascii="Calibri" w:hAnsi="Calibri" w:cs="Arial"/>
          <w:lang w:val="ro-RO" w:eastAsia="zh-CN"/>
        </w:rPr>
      </w:pPr>
      <w:r w:rsidRPr="00BD4A3E">
        <w:rPr>
          <w:rFonts w:ascii="Calibri" w:hAnsi="Calibri" w:cs="Arial"/>
          <w:lang w:val="ro-RO" w:eastAsia="zh-CN"/>
        </w:rPr>
        <w:t>În paralel cu măsurile de natură administrativă adoptate, MFE a avut o serie de inițiative  legislative, în sensul modificării unor acte normative deja existente sau adoptării de noi acte,</w:t>
      </w:r>
    </w:p>
    <w:p w:rsidR="00BD4A3E" w:rsidRPr="00BD4A3E" w:rsidRDefault="00BD4A3E" w:rsidP="009F7237">
      <w:pPr>
        <w:numPr>
          <w:ilvl w:val="0"/>
          <w:numId w:val="16"/>
        </w:numPr>
        <w:suppressAutoHyphens/>
        <w:spacing w:before="120" w:after="120"/>
        <w:jc w:val="both"/>
        <w:rPr>
          <w:rFonts w:ascii="Calibri" w:hAnsi="Calibri" w:cs="Arial"/>
          <w:lang w:val="ro-RO" w:eastAsia="zh-CN"/>
        </w:rPr>
      </w:pPr>
      <w:r w:rsidRPr="00BD4A3E">
        <w:rPr>
          <w:rFonts w:ascii="Calibri" w:hAnsi="Calibri" w:cs="Arial"/>
          <w:lang w:val="ro-RO" w:eastAsia="zh-CN"/>
        </w:rPr>
        <w:t>Pregătirea viitoarei perioade de programare.</w:t>
      </w:r>
    </w:p>
    <w:p w:rsidR="00BD4A3E" w:rsidRPr="00BD4A3E" w:rsidRDefault="00BD4A3E" w:rsidP="00BD4A3E">
      <w:pPr>
        <w:suppressAutoHyphens/>
        <w:spacing w:before="120" w:after="120"/>
        <w:ind w:left="720"/>
        <w:jc w:val="both"/>
        <w:rPr>
          <w:rFonts w:ascii="Calibri" w:hAnsi="Calibri" w:cs="Arial"/>
          <w:lang w:val="ro-RO" w:eastAsia="zh-CN"/>
        </w:rPr>
      </w:pPr>
    </w:p>
    <w:p w:rsidR="00BD4A3E" w:rsidRPr="00BD4A3E" w:rsidRDefault="00BD4A3E" w:rsidP="00BD4A3E">
      <w:pPr>
        <w:keepNext/>
        <w:widowControl w:val="0"/>
        <w:spacing w:after="120"/>
        <w:ind w:left="720"/>
        <w:jc w:val="both"/>
        <w:outlineLvl w:val="3"/>
        <w:rPr>
          <w:rFonts w:ascii="Calibri" w:hAnsi="Calibri"/>
          <w:b/>
          <w:szCs w:val="20"/>
          <w:lang w:val="ro-RO"/>
        </w:rPr>
      </w:pPr>
      <w:r w:rsidRPr="00BD4A3E">
        <w:rPr>
          <w:rFonts w:ascii="Calibri" w:hAnsi="Calibri"/>
          <w:b/>
          <w:szCs w:val="20"/>
          <w:lang w:val="ro-RO"/>
        </w:rPr>
        <w:t xml:space="preserve">2.3.2 Măsuri planificate pentru implementarea fondurilor ESI </w:t>
      </w:r>
    </w:p>
    <w:p w:rsidR="00BD4A3E" w:rsidRPr="00BD4A3E" w:rsidRDefault="00BD4A3E" w:rsidP="00BD4A3E">
      <w:pPr>
        <w:spacing w:before="120" w:after="120"/>
        <w:ind w:firstLine="360"/>
        <w:jc w:val="both"/>
        <w:rPr>
          <w:rFonts w:ascii="Calibri" w:hAnsi="Calibri" w:cs="Arial"/>
          <w:lang w:val="ro-RO" w:eastAsia="zh-CN"/>
        </w:rPr>
      </w:pPr>
      <w:r w:rsidRPr="00BD4A3E">
        <w:rPr>
          <w:rFonts w:ascii="Calibri" w:hAnsi="Calibri" w:cs="Arial"/>
          <w:lang w:val="ro-RO" w:eastAsia="zh-CN"/>
        </w:rPr>
        <w:t xml:space="preserve">În ceea ce privește măsurile de accelerare a  absorbției fondurilor ESI, un accent deosebit va fi acordat următoarelor acțiuni, prevăzute în Programul de Guvernare: </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Lansarea tuturor apelurilor de proiecte, pe toate liniile de finanțare, atât pentru beneficiarii publici, cât și pentru cei privați, până la sfârşitul anului 2018;</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Timpi scurți de evaluare pentru proiectele depuse și semnarea rapidă a contractelor de finanțare;</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Achitarea fără întârziere a facturilor beneficiarilor, prin crearea unui mecanism transparent de monitorizare a facturilor, de la momentul depunerii și până la achitarea lor de către Autoritățile de Management;</w:t>
      </w:r>
    </w:p>
    <w:p w:rsidR="00BD4A3E" w:rsidRPr="00BD4A3E" w:rsidRDefault="00BD4A3E" w:rsidP="009F7237">
      <w:pPr>
        <w:numPr>
          <w:ilvl w:val="0"/>
          <w:numId w:val="21"/>
        </w:numPr>
        <w:suppressAutoHyphens/>
        <w:spacing w:before="120" w:after="120"/>
        <w:jc w:val="both"/>
        <w:rPr>
          <w:rFonts w:ascii="Calibri" w:hAnsi="Calibri" w:cs="Arial"/>
          <w:lang w:val="ro-RO" w:eastAsia="zh-CN"/>
        </w:rPr>
      </w:pPr>
      <w:r w:rsidRPr="00BD4A3E">
        <w:rPr>
          <w:rFonts w:ascii="Calibri" w:hAnsi="Calibri" w:cs="Arial"/>
          <w:lang w:val="ro-RO" w:eastAsia="zh-CN"/>
        </w:rPr>
        <w:t xml:space="preserve">Includerea Programului operațional "Inițiativa pentru IMM-uri" (POIIMM) ca axă prioritară distinctă în cadrul POR, astfel încât cheltuielile deja rambursate de către Comisia Europeană pentru POIIMM pot fi raportate drept cheltuieli realizate la nivelul POR, ceea ce determină reducerea sumelor aflate în risc de dezangajare (Ordonanța de urgență nr. 43/2018  - măsuri privind reducerea riscului de dezangajare a fondurilor europene). </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Analiza fiecărui program operațional şi realocarea de fonduri către sectoarele cu potenţial maxim de absorbţie, atât în interiorul cât și între programele operaţionale, pentru a evita riscul dezangajării fodurilor alocate Romaniei.</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 xml:space="preserve">Îmbunătăţirea sistemului administrativ şi a capacității de absorbţie a acestor fonduri; </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Simplificarea legislației aferente promovării și aprobării proiectelor de investiții din România;</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Inițierea unui proces de instruire a beneficiarilor, pe baza unui ghid privind principalele riscuri identificate în domeniul achiziţiilor publice în vederea prevenirii greșelilor constatate în aplicarea procedurilor privind achiziţiile publice în cadrul proiectelor finanţate din instrumente structurale, precum și asigurarea unei practici unitare pe viitor;</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Reducerea timpului alocat pentru evaluarea proiectelor depuse și semnarea rapidă a contractelor de finanțare. În acest sens, sunt folosite inclusiv fondurile disponibile în Programul Operaţional de Asistență Tehnică.</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Achitarea în termen a facturilor beneficiarilor, prin intermediul sistemului informatic MySMIS/SMIS 2014+ care asigură transparenţa procesului de la momentul depunerii și până la achitarea lor de către Autoritățile de Management.</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Monitorizarea fiecărui proiect prin introducerea funcției de manager de proiect în cadrul Autorităților de Management și obligația unei întâlniri lunare cu fiecare beneficiar pentru a analiza stadiul proiectului.</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Analiza fiecărui program operațional şi realocarea de fonduri către sectoarele cu potenţial maxim de absorbţie atât în interiorul, cât și între programele operaţionale, pentru a evita riscul dezangajării fondurilor alocate României (anul 2018). Pe măsură ce sunt înregistrate evoluții în implementare, AM-urile analizează necesitatea unor modificări suplimentare.</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Măsuri de simplificare și evitare a supra-proceduralizării și birocrației excesive aplicate orientărilor/ghidurilor pentru solicitanți, operaționalizarea SMIS 2014+, simplificarea procedurilor de achiziții pentru beneficiarii privați, introducerea unor opțiuni de costuri simplificate, a unor rate forfetare și bareme standard pentru costurile unitare în normele naționale și regionale referitoare la eligibilitate, simplificarea procedurilor pentru autorizațiile de construcție.</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 xml:space="preserve">Concomitent cu măsurile de simplificare, Guvernul susține îmbunătăţirea sistemului administrativ şi creşterea capacităţii de absorbţie a acestor fonduri. </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Utilizarea instrumentelor financiare și a instrumentelor teritoriale: o proporție importantă a investițiilor, și anume 517 milioane EURO (de aproape patru ori mai mult decât în perioada 2007-2013), va fi furnizată prin intermediul instrumentelor financiare (inclusiv prin inițiativa privind IMM-urile pusă în aplicare de BEI). Acestea vor viza sprijinirea IMM-urilor prin furnizarea de capital, de împrumuturi și de garanții pentru fazele incipiente și de creștere. Instrumentele financiare sunt utilizate ca metodă de implementare a FESI în următoarele programe operaționale: PO Competitivitate, PO Capital Uman, PO Regional.</w:t>
      </w:r>
    </w:p>
    <w:p w:rsidR="00BD4A3E" w:rsidRPr="00BD4A3E" w:rsidRDefault="00BD4A3E" w:rsidP="009F7237">
      <w:pPr>
        <w:numPr>
          <w:ilvl w:val="0"/>
          <w:numId w:val="21"/>
        </w:numPr>
        <w:spacing w:before="120" w:after="120"/>
        <w:ind w:left="786"/>
        <w:jc w:val="both"/>
        <w:rPr>
          <w:rFonts w:ascii="Calibri" w:hAnsi="Calibri" w:cs="Arial"/>
          <w:lang w:val="ro-RO" w:eastAsia="zh-CN"/>
        </w:rPr>
      </w:pPr>
      <w:r w:rsidRPr="00BD4A3E">
        <w:rPr>
          <w:rFonts w:ascii="Calibri" w:hAnsi="Calibri" w:cs="Arial"/>
          <w:lang w:val="ro-RO" w:eastAsia="zh-CN"/>
        </w:rPr>
        <w:t>Simplificarea legislației aferente promovării și aprobării proiectelor de investiții din România. În acest sens, au fost semnate protocoale de colaborare conform cărora autoritățile de management pot solicita instituțiilor publice o serie de documente fără a mai fi necesară prezentarea acestora de către beneficiari.</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Fiecare Autoritate de Management va iniția un proces de instruire a beneficiarilor, pe baza unui ghid, privind principalele riscuri identificate în domeniul achiziţiilor publice, în vederea prevenirii greșelilor constatate în aplicarea procedurilor privind achiziţiile publice în cadrul proiectelor finanţate din instrumente structurale, precum și asigurarea unei practici unitare pe viitor;</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Încurajarea Parteneriatelor Public – Privat, ca alternative și soluții complementare care pot conduce la sustenabilitatea proiectelor cofinanțate de Uniunea Europeană;</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Stimularea schimbului de bune practici în implementarea mecanismelor de creștere a absorbției de fonduri europene cu alte țări membre UE;</w:t>
      </w:r>
    </w:p>
    <w:p w:rsidR="00BD4A3E" w:rsidRPr="00BD4A3E" w:rsidRDefault="00BD4A3E" w:rsidP="009F7237">
      <w:pPr>
        <w:numPr>
          <w:ilvl w:val="0"/>
          <w:numId w:val="21"/>
        </w:numPr>
        <w:spacing w:before="120" w:after="120"/>
        <w:jc w:val="both"/>
        <w:rPr>
          <w:rFonts w:ascii="Calibri" w:hAnsi="Calibri" w:cs="Arial"/>
          <w:lang w:val="ro-RO" w:eastAsia="zh-CN"/>
        </w:rPr>
      </w:pPr>
      <w:r w:rsidRPr="00BD4A3E">
        <w:rPr>
          <w:rFonts w:ascii="Calibri" w:hAnsi="Calibri" w:cs="Arial"/>
          <w:lang w:val="ro-RO" w:eastAsia="zh-CN"/>
        </w:rPr>
        <w:t>Consultarea periodică cu actorii interesați prin consolidarea structurilor decizionale de la nivelul comitetelor de monitorizare și Comitetului de Coordonare pentru Managementul Acordului de Parteneriat.</w:t>
      </w:r>
    </w:p>
    <w:p w:rsidR="00BD4A3E" w:rsidRPr="00BD4A3E" w:rsidRDefault="00BD4A3E" w:rsidP="00BD4A3E">
      <w:pPr>
        <w:spacing w:before="120" w:after="120"/>
        <w:jc w:val="both"/>
        <w:rPr>
          <w:rFonts w:ascii="Calibri" w:hAnsi="Calibri" w:cs="Arial"/>
          <w:lang w:val="ro-RO" w:eastAsia="zh-CN"/>
        </w:rPr>
      </w:pPr>
    </w:p>
    <w:p w:rsidR="00BD4A3E" w:rsidRPr="00BD4A3E" w:rsidRDefault="00BD4A3E" w:rsidP="009F7237">
      <w:pPr>
        <w:numPr>
          <w:ilvl w:val="1"/>
          <w:numId w:val="20"/>
        </w:numPr>
        <w:spacing w:before="120" w:after="120"/>
        <w:jc w:val="both"/>
        <w:rPr>
          <w:rFonts w:ascii="Calibri" w:hAnsi="Calibri" w:cs="Arial"/>
          <w:b/>
          <w:lang w:val="ro-RO" w:eastAsia="zh-CN"/>
        </w:rPr>
      </w:pPr>
      <w:r w:rsidRPr="00BD4A3E">
        <w:rPr>
          <w:rFonts w:ascii="Calibri" w:hAnsi="Calibri" w:cs="Arial"/>
          <w:b/>
          <w:lang w:val="ro-RO" w:eastAsia="zh-CN"/>
        </w:rPr>
        <w:t xml:space="preserve">Stadiul implementării cadrului legal și instituțional privind fondurile ESI pentru cadrul financiar multianual 2014-2020, alte acte normative necesare pentru consolidarea și creșterea absorbției </w:t>
      </w:r>
    </w:p>
    <w:p w:rsidR="00BD4A3E" w:rsidRPr="00BD4A3E" w:rsidRDefault="00BD4A3E" w:rsidP="00BD4A3E">
      <w:pPr>
        <w:spacing w:before="120" w:after="120"/>
        <w:ind w:firstLine="360"/>
        <w:jc w:val="both"/>
        <w:rPr>
          <w:rFonts w:ascii="Calibri" w:hAnsi="Calibri" w:cs="Arial"/>
          <w:lang w:val="ro-RO" w:eastAsia="zh-CN"/>
        </w:rPr>
      </w:pPr>
      <w:r w:rsidRPr="00BD4A3E">
        <w:rPr>
          <w:rFonts w:ascii="Calibri" w:hAnsi="Calibri" w:cs="Arial"/>
          <w:lang w:val="ro-RO"/>
        </w:rPr>
        <w:t xml:space="preserve">Cadrul instituțional de coordonare și gestionare a fondurilor ESI este reglementat prin </w:t>
      </w:r>
      <w:r w:rsidRPr="00BD4A3E">
        <w:rPr>
          <w:rFonts w:ascii="Calibri" w:hAnsi="Calibri" w:cs="Arial"/>
          <w:b/>
          <w:lang w:val="ro-RO"/>
        </w:rPr>
        <w:t xml:space="preserve">Hotărârea Guvernului nr. 398/2015 pentru stabilirea cadrului instituţional de coordonare şi  gestionare a  fondurilor europene structurale și de investiții și pentru asigurarea continuității cadrului instituțional de coordonare și gestionare a instrumentelor structurale 2007-2013, </w:t>
      </w:r>
      <w:r w:rsidRPr="00BD4A3E">
        <w:rPr>
          <w:rFonts w:ascii="Calibri" w:hAnsi="Calibri" w:cs="Arial"/>
          <w:lang w:val="ro-RO"/>
        </w:rPr>
        <w:t xml:space="preserve">cu modificările și completările ulterioare, care a fost elaborată în temeiul Regulamentului (UE) nr. 1303/2013. </w:t>
      </w:r>
      <w:r w:rsidRPr="00BD4A3E">
        <w:rPr>
          <w:rFonts w:ascii="Calibri" w:hAnsi="Calibri" w:cs="Arial"/>
          <w:lang w:val="ro-RO" w:eastAsia="zh-CN"/>
        </w:rPr>
        <w:t>Actul normativ stabilește instituțiile/structurile implicate în coordonarea, gestionarea și controlul fondurilor ESI, atribuțiile acestora precum și relațiile autorității de coordonare cu autoritățile de management, autoritățile de certificare și autoritatea de audit, relațiile între aceste autorități, precum și relațiile dintre aceste autorități și Comisia Europeană.</w:t>
      </w:r>
    </w:p>
    <w:p w:rsidR="00BD4A3E" w:rsidRPr="00BD4A3E" w:rsidRDefault="00BD4A3E" w:rsidP="00BD4A3E">
      <w:pPr>
        <w:suppressAutoHyphens/>
        <w:spacing w:before="120" w:after="120"/>
        <w:ind w:firstLine="360"/>
        <w:jc w:val="both"/>
        <w:rPr>
          <w:rFonts w:ascii="Calibri" w:hAnsi="Calibri" w:cs="Arial"/>
          <w:lang w:val="ro-RO" w:eastAsia="zh-CN"/>
        </w:rPr>
      </w:pPr>
      <w:r w:rsidRPr="00BD4A3E">
        <w:rPr>
          <w:rFonts w:ascii="Calibri" w:hAnsi="Calibri" w:cs="Arial"/>
          <w:lang w:val="ro-RO" w:eastAsia="zh-CN"/>
        </w:rPr>
        <w:t xml:space="preserve">De la apariția H.G. nr. 398/2015 până în prezent, au existat mai multe modificări ale cadrului instituțional – la nivelul organismelor intermediare – modificări determinate de apariția unor acte normative (O.U.G. nr. 68/2015 pentru aprobarea unor măsuri de gestionare a instrumentelor structurale din domeniul transporturilor,  H.G. nr. 44/2016 privind organizarea și funcționarea Ministerului Educației Naționale și Cercetării Științifice, O.U.G. nr. 23/2016 pentru aprobarea unor măsuri de eficientizare a sistemului de gestionare a fondurilor structurale și de investiții europene), precum și de aprobarea Programului operațional Iniţiativa pentru IMM-uri 2014 - 2020 de către Comisia Europeană. </w:t>
      </w:r>
    </w:p>
    <w:p w:rsidR="00BD4A3E" w:rsidRPr="00BD4A3E" w:rsidRDefault="00BD4A3E" w:rsidP="00BD4A3E">
      <w:pPr>
        <w:suppressAutoHyphens/>
        <w:spacing w:before="120" w:after="120"/>
        <w:ind w:firstLine="360"/>
        <w:jc w:val="both"/>
        <w:rPr>
          <w:rFonts w:ascii="Calibri" w:hAnsi="Calibri" w:cs="Arial"/>
          <w:lang w:val="ro-RO" w:eastAsia="zh-CN"/>
        </w:rPr>
      </w:pPr>
      <w:r w:rsidRPr="00BD4A3E">
        <w:rPr>
          <w:rFonts w:ascii="Calibri" w:hAnsi="Calibri" w:cs="Arial"/>
          <w:lang w:val="ro-RO" w:eastAsia="zh-CN"/>
        </w:rPr>
        <w:t>În acest context, s-a impus  modificarea Hotărârii Guvernului nr. 398/2015, astfel încât să fie prevăzute, în mod unitar, instituțiile/structurile implicate în coordonarea, gestionarea și controlul Fondurilor ESI.</w:t>
      </w:r>
    </w:p>
    <w:p w:rsidR="00BD4A3E" w:rsidRPr="00BD4A3E" w:rsidRDefault="00BD4A3E" w:rsidP="00BD4A3E">
      <w:pPr>
        <w:shd w:val="clear" w:color="auto" w:fill="FFFFFF"/>
        <w:ind w:firstLine="360"/>
        <w:jc w:val="both"/>
        <w:textAlignment w:val="baseline"/>
        <w:rPr>
          <w:rFonts w:ascii="Calibri" w:hAnsi="Calibri" w:cs="Arial"/>
          <w:iCs/>
          <w:lang w:val="ro-RO"/>
        </w:rPr>
      </w:pPr>
      <w:r w:rsidRPr="00BD4A3E">
        <w:rPr>
          <w:rFonts w:ascii="Calibri" w:hAnsi="Calibri" w:cs="Arial"/>
          <w:iCs/>
          <w:lang w:val="ro-RO"/>
        </w:rPr>
        <w:t xml:space="preserve">De asemenea, a fost aprobată </w:t>
      </w:r>
      <w:r w:rsidRPr="00BD4A3E">
        <w:rPr>
          <w:rFonts w:ascii="Calibri" w:hAnsi="Calibri" w:cs="Arial"/>
          <w:b/>
          <w:iCs/>
          <w:lang w:val="ro-RO"/>
        </w:rPr>
        <w:t>H.G. nr. 399/2015 privind regulile de eligibilitate a cheltuielilor efectuate în cadrul operaţiunilor finanţate prin Fondul european de dezvoltare regională, Fondul social european şi Fondul de coeziune 2014-2020</w:t>
      </w:r>
      <w:r w:rsidRPr="00BD4A3E">
        <w:rPr>
          <w:rFonts w:ascii="Calibri" w:hAnsi="Calibri" w:cs="Arial"/>
          <w:iCs/>
          <w:lang w:val="ro-RO"/>
        </w:rPr>
        <w:t> prin care sunt reglementate următoarele aspecte:</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lang w:val="ro-RO"/>
        </w:rPr>
      </w:pPr>
      <w:r w:rsidRPr="00BD4A3E">
        <w:rPr>
          <w:rFonts w:ascii="Calibri" w:hAnsi="Calibri" w:cs="Arial"/>
          <w:iCs/>
          <w:lang w:val="ro-RO"/>
        </w:rPr>
        <w:t>Stabilirea regulilor generale pe care trebuie să le îndeplinească o cheltuială pentru a fi eligibilă;</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lang w:val="ro-RO"/>
        </w:rPr>
      </w:pPr>
      <w:r w:rsidRPr="00BD4A3E">
        <w:rPr>
          <w:rFonts w:ascii="Calibri" w:hAnsi="Calibri" w:cs="Arial"/>
          <w:iCs/>
          <w:lang w:val="ro-RO"/>
        </w:rPr>
        <w:t>Stabilirea regulilor specifice şi a anumitor plafoane pentru unele categorii de cheltuieli „sensibile” de tipul contribuţiei în natură, costul cu achiziția de terenuri și autovehicule sau mijloace de transport;</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lang w:val="ro-RO"/>
        </w:rPr>
      </w:pPr>
      <w:r w:rsidRPr="00BD4A3E">
        <w:rPr>
          <w:rFonts w:ascii="Calibri" w:hAnsi="Calibri" w:cs="Arial"/>
          <w:iCs/>
          <w:lang w:val="ro-RO"/>
        </w:rPr>
        <w:t>Categoriile de cheltuieli neeligibile.</w:t>
      </w:r>
    </w:p>
    <w:p w:rsidR="00BD4A3E" w:rsidRPr="00BD4A3E" w:rsidRDefault="00BD4A3E" w:rsidP="00BD4A3E">
      <w:pPr>
        <w:suppressAutoHyphens/>
        <w:spacing w:before="120" w:after="120"/>
        <w:ind w:firstLine="360"/>
        <w:jc w:val="both"/>
        <w:rPr>
          <w:rFonts w:ascii="Calibri" w:hAnsi="Calibri" w:cs="Arial"/>
          <w:lang w:val="ro-RO" w:eastAsia="zh-CN"/>
        </w:rPr>
      </w:pPr>
      <w:r w:rsidRPr="00BD4A3E">
        <w:rPr>
          <w:rFonts w:ascii="Calibri" w:hAnsi="Calibri" w:cs="Arial"/>
          <w:lang w:val="ro-RO" w:eastAsia="zh-CN"/>
        </w:rPr>
        <w:t xml:space="preserve">Prevederile privind eligibilitatea reglementează inclusiv situația în care autoritatea de management, în exercitarea funcției de gestionare a programului, conform art. 125 din Regulamentul (UE) nr. 1303/2013, acordă asistență financiară nerambursabilă instituției publice din care face parte. Actul normativ sus-menționat a fost modificat prin HG nr. 488/2018 </w:t>
      </w:r>
      <w:r w:rsidRPr="00BD4A3E">
        <w:rPr>
          <w:rFonts w:ascii="Calibri" w:hAnsi="Calibri" w:cs="Courier New"/>
          <w:bCs/>
          <w:i/>
          <w:shd w:val="clear" w:color="auto" w:fill="FFFFFF"/>
          <w:lang w:val="ro-RO"/>
        </w:rPr>
        <w:t>pentru modificarea </w:t>
      </w:r>
      <w:bookmarkStart w:id="6" w:name="REFsp23rtd4"/>
      <w:bookmarkEnd w:id="6"/>
      <w:r w:rsidRPr="00BD4A3E">
        <w:rPr>
          <w:rFonts w:ascii="Calibri" w:hAnsi="Calibri" w:cs="Courier New"/>
          <w:bCs/>
          <w:i/>
          <w:shd w:val="clear" w:color="auto" w:fill="FFFFFF"/>
          <w:lang w:val="ro-RO"/>
        </w:rPr>
        <w:t>Hotărârii Guvernului nr. 399/2015 privind regulile de eligibilitate a cheltuielilor efectuate în cadrul operaţiunilor finanţate prin Fondul european de dezvoltare regională, Fondul social european şi Fondul de coeziune 2014-2020.</w:t>
      </w:r>
    </w:p>
    <w:p w:rsidR="00BD4A3E" w:rsidRPr="00BD4A3E" w:rsidRDefault="00BD4A3E" w:rsidP="00BD4A3E">
      <w:pPr>
        <w:spacing w:before="120" w:after="120"/>
        <w:ind w:firstLine="360"/>
        <w:jc w:val="both"/>
        <w:rPr>
          <w:rFonts w:ascii="Calibri" w:hAnsi="Calibri" w:cs="Arial"/>
          <w:iCs/>
          <w:lang w:val="ro-RO"/>
        </w:rPr>
      </w:pPr>
      <w:r w:rsidRPr="00BD4A3E">
        <w:rPr>
          <w:rFonts w:ascii="Calibri" w:hAnsi="Calibri" w:cs="Arial"/>
          <w:lang w:val="ro-RO"/>
        </w:rPr>
        <w:t>Prin</w:t>
      </w:r>
      <w:r w:rsidRPr="00BD4A3E">
        <w:rPr>
          <w:rFonts w:ascii="Calibri" w:hAnsi="Calibri" w:cs="Arial"/>
          <w:b/>
          <w:iCs/>
          <w:lang w:val="ro-RO"/>
        </w:rPr>
        <w:t>O.U.G. nr. 40/2015 privind gestionarea financiară a fondurilor europene pentru perioada de programare 2014-2020</w:t>
      </w:r>
      <w:r w:rsidRPr="00BD4A3E">
        <w:rPr>
          <w:rFonts w:ascii="Calibri" w:hAnsi="Calibri" w:cs="Arial"/>
          <w:iCs/>
          <w:lang w:val="ro-RO"/>
        </w:rPr>
        <w:t xml:space="preserve">, respectiv </w:t>
      </w:r>
      <w:r w:rsidRPr="00BD4A3E">
        <w:rPr>
          <w:rFonts w:ascii="Calibri" w:hAnsi="Calibri" w:cs="Arial"/>
          <w:b/>
          <w:iCs/>
          <w:lang w:val="ro-RO"/>
        </w:rPr>
        <w:t xml:space="preserve">Hotărârea Guvernului nr. 93/2016 pentru aprobarea Normelor metodologice de aplicare a prevederilorO.U.G. nr. 40/2015, cu modificările și completările ulterioare, </w:t>
      </w:r>
      <w:r w:rsidRPr="00BD4A3E">
        <w:rPr>
          <w:rFonts w:ascii="Calibri" w:hAnsi="Calibri" w:cs="Arial"/>
          <w:iCs/>
          <w:lang w:val="ro-RO"/>
        </w:rPr>
        <w:t>se stabilește cadrul financiar general pentru gestionarea asistenței financiare nerambursabile alocate României din Fondul European de Dezvoltare Regională, Fondul Social European, Fondul de Coeziune și Fondul de Ajutor European destinat celor mai defavorizate persoane în perioada de programare 2014-2020, precum și a prefinanțării și cofinanțării aferente acestei asistențe, în vederea asigurării unui management financiar eficient al acestor fonduri.</w:t>
      </w:r>
    </w:p>
    <w:p w:rsidR="00BD4A3E" w:rsidRPr="00BD4A3E" w:rsidRDefault="00BD4A3E" w:rsidP="00BD4A3E">
      <w:pPr>
        <w:tabs>
          <w:tab w:val="left" w:pos="10773"/>
        </w:tabs>
        <w:spacing w:line="276" w:lineRule="auto"/>
        <w:ind w:right="284" w:firstLine="426"/>
        <w:contextualSpacing/>
        <w:jc w:val="both"/>
        <w:rPr>
          <w:rFonts w:ascii="Calibri" w:eastAsia="Calibri" w:hAnsi="Calibri"/>
          <w:lang w:val="ro-RO"/>
        </w:rPr>
      </w:pPr>
      <w:r w:rsidRPr="00BD4A3E">
        <w:rPr>
          <w:rFonts w:ascii="Calibri" w:eastAsia="Calibri" w:hAnsi="Calibri"/>
          <w:lang w:val="ro-RO"/>
        </w:rPr>
        <w:t>Legislația privind gestionarea financiară a fondurilor europene pentru perioada de programare 2014-2020 a suferit câteva modificări în scopul flexibilizării implementării și reducerii presiunii de pe bugetul propriu al beneficiarului de fonduri europene. Modificările au vizat, printre altele, următoarele:</w:t>
      </w:r>
    </w:p>
    <w:p w:rsidR="00BD4A3E" w:rsidRPr="00BD4A3E" w:rsidRDefault="00BD4A3E" w:rsidP="00021698">
      <w:pPr>
        <w:numPr>
          <w:ilvl w:val="0"/>
          <w:numId w:val="129"/>
        </w:numPr>
        <w:tabs>
          <w:tab w:val="left" w:pos="993"/>
        </w:tabs>
        <w:ind w:left="993" w:right="284" w:hanging="426"/>
        <w:jc w:val="both"/>
        <w:rPr>
          <w:rFonts w:ascii="Calibri" w:hAnsi="Calibri"/>
          <w:lang w:val="ro-RO"/>
        </w:rPr>
      </w:pPr>
      <w:r w:rsidRPr="00BD4A3E">
        <w:rPr>
          <w:rFonts w:ascii="Calibri" w:hAnsi="Calibri"/>
          <w:lang w:val="ro-RO"/>
        </w:rPr>
        <w:t xml:space="preserve">Modificarea mecanismului de prefinanțare. Astfel, s-a introdus posibilitatea acordării de prefinanțare pentru toate categoriile de cheltuieli eligibile, respectiv pentru toate proiectele implementate de autorități publice locale și beneficiari privați, indiferent de fondul european care le finanțează, prin acordarea de tranșe de până la 10% din valoarea proiectului, pentru a asigura beneficiarilor lichiditățile necesare implementării. </w:t>
      </w:r>
    </w:p>
    <w:p w:rsidR="00BD4A3E" w:rsidRPr="00BD4A3E" w:rsidRDefault="00BD4A3E" w:rsidP="00021698">
      <w:pPr>
        <w:numPr>
          <w:ilvl w:val="0"/>
          <w:numId w:val="129"/>
        </w:numPr>
        <w:tabs>
          <w:tab w:val="left" w:pos="993"/>
        </w:tabs>
        <w:ind w:left="993" w:right="284" w:hanging="426"/>
        <w:jc w:val="both"/>
        <w:rPr>
          <w:rFonts w:ascii="Calibri" w:hAnsi="Calibri"/>
          <w:lang w:val="ro-RO"/>
        </w:rPr>
      </w:pPr>
      <w:r w:rsidRPr="00BD4A3E">
        <w:rPr>
          <w:rFonts w:ascii="Calibri" w:hAnsi="Calibri"/>
          <w:lang w:val="ro-RO"/>
        </w:rPr>
        <w:t xml:space="preserve">Definirea procentului de prefinanțare pentru beneficiarii care primesc finanţare sub incidenţa ajutorului de stat/de minimis (o singură tranșă de maximum 40% din contribuția publică eligibilă a proiectului). </w:t>
      </w:r>
    </w:p>
    <w:p w:rsidR="00BD4A3E" w:rsidRPr="00BD4A3E" w:rsidRDefault="00BD4A3E" w:rsidP="00021698">
      <w:pPr>
        <w:numPr>
          <w:ilvl w:val="0"/>
          <w:numId w:val="129"/>
        </w:numPr>
        <w:tabs>
          <w:tab w:val="left" w:pos="993"/>
        </w:tabs>
        <w:ind w:left="993" w:right="284" w:hanging="426"/>
        <w:jc w:val="both"/>
        <w:rPr>
          <w:rFonts w:ascii="Calibri" w:hAnsi="Calibri"/>
          <w:lang w:val="ro-RO"/>
        </w:rPr>
      </w:pPr>
      <w:r w:rsidRPr="00BD4A3E">
        <w:rPr>
          <w:rFonts w:ascii="Calibri" w:hAnsi="Calibri"/>
          <w:lang w:val="ro-RO"/>
        </w:rPr>
        <w:t>Lărgirea categoriilor de cheltuieli pentru care se poate aplica cererea de plată, astfel încât beneficiarii/liderii de parteneriat/partenerii să poată opta pentru plata salariilor, subvențiilor, burselor, premiilor și onorariilor și la cererea de plată, nu doar la cererea de prefinanțare sau rambursare.</w:t>
      </w:r>
    </w:p>
    <w:p w:rsidR="00BD4A3E" w:rsidRPr="00BD4A3E" w:rsidRDefault="00BD4A3E" w:rsidP="00021698">
      <w:pPr>
        <w:numPr>
          <w:ilvl w:val="0"/>
          <w:numId w:val="129"/>
        </w:numPr>
        <w:tabs>
          <w:tab w:val="left" w:pos="993"/>
        </w:tabs>
        <w:ind w:left="993" w:right="284" w:hanging="426"/>
        <w:jc w:val="both"/>
        <w:rPr>
          <w:rFonts w:ascii="Calibri" w:hAnsi="Calibri"/>
          <w:lang w:val="ro-RO"/>
        </w:rPr>
      </w:pPr>
      <w:r w:rsidRPr="00BD4A3E">
        <w:rPr>
          <w:rFonts w:ascii="Calibri" w:hAnsi="Calibri"/>
          <w:lang w:val="ro-RO"/>
        </w:rPr>
        <w:t>Flexibilizarea implementării proiectelor pentru operatorii regionali de apă și apă uzată. Astfel, sumele acordate operatorilor ca prefinanțare se deduc prin aplicarea unui procent la valoarea cererilor de rambursare transmise de aceştia până la cererea de rambursare finală.</w:t>
      </w:r>
    </w:p>
    <w:p w:rsidR="00BD4A3E" w:rsidRPr="00BD4A3E" w:rsidRDefault="00CF36CB" w:rsidP="00BD4A3E">
      <w:pPr>
        <w:ind w:firstLine="360"/>
        <w:jc w:val="both"/>
        <w:rPr>
          <w:rFonts w:ascii="Calibri" w:hAnsi="Calibri" w:cs="Arial"/>
          <w:lang w:val="ro-RO" w:eastAsia="zh-CN"/>
        </w:rPr>
      </w:pPr>
      <w:r>
        <w:rPr>
          <w:rFonts w:ascii="Calibri" w:hAnsi="Calibri" w:cs="Arial"/>
          <w:lang w:val="ro-RO" w:eastAsia="zh-CN"/>
        </w:rPr>
        <w:t>Totodată</w:t>
      </w:r>
      <w:r w:rsidR="00BD4A3E" w:rsidRPr="00BD4A3E">
        <w:rPr>
          <w:rFonts w:ascii="Calibri" w:hAnsi="Calibri" w:cs="Arial"/>
          <w:lang w:val="ro-RO" w:eastAsia="zh-CN"/>
        </w:rPr>
        <w:t>, au fost inițiate sau semnate protocoale de colaborare cu alte instituții care pot sprijini procesul de implementare a acestor fonduri, precum Agenția Națională pentru Integritate, Agenția Națională de Administrare Fiscală, Agenția Națională pentru Achiziții Publice, Oficiul Naţional al Registrului Comerţului, Autoritatea de Certificare și Plată din cadrul Ministerului Finanțelor Publice.</w:t>
      </w:r>
    </w:p>
    <w:p w:rsidR="00BD4A3E" w:rsidRPr="00BD4A3E" w:rsidRDefault="00BD4A3E" w:rsidP="00BD4A3E">
      <w:pPr>
        <w:ind w:firstLine="360"/>
        <w:jc w:val="both"/>
        <w:rPr>
          <w:rFonts w:ascii="Calibri" w:hAnsi="Calibri" w:cs="Arial"/>
          <w:lang w:val="ro-RO" w:eastAsia="zh-CN"/>
        </w:rPr>
      </w:pPr>
    </w:p>
    <w:p w:rsidR="00BD4A3E" w:rsidRPr="00BD4A3E" w:rsidRDefault="00BD4A3E" w:rsidP="009F7237">
      <w:pPr>
        <w:numPr>
          <w:ilvl w:val="1"/>
          <w:numId w:val="20"/>
        </w:numPr>
        <w:spacing w:before="120" w:after="120"/>
        <w:jc w:val="both"/>
        <w:rPr>
          <w:rFonts w:ascii="Calibri" w:hAnsi="Calibri" w:cs="Arial"/>
          <w:b/>
          <w:lang w:val="ro-RO" w:eastAsia="zh-CN"/>
        </w:rPr>
      </w:pPr>
      <w:r w:rsidRPr="00BD4A3E">
        <w:rPr>
          <w:rFonts w:ascii="Calibri" w:hAnsi="Calibri" w:cs="Arial"/>
          <w:b/>
          <w:lang w:val="ro-RO" w:eastAsia="zh-CN"/>
        </w:rPr>
        <w:t>Fondurile aferente CFM 2014-2020, alocarea acestora pe politica de coeziune și pe politica agricolă comună, pe obiective distincte, precum și programele operaționale ce vor fi finanțate din aceste fonduri</w:t>
      </w:r>
    </w:p>
    <w:p w:rsidR="00BD4A3E" w:rsidRDefault="00BD4A3E" w:rsidP="00BD4A3E">
      <w:pPr>
        <w:suppressAutoHyphens/>
        <w:spacing w:before="120" w:after="120"/>
        <w:ind w:firstLine="708"/>
        <w:jc w:val="both"/>
        <w:rPr>
          <w:rFonts w:ascii="Calibri" w:hAnsi="Calibri" w:cs="Arial"/>
          <w:lang w:val="ro-RO" w:eastAsia="zh-CN"/>
        </w:rPr>
      </w:pPr>
      <w:r w:rsidRPr="00BD4A3E">
        <w:rPr>
          <w:rFonts w:ascii="Calibri" w:hAnsi="Calibri" w:cs="Arial"/>
          <w:lang w:val="ro-RO" w:eastAsia="zh-CN"/>
        </w:rPr>
        <w:t>În exercițiul financiar 2014-2020 alocarea totală a României este de peste 43 miliarde euro, din care 22,9 miliarde euro prin Politica de Coeziune și aproximativ 20 miliarde euro prin Politica Agricolă Comună şi Politica Maritimă Integrată.</w:t>
      </w:r>
    </w:p>
    <w:p w:rsidR="00FE7D6B" w:rsidRPr="00BD4A3E" w:rsidRDefault="00FE7D6B" w:rsidP="00BD4A3E">
      <w:pPr>
        <w:suppressAutoHyphens/>
        <w:spacing w:before="120" w:after="120"/>
        <w:ind w:firstLine="708"/>
        <w:jc w:val="both"/>
        <w:rPr>
          <w:rFonts w:ascii="Calibri" w:hAnsi="Calibri" w:cs="Arial"/>
          <w:lang w:val="ro-RO" w:eastAsia="zh-CN"/>
        </w:rPr>
      </w:pPr>
    </w:p>
    <w:p w:rsidR="00BD4A3E" w:rsidRPr="00BD4A3E" w:rsidRDefault="00BD4A3E" w:rsidP="00BD4A3E">
      <w:pPr>
        <w:suppressAutoHyphens/>
        <w:spacing w:before="120" w:after="120"/>
        <w:ind w:left="6381" w:firstLine="709"/>
        <w:jc w:val="both"/>
        <w:rPr>
          <w:rFonts w:ascii="Calibri" w:hAnsi="Calibri" w:cs="Arial"/>
          <w:lang w:val="ro-RO" w:eastAsia="zh-CN"/>
        </w:rPr>
      </w:pPr>
      <w:r w:rsidRPr="00BD4A3E">
        <w:rPr>
          <w:rFonts w:ascii="Calibri" w:hAnsi="Calibri" w:cs="Arial"/>
          <w:lang w:val="ro-RO" w:eastAsia="zh-CN"/>
        </w:rPr>
        <w:t xml:space="preserve">               mil.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2835"/>
        <w:gridCol w:w="2038"/>
      </w:tblGrid>
      <w:tr w:rsidR="00BD4A3E" w:rsidRPr="00BD4A3E" w:rsidTr="00BD4A3E">
        <w:trPr>
          <w:trHeight w:val="486"/>
        </w:trPr>
        <w:tc>
          <w:tcPr>
            <w:tcW w:w="4307" w:type="dxa"/>
            <w:shd w:val="clear" w:color="auto" w:fill="auto"/>
            <w:vAlign w:val="center"/>
          </w:tcPr>
          <w:p w:rsidR="00BD4A3E" w:rsidRPr="00BD4A3E" w:rsidRDefault="00BD4A3E" w:rsidP="00BD4A3E">
            <w:pPr>
              <w:jc w:val="center"/>
              <w:rPr>
                <w:rFonts w:ascii="Arial" w:eastAsia="Calibri" w:hAnsi="Arial" w:cs="Arial"/>
                <w:b/>
                <w:sz w:val="22"/>
                <w:szCs w:val="22"/>
                <w:lang w:val="ro-RO"/>
              </w:rPr>
            </w:pPr>
            <w:r w:rsidRPr="00BD4A3E">
              <w:rPr>
                <w:rFonts w:ascii="Arial" w:eastAsia="Calibri" w:hAnsi="Arial" w:cs="Arial"/>
                <w:b/>
                <w:sz w:val="22"/>
                <w:szCs w:val="22"/>
                <w:lang w:val="ro-RO"/>
              </w:rPr>
              <w:t>Program operațional/Program</w:t>
            </w:r>
          </w:p>
        </w:tc>
        <w:tc>
          <w:tcPr>
            <w:tcW w:w="2835" w:type="dxa"/>
            <w:shd w:val="clear" w:color="auto" w:fill="auto"/>
            <w:vAlign w:val="center"/>
          </w:tcPr>
          <w:p w:rsidR="00BD4A3E" w:rsidRPr="00BD4A3E" w:rsidRDefault="00BD4A3E" w:rsidP="00BD4A3E">
            <w:pPr>
              <w:jc w:val="center"/>
              <w:rPr>
                <w:rFonts w:ascii="Arial" w:eastAsia="Calibri" w:hAnsi="Arial" w:cs="Arial"/>
                <w:b/>
                <w:sz w:val="22"/>
                <w:szCs w:val="22"/>
                <w:lang w:val="ro-RO"/>
              </w:rPr>
            </w:pPr>
            <w:r w:rsidRPr="00BD4A3E">
              <w:rPr>
                <w:rFonts w:ascii="Arial" w:eastAsia="Calibri" w:hAnsi="Arial" w:cs="Arial"/>
                <w:b/>
                <w:sz w:val="22"/>
                <w:szCs w:val="22"/>
                <w:lang w:val="ro-RO"/>
              </w:rPr>
              <w:t>Tip fond</w:t>
            </w:r>
          </w:p>
        </w:tc>
        <w:tc>
          <w:tcPr>
            <w:tcW w:w="2038" w:type="dxa"/>
            <w:shd w:val="clear" w:color="auto" w:fill="auto"/>
            <w:vAlign w:val="center"/>
          </w:tcPr>
          <w:p w:rsidR="00BD4A3E" w:rsidRPr="00BD4A3E" w:rsidRDefault="00BD4A3E" w:rsidP="00BD4A3E">
            <w:pPr>
              <w:jc w:val="center"/>
              <w:rPr>
                <w:rFonts w:ascii="Arial" w:eastAsia="Calibri" w:hAnsi="Arial" w:cs="Arial"/>
                <w:b/>
                <w:sz w:val="22"/>
                <w:szCs w:val="22"/>
                <w:lang w:val="ro-RO"/>
              </w:rPr>
            </w:pPr>
            <w:r w:rsidRPr="00BD4A3E">
              <w:rPr>
                <w:rFonts w:ascii="Arial" w:eastAsia="Calibri" w:hAnsi="Arial" w:cs="Arial"/>
                <w:b/>
                <w:sz w:val="22"/>
                <w:szCs w:val="22"/>
                <w:lang w:val="ro-RO"/>
              </w:rPr>
              <w:t>Alocare (UE)</w:t>
            </w:r>
          </w:p>
          <w:p w:rsidR="00BD4A3E" w:rsidRPr="00BD4A3E" w:rsidRDefault="00BD4A3E" w:rsidP="00BD4A3E">
            <w:pPr>
              <w:jc w:val="center"/>
              <w:rPr>
                <w:rFonts w:ascii="Arial" w:eastAsia="Calibri" w:hAnsi="Arial" w:cs="Arial"/>
                <w:b/>
                <w:sz w:val="22"/>
                <w:szCs w:val="22"/>
                <w:lang w:val="ro-RO"/>
              </w:rPr>
            </w:pPr>
            <w:r w:rsidRPr="00BD4A3E">
              <w:rPr>
                <w:rFonts w:ascii="Arial" w:eastAsia="Calibri" w:hAnsi="Arial" w:cs="Arial"/>
                <w:b/>
                <w:sz w:val="22"/>
                <w:szCs w:val="22"/>
                <w:lang w:val="ro-RO"/>
              </w:rPr>
              <w:t>(mil euro)</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Asistență Tehnică</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FEDR</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252,76</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Competitivitate</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FEDR</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1.329,79</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Capital Uman</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FSE</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4.371,96</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Capacitatea Administrativă</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FSE</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553,19</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Regional</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FEDR</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6.860,00</w:t>
            </w:r>
          </w:p>
        </w:tc>
      </w:tr>
      <w:tr w:rsidR="00BD4A3E" w:rsidRPr="00BD4A3E" w:rsidTr="00BD4A3E">
        <w:tc>
          <w:tcPr>
            <w:tcW w:w="4307" w:type="dxa"/>
            <w:vMerge w:val="restart"/>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Infrastructură Mare</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FEDR</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2.283,53</w:t>
            </w:r>
          </w:p>
        </w:tc>
      </w:tr>
      <w:tr w:rsidR="00BD4A3E" w:rsidRPr="00BD4A3E" w:rsidTr="00BD4A3E">
        <w:tc>
          <w:tcPr>
            <w:tcW w:w="4307" w:type="dxa"/>
            <w:vMerge/>
            <w:shd w:val="clear" w:color="auto" w:fill="auto"/>
            <w:vAlign w:val="center"/>
          </w:tcPr>
          <w:p w:rsidR="00BD4A3E" w:rsidRPr="00BD4A3E" w:rsidRDefault="00BD4A3E" w:rsidP="00BD4A3E">
            <w:pPr>
              <w:rPr>
                <w:rFonts w:ascii="Arial" w:eastAsia="Calibri" w:hAnsi="Arial" w:cs="Arial"/>
                <w:sz w:val="22"/>
                <w:szCs w:val="22"/>
                <w:lang w:val="ro-RO"/>
              </w:rPr>
            </w:pP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FC</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6.935,00</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Programul Național de Dezvoltare Rurală</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FEADR</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8.128,00</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lang w:val="ro-RO"/>
              </w:rPr>
            </w:pPr>
            <w:r w:rsidRPr="00BD4A3E">
              <w:rPr>
                <w:rFonts w:ascii="Arial" w:eastAsia="Calibri" w:hAnsi="Arial" w:cs="Arial"/>
                <w:sz w:val="22"/>
                <w:szCs w:val="22"/>
                <w:lang w:val="ro-RO"/>
              </w:rPr>
              <w:t>PO Pescuit</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lang w:val="ro-RO"/>
              </w:rPr>
            </w:pPr>
            <w:r w:rsidRPr="00BD4A3E">
              <w:rPr>
                <w:rFonts w:ascii="Arial" w:eastAsia="Calibri" w:hAnsi="Arial" w:cs="Arial"/>
                <w:sz w:val="22"/>
                <w:szCs w:val="22"/>
                <w:lang w:val="ro-RO"/>
              </w:rPr>
              <w:t>FEPAM</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lang w:val="ro-RO"/>
              </w:rPr>
            </w:pPr>
            <w:r w:rsidRPr="00BD4A3E">
              <w:rPr>
                <w:rFonts w:ascii="Arial" w:eastAsia="Calibri" w:hAnsi="Arial" w:cs="Arial"/>
                <w:sz w:val="22"/>
                <w:szCs w:val="22"/>
              </w:rPr>
              <w:t>168,42</w:t>
            </w:r>
          </w:p>
        </w:tc>
      </w:tr>
    </w:tbl>
    <w:p w:rsidR="00BD4A3E" w:rsidRPr="00BD4A3E" w:rsidRDefault="00BD4A3E" w:rsidP="00BD4A3E">
      <w:pPr>
        <w:suppressAutoHyphens/>
        <w:spacing w:before="120" w:after="120"/>
        <w:jc w:val="both"/>
        <w:rPr>
          <w:rFonts w:ascii="Calibri" w:hAnsi="Calibri" w:cs="Arial"/>
          <w:lang w:val="ro-RO" w:eastAsia="zh-CN"/>
        </w:rPr>
      </w:pPr>
      <w:r w:rsidRPr="00BD4A3E">
        <w:rPr>
          <w:rFonts w:ascii="Calibri" w:hAnsi="Calibri" w:cs="Arial"/>
          <w:lang w:val="ro-RO" w:eastAsia="zh-CN"/>
        </w:rPr>
        <w:tab/>
        <w:t xml:space="preserve">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milioane euro (din care contribuția UE este de aprox. 670 milioane euro) din fondurile aferente obiectivului cooperării teritoriale europene. </w:t>
      </w:r>
    </w:p>
    <w:p w:rsidR="00BD4A3E" w:rsidRPr="00BD4A3E" w:rsidRDefault="00BD4A3E" w:rsidP="00BD4A3E">
      <w:pPr>
        <w:suppressAutoHyphens/>
        <w:spacing w:before="120" w:after="120"/>
        <w:ind w:firstLine="709"/>
        <w:jc w:val="both"/>
        <w:rPr>
          <w:rFonts w:ascii="Calibri" w:hAnsi="Calibri" w:cs="Arial"/>
          <w:lang w:val="ro-RO" w:eastAsia="zh-CN"/>
        </w:rPr>
      </w:pPr>
      <w:r w:rsidRPr="00BD4A3E">
        <w:rPr>
          <w:rFonts w:ascii="Calibri" w:hAnsi="Calibri" w:cs="Arial"/>
          <w:lang w:val="ro-RO" w:eastAsia="zh-CN"/>
        </w:rPr>
        <w:t>În vederea asigurării complementarității și valorificării sinergiilor între intervențiile care vor fi finanțate din diferitele fonduri ESI, este importantă asigurarea unei bune coordonări în etapa de implementare a intervențiilor.</w:t>
      </w:r>
    </w:p>
    <w:p w:rsidR="00BD4A3E" w:rsidRPr="00BD4A3E" w:rsidRDefault="00BD4A3E" w:rsidP="00BD4A3E">
      <w:pPr>
        <w:suppressAutoHyphens/>
        <w:spacing w:before="120" w:after="120"/>
        <w:ind w:firstLine="709"/>
        <w:jc w:val="both"/>
        <w:rPr>
          <w:rFonts w:ascii="Calibri" w:hAnsi="Calibri" w:cs="Arial"/>
          <w:lang w:val="ro-RO" w:eastAsia="zh-CN"/>
        </w:rPr>
      </w:pPr>
      <w:r w:rsidRPr="00BD4A3E">
        <w:rPr>
          <w:rFonts w:ascii="Calibri" w:hAnsi="Calibri" w:cs="Arial"/>
          <w:lang w:val="ro-RO" w:eastAsia="zh-CN"/>
        </w:rPr>
        <w:t xml:space="preserve">Pe baza lecțiilor învățate în perioada 2007-2013 și a noilor provocări pe care le aduce arhitectura specifică fondurilor pentru perioada 2014-2020, este avută în vedere dezvoltarea unui mecanism de coordonare cu structuri pe 3 niveluri (coordonare strategică, coordonare la nivel tematic și la nivel operațional), așa cum a fost stabilit la nivelul Acordului de Parteneriat. </w:t>
      </w:r>
    </w:p>
    <w:p w:rsidR="00BD4A3E" w:rsidRPr="00BD4A3E" w:rsidRDefault="00BD4A3E" w:rsidP="00BD4A3E">
      <w:pPr>
        <w:suppressAutoHyphens/>
        <w:spacing w:before="120" w:after="120"/>
        <w:ind w:firstLine="709"/>
        <w:jc w:val="both"/>
        <w:rPr>
          <w:rFonts w:ascii="Calibri" w:hAnsi="Calibri" w:cs="Arial"/>
          <w:b/>
          <w:lang w:val="ro-RO"/>
        </w:rPr>
      </w:pPr>
      <w:r w:rsidRPr="00BD4A3E">
        <w:rPr>
          <w:rFonts w:ascii="Calibri" w:hAnsi="Calibri" w:cs="Arial"/>
          <w:lang w:val="ro-RO" w:eastAsia="zh-CN"/>
        </w:rPr>
        <w:t>Rolul acestui mecanism este de a asigura coordonarea strategică și complementaritatea intervențiilor pe parcursul implementării programelor finanțate din FESI, urmărind în același timp, coerența, sinergiile și demarcarea cu alte programe/ instrumente naționale și europene.</w:t>
      </w:r>
    </w:p>
    <w:p w:rsidR="00BD4A3E" w:rsidRPr="00BD4A3E" w:rsidRDefault="00BD4A3E" w:rsidP="00BD4A3E">
      <w:pPr>
        <w:spacing w:before="120" w:after="120"/>
        <w:rPr>
          <w:rFonts w:ascii="Calibri" w:hAnsi="Calibri" w:cs="Arial"/>
          <w:b/>
          <w:lang w:val="ro-RO"/>
        </w:rPr>
        <w:sectPr w:rsidR="00BD4A3E" w:rsidRPr="00BD4A3E" w:rsidSect="00E73550">
          <w:headerReference w:type="default" r:id="rId36"/>
          <w:footerReference w:type="even" r:id="rId37"/>
          <w:footerReference w:type="default" r:id="rId38"/>
          <w:footerReference w:type="first" r:id="rId39"/>
          <w:pgSz w:w="11906" w:h="16838" w:code="9"/>
          <w:pgMar w:top="720" w:right="907" w:bottom="902" w:left="1134" w:header="709" w:footer="709" w:gutter="0"/>
          <w:pgNumType w:start="1"/>
          <w:cols w:space="720"/>
          <w:docGrid w:linePitch="360"/>
        </w:sectPr>
      </w:pPr>
    </w:p>
    <w:p w:rsidR="00BD4A3E" w:rsidRPr="00BD4A3E" w:rsidRDefault="00BD4A3E" w:rsidP="00BD4A3E">
      <w:pPr>
        <w:keepNext/>
        <w:widowControl w:val="0"/>
        <w:spacing w:after="120"/>
        <w:ind w:left="720"/>
        <w:jc w:val="both"/>
        <w:outlineLvl w:val="3"/>
        <w:rPr>
          <w:rFonts w:ascii="Calibri" w:hAnsi="Calibri"/>
          <w:b/>
          <w:szCs w:val="20"/>
          <w:lang w:val="ro-RO"/>
        </w:rPr>
      </w:pPr>
      <w:r w:rsidRPr="00BD4A3E">
        <w:rPr>
          <w:rFonts w:ascii="Calibri" w:hAnsi="Calibri"/>
          <w:b/>
          <w:szCs w:val="20"/>
          <w:lang w:val="ro-RO"/>
        </w:rPr>
        <w:t>2.5.1 Sumele alocate României pentru cadrul financiar multianual 2014-2020, pe total, pe ani și pe programe operaționale</w:t>
      </w:r>
    </w:p>
    <w:p w:rsidR="00BD4A3E" w:rsidRPr="00BD4A3E" w:rsidRDefault="00BD4A3E" w:rsidP="00BD4A3E">
      <w:pPr>
        <w:widowControl w:val="0"/>
        <w:overflowPunct w:val="0"/>
        <w:autoSpaceDE w:val="0"/>
        <w:autoSpaceDN w:val="0"/>
        <w:adjustRightInd w:val="0"/>
        <w:spacing w:before="120" w:after="120"/>
        <w:ind w:left="13120" w:right="20" w:firstLine="560"/>
        <w:jc w:val="both"/>
        <w:rPr>
          <w:rFonts w:ascii="Calibri" w:hAnsi="Calibri" w:cs="Arial"/>
          <w:b/>
          <w:bCs/>
          <w:lang w:val="ro-RO"/>
        </w:rPr>
      </w:pPr>
      <w:r w:rsidRPr="00BD4A3E">
        <w:rPr>
          <w:rFonts w:ascii="Calibri" w:eastAsia="Calibri" w:hAnsi="Calibri"/>
          <w:b/>
          <w:lang w:val="ro-RO"/>
        </w:rPr>
        <w:t>Mil euro</w:t>
      </w:r>
    </w:p>
    <w:tbl>
      <w:tblPr>
        <w:tblW w:w="14755" w:type="dxa"/>
        <w:tblInd w:w="93" w:type="dxa"/>
        <w:tblLayout w:type="fixed"/>
        <w:tblLook w:val="04A0" w:firstRow="1" w:lastRow="0" w:firstColumn="1" w:lastColumn="0" w:noHBand="0" w:noVBand="1"/>
      </w:tblPr>
      <w:tblGrid>
        <w:gridCol w:w="2992"/>
        <w:gridCol w:w="2126"/>
        <w:gridCol w:w="1134"/>
        <w:gridCol w:w="1276"/>
        <w:gridCol w:w="1276"/>
        <w:gridCol w:w="1134"/>
        <w:gridCol w:w="1276"/>
        <w:gridCol w:w="1275"/>
        <w:gridCol w:w="1134"/>
        <w:gridCol w:w="1132"/>
      </w:tblGrid>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bookmarkStart w:id="7" w:name="page154"/>
            <w:bookmarkEnd w:id="7"/>
            <w:r w:rsidRPr="00BD4A3E">
              <w:rPr>
                <w:rFonts w:ascii="Calibri" w:hAnsi="Calibri" w:cs="Arial"/>
                <w:b/>
                <w:bCs/>
                <w:sz w:val="22"/>
                <w:szCs w:val="22"/>
                <w:lang w:val="ro-RO"/>
              </w:rPr>
              <w:t>Program</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Fonduri ESI</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Total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2017</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2019</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2020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 Infrastructura Mare</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FEDR</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2.283,53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593,27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324,66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333,05</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180,35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420,24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431,96</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FC</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6.935,00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1.710,04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949,84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999,90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1.046,79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1.093,83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1.134,60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 Capital Uman</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FSE</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4.220,84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503,64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538,84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577,38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607,53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636,80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664,94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691,72</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POAD</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FEAD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441,01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99,04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54,63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44,5</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61,86</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63,24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75,37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42,37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Inițiativa „Locuri de muncă pentru tineri” (alocare specială)</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Inițiativa „Locuri de muncă pentru tineri”</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151,11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59,55</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46,45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18,80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8,77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8,77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8,77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 Capacitate Administrativă</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FSE</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553,2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67,22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71,39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75,93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79,53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83,04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86,43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89,66</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Programul Operațional Competitivitate</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FEDR</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1.329,79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156,53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168,18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171,39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184,73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201,79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210,67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236,50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 Asistență tehnică</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FEDR</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252,76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21,28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31,91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28,92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31,91</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71,92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31,91</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34,91</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 Regional</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FEDR</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6.860,00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1.671,14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941,4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994,5</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1.165,65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1.029,44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1.057,87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PNDR</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FEADR</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8.128,00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1.723,26</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1.751,61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1.186,54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1.184,73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1.141,93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1.139,93</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POPAM</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FEPAM</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168,42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46,47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23,59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23,98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24,53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24,7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25,15</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TOTAL</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31.323,66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907,26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6.655,57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4.889,21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4.522,34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4.667,61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4.788,23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r w:rsidRPr="00BD4A3E">
              <w:rPr>
                <w:rFonts w:ascii="Calibri" w:hAnsi="Calibri" w:cs="Arial"/>
                <w:b/>
                <w:bCs/>
                <w:sz w:val="22"/>
                <w:szCs w:val="22"/>
                <w:lang w:val="ro-RO"/>
              </w:rPr>
              <w:t>4.893,44</w:t>
            </w:r>
          </w:p>
        </w:tc>
      </w:tr>
    </w:tbl>
    <w:p w:rsidR="00BD4A3E" w:rsidRPr="00BD4A3E" w:rsidRDefault="00BD4A3E" w:rsidP="00BD4A3E">
      <w:pPr>
        <w:spacing w:before="120" w:after="120"/>
        <w:jc w:val="both"/>
        <w:rPr>
          <w:rFonts w:ascii="Calibri" w:hAnsi="Calibri" w:cs="Arial"/>
          <w:b/>
        </w:rPr>
      </w:pPr>
    </w:p>
    <w:p w:rsidR="00BD4A3E" w:rsidRPr="00BD4A3E" w:rsidRDefault="00BD4A3E" w:rsidP="00BD4A3E">
      <w:pPr>
        <w:spacing w:before="120" w:after="120"/>
        <w:jc w:val="both"/>
        <w:rPr>
          <w:rFonts w:ascii="Calibri" w:hAnsi="Calibri" w:cs="Arial"/>
          <w:b/>
        </w:rPr>
        <w:sectPr w:rsidR="00BD4A3E" w:rsidRPr="00BD4A3E" w:rsidSect="00E73550">
          <w:headerReference w:type="default" r:id="rId40"/>
          <w:footerReference w:type="even" r:id="rId41"/>
          <w:footerReference w:type="default" r:id="rId42"/>
          <w:footerReference w:type="first" r:id="rId43"/>
          <w:pgSz w:w="16838" w:h="11906" w:orient="landscape" w:code="9"/>
          <w:pgMar w:top="1134" w:right="720" w:bottom="924" w:left="902" w:header="709" w:footer="709" w:gutter="0"/>
          <w:cols w:space="720"/>
          <w:docGrid w:linePitch="360"/>
        </w:sectPr>
      </w:pPr>
    </w:p>
    <w:p w:rsidR="00BD4A3E" w:rsidRPr="00BD4A3E" w:rsidRDefault="00BD4A3E" w:rsidP="00BD4A3E">
      <w:pPr>
        <w:keepNext/>
        <w:widowControl w:val="0"/>
        <w:spacing w:after="120"/>
        <w:jc w:val="both"/>
        <w:outlineLvl w:val="3"/>
        <w:rPr>
          <w:rFonts w:ascii="Calibri" w:hAnsi="Calibri"/>
          <w:szCs w:val="20"/>
          <w:lang w:val="ro-RO"/>
        </w:rPr>
      </w:pPr>
      <w:r w:rsidRPr="00BD4A3E">
        <w:rPr>
          <w:rFonts w:ascii="Calibri" w:hAnsi="Calibri"/>
          <w:b/>
          <w:i/>
          <w:szCs w:val="20"/>
          <w:lang w:val="ro-RO"/>
        </w:rPr>
        <w:t>2.5.2 Programe gestionate de România în perioada 2014-2020, prin intermediul MFE</w:t>
      </w:r>
      <w:r w:rsidRPr="00BD4A3E">
        <w:rPr>
          <w:rFonts w:ascii="Calibri" w:hAnsi="Calibri" w:cs="Arial"/>
          <w:b/>
          <w:i/>
          <w:iCs/>
          <w:sz w:val="22"/>
          <w:szCs w:val="22"/>
          <w:vertAlign w:val="superscript"/>
          <w:lang w:val="ro-RO"/>
        </w:rPr>
        <w:footnoteReference w:id="27"/>
      </w:r>
      <w:r w:rsidRPr="00BD4A3E">
        <w:rPr>
          <w:rFonts w:ascii="Calibri" w:hAnsi="Calibri"/>
          <w:b/>
          <w:i/>
          <w:szCs w:val="20"/>
          <w:lang w:val="ro-RO"/>
        </w:rPr>
        <w:t>:</w:t>
      </w:r>
    </w:p>
    <w:p w:rsidR="00BD4A3E" w:rsidRPr="00BD4A3E" w:rsidRDefault="00BD4A3E" w:rsidP="00BD4A3E">
      <w:pPr>
        <w:keepLines/>
        <w:spacing w:before="40" w:beforeAutospacing="1" w:after="100" w:afterAutospacing="1"/>
        <w:ind w:left="720" w:hanging="360"/>
        <w:jc w:val="both"/>
        <w:outlineLvl w:val="2"/>
        <w:rPr>
          <w:rFonts w:ascii="Calibri" w:hAnsi="Calibri"/>
          <w:b/>
          <w:i/>
          <w:iCs/>
          <w:lang w:val="ro-RO"/>
        </w:rPr>
      </w:pPr>
      <w:r w:rsidRPr="00BD4A3E">
        <w:rPr>
          <w:rFonts w:ascii="Calibri" w:hAnsi="Calibri"/>
          <w:b/>
          <w:i/>
          <w:iCs/>
          <w:lang w:val="ro-RO"/>
        </w:rPr>
        <w:t>2.5.2.1 Programul Operațional Infrastructură Mare (POIM)</w:t>
      </w:r>
      <w:r w:rsidRPr="00BD4A3E">
        <w:rPr>
          <w:rFonts w:ascii="Calibri" w:hAnsi="Calibri" w:cs="Arial"/>
          <w:bCs/>
          <w:vertAlign w:val="superscript"/>
        </w:rPr>
        <w:footnoteReference w:id="28"/>
      </w:r>
    </w:p>
    <w:p w:rsidR="00BD4A3E" w:rsidRPr="00BD4A3E" w:rsidRDefault="00BD4A3E" w:rsidP="00BD4A3E">
      <w:pPr>
        <w:tabs>
          <w:tab w:val="left" w:pos="1080"/>
        </w:tabs>
        <w:spacing w:before="120" w:after="120"/>
        <w:jc w:val="both"/>
        <w:rPr>
          <w:rFonts w:ascii="Calibri" w:hAnsi="Calibri" w:cs="Arial"/>
          <w:bCs/>
          <w:lang w:val="ro-RO"/>
        </w:rPr>
      </w:pPr>
      <w:r w:rsidRPr="00BD4A3E">
        <w:rPr>
          <w:rFonts w:ascii="Calibri" w:hAnsi="Calibri" w:cs="Arial"/>
          <w:bCs/>
          <w:lang w:val="ro-RO"/>
        </w:rPr>
        <w:t xml:space="preserve">Obiectivul general al POIM este Dezvoltarea infrastructurii de transport, mediu, energie şi prevenirea riscurilor la standarde europene, în vederea creării premiselor unei creşteri economice sustenabile, în condiţii de siguranță şi utilizare eficientă a resurselor naturale. </w:t>
      </w:r>
      <w:r w:rsidRPr="00BD4A3E">
        <w:rPr>
          <w:rFonts w:ascii="Calibri" w:hAnsi="Calibri" w:cs="Arial"/>
          <w:b/>
          <w:bCs/>
          <w:lang w:val="ro-RO"/>
        </w:rPr>
        <w:t xml:space="preserve">Bugetul </w:t>
      </w:r>
      <w:r w:rsidRPr="00BD4A3E">
        <w:rPr>
          <w:rFonts w:ascii="Calibri" w:hAnsi="Calibri" w:cs="Arial"/>
          <w:bCs/>
          <w:lang w:val="ro-RO"/>
        </w:rPr>
        <w:t>total al POIM este de</w:t>
      </w:r>
      <w:r w:rsidRPr="00BD4A3E">
        <w:rPr>
          <w:rFonts w:ascii="Calibri" w:hAnsi="Calibri" w:cs="Arial"/>
          <w:b/>
          <w:bCs/>
          <w:lang w:val="ro-RO"/>
        </w:rPr>
        <w:t xml:space="preserve"> 11,63 miliarde euro</w:t>
      </w:r>
      <w:r w:rsidRPr="00BD4A3E">
        <w:rPr>
          <w:rFonts w:ascii="Calibri" w:hAnsi="Calibri" w:cs="Arial"/>
          <w:bCs/>
          <w:lang w:val="ro-RO"/>
        </w:rPr>
        <w:t>, din care 9,22 miliarde euro contribuție UE (inclusiv rezerva de performanță). Conform versiunii aprobate de CE, POIM va finanța investiții din diferite domenii, prin intermediul următoarelor axe prioritare (AP):</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AP1 -  Îmbunătăţirea mobilităţii prin dezvoltarea reţelei TEN-T  centrale și a metroului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AP2 -  Dezvoltarea unui sistem de transport multimodal, de calitate, durabil şi eficient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AP3 - Dezvoltarea infrastructurii de mediu în condiţii de management eficient al resurselor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AP4 - Protecţia mediului prin măsuri de conservare a biodiversităţii, monitorizarea calităţii aerului şi decontaminare a siturilor poluate istoric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AP5 - Promovarea adaptării la schimbările climatice, prevenirea şi gestionarea riscurilor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 xml:space="preserve">AP6 - Promovarea energiei curate şi eficienţei energetice în vederea susținerii unei economii cu emisii scăzute de carbon </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AP7 - Creşterea eficienţei energetice la nivelul sistemului centralizat de termoficare în oraşele selectate</w:t>
      </w:r>
    </w:p>
    <w:p w:rsidR="00BD4A3E" w:rsidRPr="00BD4A3E" w:rsidRDefault="00BD4A3E" w:rsidP="00BD4A3E">
      <w:pPr>
        <w:tabs>
          <w:tab w:val="left" w:pos="426"/>
        </w:tabs>
        <w:spacing w:before="120" w:after="120"/>
        <w:ind w:left="360"/>
        <w:jc w:val="both"/>
        <w:rPr>
          <w:rFonts w:ascii="Calibri" w:eastAsia="Calibri" w:hAnsi="Calibri" w:cs="Arial"/>
          <w:bCs/>
          <w:iCs/>
          <w:lang w:val="ro-RO"/>
        </w:rPr>
      </w:pPr>
      <w:r w:rsidRPr="00BD4A3E">
        <w:rPr>
          <w:rFonts w:ascii="Calibri" w:eastAsia="Calibri" w:hAnsi="Calibri" w:cs="Arial"/>
          <w:bCs/>
          <w:iCs/>
          <w:lang w:val="ro-RO"/>
        </w:rPr>
        <w:t>AP8 - Sisteme inteligente şi sustenabile de transport al energiei electrice şi gazelor naturale</w:t>
      </w:r>
    </w:p>
    <w:p w:rsidR="00BD4A3E" w:rsidRPr="00BD4A3E" w:rsidRDefault="00BD4A3E" w:rsidP="00BD4A3E">
      <w:pPr>
        <w:keepLines/>
        <w:spacing w:before="40" w:beforeAutospacing="1" w:after="100" w:afterAutospacing="1"/>
        <w:ind w:left="720" w:hanging="360"/>
        <w:jc w:val="both"/>
        <w:outlineLvl w:val="2"/>
        <w:rPr>
          <w:rFonts w:ascii="Calibri" w:hAnsi="Calibri"/>
          <w:b/>
          <w:i/>
          <w:iCs/>
          <w:lang w:val="ro-RO"/>
        </w:rPr>
      </w:pPr>
      <w:r w:rsidRPr="00BD4A3E">
        <w:rPr>
          <w:rFonts w:ascii="Calibri" w:hAnsi="Calibri"/>
          <w:b/>
          <w:i/>
          <w:iCs/>
          <w:lang w:val="ro-RO"/>
        </w:rPr>
        <w:t>2.5.2.2 Programul Operațional Capital Uman (POCU</w:t>
      </w:r>
      <w:r w:rsidRPr="00BD4A3E">
        <w:rPr>
          <w:rFonts w:ascii="Calibri" w:hAnsi="Calibri" w:cs="Arial"/>
          <w:bCs/>
          <w:vertAlign w:val="superscript"/>
          <w:lang w:val="ro-RO"/>
        </w:rPr>
        <w:t xml:space="preserve">) </w:t>
      </w:r>
      <w:r w:rsidRPr="00BD4A3E">
        <w:rPr>
          <w:rFonts w:ascii="Calibri" w:hAnsi="Calibri" w:cs="Arial"/>
          <w:bCs/>
          <w:vertAlign w:val="superscript"/>
        </w:rPr>
        <w:footnoteReference w:id="29"/>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Cs/>
          <w:iCs/>
          <w:lang w:val="ro-RO"/>
        </w:rPr>
        <w:t>Programul Operaţional Capital Uman stabilește prioritățile de investiții, obiectivele specifice și acțiunile asumate de către România în domeniul resurselor umane, continuând astfel investițiile realizate prin Fondul Social European în perioada 2007</w:t>
      </w:r>
      <w:r w:rsidRPr="00BD4A3E">
        <w:rPr>
          <w:rFonts w:ascii="Calibri" w:eastAsia="Calibri" w:hAnsi="Calibri" w:cs="Cambria Math"/>
          <w:bCs/>
          <w:iCs/>
          <w:lang w:val="ro-RO"/>
        </w:rPr>
        <w:t>‐</w:t>
      </w:r>
      <w:r w:rsidRPr="00BD4A3E">
        <w:rPr>
          <w:rFonts w:ascii="Calibri" w:eastAsia="Calibri" w:hAnsi="Calibri" w:cs="Arial"/>
          <w:bCs/>
          <w:iCs/>
          <w:lang w:val="ro-RO"/>
        </w:rPr>
        <w:t>2013 și contribuind, totodată, la atingerea obiectivului general al Acordului de Parteneriat (AP 2014</w:t>
      </w:r>
      <w:r w:rsidRPr="00BD4A3E">
        <w:rPr>
          <w:rFonts w:ascii="Calibri" w:eastAsia="Calibri" w:hAnsi="Calibri" w:cs="Cambria Math"/>
          <w:bCs/>
          <w:iCs/>
          <w:lang w:val="ro-RO"/>
        </w:rPr>
        <w:t>‐</w:t>
      </w:r>
      <w:r w:rsidRPr="00BD4A3E">
        <w:rPr>
          <w:rFonts w:ascii="Calibri" w:eastAsia="Calibri" w:hAnsi="Calibri" w:cs="Arial"/>
          <w:bCs/>
          <w:iCs/>
          <w:lang w:val="ro-RO"/>
        </w:rPr>
        <w:t xml:space="preserve">2020) </w:t>
      </w:r>
      <w:r w:rsidRPr="00BD4A3E">
        <w:rPr>
          <w:rFonts w:ascii="Calibri" w:eastAsia="Calibri" w:hAnsi="Calibri" w:cs="Cambria Math"/>
          <w:bCs/>
          <w:iCs/>
          <w:lang w:val="ro-RO"/>
        </w:rPr>
        <w:t>‐</w:t>
      </w:r>
      <w:r w:rsidRPr="00BD4A3E">
        <w:rPr>
          <w:rFonts w:ascii="Calibri" w:eastAsia="Calibri" w:hAnsi="Calibri" w:cs="Arial"/>
          <w:bCs/>
          <w:iCs/>
          <w:lang w:val="ro-RO"/>
        </w:rPr>
        <w:t xml:space="preserve"> implicit al fondurilor Europene Structurale și de Investiții din România, şi anume, de a reduce disparităţile de dezvoltare economică şi socială dintre România şi Statele Membre ale UE.</w:t>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Cs/>
          <w:iCs/>
          <w:lang w:val="ro-RO"/>
        </w:rPr>
        <w:t>Strategia POCU urmărește integrarea nevoilor de dezvoltare a resurselor umane în ansamblul programelor și politicilor publice ale României, ca SM al UE și are în vedere valorizarea capitalului uman, ca resursă pentru o dezvoltare sustenabilă în viitor.</w:t>
      </w:r>
      <w:r w:rsidRPr="00BD4A3E">
        <w:rPr>
          <w:rFonts w:ascii="Calibri" w:eastAsia="Calibri" w:hAnsi="Calibri" w:cs="Arial"/>
          <w:b/>
          <w:bCs/>
          <w:iCs/>
          <w:lang w:val="ro-RO"/>
        </w:rPr>
        <w:t xml:space="preserve"> Bugetul </w:t>
      </w:r>
      <w:r w:rsidRPr="00BD4A3E">
        <w:rPr>
          <w:rFonts w:ascii="Calibri" w:eastAsia="Calibri" w:hAnsi="Calibri" w:cs="Arial"/>
          <w:bCs/>
          <w:iCs/>
          <w:lang w:val="ro-RO"/>
        </w:rPr>
        <w:t>total al POCU este de</w:t>
      </w:r>
      <w:r w:rsidRPr="00BD4A3E">
        <w:rPr>
          <w:rFonts w:ascii="Calibri" w:eastAsia="Calibri" w:hAnsi="Calibri" w:cs="Arial"/>
          <w:b/>
          <w:bCs/>
          <w:iCs/>
          <w:lang w:val="ro-RO"/>
        </w:rPr>
        <w:t xml:space="preserve"> 5,10 miliarde euro</w:t>
      </w:r>
      <w:r w:rsidRPr="00BD4A3E">
        <w:rPr>
          <w:rFonts w:ascii="Calibri" w:eastAsia="Calibri" w:hAnsi="Calibri" w:cs="Arial"/>
          <w:bCs/>
          <w:iCs/>
          <w:lang w:val="ro-RO"/>
        </w:rPr>
        <w:t>, din care 4,37 miliarde euro contribuție UE (inclusiv rezerva de performanță). Conform versiunii aprobate de CE, POCU va finanța investiții din diferite domenii, prin intermediul următoarelor axe prioritare (AP):</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 xml:space="preserve">AP 1 – Iniţiativa „Locuri de muncă pentru tineri” </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2 – Îmbunătăţirea situaţiei tinerilor din categoria NEETs</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3 – Locuri de muncă pentru toți</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4 – Incluziunea socială și combaterea sărăciei</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5 – Dezvoltare locală plasată sub responsabilitatea comunității</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6 – Educație și competențe</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7 - Asistență Tehnică</w:t>
      </w:r>
    </w:p>
    <w:p w:rsidR="00BD4A3E" w:rsidRPr="00BD4A3E" w:rsidRDefault="00BD4A3E" w:rsidP="00BD4A3E">
      <w:pPr>
        <w:keepLines/>
        <w:spacing w:before="40" w:beforeAutospacing="1" w:after="100" w:afterAutospacing="1"/>
        <w:ind w:left="720" w:hanging="360"/>
        <w:jc w:val="both"/>
        <w:outlineLvl w:val="2"/>
        <w:rPr>
          <w:rFonts w:ascii="Calibri" w:hAnsi="Calibri" w:cs="Arial"/>
          <w:bCs/>
          <w:vertAlign w:val="superscript"/>
          <w:lang w:val="it-CH"/>
        </w:rPr>
      </w:pPr>
      <w:r w:rsidRPr="00BD4A3E">
        <w:rPr>
          <w:rFonts w:ascii="Calibri" w:hAnsi="Calibri"/>
          <w:b/>
          <w:i/>
          <w:iCs/>
          <w:lang w:val="it-CH"/>
        </w:rPr>
        <w:t>2.5.2.3 Programul Operațional Competitivitate (POC)</w:t>
      </w:r>
      <w:r w:rsidRPr="00BD4A3E">
        <w:rPr>
          <w:rFonts w:ascii="Calibri" w:hAnsi="Calibri" w:cs="Arial"/>
          <w:bCs/>
          <w:vertAlign w:val="superscript"/>
        </w:rPr>
        <w:footnoteReference w:id="30"/>
      </w:r>
    </w:p>
    <w:p w:rsidR="00BD4A3E" w:rsidRPr="00BD4A3E" w:rsidRDefault="00BD4A3E" w:rsidP="00BD4A3E">
      <w:pPr>
        <w:tabs>
          <w:tab w:val="left" w:pos="3195"/>
        </w:tabs>
        <w:spacing w:before="120" w:after="120"/>
        <w:jc w:val="both"/>
        <w:rPr>
          <w:rFonts w:ascii="Calibri" w:eastAsia="Calibri" w:hAnsi="Calibri" w:cs="Arial"/>
          <w:bCs/>
          <w:i/>
          <w:iCs/>
          <w:lang w:val="ro-RO"/>
        </w:rPr>
      </w:pPr>
      <w:r w:rsidRPr="00BD4A3E">
        <w:rPr>
          <w:rFonts w:ascii="Calibri" w:eastAsia="Calibri" w:hAnsi="Calibri" w:cs="Arial"/>
          <w:bCs/>
          <w:iCs/>
          <w:lang w:val="ro-RO"/>
        </w:rPr>
        <w:t>Obiectivul general al POC este de a contribui la realizarea obiectivului global al Acordului de Parteneriat prin susținerea CDI și TIC pentru competitivitate și dezvoltare. POC propune soluții nevoilor și provocărilor legate de nivelul redus al competitivității economice la nivel național, în special în ceea ce privește (a) sprijinul insuficient pentru CDI și (b) infrastructura subdezvoltată de TIC și implicit servicii slab dezvoltate.</w:t>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
          <w:bCs/>
          <w:iCs/>
          <w:lang w:val="ro-RO"/>
        </w:rPr>
        <w:t xml:space="preserve">Bugetul </w:t>
      </w:r>
      <w:r w:rsidRPr="00BD4A3E">
        <w:rPr>
          <w:rFonts w:ascii="Calibri" w:eastAsia="Calibri" w:hAnsi="Calibri" w:cs="Arial"/>
          <w:bCs/>
          <w:iCs/>
          <w:lang w:val="ro-RO"/>
        </w:rPr>
        <w:t>total al POC este de</w:t>
      </w:r>
      <w:r w:rsidRPr="00BD4A3E">
        <w:rPr>
          <w:rFonts w:ascii="Calibri" w:eastAsia="Calibri" w:hAnsi="Calibri" w:cs="Arial"/>
          <w:b/>
          <w:bCs/>
          <w:iCs/>
          <w:lang w:val="ro-RO"/>
        </w:rPr>
        <w:t xml:space="preserve"> 1,58 miliarde euro</w:t>
      </w:r>
      <w:r w:rsidRPr="00BD4A3E">
        <w:rPr>
          <w:rFonts w:ascii="Calibri" w:eastAsia="Calibri" w:hAnsi="Calibri" w:cs="Arial"/>
          <w:bCs/>
          <w:iCs/>
          <w:lang w:val="ro-RO"/>
        </w:rPr>
        <w:t>, din care 1,33 miliarde euro contribuție UE (inclusiv rezerva de performanță). Conform versiunii aprobate de CE, POC va finanța investiții din diferite domenii, prin intermediul următoarelor axe prioritare (AP):</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AP1 – Cercetare, dezvoltare tehnologică și inovare în sprijinul competitivității economice și dezvoltării afacerilor</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AP2 – Tehnologia informației și comunicațiilor pentru o economie digitală competitivă</w:t>
      </w:r>
    </w:p>
    <w:p w:rsidR="00BD4A3E" w:rsidRPr="00BD4A3E" w:rsidRDefault="00BD4A3E" w:rsidP="00BD4A3E">
      <w:pPr>
        <w:keepLines/>
        <w:spacing w:before="40" w:beforeAutospacing="1" w:after="100" w:afterAutospacing="1"/>
        <w:ind w:left="720" w:hanging="360"/>
        <w:jc w:val="both"/>
        <w:outlineLvl w:val="2"/>
        <w:rPr>
          <w:rFonts w:ascii="Calibri" w:hAnsi="Calibri" w:cs="Arial"/>
          <w:bCs/>
          <w:vertAlign w:val="superscript"/>
          <w:lang w:val="it-CH"/>
        </w:rPr>
      </w:pPr>
      <w:r w:rsidRPr="00BD4A3E">
        <w:rPr>
          <w:rFonts w:ascii="Calibri" w:hAnsi="Calibri"/>
          <w:b/>
          <w:i/>
          <w:iCs/>
          <w:lang w:val="it-CH"/>
        </w:rPr>
        <w:t>2.5.2.4 Programul Operațional PO Asistență Tehnică (POAT)</w:t>
      </w:r>
      <w:r w:rsidRPr="00BD4A3E">
        <w:rPr>
          <w:rFonts w:ascii="Calibri" w:hAnsi="Calibri" w:cs="Arial"/>
          <w:bCs/>
          <w:vertAlign w:val="superscript"/>
        </w:rPr>
        <w:footnoteReference w:id="31"/>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Cs/>
          <w:iCs/>
          <w:lang w:val="ro-RO"/>
        </w:rPr>
        <w:t>POAT 2014-2020 are drept scop asigurarea unui proces de implementare eficientă şi eficace a Fondurilor Europene Structurale și de Investiții în România în conformitate cu principiile şi regulile de parteneriat, programare, evaluare, comunicare, management, inclusiv management financiar, monitorizare şi control, pe baza responsabilităţilor împărţite între Statele Membre şi Comisia Europeană.</w:t>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Cs/>
          <w:iCs/>
          <w:lang w:val="ro-RO"/>
        </w:rPr>
        <w:t>Obiectivul global al POAT 2014-2020 este de a asigura capacitatea şi instrumentele necesare pentru o eficientă coordonare, gestionare şi control al intervenţiilor finanţate din Fondurile Europene Structurale şi de Investiţii, precum şi o implementare eficientă, bine orientată şi corectă a POAT, Programului Operaţional Infrastructură Mare (POIM) şi a Programului Operaţional Competitivitate (POC).</w:t>
      </w:r>
    </w:p>
    <w:p w:rsidR="00BD4A3E" w:rsidRPr="00BD4A3E" w:rsidRDefault="00BD4A3E" w:rsidP="00BD4A3E">
      <w:pPr>
        <w:tabs>
          <w:tab w:val="left" w:pos="3195"/>
        </w:tabs>
        <w:spacing w:before="120" w:after="120"/>
        <w:jc w:val="both"/>
        <w:rPr>
          <w:rFonts w:ascii="Calibri" w:eastAsia="Calibri" w:hAnsi="Calibri" w:cs="Arial"/>
          <w:bCs/>
          <w:iCs/>
          <w:lang w:val="ro-RO"/>
        </w:rPr>
      </w:pPr>
      <w:r w:rsidRPr="00BD4A3E">
        <w:rPr>
          <w:rFonts w:ascii="Calibri" w:eastAsia="Calibri" w:hAnsi="Calibri" w:cs="Arial"/>
          <w:b/>
          <w:bCs/>
          <w:iCs/>
          <w:lang w:val="ro-RO"/>
        </w:rPr>
        <w:t xml:space="preserve">Bugetul </w:t>
      </w:r>
      <w:r w:rsidRPr="00BD4A3E">
        <w:rPr>
          <w:rFonts w:ascii="Calibri" w:eastAsia="Calibri" w:hAnsi="Calibri" w:cs="Arial"/>
          <w:bCs/>
          <w:iCs/>
          <w:lang w:val="ro-RO"/>
        </w:rPr>
        <w:t>total al POAT este de</w:t>
      </w:r>
      <w:r w:rsidRPr="00BD4A3E">
        <w:rPr>
          <w:rFonts w:ascii="Calibri" w:eastAsia="Calibri" w:hAnsi="Calibri" w:cs="Arial"/>
          <w:b/>
          <w:bCs/>
          <w:iCs/>
          <w:lang w:val="ro-RO"/>
        </w:rPr>
        <w:t xml:space="preserve"> 298,27 milioane euro</w:t>
      </w:r>
      <w:r w:rsidRPr="00BD4A3E">
        <w:rPr>
          <w:rFonts w:ascii="Calibri" w:eastAsia="Calibri" w:hAnsi="Calibri" w:cs="Arial"/>
          <w:bCs/>
          <w:iCs/>
          <w:lang w:val="ro-RO"/>
        </w:rPr>
        <w:t>, din care 252,76 milioane euro contribuție UE (inclusiv rezerva de performanță). Conform versiunii aprobate de CE, POAT va finanța proiecte prin intermediul următoarelor axe prioritare (AP):</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 xml:space="preserve">AP 1 - Întărirea capacității beneficiarilor de a pregăti și implementa proiecte finanțate din FESI și diseminarea informațiilor privind aceste fonduri </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2 - Sprijin pentru coordonarea, gestionarea şi controlul FESI</w:t>
      </w:r>
    </w:p>
    <w:p w:rsidR="00BD4A3E" w:rsidRPr="00BD4A3E" w:rsidRDefault="00BD4A3E" w:rsidP="00BD4A3E">
      <w:pPr>
        <w:tabs>
          <w:tab w:val="left" w:pos="3195"/>
        </w:tabs>
        <w:spacing w:before="120" w:after="120"/>
        <w:ind w:left="284"/>
        <w:jc w:val="both"/>
        <w:rPr>
          <w:rFonts w:ascii="Calibri" w:eastAsia="Calibri" w:hAnsi="Calibri" w:cs="Arial"/>
          <w:bCs/>
          <w:iCs/>
          <w:lang w:val="ro-RO"/>
        </w:rPr>
      </w:pPr>
      <w:r w:rsidRPr="00BD4A3E">
        <w:rPr>
          <w:rFonts w:ascii="Calibri" w:eastAsia="Calibri" w:hAnsi="Calibri" w:cs="Arial"/>
          <w:bCs/>
          <w:iCs/>
          <w:lang w:val="ro-RO"/>
        </w:rPr>
        <w:t>AP 3 - Creșterea eficienței și eficacității resurselor umane implicate în sistemul de coordonare, gestionare şi control al FESI</w:t>
      </w:r>
    </w:p>
    <w:p w:rsidR="00BD4A3E" w:rsidRPr="00BD4A3E" w:rsidRDefault="00BD4A3E" w:rsidP="00BD4A3E">
      <w:pPr>
        <w:keepLines/>
        <w:spacing w:before="40" w:beforeAutospacing="1" w:after="100" w:afterAutospacing="1"/>
        <w:ind w:left="720" w:hanging="360"/>
        <w:jc w:val="both"/>
        <w:outlineLvl w:val="2"/>
        <w:rPr>
          <w:rFonts w:ascii="Calibri" w:hAnsi="Calibri"/>
          <w:b/>
          <w:i/>
          <w:iCs/>
          <w:lang w:val="ro-RO"/>
        </w:rPr>
      </w:pPr>
      <w:r w:rsidRPr="00BD4A3E">
        <w:rPr>
          <w:rFonts w:ascii="Calibri" w:hAnsi="Calibri"/>
          <w:b/>
          <w:i/>
          <w:iCs/>
          <w:lang w:val="ro-RO"/>
        </w:rPr>
        <w:t>2.5.2.5  Programul Operaţional Ajutorarea Persoanelor Dezavantajate (POAD)</w:t>
      </w:r>
    </w:p>
    <w:p w:rsidR="00BD4A3E" w:rsidRPr="00BD4A3E" w:rsidRDefault="00BD4A3E" w:rsidP="00BD4A3E">
      <w:pPr>
        <w:spacing w:before="120" w:after="120"/>
        <w:jc w:val="both"/>
        <w:rPr>
          <w:rFonts w:ascii="Calibri" w:hAnsi="Calibri" w:cs="Arial"/>
          <w:bCs/>
          <w:lang w:val="ro-RO"/>
        </w:rPr>
      </w:pPr>
      <w:r w:rsidRPr="00BD4A3E">
        <w:rPr>
          <w:rFonts w:ascii="Calibri" w:hAnsi="Calibri" w:cs="Arial"/>
          <w:bCs/>
          <w:lang w:val="ro-RO"/>
        </w:rPr>
        <w:t>POAD asigură pe întreaga perioadă 2014 - 2020 în principal, distribuția gratuită de ajutoare alimentare în toate localitățile din ţară în favoarea persoanelor dezavantajate. POAD este o continuare a Planului european de furnizare ajutoare alimentare în beneficiul persoanelor cele mai defavorizate (PEAD) derulat în perioada 2007 -2013.</w:t>
      </w:r>
    </w:p>
    <w:p w:rsidR="00BD4A3E" w:rsidRPr="00BD4A3E" w:rsidRDefault="00BD4A3E" w:rsidP="00BD4A3E">
      <w:pPr>
        <w:spacing w:before="120" w:after="120"/>
        <w:jc w:val="both"/>
        <w:rPr>
          <w:rFonts w:ascii="Calibri" w:hAnsi="Calibri" w:cs="Arial"/>
          <w:bCs/>
          <w:lang w:val="ro-RO"/>
        </w:rPr>
      </w:pPr>
      <w:r w:rsidRPr="00BD4A3E">
        <w:rPr>
          <w:rFonts w:ascii="Calibri" w:hAnsi="Calibri" w:cs="Arial"/>
          <w:bCs/>
          <w:lang w:val="ro-RO"/>
        </w:rPr>
        <w:t xml:space="preserve">Programul este finanțat în proporție de 85% din Fondul de ajutor european destinat celor mai defavorizate persoane și în proporție de 15% din bugetul național. </w:t>
      </w:r>
      <w:r w:rsidRPr="00BD4A3E">
        <w:rPr>
          <w:rFonts w:ascii="Calibri" w:hAnsi="Calibri" w:cs="Arial"/>
          <w:b/>
          <w:bCs/>
          <w:lang w:val="ro-RO"/>
        </w:rPr>
        <w:t xml:space="preserve">Bugetul </w:t>
      </w:r>
      <w:r w:rsidRPr="00BD4A3E">
        <w:rPr>
          <w:rFonts w:ascii="Calibri" w:hAnsi="Calibri" w:cs="Arial"/>
          <w:bCs/>
          <w:lang w:val="ro-RO"/>
        </w:rPr>
        <w:t>total al POAD este de</w:t>
      </w:r>
      <w:r w:rsidRPr="00BD4A3E">
        <w:rPr>
          <w:rFonts w:ascii="Calibri" w:hAnsi="Calibri" w:cs="Arial"/>
          <w:b/>
          <w:bCs/>
          <w:lang w:val="ro-RO"/>
        </w:rPr>
        <w:t xml:space="preserve"> 0,52 miliarde euro</w:t>
      </w:r>
      <w:r w:rsidRPr="00BD4A3E">
        <w:rPr>
          <w:rFonts w:ascii="Calibri" w:hAnsi="Calibri" w:cs="Arial"/>
          <w:bCs/>
          <w:lang w:val="ro-RO"/>
        </w:rPr>
        <w:t>, din care 0,44 miliarde euro contribuție UE.</w:t>
      </w:r>
    </w:p>
    <w:p w:rsidR="00BD4A3E" w:rsidRPr="00BD4A3E" w:rsidRDefault="00BD4A3E" w:rsidP="00BD4A3E">
      <w:pPr>
        <w:spacing w:before="120" w:after="120"/>
        <w:jc w:val="both"/>
        <w:rPr>
          <w:rFonts w:ascii="Calibri" w:hAnsi="Calibri" w:cs="Arial"/>
          <w:bCs/>
          <w:lang w:val="ro-RO"/>
        </w:rPr>
      </w:pPr>
      <w:r w:rsidRPr="00BD4A3E">
        <w:rPr>
          <w:rFonts w:ascii="Calibri" w:hAnsi="Calibri" w:cs="Arial"/>
          <w:bCs/>
          <w:lang w:val="ro-RO"/>
        </w:rPr>
        <w:t>Având în vedere că în decembrie 2016 a fost obținută acreditarea sistemului de management și control pentru acest PO, s-a solicitat CE suma de 4,29 mil euro, ceea ce reprezintă aprox. 1% din alocarea UE aferentă PO. Tot în decembrie 2016, Comisia Europeană a rambursat pentru POAD 3,86 mil. euro, ceea ce reprezintă 0,88% din alocarea programului.</w:t>
      </w:r>
    </w:p>
    <w:p w:rsidR="00BD4A3E" w:rsidRPr="00BD4A3E" w:rsidRDefault="00BD4A3E" w:rsidP="00BD4A3E">
      <w:pPr>
        <w:keepNext/>
        <w:widowControl w:val="0"/>
        <w:spacing w:after="120"/>
        <w:jc w:val="both"/>
        <w:outlineLvl w:val="3"/>
        <w:rPr>
          <w:rFonts w:ascii="Calibri" w:hAnsi="Calibri"/>
          <w:b/>
          <w:i/>
          <w:szCs w:val="20"/>
          <w:u w:val="single"/>
          <w:lang w:val="ro-RO"/>
        </w:rPr>
      </w:pPr>
      <w:r w:rsidRPr="00BD4A3E">
        <w:rPr>
          <w:rFonts w:ascii="Calibri" w:hAnsi="Calibri"/>
          <w:b/>
          <w:i/>
          <w:szCs w:val="20"/>
          <w:u w:val="single"/>
          <w:lang w:val="ro-RO"/>
        </w:rPr>
        <w:t>2.5.2* Programe gestionate de România în perioada 2014-2020, prin intermediul MDRAP</w:t>
      </w:r>
      <w:r w:rsidRPr="00BD4A3E">
        <w:rPr>
          <w:rFonts w:ascii="Calibri" w:hAnsi="Calibri" w:cs="Arial"/>
          <w:b/>
          <w:i/>
          <w:iCs/>
          <w:sz w:val="22"/>
          <w:szCs w:val="22"/>
          <w:u w:val="single"/>
          <w:vertAlign w:val="superscript"/>
          <w:lang w:val="ro-RO"/>
        </w:rPr>
        <w:footnoteReference w:id="32"/>
      </w:r>
      <w:r w:rsidRPr="00BD4A3E">
        <w:rPr>
          <w:rFonts w:ascii="Calibri" w:hAnsi="Calibri"/>
          <w:b/>
          <w:i/>
          <w:szCs w:val="20"/>
          <w:u w:val="single"/>
          <w:lang w:val="ro-RO"/>
        </w:rPr>
        <w:t xml:space="preserve">: </w:t>
      </w:r>
    </w:p>
    <w:p w:rsidR="00BD4A3E" w:rsidRPr="00BD4A3E" w:rsidRDefault="00BD4A3E" w:rsidP="00BD4A3E">
      <w:pPr>
        <w:keepLines/>
        <w:spacing w:before="40" w:beforeAutospacing="1" w:after="100" w:afterAutospacing="1"/>
        <w:ind w:left="720" w:hanging="360"/>
        <w:jc w:val="both"/>
        <w:outlineLvl w:val="2"/>
        <w:rPr>
          <w:rFonts w:ascii="Calibri" w:hAnsi="Calibri"/>
          <w:b/>
          <w:i/>
          <w:iCs/>
          <w:lang w:val="ro-RO"/>
        </w:rPr>
      </w:pPr>
      <w:r w:rsidRPr="00BD4A3E">
        <w:rPr>
          <w:rFonts w:ascii="Calibri" w:hAnsi="Calibri"/>
          <w:b/>
          <w:i/>
          <w:iCs/>
          <w:lang w:val="ro-RO"/>
        </w:rPr>
        <w:t>2.5.2.6. Programul Operațional Regional (POR)</w:t>
      </w:r>
      <w:r w:rsidRPr="00BD4A3E">
        <w:rPr>
          <w:rFonts w:ascii="Calibri" w:hAnsi="Calibri" w:cs="Arial"/>
          <w:bCs/>
          <w:vertAlign w:val="superscript"/>
        </w:rPr>
        <w:footnoteReference w:id="33"/>
      </w:r>
    </w:p>
    <w:p w:rsidR="00BD4A3E" w:rsidRPr="00BD4A3E" w:rsidRDefault="00BD4A3E" w:rsidP="00BD4A3E">
      <w:pPr>
        <w:spacing w:before="120" w:after="120"/>
        <w:jc w:val="both"/>
        <w:rPr>
          <w:rFonts w:ascii="Calibri" w:hAnsi="Calibri" w:cs="Arial"/>
          <w:lang w:val="ro-RO"/>
        </w:rPr>
      </w:pPr>
      <w:r w:rsidRPr="00BD4A3E">
        <w:rPr>
          <w:rFonts w:ascii="Calibri" w:hAnsi="Calibri" w:cs="Arial"/>
          <w:lang w:val="ro-RO"/>
        </w:rPr>
        <w:t xml:space="preserve">MDRAP este Autoritate de Management pentru POR 2014-2020 și își propune să asigure continuitatea viziunii strategice privind dezvoltarea regională în România, prin completarea direcțiilor și priorităților de dezvoltare regională și implementate prin POR 2007-2013, precum și prin alte programe naționale. </w:t>
      </w:r>
    </w:p>
    <w:p w:rsidR="00BD4A3E" w:rsidRPr="00BD4A3E" w:rsidRDefault="00BD4A3E" w:rsidP="00BD4A3E">
      <w:pPr>
        <w:spacing w:before="120" w:after="120"/>
        <w:jc w:val="both"/>
        <w:rPr>
          <w:rFonts w:ascii="Calibri" w:hAnsi="Calibri" w:cs="Arial"/>
          <w:lang w:val="ro-RO"/>
        </w:rPr>
      </w:pPr>
      <w:r w:rsidRPr="00BD4A3E">
        <w:rPr>
          <w:rFonts w:ascii="Calibri" w:hAnsi="Calibri" w:cs="Arial"/>
          <w:b/>
          <w:lang w:val="ro-RO"/>
        </w:rPr>
        <w:t xml:space="preserve">Bugetul total </w:t>
      </w:r>
      <w:r w:rsidRPr="00BD4A3E">
        <w:rPr>
          <w:rFonts w:ascii="Calibri" w:hAnsi="Calibri" w:cs="Arial"/>
          <w:lang w:val="ro-RO"/>
        </w:rPr>
        <w:t>al POR 2014-2020 este de</w:t>
      </w:r>
      <w:r w:rsidRPr="00BD4A3E">
        <w:rPr>
          <w:rFonts w:ascii="Calibri" w:hAnsi="Calibri" w:cs="Arial"/>
          <w:b/>
          <w:lang w:val="ro-RO"/>
        </w:rPr>
        <w:t xml:space="preserve"> 8,36 miliarde euro,</w:t>
      </w:r>
      <w:r w:rsidRPr="00BD4A3E">
        <w:rPr>
          <w:rFonts w:ascii="Calibri" w:hAnsi="Calibri" w:cs="Arial"/>
          <w:lang w:val="ro-RO"/>
        </w:rPr>
        <w:t xml:space="preserve"> din care 6,86 miliarde euro (inclusiv rezerva de performanță) reprezintă sprijinul UE, prin Fondul European pentru Dezvoltare Regională, respectiv 1,52 miliarde euro contribuția națională, asigurată din fonduri publice naționale (buget de stat, bugete locale).</w:t>
      </w:r>
    </w:p>
    <w:p w:rsidR="00BD4A3E" w:rsidRPr="00BD4A3E" w:rsidRDefault="00BD4A3E" w:rsidP="00BD4A3E">
      <w:pPr>
        <w:spacing w:before="120" w:after="120"/>
        <w:jc w:val="both"/>
        <w:rPr>
          <w:rFonts w:ascii="Calibri" w:hAnsi="Calibri" w:cs="Arial"/>
          <w:lang w:val="ro-RO"/>
        </w:rPr>
      </w:pPr>
      <w:r w:rsidRPr="00BD4A3E">
        <w:rPr>
          <w:rFonts w:ascii="Calibri" w:hAnsi="Calibri" w:cs="Arial"/>
          <w:b/>
          <w:lang w:val="ro-RO"/>
        </w:rPr>
        <w:t xml:space="preserve">Obiectivul general </w:t>
      </w:r>
      <w:r w:rsidRPr="00BD4A3E">
        <w:rPr>
          <w:rFonts w:ascii="Calibri" w:hAnsi="Calibri" w:cs="Arial"/>
          <w:lang w:val="ro-RO"/>
        </w:rPr>
        <w:t>al POR 2014-2020 este creșterea competitivității economice și îmbunătățirea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p>
    <w:p w:rsidR="00BD4A3E" w:rsidRPr="00BD4A3E" w:rsidRDefault="00BD4A3E" w:rsidP="00BD4A3E">
      <w:pPr>
        <w:spacing w:before="120" w:after="120"/>
        <w:jc w:val="both"/>
        <w:rPr>
          <w:rFonts w:ascii="Calibri" w:hAnsi="Calibri" w:cs="Arial"/>
          <w:lang w:val="ro-RO"/>
        </w:rPr>
      </w:pPr>
      <w:r w:rsidRPr="00BD4A3E">
        <w:rPr>
          <w:rFonts w:ascii="Calibri" w:hAnsi="Calibri" w:cs="Arial"/>
          <w:lang w:val="ro-RO"/>
        </w:rPr>
        <w:t>Conform versiunii oficiale a POR 2014-2020, acesta va finanța investiții din diferite domenii, prin intermediul următoarelor axe prioritare:</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 Promovarea transferului tehnologic;</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2) Îmbunătățirea competitivității întreprinderilor mici și mijlocii;</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3) Sprijinirea creșterii eficienței energetice în clădirile publice;</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4) Sprijinirea dezvoltării urbane durabile;</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5) Conservarea, protecția și valorificarea durabilă a patrimoniului cultural;</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6) Îmbunătățirea infrastructurii rutiere de importanță regională și locală;</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7) Diversificarea economiilor locale prin dezvoltarea durabilă a turismului;</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8) Dezvoltarea infrastructurii sanitare și sociale;</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9) Sprijinirea regenerării economice și sociale a comunităților defavorizate din mediul urban;</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10) Îmbunătățirea infrastructurii educaționale;</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11) Extinderea geografică a sistemului de înregistrare a proprietăților în cadastru și cartea funciară;</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12) Asistența tehnică;</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13) Sprijinirea regenerării orașelor mici și mijlocii;</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14) Crearea infrastructurii spitalelor regionale de urgență;</w:t>
      </w:r>
    </w:p>
    <w:p w:rsidR="00BD4A3E" w:rsidRPr="00BD4A3E" w:rsidRDefault="00BD4A3E" w:rsidP="00BD4A3E">
      <w:pPr>
        <w:ind w:left="284"/>
        <w:jc w:val="both"/>
        <w:rPr>
          <w:rFonts w:ascii="Calibri" w:hAnsi="Calibri" w:cs="Arial"/>
          <w:lang w:val="ro-RO"/>
        </w:rPr>
      </w:pPr>
      <w:r w:rsidRPr="00BD4A3E">
        <w:rPr>
          <w:rFonts w:ascii="Calibri" w:hAnsi="Calibri" w:cs="Arial"/>
          <w:lang w:val="ro-RO"/>
        </w:rPr>
        <w:t>15) Inițiativa pentru IMM-uri.</w:t>
      </w:r>
    </w:p>
    <w:p w:rsidR="00BD4A3E" w:rsidRPr="00BD4A3E" w:rsidRDefault="00BD4A3E" w:rsidP="00BD4A3E">
      <w:pPr>
        <w:ind w:left="284"/>
        <w:jc w:val="both"/>
        <w:rPr>
          <w:rFonts w:ascii="Calibri" w:hAnsi="Calibri" w:cs="Arial"/>
          <w:lang w:val="ro-RO"/>
        </w:rPr>
      </w:pPr>
    </w:p>
    <w:p w:rsidR="00BD4A3E" w:rsidRPr="00BD4A3E" w:rsidRDefault="00BD4A3E" w:rsidP="00BD4A3E">
      <w:pPr>
        <w:spacing w:after="120" w:line="276" w:lineRule="auto"/>
        <w:jc w:val="both"/>
        <w:rPr>
          <w:rFonts w:asciiTheme="minorHAnsi" w:eastAsia="Calibri" w:hAnsiTheme="minorHAnsi"/>
          <w:lang w:val="ro-RO"/>
        </w:rPr>
      </w:pPr>
      <w:r w:rsidRPr="00BD4A3E">
        <w:rPr>
          <w:rFonts w:asciiTheme="minorHAnsi" w:eastAsia="Calibri" w:hAnsiTheme="minorHAnsi"/>
          <w:lang w:val="ro-RO"/>
        </w:rPr>
        <w:t xml:space="preserve">Axele prioritare 14 și 15 au fost introduse în cadrul POR 2014–2020 ca urmare a aprobării modificării programului prin decizia Comisiei Europene  nr. C(2018)6889/16.10.2018. </w:t>
      </w:r>
    </w:p>
    <w:p w:rsidR="00BD4A3E" w:rsidRPr="00BD4A3E" w:rsidRDefault="00BD4A3E" w:rsidP="00BD4A3E">
      <w:pPr>
        <w:spacing w:after="120" w:line="276" w:lineRule="auto"/>
        <w:jc w:val="both"/>
        <w:rPr>
          <w:rFonts w:asciiTheme="minorHAnsi" w:eastAsia="Calibri" w:hAnsiTheme="minorHAnsi"/>
          <w:lang w:val="ro-RO"/>
        </w:rPr>
      </w:pPr>
      <w:r w:rsidRPr="00BD4A3E">
        <w:rPr>
          <w:rFonts w:asciiTheme="minorHAnsi" w:eastAsia="Calibri" w:hAnsiTheme="minorHAnsi"/>
          <w:lang w:val="ro-RO"/>
        </w:rPr>
        <w:t>Axa prioritară 14  - Crearea infrastructurii spitalelor regionale de urgență nu introduce tipuri de activități noi în cadrul POR. Având în vedere specificul celor trei proiecte majore privind construcția spitalelor regionale s-a considerat necesară delimitarea față de celelalte intervenții dedicate domeniului sănătății. Deși per ansamblu, atât intervențiile din axa 8 (ambulatorii, unități primiri urgențe, ambulanțe), cât și cele din axa 14 nou creată (spitale regionale) contribuie la aceleași obiective, sunt aplicabile rate de cofinanțare diferite din partea FEDR.</w:t>
      </w:r>
    </w:p>
    <w:p w:rsidR="00BD4A3E" w:rsidRPr="00BD4A3E" w:rsidRDefault="00BD4A3E" w:rsidP="00BD4A3E">
      <w:pPr>
        <w:spacing w:after="120" w:line="276" w:lineRule="auto"/>
        <w:jc w:val="both"/>
        <w:rPr>
          <w:rFonts w:asciiTheme="minorHAnsi" w:eastAsia="Calibri" w:hAnsiTheme="minorHAnsi"/>
          <w:lang w:val="ro-RO"/>
        </w:rPr>
      </w:pPr>
      <w:r w:rsidRPr="00BD4A3E">
        <w:rPr>
          <w:rFonts w:asciiTheme="minorHAnsi" w:eastAsia="Calibri" w:hAnsiTheme="minorHAnsi"/>
          <w:lang w:val="ro-RO"/>
        </w:rPr>
        <w:t xml:space="preserve">Având în vedere că Regulamentul nr. 1046/2018 de modificare a Regulamentului General nr. 1303/2013 permite statelor membre să implementeze Inițiativa pentru IMM-uri  ca o axă separată în cadrul programelor operaționale finanțate din FEDR, s-a aprobat includerea Programului Operațional Inițiativa pentru IMM-uri ca axă prioritară distinctă în cadrul POR, respectiv a axa prioritară nr. 15 - Inițiativa pentru IMM-uri. </w:t>
      </w:r>
    </w:p>
    <w:p w:rsidR="00BD4A3E" w:rsidRPr="00BD4A3E" w:rsidRDefault="00BD4A3E" w:rsidP="00BD4A3E">
      <w:pPr>
        <w:spacing w:after="120" w:line="276" w:lineRule="auto"/>
        <w:jc w:val="both"/>
        <w:rPr>
          <w:rFonts w:asciiTheme="minorHAnsi" w:eastAsia="Calibri" w:hAnsiTheme="minorHAnsi"/>
          <w:lang w:val="ro-RO"/>
        </w:rPr>
      </w:pPr>
      <w:r w:rsidRPr="00BD4A3E">
        <w:rPr>
          <w:rFonts w:asciiTheme="minorHAnsi" w:eastAsia="Calibri" w:hAnsiTheme="minorHAnsi"/>
          <w:lang w:val="ro-RO"/>
        </w:rPr>
        <w:t>De asemenea, având în vedere cererea ridicată existentă pentru tipul de instrument financiar implementat prin Inițiativa pentru IMM-uri (IMM), s-a suplimentat alocarea financiară a Inițiativei pentru IMM-uri prin realocarea sumei de 150 milioane euro FEDR (respectiv 100 mil euro FEDR prevăzuți în POR pentru implementarea instrumentului financiar în cadrul Axei Prioritare 2 – credit cu dobândă subvenționată și 50 milioane euro FEDR din cadrul Axei Prioritare 1 a POR).</w:t>
      </w:r>
    </w:p>
    <w:p w:rsidR="00BD4A3E" w:rsidRPr="00BD4A3E" w:rsidRDefault="00BD4A3E" w:rsidP="00BD4A3E">
      <w:pPr>
        <w:spacing w:after="120"/>
        <w:jc w:val="both"/>
        <w:rPr>
          <w:rFonts w:asciiTheme="minorHAnsi" w:eastAsia="Calibri" w:hAnsiTheme="minorHAnsi"/>
          <w:lang w:val="ro-RO"/>
        </w:rPr>
      </w:pPr>
      <w:r w:rsidRPr="00BD4A3E">
        <w:rPr>
          <w:rFonts w:asciiTheme="minorHAnsi" w:eastAsia="Calibri" w:hAnsiTheme="minorHAnsi"/>
          <w:lang w:val="ro-RO"/>
        </w:rPr>
        <w:t>În ceea ce privește celelalte tipuri de informații solicitate, precizăm următoarele:</w:t>
      </w:r>
    </w:p>
    <w:p w:rsidR="00BD4A3E" w:rsidRPr="00BD4A3E" w:rsidRDefault="00BD4A3E" w:rsidP="00021698">
      <w:pPr>
        <w:numPr>
          <w:ilvl w:val="0"/>
          <w:numId w:val="106"/>
        </w:numPr>
        <w:spacing w:after="120" w:line="276" w:lineRule="auto"/>
        <w:ind w:left="360"/>
        <w:jc w:val="both"/>
        <w:rPr>
          <w:rFonts w:asciiTheme="minorHAnsi" w:eastAsia="Calibri" w:hAnsiTheme="minorHAnsi"/>
          <w:b/>
          <w:lang w:val="ro-RO"/>
        </w:rPr>
      </w:pPr>
      <w:r w:rsidRPr="00BD4A3E">
        <w:rPr>
          <w:rFonts w:asciiTheme="minorHAnsi" w:eastAsia="Calibri" w:hAnsiTheme="minorHAnsi"/>
          <w:b/>
          <w:i/>
          <w:lang w:val="ro-RO"/>
        </w:rPr>
        <w:t>Informații relevante privind rata de absorbție</w:t>
      </w:r>
      <w:r w:rsidRPr="00BD4A3E">
        <w:rPr>
          <w:rFonts w:asciiTheme="minorHAnsi" w:eastAsia="Calibri" w:hAnsiTheme="minorHAnsi"/>
          <w:b/>
          <w:lang w:val="ro-RO"/>
        </w:rPr>
        <w:t xml:space="preserve">: </w:t>
      </w:r>
    </w:p>
    <w:p w:rsidR="00BD4A3E" w:rsidRPr="00BD4A3E" w:rsidRDefault="00BD4A3E" w:rsidP="00021698">
      <w:pPr>
        <w:numPr>
          <w:ilvl w:val="0"/>
          <w:numId w:val="107"/>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 xml:space="preserve">Gradul de absorbție al fondurilor europene în cadrul POR este în procent de </w:t>
      </w:r>
      <w:r w:rsidRPr="00BD4A3E">
        <w:rPr>
          <w:rFonts w:asciiTheme="minorHAnsi" w:eastAsia="Calibri" w:hAnsiTheme="minorHAnsi"/>
          <w:bCs/>
          <w:lang w:val="ro-RO"/>
        </w:rPr>
        <w:t>2,88%</w:t>
      </w:r>
      <w:r w:rsidRPr="00BD4A3E">
        <w:rPr>
          <w:rFonts w:asciiTheme="minorHAnsi" w:eastAsia="Calibri" w:hAnsiTheme="minorHAnsi"/>
          <w:lang w:val="ro-RO"/>
        </w:rPr>
        <w:t xml:space="preserve"> reprezentând o valoare FEDR în sumă de 197,49 milioane euro, solicitată la rambursare de către Comisia Europeană, prin intermediul aplicațiilor de plată transmise de Autoritatea de Certificare și Plată (inclusiv pentru Axa prioritară 15 – Inițiativa pentru Întreprinderile Mici și Mijlocii);</w:t>
      </w:r>
    </w:p>
    <w:p w:rsidR="00BD4A3E" w:rsidRPr="00BD4A3E" w:rsidRDefault="00BD4A3E" w:rsidP="00021698">
      <w:pPr>
        <w:numPr>
          <w:ilvl w:val="0"/>
          <w:numId w:val="107"/>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 xml:space="preserve">Plățile efectuate de către Autoritatea de Management pentru POR către beneficiarii de proiecte/Fondul European de Investiții, reprezentând fonduri europene (FEDR) și cofinanțare de la bugetul de stat sunt în valoare de </w:t>
      </w:r>
      <w:r w:rsidRPr="00BD4A3E">
        <w:rPr>
          <w:rFonts w:asciiTheme="minorHAnsi" w:eastAsia="Calibri" w:hAnsiTheme="minorHAnsi"/>
          <w:bCs/>
          <w:lang w:val="ro-RO"/>
        </w:rPr>
        <w:t xml:space="preserve"> 360,56 milioane euro (prefinanțate, cereri de rambursare și cereri de plată);</w:t>
      </w:r>
    </w:p>
    <w:p w:rsidR="00BD4A3E" w:rsidRPr="00BD4A3E" w:rsidRDefault="00BD4A3E" w:rsidP="00021698">
      <w:pPr>
        <w:numPr>
          <w:ilvl w:val="0"/>
          <w:numId w:val="107"/>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Până în prezent a fost realizat un FEDR eligibil în valoare de 293,47 milioane euro.</w:t>
      </w:r>
    </w:p>
    <w:p w:rsidR="00BD4A3E" w:rsidRPr="00BD4A3E" w:rsidRDefault="00BD4A3E" w:rsidP="00021698">
      <w:pPr>
        <w:numPr>
          <w:ilvl w:val="0"/>
          <w:numId w:val="106"/>
        </w:numPr>
        <w:spacing w:after="120" w:line="276" w:lineRule="auto"/>
        <w:ind w:left="360"/>
        <w:jc w:val="both"/>
        <w:rPr>
          <w:rFonts w:asciiTheme="minorHAnsi" w:eastAsia="Calibri" w:hAnsiTheme="minorHAnsi"/>
          <w:b/>
          <w:i/>
          <w:lang w:val="ro-RO"/>
        </w:rPr>
      </w:pPr>
      <w:r w:rsidRPr="00BD4A3E">
        <w:rPr>
          <w:rFonts w:asciiTheme="minorHAnsi" w:eastAsia="Calibri" w:hAnsiTheme="minorHAnsi"/>
          <w:b/>
          <w:i/>
          <w:lang w:val="ro-RO"/>
        </w:rPr>
        <w:t>Stadiul implementării POR 2014 – 2020:</w:t>
      </w:r>
    </w:p>
    <w:p w:rsidR="00BD4A3E" w:rsidRPr="00BD4A3E" w:rsidRDefault="00BD4A3E" w:rsidP="00021698">
      <w:pPr>
        <w:numPr>
          <w:ilvl w:val="0"/>
          <w:numId w:val="117"/>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Până în prezent au fost lansate 106 apeluri de proiecte în valoare totală de 8,10 miliarde euro, valoare nerambursabilă (cofinanțare Uniunea Europeană și bugetul de stat), reprezentând o rată de lansare de peste 100% din alocarea totală a POR;</w:t>
      </w:r>
    </w:p>
    <w:p w:rsidR="00BD4A3E" w:rsidRPr="00BD4A3E" w:rsidRDefault="00BD4A3E" w:rsidP="00021698">
      <w:pPr>
        <w:numPr>
          <w:ilvl w:val="0"/>
          <w:numId w:val="117"/>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Condiția principală de eligibilitate este existența unui contract de lucrări/ achiziție dotări în vigoare;</w:t>
      </w:r>
    </w:p>
    <w:p w:rsidR="00BD4A3E" w:rsidRPr="00BD4A3E" w:rsidRDefault="00BD4A3E" w:rsidP="00021698">
      <w:pPr>
        <w:numPr>
          <w:ilvl w:val="1"/>
          <w:numId w:val="118"/>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Până în prezent au fost semnate 3.214 contracte de finanțare în valoare de 3.233 mld. Euro FEDR, reprezentând 48% din alocarea FEDR a POR;</w:t>
      </w:r>
    </w:p>
    <w:p w:rsidR="00BD4A3E" w:rsidRPr="00BD4A3E" w:rsidRDefault="00BD4A3E" w:rsidP="00021698">
      <w:pPr>
        <w:numPr>
          <w:ilvl w:val="1"/>
          <w:numId w:val="118"/>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În anul 2018 au fost semnate 2.258 contracte de finanțare în valoare de 1,56 miliarde euro FEDR reprezentând 23,34 % din alocarea FEDR a POR;</w:t>
      </w:r>
    </w:p>
    <w:p w:rsidR="00BD4A3E" w:rsidRPr="00BD4A3E" w:rsidRDefault="00BD4A3E" w:rsidP="00021698">
      <w:pPr>
        <w:numPr>
          <w:ilvl w:val="1"/>
          <w:numId w:val="118"/>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Suma prevăzută în POR pentru anul 2018 pentru evitarea dezangajării fondurilor europene în anul 2018 este de 854,4 milioane euro. Pentru anului 2018, suma previzionată a fi absorbită la nivelul Programului Operațional Regional, potrivit graficelor de depunere a cererilor de rambursare transmise de către beneficiari aferente contractelor semnate și previziunilor privind depunerea cererilor de rambursare aferente contractelor ce urmează a fi semnate este în valoare de 942,06 milioane euro FEDR.</w:t>
      </w:r>
    </w:p>
    <w:p w:rsidR="00BD4A3E" w:rsidRPr="00BD4A3E" w:rsidRDefault="00BD4A3E" w:rsidP="00021698">
      <w:pPr>
        <w:numPr>
          <w:ilvl w:val="0"/>
          <w:numId w:val="106"/>
        </w:numPr>
        <w:spacing w:after="120" w:line="276" w:lineRule="auto"/>
        <w:ind w:left="360"/>
        <w:jc w:val="both"/>
        <w:rPr>
          <w:rFonts w:asciiTheme="minorHAnsi" w:eastAsia="Calibri" w:hAnsiTheme="minorHAnsi"/>
          <w:b/>
          <w:lang w:val="ro-RO"/>
        </w:rPr>
      </w:pPr>
      <w:r w:rsidRPr="00BD4A3E">
        <w:rPr>
          <w:rFonts w:asciiTheme="minorHAnsi" w:eastAsia="Calibri" w:hAnsiTheme="minorHAnsi"/>
          <w:b/>
          <w:i/>
          <w:lang w:val="ro-RO"/>
        </w:rPr>
        <w:t>Acte normative ce vizează îmbunătățirea procesului de implementare sunt următoarele</w:t>
      </w:r>
      <w:r w:rsidRPr="00BD4A3E">
        <w:rPr>
          <w:rFonts w:asciiTheme="minorHAnsi" w:eastAsia="Calibri" w:hAnsiTheme="minorHAnsi"/>
          <w:b/>
          <w:lang w:val="ro-RO"/>
        </w:rPr>
        <w:t xml:space="preserve">: </w:t>
      </w:r>
    </w:p>
    <w:p w:rsidR="00BD4A3E" w:rsidRPr="00BD4A3E" w:rsidRDefault="00BD4A3E" w:rsidP="00021698">
      <w:pPr>
        <w:numPr>
          <w:ilvl w:val="0"/>
          <w:numId w:val="116"/>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Ordonanța de Urgență a Guvernului nr. 47/2018 privind stabilirea unor măsuri de urgentare a absorbției fondurilor europene care stabilește cadrul instituțional pentru participarea Ministerului Dezvoltării Regionale și Administrației Publice la pregătirea şi implementarea unor proiecte, în parteneriat, ce au ca obiect dotarea unităților administrativ-teritoriale cu mijloace de transport;</w:t>
      </w:r>
    </w:p>
    <w:p w:rsidR="00BD4A3E" w:rsidRPr="00BD4A3E" w:rsidRDefault="00BD4A3E" w:rsidP="00021698">
      <w:pPr>
        <w:numPr>
          <w:ilvl w:val="0"/>
          <w:numId w:val="116"/>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Legea de aprobare a Ordonanței de Urgență a Guvernului nr. 30/2018 privind instituirea unor măsuri în domeniul fondurilor europene și pentru completarea unor acte normative în vederea creării cadrului legal pentru decontarea în cadrul POR a obiectivelor de investiții nefinalizate, finanțate integral sau parțial din bugetul de stat, bugetul asigurărilor sociale de stat sau bugetele fondurilor speciale, din bugete locale sau din bugetele instituțiilor finanțate integral din venituri proprii, din împrumuturi de la instituții financiare internaționale sau bănci de dezvoltare/cooperare internațională sau finanțate în cadrul programelor operaționale 2007-2013, din fonduri externe nerambursabile și cofinanțare de la bugetul de stat;</w:t>
      </w:r>
    </w:p>
    <w:p w:rsidR="00BD4A3E" w:rsidRPr="00BD4A3E" w:rsidRDefault="00BD4A3E" w:rsidP="00021698">
      <w:pPr>
        <w:numPr>
          <w:ilvl w:val="0"/>
          <w:numId w:val="116"/>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Hotărârea Guvernului nr. 264/2003 privind stabilirea acțiunilor și categoriilor de cheltuieli, criteriilor, procedurilor și limitelor pentru efectuarea de plăți în avans din fonduri publice, cu modificările și completările ulterioare  care stabilește cadrul legislativ privind acordarea și recuperarea avansurilor plătite de către ordonatorii principali de credite, în cadrul diferitelor tipuri de contracte de achiziție, încheiate pentru implementarea de programe, proiecte și acțiuni finanțate  din fonduri externe nerambursabile;</w:t>
      </w:r>
    </w:p>
    <w:p w:rsidR="00BD4A3E" w:rsidRPr="00BD4A3E" w:rsidRDefault="00BD4A3E" w:rsidP="00021698">
      <w:pPr>
        <w:numPr>
          <w:ilvl w:val="0"/>
          <w:numId w:val="116"/>
        </w:numPr>
        <w:spacing w:after="120" w:line="276" w:lineRule="auto"/>
        <w:ind w:left="1080"/>
        <w:jc w:val="both"/>
        <w:rPr>
          <w:rFonts w:asciiTheme="minorHAnsi" w:eastAsia="Calibri" w:hAnsiTheme="minorHAnsi"/>
          <w:lang w:val="ro-RO"/>
        </w:rPr>
      </w:pPr>
      <w:r w:rsidRPr="00BD4A3E">
        <w:rPr>
          <w:rFonts w:asciiTheme="minorHAnsi" w:eastAsia="Calibri" w:hAnsiTheme="minorHAnsi"/>
          <w:lang w:val="ro-RO"/>
        </w:rPr>
        <w:t>Hotărârea Guvernului  nr. 399/2015 privind regulile de eligibilitate a cheltuielilor efectuate în cadrul operațiunilor finanțate prin Fondul european de dezvoltare regională, Fondul social european și Fondul de coeziune 2014-2020, cu modificările și completările ulterioare, cu privire la clarificarea prevederilor Art. 2, alin. (1), lit. a) prezentului act normativ, pentru a fi în concordanță cu prevederile Art. 65, alin. (2) – (5) din Regulamentul (UE) nr. 1303/2013.</w:t>
      </w:r>
    </w:p>
    <w:p w:rsidR="00BD4A3E" w:rsidRPr="00BD4A3E" w:rsidRDefault="00BD4A3E" w:rsidP="00BD4A3E">
      <w:pPr>
        <w:keepLines/>
        <w:spacing w:before="40" w:beforeAutospacing="1" w:after="100" w:afterAutospacing="1"/>
        <w:jc w:val="both"/>
        <w:outlineLvl w:val="2"/>
        <w:rPr>
          <w:rFonts w:ascii="Calibri" w:hAnsi="Calibri" w:cs="Arial"/>
          <w:bCs/>
          <w:vertAlign w:val="superscript"/>
          <w:lang w:val="it-CH"/>
        </w:rPr>
      </w:pPr>
      <w:r w:rsidRPr="00BD4A3E">
        <w:rPr>
          <w:rFonts w:ascii="Calibri" w:hAnsi="Calibri"/>
          <w:b/>
          <w:i/>
          <w:iCs/>
          <w:lang w:val="it-CH"/>
        </w:rPr>
        <w:t>2.5.2.7. Programul Operational Capacitate Administrativă (POCA)</w:t>
      </w:r>
      <w:r w:rsidRPr="00BD4A3E">
        <w:rPr>
          <w:rFonts w:cs="Arial"/>
          <w:bCs/>
          <w:vertAlign w:val="superscript"/>
        </w:rPr>
        <w:footnoteReference w:id="34"/>
      </w:r>
    </w:p>
    <w:p w:rsidR="00BD4A3E" w:rsidRPr="00BD4A3E" w:rsidRDefault="00BD4A3E" w:rsidP="00BD4A3E">
      <w:pPr>
        <w:tabs>
          <w:tab w:val="left" w:pos="1080"/>
        </w:tabs>
        <w:spacing w:before="120" w:after="120"/>
        <w:jc w:val="both"/>
        <w:rPr>
          <w:rFonts w:ascii="Calibri" w:hAnsi="Calibri" w:cs="Arial"/>
          <w:bCs/>
          <w:lang w:val="ro-RO"/>
        </w:rPr>
      </w:pPr>
      <w:r w:rsidRPr="00BD4A3E">
        <w:rPr>
          <w:rFonts w:ascii="Calibri" w:hAnsi="Calibri" w:cs="Arial"/>
          <w:bCs/>
          <w:lang w:val="ro-RO"/>
        </w:rPr>
        <w:t>MDRAP este Autoritate de Management pentru POCA 2014 - 2020. Programul vizează consolidarea capacității administrative a autorităților și instituțiilor publice de a susține o economie modernă și competitivă, abordând provocarea 5 „Administrația și guvernarea” și provocarea 2 „Oamenii și societatea” din Acordul de Parteneriat al României. POCA 2014 - 2020 asigură continuitatea viziunii strategice a PODCA 2007 – 2013 cu privire la consolidarea capacității instituționale a autorităților publice și a părților interesate și eficiența administrației publice.</w:t>
      </w:r>
    </w:p>
    <w:p w:rsidR="00BD4A3E" w:rsidRPr="00BD4A3E" w:rsidRDefault="00BD4A3E" w:rsidP="00BD4A3E">
      <w:pPr>
        <w:tabs>
          <w:tab w:val="left" w:pos="1080"/>
        </w:tabs>
        <w:spacing w:before="120" w:after="120"/>
        <w:jc w:val="both"/>
        <w:rPr>
          <w:rFonts w:ascii="Calibri" w:hAnsi="Calibri" w:cs="Arial"/>
          <w:bCs/>
          <w:lang w:val="ro-RO"/>
        </w:rPr>
      </w:pPr>
      <w:r w:rsidRPr="00BD4A3E">
        <w:rPr>
          <w:rFonts w:ascii="Calibri" w:hAnsi="Calibri" w:cs="Arial"/>
          <w:b/>
          <w:lang w:val="ro-RO"/>
        </w:rPr>
        <w:t xml:space="preserve">Buget </w:t>
      </w:r>
      <w:r w:rsidRPr="00BD4A3E">
        <w:rPr>
          <w:rFonts w:ascii="Calibri" w:hAnsi="Calibri" w:cs="Arial"/>
          <w:lang w:val="ro-RO"/>
        </w:rPr>
        <w:t xml:space="preserve">total de </w:t>
      </w:r>
      <w:r w:rsidRPr="00BD4A3E">
        <w:rPr>
          <w:rFonts w:ascii="Calibri" w:hAnsi="Calibri" w:cs="Arial"/>
          <w:b/>
          <w:lang w:val="ro-RO"/>
        </w:rPr>
        <w:t xml:space="preserve">658,29 milioane euro, </w:t>
      </w:r>
      <w:r w:rsidRPr="00BD4A3E">
        <w:rPr>
          <w:rFonts w:ascii="Calibri" w:hAnsi="Calibri" w:cs="Arial"/>
          <w:lang w:val="ro-RO"/>
        </w:rPr>
        <w:t>din care 553,19 milioane euro</w:t>
      </w:r>
      <w:r w:rsidRPr="00BD4A3E">
        <w:rPr>
          <w:rFonts w:ascii="Calibri" w:hAnsi="Calibri" w:cs="Arial"/>
          <w:bCs/>
          <w:lang w:val="ro-RO"/>
        </w:rPr>
        <w:t xml:space="preserve"> (inclusiv rezerva de performanță) reprezintă sprijinul UE, prin Fondul Social European, respectiv circa 105,10 milioane euro contribuția națională, asigurată din fonduri publice naționale (buget de stat, bugete locale).</w:t>
      </w:r>
    </w:p>
    <w:p w:rsidR="00BD4A3E" w:rsidRPr="00BD4A3E" w:rsidRDefault="00BD4A3E" w:rsidP="00BD4A3E">
      <w:pPr>
        <w:tabs>
          <w:tab w:val="left" w:pos="1080"/>
        </w:tabs>
        <w:spacing w:before="120" w:after="120"/>
        <w:jc w:val="both"/>
        <w:rPr>
          <w:rFonts w:ascii="Calibri" w:hAnsi="Calibri" w:cs="Arial"/>
          <w:bCs/>
          <w:lang w:val="ro-RO"/>
        </w:rPr>
      </w:pPr>
      <w:r w:rsidRPr="00BD4A3E">
        <w:rPr>
          <w:rFonts w:ascii="Calibri" w:hAnsi="Calibri" w:cs="Arial"/>
          <w:bCs/>
          <w:lang w:val="ro-RO"/>
        </w:rPr>
        <w:t>Implementarea programului se realizează prin trei axe prioritare:</w:t>
      </w:r>
    </w:p>
    <w:p w:rsidR="00BD4A3E" w:rsidRPr="00BD4A3E" w:rsidRDefault="00BD4A3E" w:rsidP="00BD4A3E">
      <w:pPr>
        <w:tabs>
          <w:tab w:val="left" w:pos="1080"/>
        </w:tabs>
        <w:spacing w:before="120" w:after="120"/>
        <w:ind w:left="284"/>
        <w:jc w:val="both"/>
        <w:rPr>
          <w:rFonts w:ascii="Calibri" w:hAnsi="Calibri" w:cs="Arial"/>
          <w:bCs/>
          <w:lang w:val="ro-RO"/>
        </w:rPr>
      </w:pPr>
      <w:r w:rsidRPr="00BD4A3E">
        <w:rPr>
          <w:rFonts w:ascii="Calibri" w:hAnsi="Calibri" w:cs="Arial"/>
          <w:bCs/>
          <w:lang w:val="ro-RO"/>
        </w:rPr>
        <w:t>Axa 1 – Administrație publică și sistem judiciar eficiente;</w:t>
      </w:r>
    </w:p>
    <w:p w:rsidR="00BD4A3E" w:rsidRPr="00BD4A3E" w:rsidRDefault="00BD4A3E" w:rsidP="00BD4A3E">
      <w:pPr>
        <w:tabs>
          <w:tab w:val="left" w:pos="1080"/>
        </w:tabs>
        <w:spacing w:before="120" w:after="120"/>
        <w:ind w:left="284"/>
        <w:jc w:val="both"/>
        <w:rPr>
          <w:rFonts w:ascii="Calibri" w:hAnsi="Calibri" w:cs="Arial"/>
          <w:bCs/>
          <w:lang w:val="ro-RO"/>
        </w:rPr>
      </w:pPr>
      <w:r w:rsidRPr="00BD4A3E">
        <w:rPr>
          <w:rFonts w:ascii="Calibri" w:hAnsi="Calibri" w:cs="Arial"/>
          <w:bCs/>
          <w:lang w:val="ro-RO"/>
        </w:rPr>
        <w:t xml:space="preserve">Axa 2 – Administrație publică și sistem judiciar  accesibile și transparente; </w:t>
      </w:r>
    </w:p>
    <w:p w:rsidR="00BD4A3E" w:rsidRPr="00BD4A3E" w:rsidRDefault="00BD4A3E" w:rsidP="00BD4A3E">
      <w:pPr>
        <w:tabs>
          <w:tab w:val="left" w:pos="1080"/>
        </w:tabs>
        <w:spacing w:before="120" w:after="120"/>
        <w:ind w:left="284"/>
        <w:jc w:val="both"/>
        <w:rPr>
          <w:rFonts w:ascii="Calibri" w:hAnsi="Calibri" w:cs="Arial"/>
          <w:bCs/>
          <w:lang w:val="ro-RO"/>
        </w:rPr>
      </w:pPr>
      <w:r w:rsidRPr="00BD4A3E">
        <w:rPr>
          <w:rFonts w:ascii="Calibri" w:hAnsi="Calibri" w:cs="Arial"/>
          <w:bCs/>
          <w:lang w:val="ro-RO"/>
        </w:rPr>
        <w:t>Axa 3 – Asistență tehnică.</w:t>
      </w:r>
    </w:p>
    <w:p w:rsidR="00BD4A3E" w:rsidRPr="00CE1614" w:rsidRDefault="00BD4A3E" w:rsidP="00BD4A3E">
      <w:pPr>
        <w:spacing w:after="120"/>
        <w:contextualSpacing/>
        <w:jc w:val="both"/>
        <w:rPr>
          <w:rFonts w:ascii="Calibri" w:hAnsi="Calibri" w:cs="Arial"/>
          <w:bCs/>
          <w:lang w:val="ro-RO"/>
        </w:rPr>
      </w:pPr>
      <w:r w:rsidRPr="00CE1614">
        <w:rPr>
          <w:rFonts w:ascii="Calibri" w:hAnsi="Calibri" w:cs="Arial"/>
          <w:bCs/>
          <w:lang w:val="ro-RO"/>
        </w:rPr>
        <w:t xml:space="preserve">Obiectivul general: Programul Operațional Capacitate Administrativă 2014-2020 urmărește soluţionarea problemelor orizontale de management în administraţia publică centrală şi locală, cu accent pe elementele cheie care întăresc credibilitatea administraţiei (în special procesul decizional, o mai bună reglementare legislativă, responsabilizarea administraţiei publice şi eficacitatea organizaţională) și orientarea către îmbunătăţirea procesului de descentralizare a furnizării de servicii în anumite sectoare prioritare (sănătate, educaţie, asistenţă socială), îmbunătăţirea calităţii şi a eficienţei serviciilor furnizate. </w:t>
      </w:r>
    </w:p>
    <w:p w:rsidR="00BD4A3E" w:rsidRPr="00CE1614" w:rsidRDefault="00BD4A3E" w:rsidP="00BD4A3E">
      <w:pPr>
        <w:spacing w:line="360" w:lineRule="auto"/>
        <w:jc w:val="both"/>
        <w:rPr>
          <w:rFonts w:ascii="Calibri" w:hAnsi="Calibri" w:cs="Arial"/>
          <w:bCs/>
          <w:lang w:val="ro-RO"/>
        </w:rPr>
      </w:pPr>
      <w:r w:rsidRPr="00CE1614">
        <w:rPr>
          <w:rFonts w:ascii="Calibri" w:hAnsi="Calibri" w:cs="Arial"/>
          <w:bCs/>
          <w:lang w:val="ro-RO"/>
        </w:rPr>
        <w:t>În ceea ce privește celelalte tipuri de informații solicitate, precizăm următoarele:</w:t>
      </w:r>
    </w:p>
    <w:p w:rsidR="00BD4A3E" w:rsidRPr="00CE1614" w:rsidRDefault="00BD4A3E" w:rsidP="00021698">
      <w:pPr>
        <w:numPr>
          <w:ilvl w:val="0"/>
          <w:numId w:val="106"/>
        </w:numPr>
        <w:spacing w:after="120" w:line="276" w:lineRule="auto"/>
        <w:ind w:left="360"/>
        <w:jc w:val="both"/>
        <w:rPr>
          <w:rFonts w:ascii="Calibri" w:eastAsia="Calibri" w:hAnsi="Calibri"/>
          <w:b/>
          <w:i/>
          <w:lang w:val="ro-RO"/>
        </w:rPr>
      </w:pPr>
      <w:r w:rsidRPr="00CE1614">
        <w:rPr>
          <w:rFonts w:ascii="Calibri" w:eastAsia="Calibri" w:hAnsi="Calibri"/>
          <w:b/>
          <w:i/>
          <w:lang w:val="ro-RO"/>
        </w:rPr>
        <w:t>Rezultate obținute aferente Programului Operațional Capacitate Administrativă (POCA):</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27 apeluri lansate, în valoare totală de 953,70 mil. euro, reprezentând o rată de lansare de 144,87% din alocarea totală la nivel de program;</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269 contracte de finanțare semnate, cu valoare totală eligibilă de 248,66 mil. euro, ceea ce reprezintă o rată de contractare de 37,77% din alocarea totală la nivel de program;</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45,77 mil. euro plăți efectuate în cadrul programului, ceea ce reprezintă 8,27% din alocarea UE la nivel de program;</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40,93 mil euro contribuție UE inclusă în declarațiile de cheltuieli transmise ACP, ceea ce reprezintă 7,40% din alocarea UE la nivel de program.</w:t>
      </w:r>
    </w:p>
    <w:p w:rsidR="00BD4A3E" w:rsidRPr="00CE1614" w:rsidRDefault="00BD4A3E" w:rsidP="00021698">
      <w:pPr>
        <w:numPr>
          <w:ilvl w:val="0"/>
          <w:numId w:val="106"/>
        </w:numPr>
        <w:spacing w:after="120" w:line="276" w:lineRule="auto"/>
        <w:ind w:left="360"/>
        <w:jc w:val="both"/>
        <w:rPr>
          <w:rFonts w:ascii="Calibri" w:eastAsia="Calibri" w:hAnsi="Calibri"/>
          <w:b/>
          <w:i/>
          <w:lang w:val="ro-RO"/>
        </w:rPr>
      </w:pPr>
      <w:r w:rsidRPr="00CE1614">
        <w:rPr>
          <w:rFonts w:ascii="Calibri" w:eastAsia="Calibri" w:hAnsi="Calibri"/>
          <w:b/>
          <w:i/>
          <w:lang w:val="ro-RO"/>
        </w:rPr>
        <w:t>Rezultate planificate aferente Programului Operațional Capacitate Administrativă (POCA) sunt următoarele:</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supracontractarea proiectelor până la 150%;</w:t>
      </w:r>
    </w:p>
    <w:p w:rsidR="00BD4A3E" w:rsidRPr="00CE1614" w:rsidRDefault="00BD4A3E" w:rsidP="00021698">
      <w:pPr>
        <w:numPr>
          <w:ilvl w:val="0"/>
          <w:numId w:val="116"/>
        </w:numPr>
        <w:spacing w:after="120" w:line="276" w:lineRule="auto"/>
        <w:ind w:left="1080"/>
        <w:jc w:val="both"/>
        <w:rPr>
          <w:rFonts w:ascii="Calibri" w:eastAsia="Calibri" w:hAnsi="Calibri"/>
          <w:lang w:val="ro-RO"/>
        </w:rPr>
      </w:pPr>
      <w:r w:rsidRPr="00CE1614">
        <w:rPr>
          <w:rFonts w:ascii="Calibri" w:eastAsia="Calibri" w:hAnsi="Calibri"/>
          <w:lang w:val="ro-RO"/>
        </w:rPr>
        <w:t>o rată de contractare de 100% din alocarea POCA;</w:t>
      </w:r>
    </w:p>
    <w:p w:rsidR="00BD4A3E" w:rsidRPr="00CE1614" w:rsidRDefault="00BD4A3E" w:rsidP="00BD4A3E">
      <w:pPr>
        <w:tabs>
          <w:tab w:val="left" w:pos="1080"/>
        </w:tabs>
        <w:spacing w:before="120" w:after="120"/>
        <w:jc w:val="both"/>
        <w:rPr>
          <w:rFonts w:ascii="Calibri" w:hAnsi="Calibri" w:cs="Arial"/>
          <w:bCs/>
          <w:lang w:val="ro-RO"/>
        </w:rPr>
      </w:pPr>
      <w:r w:rsidRPr="00CE1614">
        <w:rPr>
          <w:rFonts w:ascii="Calibri" w:eastAsia="Calibri" w:hAnsi="Calibri"/>
          <w:lang w:val="ro-RO"/>
        </w:rPr>
        <w:t>atingerea țintelor de plăți în vederea</w:t>
      </w:r>
      <w:r w:rsidRPr="00CE1614">
        <w:rPr>
          <w:rFonts w:ascii="Calibri" w:hAnsi="Calibri"/>
          <w:bCs/>
          <w:lang w:val="ro-RO"/>
        </w:rPr>
        <w:t xml:space="preserve"> evitării dezangajării fondurilor aprobate.</w:t>
      </w:r>
    </w:p>
    <w:p w:rsidR="00E30C70" w:rsidRDefault="00E30C70" w:rsidP="00BD4A3E">
      <w:pPr>
        <w:keepLines/>
        <w:spacing w:before="40" w:beforeAutospacing="1" w:after="100" w:afterAutospacing="1"/>
        <w:ind w:left="720" w:hanging="360"/>
        <w:jc w:val="both"/>
        <w:outlineLvl w:val="2"/>
        <w:rPr>
          <w:rFonts w:ascii="Calibri" w:hAnsi="Calibri"/>
          <w:b/>
          <w:i/>
          <w:iCs/>
          <w:lang w:val="it-CH"/>
        </w:rPr>
      </w:pPr>
    </w:p>
    <w:p w:rsidR="00BD4A3E" w:rsidRPr="00BD4A3E" w:rsidRDefault="00BD4A3E" w:rsidP="00BD4A3E">
      <w:pPr>
        <w:keepLines/>
        <w:spacing w:before="40" w:beforeAutospacing="1" w:after="100" w:afterAutospacing="1"/>
        <w:ind w:left="720" w:hanging="360"/>
        <w:jc w:val="both"/>
        <w:outlineLvl w:val="2"/>
        <w:rPr>
          <w:rFonts w:ascii="Calibri" w:hAnsi="Calibri"/>
          <w:b/>
          <w:i/>
          <w:iCs/>
          <w:lang w:val="it-CH"/>
        </w:rPr>
      </w:pPr>
      <w:r w:rsidRPr="00BD4A3E">
        <w:rPr>
          <w:rFonts w:ascii="Calibri" w:hAnsi="Calibri"/>
          <w:b/>
          <w:i/>
          <w:iCs/>
          <w:lang w:val="it-CH"/>
        </w:rPr>
        <w:t>2.5.2.8 Programe de cooperare:</w:t>
      </w:r>
    </w:p>
    <w:p w:rsidR="00BD4A3E" w:rsidRPr="00BD4A3E" w:rsidRDefault="00BD4A3E" w:rsidP="00BD4A3E">
      <w:pPr>
        <w:keepNext/>
        <w:jc w:val="both"/>
        <w:outlineLvl w:val="3"/>
        <w:rPr>
          <w:rFonts w:ascii="Calibri" w:eastAsia="Calibri" w:hAnsi="Calibri"/>
          <w:b/>
          <w:bCs/>
          <w:szCs w:val="20"/>
          <w:lang w:val="ro-RO"/>
        </w:rPr>
      </w:pPr>
      <w:r w:rsidRPr="00BD4A3E">
        <w:rPr>
          <w:rFonts w:ascii="Calibri" w:eastAsia="Calibri" w:hAnsi="Calibri"/>
          <w:b/>
          <w:bCs/>
          <w:szCs w:val="20"/>
          <w:lang w:val="ro-RO"/>
        </w:rPr>
        <w:t xml:space="preserve">Programe de cooperare aferente politicii de coeziune a UE, finanţate din FEDR: </w:t>
      </w: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b/>
          <w:lang w:val="ro-RO"/>
        </w:rPr>
        <w:t>Programul Interreg V-A România-Bulgaria</w:t>
      </w:r>
      <w:r w:rsidRPr="00BD4A3E">
        <w:rPr>
          <w:rFonts w:ascii="Calibri" w:hAnsi="Calibri" w:cs="Arial"/>
          <w:sz w:val="22"/>
          <w:szCs w:val="22"/>
          <w:vertAlign w:val="superscript"/>
          <w:lang w:val="ro-RO"/>
        </w:rPr>
        <w:footnoteReference w:id="35"/>
      </w:r>
      <w:r w:rsidRPr="00BD4A3E">
        <w:rPr>
          <w:rFonts w:ascii="Calibri" w:eastAsia="Calibri" w:hAnsi="Calibri" w:cs="Arial"/>
          <w:lang w:val="ro-RO"/>
        </w:rPr>
        <w:t>cu un buget total de 258,50 mil euro, a fost aprobat în  12 februarie 2015 de Comisia Europeană, primul apel de proiecte fiind lansat la 25 martie 2015.</w:t>
      </w:r>
    </w:p>
    <w:p w:rsidR="00BD4A3E" w:rsidRPr="00BD4A3E" w:rsidRDefault="00BD4A3E" w:rsidP="00BD4A3E">
      <w:pPr>
        <w:spacing w:before="120" w:after="120"/>
        <w:contextualSpacing/>
        <w:jc w:val="both"/>
        <w:rPr>
          <w:rFonts w:ascii="Calibri" w:eastAsia="Calibri" w:hAnsi="Calibri" w:cs="Arial"/>
          <w:lang w:val="ro-RO"/>
        </w:rPr>
      </w:pPr>
      <w:r w:rsidRPr="00BD4A3E">
        <w:rPr>
          <w:rFonts w:ascii="Calibri" w:eastAsia="Calibri" w:hAnsi="Calibri" w:cs="Arial"/>
          <w:lang w:val="ro-RO"/>
        </w:rPr>
        <w:t>Domeniile de finanțare au fost sintetizate în următoarele axe prioritare:</w:t>
      </w:r>
    </w:p>
    <w:p w:rsidR="00BD4A3E" w:rsidRPr="00BD4A3E" w:rsidRDefault="00BD4A3E" w:rsidP="00BD4A3E">
      <w:pPr>
        <w:tabs>
          <w:tab w:val="left" w:pos="612"/>
        </w:tabs>
        <w:spacing w:after="120"/>
        <w:ind w:left="1440"/>
        <w:contextualSpacing/>
        <w:jc w:val="both"/>
        <w:rPr>
          <w:rFonts w:eastAsia="Calibri" w:cs="Arial"/>
          <w:szCs w:val="22"/>
          <w:lang w:val="ro-RO"/>
        </w:rPr>
      </w:pPr>
      <w:r w:rsidRPr="00BD4A3E">
        <w:rPr>
          <w:rFonts w:eastAsia="Calibri" w:cs="Arial"/>
          <w:szCs w:val="22"/>
          <w:lang w:val="ro-RO"/>
        </w:rPr>
        <w:t>O regiune bine conectată;</w:t>
      </w:r>
    </w:p>
    <w:p w:rsidR="00BD4A3E" w:rsidRPr="00BD4A3E" w:rsidRDefault="00BD4A3E" w:rsidP="00BD4A3E">
      <w:pPr>
        <w:tabs>
          <w:tab w:val="left" w:pos="612"/>
        </w:tabs>
        <w:spacing w:after="120"/>
        <w:ind w:left="1440"/>
        <w:contextualSpacing/>
        <w:jc w:val="both"/>
        <w:rPr>
          <w:rFonts w:eastAsia="Calibri" w:cs="Arial"/>
          <w:szCs w:val="22"/>
          <w:lang w:val="ro-RO"/>
        </w:rPr>
      </w:pPr>
      <w:r w:rsidRPr="00BD4A3E">
        <w:rPr>
          <w:rFonts w:eastAsia="Calibri" w:cs="Arial"/>
          <w:szCs w:val="22"/>
          <w:lang w:val="ro-RO"/>
        </w:rPr>
        <w:t>O regiune verde;</w:t>
      </w:r>
    </w:p>
    <w:p w:rsidR="00BD4A3E" w:rsidRPr="00BD4A3E" w:rsidRDefault="00BD4A3E" w:rsidP="00BD4A3E">
      <w:pPr>
        <w:tabs>
          <w:tab w:val="left" w:pos="612"/>
        </w:tabs>
        <w:spacing w:after="120"/>
        <w:ind w:left="1440"/>
        <w:contextualSpacing/>
        <w:jc w:val="both"/>
        <w:rPr>
          <w:rFonts w:eastAsia="Calibri" w:cs="Arial"/>
          <w:szCs w:val="22"/>
          <w:lang w:val="ro-RO"/>
        </w:rPr>
      </w:pPr>
      <w:r w:rsidRPr="00BD4A3E">
        <w:rPr>
          <w:rFonts w:eastAsia="Calibri" w:cs="Arial"/>
          <w:szCs w:val="22"/>
          <w:lang w:val="ro-RO"/>
        </w:rPr>
        <w:t>O regiune sigură;</w:t>
      </w:r>
    </w:p>
    <w:p w:rsidR="00BD4A3E" w:rsidRPr="00BD4A3E" w:rsidRDefault="00BD4A3E" w:rsidP="00BD4A3E">
      <w:pPr>
        <w:tabs>
          <w:tab w:val="left" w:pos="612"/>
        </w:tabs>
        <w:spacing w:after="120"/>
        <w:ind w:left="1440"/>
        <w:contextualSpacing/>
        <w:jc w:val="both"/>
        <w:rPr>
          <w:rFonts w:eastAsia="Calibri" w:cs="Arial"/>
          <w:szCs w:val="22"/>
          <w:lang w:val="ro-RO"/>
        </w:rPr>
      </w:pPr>
      <w:r w:rsidRPr="00BD4A3E">
        <w:rPr>
          <w:rFonts w:eastAsia="Calibri" w:cs="Arial"/>
          <w:szCs w:val="22"/>
          <w:lang w:val="ro-RO"/>
        </w:rPr>
        <w:t>O regiune calificată și inclusivă;</w:t>
      </w:r>
    </w:p>
    <w:p w:rsidR="00BD4A3E" w:rsidRPr="00BD4A3E" w:rsidRDefault="00BD4A3E" w:rsidP="00BD4A3E">
      <w:pPr>
        <w:tabs>
          <w:tab w:val="left" w:pos="612"/>
        </w:tabs>
        <w:spacing w:after="120"/>
        <w:ind w:left="1440"/>
        <w:contextualSpacing/>
        <w:jc w:val="both"/>
        <w:rPr>
          <w:rFonts w:eastAsia="Calibri" w:cs="Arial"/>
          <w:szCs w:val="22"/>
          <w:lang w:val="ro-RO"/>
        </w:rPr>
      </w:pPr>
      <w:r w:rsidRPr="00BD4A3E">
        <w:rPr>
          <w:rFonts w:eastAsia="Calibri" w:cs="Arial"/>
          <w:szCs w:val="22"/>
          <w:lang w:val="ro-RO"/>
        </w:rPr>
        <w:t>O regiune eficientă.</w:t>
      </w: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lang w:val="ro-RO"/>
        </w:rPr>
        <w:t xml:space="preserve">13,61 % este rata actuală de absorbție a Programului. Programul a demarat lansarea apelurilor de proiecte imediat după aprobare (martie 2015). În prezent, rata de contractare la nivelul Programului este de  93,82%. 125 de proiecte se află în implementare, 25 fiind deja finalizare. În 2018, Programul a luat decizia supracontractării, pentru a asigura atingerea tuturor țintelor Programului (inclusiv maximizarea ratei finale de absorbție). Începând cu anul 2016, programul a luat constant măsuri de simplificare, de reducere a poverii administrative, inclusiv depunerea proiectelor realizându-se electronic. Programul utilizează costuri simplificate, volumul de documente necesar a fi depus de beneficiari fiind astfel considerabil redus.  </w:t>
      </w:r>
    </w:p>
    <w:p w:rsidR="00BD4A3E" w:rsidRPr="00BD4A3E" w:rsidRDefault="00BD4A3E" w:rsidP="00BD4A3E">
      <w:pPr>
        <w:tabs>
          <w:tab w:val="left" w:pos="612"/>
        </w:tabs>
        <w:spacing w:before="120" w:after="120"/>
        <w:ind w:left="360"/>
        <w:contextualSpacing/>
        <w:jc w:val="both"/>
        <w:rPr>
          <w:rFonts w:ascii="Calibri" w:eastAsia="Calibri" w:hAnsi="Calibri" w:cs="Arial"/>
          <w:sz w:val="16"/>
          <w:szCs w:val="16"/>
          <w:lang w:val="ro-RO"/>
        </w:rPr>
      </w:pPr>
    </w:p>
    <w:p w:rsidR="00BD4A3E" w:rsidRPr="00BD4A3E" w:rsidRDefault="00BD4A3E" w:rsidP="00BD4A3E">
      <w:pPr>
        <w:autoSpaceDE w:val="0"/>
        <w:autoSpaceDN w:val="0"/>
        <w:adjustRightInd w:val="0"/>
        <w:spacing w:before="120" w:after="120"/>
        <w:contextualSpacing/>
        <w:jc w:val="both"/>
        <w:rPr>
          <w:rFonts w:ascii="Calibri" w:eastAsia="Calibri" w:hAnsi="Calibri" w:cs="Arial"/>
          <w:lang w:val="ro-RO"/>
        </w:rPr>
      </w:pPr>
      <w:r w:rsidRPr="00BD4A3E">
        <w:rPr>
          <w:rFonts w:ascii="Calibri" w:eastAsia="Calibri" w:hAnsi="Calibri" w:cs="Arial"/>
          <w:b/>
          <w:lang w:val="ro-RO"/>
        </w:rPr>
        <w:t>Programul Interreg V-A România-Ungaria</w:t>
      </w:r>
      <w:r w:rsidRPr="00BD4A3E">
        <w:rPr>
          <w:rFonts w:ascii="Calibri" w:hAnsi="Calibri" w:cs="Arial"/>
          <w:sz w:val="22"/>
          <w:szCs w:val="22"/>
          <w:vertAlign w:val="superscript"/>
          <w:lang w:val="ro-RO"/>
        </w:rPr>
        <w:footnoteReference w:id="36"/>
      </w:r>
      <w:r w:rsidRPr="00BD4A3E">
        <w:rPr>
          <w:rFonts w:ascii="Calibri" w:eastAsia="Calibri" w:hAnsi="Calibri" w:cs="Arial"/>
          <w:lang w:val="ro-RO"/>
        </w:rPr>
        <w:t xml:space="preserve">a fost aprobat oficial de Comisia Europeană pe                                       9 decembrie 2015 cu un buget total de 231,86 mil euro. </w:t>
      </w: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lang w:val="ro-RO"/>
        </w:rPr>
        <w:t>Domeniile de finanțare au fost sintetizate în următoarele axe prioritare:</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Protejarea în comun şi utilizarea eficientă a valorilor comune şi resurselor (Cooperarea în domeniul valorilor comune şi resurselor);</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Îmbunătățirea mobilității transfrontaliere durabile şi eliminarea blocajelor (Cooperarea în domeniul accesibilității);</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Îmbunătățirea ocupării forței de muncă şi promovarea mobilității forței de muncă transfrontaliere (Cooperare în domeniul ocupării forței de muncă);</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Îmbunătățirea serviciilor de îngrijire a sănătății (Cooperare în domeniul sănătăţii şi prevenţiei bolilor);</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Îmbunătățirea prevenirii riscurilor şi gestionării dezastrelor (Cooperare în domeniul prevenirii riscurilor şi gestionării dezastrelor);</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lang w:val="ro-RO"/>
        </w:rPr>
      </w:pPr>
      <w:r w:rsidRPr="00BD4A3E">
        <w:rPr>
          <w:rFonts w:ascii="Calibri" w:eastAsia="Calibri" w:hAnsi="Calibri" w:cs="Arial"/>
          <w:lang w:val="ro-RO"/>
        </w:rPr>
        <w:t>Promovarea cooperarii transfrontaliere între instituţii şi cetăţeni (Cooperarea instituțiilor şi comunităților).</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 xml:space="preserve">Până în acest moment au fost lansate 6 apeluri de proiecte 3 apeluri pentru proiecte normale și 3 apeluri pentru proiecte strategice, acoperind întreaga valoare alocată a celor 6 axe prioritare menționate anterior. </w:t>
      </w:r>
    </w:p>
    <w:p w:rsidR="00BD4A3E" w:rsidRPr="00BD4A3E" w:rsidRDefault="00BD4A3E" w:rsidP="00BD4A3E">
      <w:p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Toate apelurile lansate în cadrul programului au fost închise.</w:t>
      </w:r>
    </w:p>
    <w:p w:rsidR="00BD4A3E" w:rsidRPr="00BD4A3E" w:rsidRDefault="00BD4A3E" w:rsidP="00BD4A3E">
      <w:p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Stadiul în prezent este următorul:</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cererile de finanțare depuse în cadrul apelului 1 pentru proiecte normale, au fost contractate și se află în stadiul de implementare;</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pentru cererile depuse in cadrul apelurilor strategice, a fost contractată faza de notă conceptuală;</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 xml:space="preserve">cererile de finanțare aferente apelului pentru proiecte normale 2 se află în stadiul de precontractare; </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lang w:val="ro-RO"/>
        </w:rPr>
      </w:pPr>
      <w:r w:rsidRPr="00BD4A3E">
        <w:rPr>
          <w:rFonts w:ascii="Calibri" w:eastAsia="Calibri" w:hAnsi="Calibri" w:cs="Calibri"/>
          <w:lang w:val="ro-RO"/>
        </w:rPr>
        <w:t>cererile de finanțare aferente apelului pentru proiecte normale 3 se află în stadiul de evaluare</w:t>
      </w:r>
    </w:p>
    <w:p w:rsidR="00BD4A3E" w:rsidRPr="003964D3" w:rsidRDefault="00BD4A3E" w:rsidP="00BD4A3E">
      <w:pPr>
        <w:tabs>
          <w:tab w:val="left" w:pos="851"/>
        </w:tabs>
        <w:spacing w:before="120" w:after="120"/>
        <w:contextualSpacing/>
        <w:jc w:val="both"/>
        <w:rPr>
          <w:rFonts w:ascii="Calibri" w:eastAsia="Calibri" w:hAnsi="Calibri" w:cs="Calibri"/>
          <w:lang w:val="fr-FR"/>
        </w:rPr>
      </w:pPr>
      <w:r w:rsidRPr="003964D3">
        <w:rPr>
          <w:rFonts w:ascii="Calibri" w:eastAsia="Calibri" w:hAnsi="Calibri" w:cs="Calibri"/>
          <w:lang w:val="fr-FR"/>
        </w:rPr>
        <w:tab/>
        <w:t>Până acum au fost certificate la CE cheltuieli în valoare de  1.22 milioane euro FEDR, reprezentând  0,64% din alocarea FEDR a Programului.</w:t>
      </w:r>
    </w:p>
    <w:p w:rsidR="00BD4A3E" w:rsidRPr="00BD4A3E" w:rsidRDefault="00BD4A3E" w:rsidP="00BD4A3E">
      <w:pPr>
        <w:tabs>
          <w:tab w:val="left" w:pos="612"/>
        </w:tabs>
        <w:spacing w:before="120" w:after="120"/>
        <w:ind w:left="360"/>
        <w:contextualSpacing/>
        <w:jc w:val="both"/>
        <w:rPr>
          <w:rFonts w:ascii="Calibri" w:eastAsia="Calibri" w:hAnsi="Calibri" w:cs="Arial"/>
          <w:sz w:val="16"/>
          <w:szCs w:val="16"/>
          <w:lang w:val="ro-RO"/>
        </w:rPr>
      </w:pPr>
    </w:p>
    <w:p w:rsidR="00BD4A3E" w:rsidRPr="00BD4A3E" w:rsidRDefault="00BD4A3E" w:rsidP="00BD4A3E">
      <w:pPr>
        <w:autoSpaceDE w:val="0"/>
        <w:autoSpaceDN w:val="0"/>
        <w:adjustRightInd w:val="0"/>
        <w:spacing w:before="120" w:after="120"/>
        <w:contextualSpacing/>
        <w:jc w:val="both"/>
        <w:rPr>
          <w:rFonts w:ascii="Calibri" w:eastAsia="Calibri" w:hAnsi="Calibri" w:cs="Arial"/>
          <w:lang w:val="ro-RO"/>
        </w:rPr>
      </w:pPr>
      <w:r w:rsidRPr="00BD4A3E">
        <w:rPr>
          <w:rFonts w:ascii="Calibri" w:eastAsia="Calibri" w:hAnsi="Calibri" w:cs="Arial"/>
          <w:b/>
          <w:lang w:val="ro-RO"/>
        </w:rPr>
        <w:t>Programul transnațional Dunărea</w:t>
      </w:r>
      <w:r w:rsidRPr="00BD4A3E">
        <w:rPr>
          <w:rFonts w:ascii="Calibri" w:hAnsi="Calibri" w:cs="Arial"/>
          <w:sz w:val="22"/>
          <w:szCs w:val="22"/>
          <w:vertAlign w:val="superscript"/>
          <w:lang w:val="ro-RO"/>
        </w:rPr>
        <w:footnoteReference w:id="37"/>
      </w:r>
      <w:r w:rsidRPr="00BD4A3E">
        <w:rPr>
          <w:rFonts w:ascii="Calibri" w:eastAsia="Calibri" w:hAnsi="Calibri" w:cs="Arial"/>
          <w:lang w:val="ro-RO"/>
        </w:rPr>
        <w:t xml:space="preserve">a fost aprobat oficial de Comisia Europeană pe 20 august 2015, având Autoritatea de Management în Ungaria. Acest program are un buget total de 262,99 mil euro, din care 202,10 mil euro finanţare FEDR. </w:t>
      </w: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lang w:val="ro-RO"/>
        </w:rPr>
        <w:t>Domeniile de finanţare au fost cuprinse în următoarele axe prioritare:</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r w:rsidRPr="00BD4A3E">
        <w:rPr>
          <w:rFonts w:ascii="Calibri" w:eastAsia="Calibri" w:hAnsi="Calibri" w:cs="Arial"/>
          <w:lang w:val="ro-RO"/>
        </w:rPr>
        <w:t>Axa prioritară 1 - Inovare şi responsabilitate socială în Regiunea Dunării;</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r w:rsidRPr="00BD4A3E">
        <w:rPr>
          <w:rFonts w:ascii="Calibri" w:eastAsia="Calibri" w:hAnsi="Calibri" w:cs="Arial"/>
          <w:lang w:val="ro-RO"/>
        </w:rPr>
        <w:t>Axa prioritară 2 - Responsabilitatea faţă de mediu şi cultură în Regiunea Dunării;</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r w:rsidRPr="00BD4A3E">
        <w:rPr>
          <w:rFonts w:ascii="Calibri" w:eastAsia="Calibri" w:hAnsi="Calibri" w:cs="Arial"/>
          <w:lang w:val="ro-RO"/>
        </w:rPr>
        <w:t>Axa prioritară 3 – Conectivitatea în Regiunea Dunării;</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r w:rsidRPr="00BD4A3E">
        <w:rPr>
          <w:rFonts w:ascii="Calibri" w:eastAsia="Calibri" w:hAnsi="Calibri" w:cs="Arial"/>
          <w:lang w:val="ro-RO"/>
        </w:rPr>
        <w:t>Axa prioritară 4 - Buna guvernanţă în Regiunea Dunării;</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r w:rsidRPr="00BD4A3E">
        <w:rPr>
          <w:rFonts w:ascii="Calibri" w:eastAsia="Calibri" w:hAnsi="Calibri" w:cs="Arial"/>
          <w:lang w:val="ro-RO"/>
        </w:rPr>
        <w:t>Axa prioritară 5 - Asistenţă tehnică dedicată finanţării structurilor de management ale programului şi activitaților acestora - Facilitarea implementării programului.</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lang w:val="ro-RO"/>
        </w:rPr>
        <w:t>Stadiul la data de 17 octombrie 2018 este următorul:</w:t>
      </w:r>
    </w:p>
    <w:p w:rsidR="00BD4A3E" w:rsidRPr="00BD4A3E" w:rsidRDefault="00BD4A3E" w:rsidP="00BD4A3E">
      <w:pPr>
        <w:tabs>
          <w:tab w:val="left" w:pos="567"/>
        </w:tabs>
        <w:spacing w:before="120" w:after="120"/>
        <w:contextualSpacing/>
        <w:jc w:val="both"/>
        <w:rPr>
          <w:rFonts w:ascii="Calibri" w:eastAsia="Calibri" w:hAnsi="Calibri" w:cs="Arial"/>
          <w:lang w:val="ro-RO"/>
        </w:rPr>
      </w:pPr>
      <w:r w:rsidRPr="00BD4A3E">
        <w:rPr>
          <w:rFonts w:ascii="Calibri" w:eastAsia="Calibri" w:hAnsi="Calibri" w:cs="Arial"/>
          <w:lang w:val="ro-RO"/>
        </w:rPr>
        <w:tab/>
        <w:t>Au fost aprobate trei tipuri de apeluri de proiecte:</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lang w:val="ro-RO"/>
        </w:rPr>
      </w:pPr>
      <w:r w:rsidRPr="00BD4A3E">
        <w:rPr>
          <w:rFonts w:ascii="Calibri" w:eastAsia="Calibri" w:hAnsi="Calibri" w:cs="Arial"/>
          <w:lang w:val="ro-RO"/>
        </w:rPr>
        <w:t>2 apeluri dedicate proiectelor transnaționale: în prezent, se află în implementare proiectele aferente primului apel, având un buget contractat de aprox. 91 milioane euro FEDR, iar cele aferente celui de-al doilea apel au un buget de aprox. 33,9 milioane euro FEDR;</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lang w:val="ro-RO"/>
        </w:rPr>
      </w:pPr>
      <w:r w:rsidRPr="00BD4A3E">
        <w:rPr>
          <w:rFonts w:ascii="Calibri" w:eastAsia="Calibri" w:hAnsi="Calibri" w:cs="Arial"/>
          <w:lang w:val="ro-RO"/>
        </w:rPr>
        <w:t>1 apel de proiecte dedicat Coordonatorilor de Arii Prioritare SUERD ale căror proiecte se află în implementare, având un buget contractat de aprox. 3,6 milioane euro FEDR;</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lang w:val="ro-RO"/>
        </w:rPr>
      </w:pPr>
      <w:r w:rsidRPr="00BD4A3E">
        <w:rPr>
          <w:rFonts w:ascii="Calibri" w:eastAsia="Calibri" w:hAnsi="Calibri" w:cs="Arial"/>
          <w:lang w:val="ro-RO"/>
        </w:rPr>
        <w:t>1 apel de proiecte tip ,,Seed money facility</w:t>
      </w:r>
      <w:r w:rsidRPr="003964D3">
        <w:rPr>
          <w:rFonts w:ascii="Calibri" w:eastAsia="Calibri" w:hAnsi="Calibri" w:cs="Arial"/>
          <w:lang w:val="fr-FR"/>
        </w:rPr>
        <w:t xml:space="preserve">”, </w:t>
      </w:r>
      <w:r w:rsidRPr="00BD4A3E">
        <w:rPr>
          <w:rFonts w:ascii="Calibri" w:eastAsia="Calibri" w:hAnsi="Calibri" w:cs="Arial"/>
          <w:lang w:val="ro-RO"/>
        </w:rPr>
        <w:t xml:space="preserve">în implementare, cu un buget de aprox. 724 mii euro FEDR.  </w:t>
      </w:r>
    </w:p>
    <w:p w:rsidR="00BD4A3E" w:rsidRPr="00BD4A3E" w:rsidRDefault="00BD4A3E" w:rsidP="00BD4A3E">
      <w:pPr>
        <w:tabs>
          <w:tab w:val="left" w:pos="612"/>
        </w:tabs>
        <w:spacing w:before="120" w:after="120"/>
        <w:contextualSpacing/>
        <w:jc w:val="both"/>
        <w:rPr>
          <w:rFonts w:ascii="Calibri" w:eastAsia="Calibri" w:hAnsi="Calibri" w:cs="Arial"/>
          <w:sz w:val="16"/>
          <w:szCs w:val="16"/>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b/>
          <w:lang w:val="ro-RO"/>
        </w:rPr>
        <w:t>Programul de cooperare interregională INTERREG EUROPE</w:t>
      </w:r>
      <w:r w:rsidRPr="00BD4A3E">
        <w:rPr>
          <w:rFonts w:ascii="Calibri" w:hAnsi="Calibri" w:cs="Arial"/>
          <w:sz w:val="22"/>
          <w:szCs w:val="22"/>
          <w:vertAlign w:val="superscript"/>
          <w:lang w:val="ro-RO"/>
        </w:rPr>
        <w:footnoteReference w:id="38"/>
      </w:r>
      <w:r w:rsidRPr="00BD4A3E">
        <w:rPr>
          <w:rFonts w:ascii="Calibri" w:eastAsia="Calibri" w:hAnsi="Calibri" w:cs="Arial"/>
          <w:lang w:val="ro-RO"/>
        </w:rPr>
        <w:t>fost aprobat oficial de Comisia Europeană pe 11 iunie 2015</w:t>
      </w:r>
      <w:r w:rsidRPr="00BD4A3E">
        <w:rPr>
          <w:rFonts w:ascii="Calibri" w:hAnsi="Calibri" w:cs="Arial"/>
          <w:lang w:val="ro-RO"/>
        </w:rPr>
        <w:t>, având Autoritatea de Management în Franţa</w:t>
      </w:r>
      <w:r w:rsidRPr="00BD4A3E">
        <w:rPr>
          <w:rFonts w:ascii="Calibri" w:eastAsia="Calibri" w:hAnsi="Calibri" w:cs="Arial"/>
          <w:lang w:val="ro-RO"/>
        </w:rPr>
        <w:t xml:space="preserve">. </w:t>
      </w:r>
      <w:r w:rsidRPr="00BD4A3E">
        <w:rPr>
          <w:rFonts w:ascii="Calibri" w:hAnsi="Calibri" w:cs="Arial"/>
          <w:lang w:val="ro-RO"/>
        </w:rPr>
        <w:t>Acest program are un buget total de 426.31 mil euro, din care 359,33 mil euro finanţare FEDR.</w:t>
      </w:r>
      <w:r w:rsidRPr="00BD4A3E">
        <w:rPr>
          <w:rFonts w:ascii="Calibri" w:eastAsia="Calibri" w:hAnsi="Calibri" w:cs="Arial"/>
          <w:lang w:val="ro-RO"/>
        </w:rPr>
        <w:t xml:space="preserve"> Primul apel de proiecte a fost deschis în perioada 22 iunie – 31 iulie 2015. </w:t>
      </w:r>
    </w:p>
    <w:p w:rsidR="00BD4A3E" w:rsidRPr="003964D3" w:rsidRDefault="00BD4A3E" w:rsidP="00BD4A3E">
      <w:pPr>
        <w:tabs>
          <w:tab w:val="left" w:pos="612"/>
        </w:tabs>
        <w:contextualSpacing/>
        <w:jc w:val="both"/>
        <w:rPr>
          <w:rFonts w:ascii="Calibri" w:eastAsia="Calibri" w:hAnsi="Calibri" w:cs="Arial"/>
          <w:lang w:val="fr-FR"/>
        </w:rPr>
      </w:pPr>
      <w:r w:rsidRPr="003964D3">
        <w:rPr>
          <w:rFonts w:ascii="Calibri" w:eastAsia="Calibri" w:hAnsi="Calibri" w:cs="Arial"/>
          <w:lang w:val="fr-FR"/>
        </w:rPr>
        <w:t>Domeniile de finanțare au fost cuprinse în următoarele axe prioritare:</w:t>
      </w:r>
    </w:p>
    <w:p w:rsidR="00BD4A3E" w:rsidRPr="00BD4A3E" w:rsidRDefault="00BD4A3E" w:rsidP="009F7237">
      <w:pPr>
        <w:numPr>
          <w:ilvl w:val="0"/>
          <w:numId w:val="19"/>
        </w:numPr>
        <w:tabs>
          <w:tab w:val="left" w:pos="851"/>
        </w:tabs>
        <w:contextualSpacing/>
        <w:jc w:val="both"/>
        <w:rPr>
          <w:rFonts w:ascii="Calibri" w:hAnsi="Calibri" w:cs="Arial"/>
          <w:lang w:val="ro-RO"/>
        </w:rPr>
      </w:pPr>
      <w:r w:rsidRPr="00BD4A3E">
        <w:rPr>
          <w:rFonts w:ascii="Calibri" w:hAnsi="Calibri" w:cs="Arial"/>
          <w:lang w:val="ro-RO"/>
        </w:rPr>
        <w:t>Consolidarea cercetării, dezvoltării tehnologice şi inovării;</w:t>
      </w:r>
    </w:p>
    <w:p w:rsidR="00BD4A3E" w:rsidRPr="00BD4A3E" w:rsidRDefault="00BD4A3E" w:rsidP="009F7237">
      <w:pPr>
        <w:numPr>
          <w:ilvl w:val="0"/>
          <w:numId w:val="19"/>
        </w:numPr>
        <w:tabs>
          <w:tab w:val="left" w:pos="851"/>
        </w:tabs>
        <w:contextualSpacing/>
        <w:jc w:val="both"/>
        <w:rPr>
          <w:rFonts w:ascii="Calibri" w:hAnsi="Calibri" w:cs="Arial"/>
          <w:lang w:val="ro-RO"/>
        </w:rPr>
      </w:pPr>
      <w:r w:rsidRPr="00BD4A3E">
        <w:rPr>
          <w:rFonts w:ascii="Calibri" w:eastAsia="Calibri" w:hAnsi="Calibri" w:cs="Arial"/>
          <w:lang w:val="ro-RO"/>
        </w:rPr>
        <w:t xml:space="preserve">Îmbunătăţirea </w:t>
      </w:r>
      <w:r w:rsidRPr="00BD4A3E">
        <w:rPr>
          <w:rFonts w:ascii="Calibri" w:hAnsi="Calibri" w:cs="Arial"/>
          <w:lang w:val="ro-RO"/>
        </w:rPr>
        <w:t>competitivităţii IMM-urilor;</w:t>
      </w:r>
    </w:p>
    <w:p w:rsidR="00BD4A3E" w:rsidRPr="00BD4A3E" w:rsidRDefault="00BD4A3E" w:rsidP="009F7237">
      <w:pPr>
        <w:numPr>
          <w:ilvl w:val="0"/>
          <w:numId w:val="19"/>
        </w:numPr>
        <w:tabs>
          <w:tab w:val="left" w:pos="851"/>
        </w:tabs>
        <w:contextualSpacing/>
        <w:jc w:val="both"/>
        <w:rPr>
          <w:rFonts w:ascii="Calibri" w:hAnsi="Calibri" w:cs="Arial"/>
          <w:lang w:val="ro-RO"/>
        </w:rPr>
      </w:pPr>
      <w:r w:rsidRPr="00BD4A3E">
        <w:rPr>
          <w:rFonts w:ascii="Calibri" w:hAnsi="Calibri" w:cs="Arial"/>
          <w:lang w:val="ro-RO"/>
        </w:rPr>
        <w:t>Sprijinirea tranziţiei către o economie cu emisii scăzute de dioxid de carbon în toate sectoarele;</w:t>
      </w:r>
    </w:p>
    <w:p w:rsidR="00BD4A3E" w:rsidRPr="00BD4A3E" w:rsidRDefault="00BD4A3E" w:rsidP="009F7237">
      <w:pPr>
        <w:numPr>
          <w:ilvl w:val="0"/>
          <w:numId w:val="19"/>
        </w:numPr>
        <w:tabs>
          <w:tab w:val="left" w:pos="851"/>
        </w:tabs>
        <w:contextualSpacing/>
        <w:jc w:val="both"/>
        <w:rPr>
          <w:rFonts w:ascii="Calibri" w:hAnsi="Calibri" w:cs="Arial"/>
          <w:lang w:val="ro-RO"/>
        </w:rPr>
      </w:pPr>
      <w:r w:rsidRPr="00BD4A3E">
        <w:rPr>
          <w:rFonts w:ascii="Calibri" w:hAnsi="Calibri" w:cs="Arial"/>
          <w:lang w:val="ro-RO"/>
        </w:rPr>
        <w:t>Conservarea şi protecţia mediului şi promovarea utilizării eficiente a resurselor.</w:t>
      </w:r>
    </w:p>
    <w:p w:rsidR="00BD4A3E" w:rsidRPr="00BD4A3E" w:rsidRDefault="00BD4A3E" w:rsidP="00BD4A3E">
      <w:pPr>
        <w:tabs>
          <w:tab w:val="left" w:pos="851"/>
        </w:tabs>
        <w:ind w:left="720"/>
        <w:contextualSpacing/>
        <w:jc w:val="both"/>
        <w:rPr>
          <w:rFonts w:ascii="Calibri" w:hAnsi="Calibri" w:cs="Arial"/>
          <w:lang w:val="ro-RO"/>
        </w:rPr>
      </w:pPr>
    </w:p>
    <w:p w:rsidR="00BD4A3E" w:rsidRPr="00CE1614" w:rsidRDefault="00BD4A3E" w:rsidP="00BD4A3E">
      <w:pPr>
        <w:tabs>
          <w:tab w:val="left" w:pos="851"/>
        </w:tabs>
        <w:spacing w:line="276" w:lineRule="auto"/>
        <w:contextualSpacing/>
        <w:jc w:val="both"/>
        <w:rPr>
          <w:rFonts w:ascii="Calibri" w:eastAsia="Calibri" w:hAnsi="Calibri" w:cs="Arial"/>
          <w:lang w:val="ro-RO"/>
        </w:rPr>
      </w:pPr>
      <w:r w:rsidRPr="00CE1614">
        <w:rPr>
          <w:rFonts w:ascii="Calibri" w:eastAsia="Calibri" w:hAnsi="Calibri" w:cs="Arial"/>
          <w:lang w:val="ro-RO"/>
        </w:rPr>
        <w:t>Stadiul la data de 15 noiembrie 2018 este următorul:</w:t>
      </w:r>
    </w:p>
    <w:p w:rsidR="00BD4A3E" w:rsidRPr="00CE1614" w:rsidRDefault="00BD4A3E" w:rsidP="00021698">
      <w:pPr>
        <w:numPr>
          <w:ilvl w:val="0"/>
          <w:numId w:val="119"/>
        </w:numPr>
        <w:tabs>
          <w:tab w:val="left" w:pos="567"/>
        </w:tabs>
        <w:spacing w:before="120" w:after="120"/>
        <w:ind w:left="426"/>
        <w:contextualSpacing/>
        <w:jc w:val="both"/>
        <w:rPr>
          <w:rFonts w:ascii="Calibri" w:eastAsia="Calibri" w:hAnsi="Calibri" w:cs="Arial"/>
          <w:lang w:val="ro-RO"/>
        </w:rPr>
      </w:pPr>
      <w:r w:rsidRPr="00CE1614">
        <w:rPr>
          <w:rFonts w:ascii="Calibri" w:eastAsia="Calibri" w:hAnsi="Calibri" w:cs="Arial"/>
          <w:lang w:val="ro-RO"/>
        </w:rPr>
        <w:t>au fost aprobate 184 de Proiecte în cadrul primelor 3 apeluri, din care 80 cu beneficiari din România, bugetul FEDR aferent partenerilor români fiind de aproximativ 10,2 milioane Euro;</w:t>
      </w:r>
    </w:p>
    <w:p w:rsidR="00BD4A3E" w:rsidRPr="00CE1614" w:rsidRDefault="00BD4A3E" w:rsidP="00021698">
      <w:pPr>
        <w:numPr>
          <w:ilvl w:val="0"/>
          <w:numId w:val="119"/>
        </w:numPr>
        <w:tabs>
          <w:tab w:val="left" w:pos="567"/>
        </w:tabs>
        <w:spacing w:before="120" w:after="120"/>
        <w:ind w:left="426"/>
        <w:contextualSpacing/>
        <w:jc w:val="both"/>
        <w:rPr>
          <w:rFonts w:ascii="Calibri" w:eastAsia="Calibri" w:hAnsi="Calibri" w:cs="Arial"/>
          <w:lang w:val="ro-RO"/>
        </w:rPr>
      </w:pPr>
      <w:r w:rsidRPr="00CE1614">
        <w:rPr>
          <w:rFonts w:ascii="Calibri" w:eastAsia="Calibri" w:hAnsi="Calibri" w:cs="Arial"/>
          <w:lang w:val="ro-RO"/>
        </w:rPr>
        <w:t>cel de-al patrulea apel de proiecte se află în evaluare, cu un buget total de aprox. 74 milioane euro.</w:t>
      </w:r>
    </w:p>
    <w:p w:rsidR="00BD4A3E" w:rsidRPr="00CE1614" w:rsidRDefault="00BD4A3E" w:rsidP="00BD4A3E">
      <w:pPr>
        <w:tabs>
          <w:tab w:val="left" w:pos="851"/>
        </w:tabs>
        <w:contextualSpacing/>
        <w:jc w:val="both"/>
        <w:rPr>
          <w:rFonts w:ascii="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CE1614">
        <w:rPr>
          <w:rFonts w:ascii="Calibri" w:eastAsia="Calibri" w:hAnsi="Calibri" w:cs="Arial"/>
          <w:b/>
          <w:lang w:val="ro-RO"/>
        </w:rPr>
        <w:t>Programul de cooperare interregională URBACT</w:t>
      </w:r>
      <w:r w:rsidRPr="00CE1614">
        <w:rPr>
          <w:rFonts w:ascii="Calibri" w:hAnsi="Calibri" w:cs="Arial"/>
          <w:vertAlign w:val="superscript"/>
          <w:lang w:val="ro-RO"/>
        </w:rPr>
        <w:footnoteReference w:id="39"/>
      </w:r>
      <w:r w:rsidRPr="00CE1614">
        <w:rPr>
          <w:rFonts w:ascii="Calibri" w:eastAsia="Calibri" w:hAnsi="Calibri" w:cs="Arial"/>
          <w:b/>
          <w:lang w:val="ro-RO"/>
        </w:rPr>
        <w:t xml:space="preserve"> III </w:t>
      </w:r>
      <w:r w:rsidRPr="00CE1614">
        <w:rPr>
          <w:rFonts w:ascii="Calibri" w:eastAsia="Calibri" w:hAnsi="Calibri" w:cs="Arial"/>
          <w:lang w:val="ro-RO"/>
        </w:rPr>
        <w:t xml:space="preserve">a fost aprobat prin decizia </w:t>
      </w:r>
      <w:r w:rsidRPr="00CE1614">
        <w:rPr>
          <w:rFonts w:ascii="Calibri" w:hAnsi="Calibri" w:cs="Arial"/>
          <w:lang w:val="ro-RO"/>
        </w:rPr>
        <w:t>C(2014) 9857 din</w:t>
      </w:r>
      <w:r w:rsidRPr="00BD4A3E">
        <w:rPr>
          <w:rFonts w:ascii="Calibri" w:hAnsi="Calibri" w:cs="Arial"/>
          <w:lang w:val="ro-RO"/>
        </w:rPr>
        <w:t xml:space="preserve"> 12.12.2014, având Autoritatea de Management în Franţa. Acest program, cu buget total de 96.324.550 euro din care 74,30 mil euro finanţare FEDR, a avut evenimentul de lansare în 16 martie 2015 la Bruxelles. Domeniile de finanțare au fost cuprinse generic într-o singură axă prioritară: </w:t>
      </w:r>
      <w:r w:rsidRPr="00BD4A3E">
        <w:rPr>
          <w:rFonts w:ascii="Calibri" w:eastAsia="Calibri" w:hAnsi="Calibri" w:cs="Arial"/>
          <w:lang w:val="ro-RO"/>
        </w:rPr>
        <w:t>Sprijinirea dezvoltării urbane durabile</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hAnsi="Calibri" w:cs="Arial"/>
          <w:lang w:val="ro-RO"/>
        </w:rPr>
      </w:pPr>
      <w:r w:rsidRPr="00BD4A3E">
        <w:rPr>
          <w:rFonts w:ascii="Calibri" w:hAnsi="Calibri" w:cs="Arial"/>
          <w:lang w:val="ro-RO"/>
        </w:rPr>
        <w:t>Primul apel pentru Rețele de Planificare a Acțiunilor a fost deschis in perioada 30 martie – 16 iunie 2015, încheiat cu aprobarea a 21 de Rețele, prin decizia Comitetului de Monitorizare pe 11 septembrie 2015. Cel de-al doilea apel URBACT lansat pentru finanțarea Rețelelor de Implementare a fost deschis în perioada martie 2016 – iunie 2016, au fost aprobate 7 Rețele, prin decizia Comitetului de Monitorizare pe 10 octombrie 2015.</w:t>
      </w:r>
    </w:p>
    <w:p w:rsidR="00BD4A3E" w:rsidRPr="00BD4A3E" w:rsidRDefault="00BD4A3E" w:rsidP="00BD4A3E">
      <w:pPr>
        <w:tabs>
          <w:tab w:val="left" w:pos="612"/>
        </w:tabs>
        <w:spacing w:before="120" w:after="120"/>
        <w:contextualSpacing/>
        <w:jc w:val="both"/>
        <w:rPr>
          <w:rFonts w:ascii="Calibri" w:hAnsi="Calibri" w:cs="Arial"/>
          <w:lang w:val="ro-RO"/>
        </w:rPr>
      </w:pPr>
      <w:r w:rsidRPr="00BD4A3E">
        <w:rPr>
          <w:rFonts w:ascii="Calibri" w:hAnsi="Calibri" w:cs="Arial"/>
          <w:lang w:val="ro-RO"/>
        </w:rPr>
        <w:t xml:space="preserve">Faza I a celui de-al treilea Apel, pentru Formarea Rețelelor de Transfer, derulat în perioada septembrie 2017 – ianuarie 2018, s-a încheiat cu aprobarea a 25 de proiecte, în urma deciziei Comitetului de Monitorizare din 4 aprilie 2018. </w:t>
      </w:r>
    </w:p>
    <w:p w:rsidR="00BD4A3E" w:rsidRPr="00BD4A3E" w:rsidRDefault="00BD4A3E" w:rsidP="00BD4A3E">
      <w:pPr>
        <w:tabs>
          <w:tab w:val="left" w:pos="851"/>
        </w:tabs>
        <w:spacing w:line="276" w:lineRule="auto"/>
        <w:contextualSpacing/>
        <w:jc w:val="both"/>
        <w:rPr>
          <w:rFonts w:eastAsia="Calibri" w:cs="Arial"/>
          <w:lang w:val="ro-RO"/>
        </w:rPr>
      </w:pPr>
      <w:r w:rsidRPr="00BD4A3E">
        <w:rPr>
          <w:rFonts w:eastAsia="Calibri" w:cs="Arial"/>
          <w:lang w:val="ro-RO"/>
        </w:rPr>
        <w:t>Stadiul la data de 15 noiembrie 2018 este următorul:</w:t>
      </w:r>
    </w:p>
    <w:p w:rsidR="00BD4A3E" w:rsidRPr="00BD4A3E" w:rsidRDefault="00BD4A3E" w:rsidP="00021698">
      <w:pPr>
        <w:numPr>
          <w:ilvl w:val="0"/>
          <w:numId w:val="120"/>
        </w:numPr>
        <w:spacing w:before="120" w:after="120"/>
        <w:contextualSpacing/>
        <w:jc w:val="both"/>
        <w:rPr>
          <w:rFonts w:ascii="Calibri" w:eastAsia="Calibri" w:hAnsi="Calibri" w:cs="Arial"/>
          <w:lang w:val="ro-RO"/>
        </w:rPr>
      </w:pPr>
      <w:r w:rsidRPr="00BD4A3E">
        <w:rPr>
          <w:rFonts w:ascii="Calibri" w:eastAsia="Calibri" w:hAnsi="Calibri" w:cs="Arial"/>
          <w:lang w:val="ro-RO"/>
        </w:rPr>
        <w:t xml:space="preserve">au fost aprobate trei apeluri având </w:t>
      </w:r>
      <w:r w:rsidRPr="00BD4A3E">
        <w:rPr>
          <w:rFonts w:ascii="Calibri" w:hAnsi="Calibri"/>
          <w:lang w:val="ro-RO"/>
        </w:rPr>
        <w:t xml:space="preserve">53 </w:t>
      </w:r>
      <w:r w:rsidRPr="00BD4A3E">
        <w:rPr>
          <w:rFonts w:ascii="Calibri" w:eastAsia="Calibri" w:hAnsi="Calibri" w:cs="Arial"/>
          <w:lang w:val="ro-RO"/>
        </w:rPr>
        <w:t xml:space="preserve">de Rețele, dintre care </w:t>
      </w:r>
      <w:r w:rsidRPr="00BD4A3E">
        <w:rPr>
          <w:rFonts w:ascii="Calibri" w:hAnsi="Calibri"/>
          <w:lang w:val="ro-RO"/>
        </w:rPr>
        <w:t>17</w:t>
      </w:r>
      <w:r w:rsidRPr="00BD4A3E">
        <w:rPr>
          <w:rFonts w:ascii="Calibri" w:eastAsia="Calibri" w:hAnsi="Calibri" w:cs="Arial"/>
          <w:lang w:val="ro-RO"/>
        </w:rPr>
        <w:t xml:space="preserve"> cu beneficiari din România (10 Rețele pentru Planificarea Acțiunilor, cu un buget FEDR alocat beneficiarilor români de 463.482,00 EUR  şi 3 Rețele de Implementare, cu un buget FEDR alocat beneficiarilor români de 111 370,00 EUR şi 4 Reţele de Trasfer cu un buget FEDR aprobat pentru faza I pentru beneficiarii români de 70 184.42 EUR);</w:t>
      </w:r>
    </w:p>
    <w:p w:rsidR="00BD4A3E" w:rsidRPr="00BD4A3E" w:rsidRDefault="00BD4A3E" w:rsidP="00021698">
      <w:pPr>
        <w:numPr>
          <w:ilvl w:val="0"/>
          <w:numId w:val="120"/>
        </w:numPr>
        <w:jc w:val="both"/>
        <w:rPr>
          <w:rFonts w:ascii="Calibri" w:eastAsia="Calibri" w:hAnsi="Calibri" w:cs="Arial"/>
          <w:lang w:val="ro-RO"/>
        </w:rPr>
      </w:pPr>
      <w:r w:rsidRPr="00BD4A3E">
        <w:rPr>
          <w:rFonts w:ascii="Calibri" w:eastAsia="Calibri" w:hAnsi="Calibri" w:cs="Arial"/>
          <w:lang w:val="ro-RO"/>
        </w:rPr>
        <w:t>în decembrie 2018 vor fi definitivate parteneriatele din cadrul Reţelelor de Transfer, unde numărul beneficiarilor și, implicit, bugetele proiectelor se vor extinde pentru fiecare din cele 25 de proiecte aprobate;</w:t>
      </w:r>
    </w:p>
    <w:p w:rsidR="00BD4A3E" w:rsidRPr="00BD4A3E" w:rsidRDefault="00BD4A3E" w:rsidP="00021698">
      <w:pPr>
        <w:numPr>
          <w:ilvl w:val="0"/>
          <w:numId w:val="120"/>
        </w:numPr>
        <w:jc w:val="both"/>
        <w:rPr>
          <w:rFonts w:ascii="Calibri" w:eastAsia="Calibri" w:hAnsi="Calibri" w:cs="Arial"/>
          <w:lang w:val="ro-RO"/>
        </w:rPr>
      </w:pPr>
      <w:r w:rsidRPr="00BD4A3E">
        <w:rPr>
          <w:rFonts w:ascii="Calibri" w:eastAsia="Calibri" w:hAnsi="Calibri" w:cs="Arial"/>
          <w:lang w:val="ro-RO"/>
        </w:rPr>
        <w:t>următorul apel de proiecte pentru Rețelele de Planificare a Acțiunilor va avea loc în luna ianuarie 2019.</w:t>
      </w:r>
    </w:p>
    <w:p w:rsidR="00BD4A3E" w:rsidRPr="00BD4A3E" w:rsidRDefault="00BD4A3E" w:rsidP="00BD4A3E">
      <w:pPr>
        <w:tabs>
          <w:tab w:val="left" w:pos="612"/>
        </w:tabs>
        <w:spacing w:before="120" w:after="120"/>
        <w:contextualSpacing/>
        <w:jc w:val="both"/>
        <w:rPr>
          <w:rFonts w:ascii="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b/>
          <w:lang w:val="ro-RO"/>
        </w:rPr>
        <w:t>Programul de cooperare interregională INTERACT</w:t>
      </w:r>
      <w:r w:rsidRPr="00BD4A3E">
        <w:rPr>
          <w:rFonts w:ascii="Calibri" w:hAnsi="Calibri" w:cs="Arial"/>
          <w:sz w:val="22"/>
          <w:szCs w:val="22"/>
          <w:vertAlign w:val="superscript"/>
          <w:lang w:val="ro-RO"/>
        </w:rPr>
        <w:footnoteReference w:id="40"/>
      </w:r>
      <w:r w:rsidRPr="00BD4A3E">
        <w:rPr>
          <w:rFonts w:ascii="Calibri" w:eastAsia="Calibri" w:hAnsi="Calibri" w:cs="Arial"/>
          <w:b/>
          <w:lang w:val="ro-RO"/>
        </w:rPr>
        <w:t xml:space="preserve"> III </w:t>
      </w:r>
      <w:r w:rsidRPr="00BD4A3E">
        <w:rPr>
          <w:rFonts w:ascii="Calibri" w:eastAsia="Calibri" w:hAnsi="Calibri" w:cs="Arial"/>
          <w:lang w:val="ro-RO"/>
        </w:rPr>
        <w:t>a fost aprobat de Comisia Europeană prin decizia C(2015) 5855 din data de 13.08.2015, având Autoritatea de Management în Slovacia. Obiectivul programului este acela de a acorda asistenţă tehnică celorlalte programe de cooperare teritorială europeană în creşterea capacităţii administrative pentru management şi control, identificarea şi valorificarea rezultatelor, implementarea abordărilor inovative (GECT, strategii macro-regionale, ITI etc). Bugetul programului este de 39,40 mil euro FEDR la care se adaugă 163.530 euro contribuţia Elveţiei şi Norvegiei.</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keepNext/>
        <w:jc w:val="both"/>
        <w:outlineLvl w:val="3"/>
        <w:rPr>
          <w:rFonts w:ascii="Calibri" w:eastAsia="Calibri" w:hAnsi="Calibri"/>
          <w:b/>
          <w:bCs/>
          <w:szCs w:val="20"/>
          <w:lang w:val="ro-RO"/>
        </w:rPr>
      </w:pPr>
      <w:r w:rsidRPr="00BD4A3E">
        <w:rPr>
          <w:rFonts w:ascii="Calibri" w:eastAsia="Calibri" w:hAnsi="Calibri"/>
          <w:b/>
          <w:bCs/>
          <w:szCs w:val="20"/>
          <w:lang w:val="ro-RO"/>
        </w:rPr>
        <w:t>Programul IPA de cooperare transfrontalieră  România – Republica Serbia 2014-2020</w:t>
      </w:r>
      <w:r w:rsidRPr="00BD4A3E">
        <w:rPr>
          <w:rFonts w:ascii="Calibri" w:hAnsi="Calibri" w:cs="Arial"/>
          <w:b/>
          <w:bCs/>
          <w:sz w:val="22"/>
          <w:szCs w:val="22"/>
          <w:vertAlign w:val="superscript"/>
          <w:lang w:val="ro-RO"/>
        </w:rPr>
        <w:footnoteReference w:id="41"/>
      </w:r>
      <w:r w:rsidRPr="00BD4A3E">
        <w:rPr>
          <w:rFonts w:ascii="Calibri" w:eastAsia="Calibri" w:hAnsi="Calibri"/>
          <w:bCs/>
          <w:szCs w:val="20"/>
          <w:lang w:val="ro-RO"/>
        </w:rPr>
        <w:t xml:space="preserve">a fost aprobat </w:t>
      </w:r>
      <w:r w:rsidRPr="00BD4A3E">
        <w:rPr>
          <w:rFonts w:ascii="Calibri" w:eastAsia="Calibri" w:hAnsi="Calibri" w:cs="Arial"/>
          <w:lang w:val="ro-RO"/>
        </w:rPr>
        <w:t>prin decizia C(2015) 5667 din 06.08.2015 - în calitate de Autoritate de Management.Acest program are un buget total de 88.124.999 euro ,din care 74.906.248 fonduri IPA.</w:t>
      </w:r>
    </w:p>
    <w:p w:rsidR="00BD4A3E" w:rsidRPr="00BD4A3E" w:rsidRDefault="00BD4A3E" w:rsidP="00BD4A3E">
      <w:pPr>
        <w:tabs>
          <w:tab w:val="left" w:pos="612"/>
        </w:tabs>
        <w:spacing w:before="120" w:after="120"/>
        <w:jc w:val="both"/>
        <w:rPr>
          <w:rFonts w:ascii="Calibri" w:eastAsia="Calibri" w:hAnsi="Calibri" w:cs="Arial"/>
          <w:lang w:val="ro-RO"/>
        </w:rPr>
      </w:pPr>
      <w:r w:rsidRPr="00BD4A3E">
        <w:rPr>
          <w:rFonts w:ascii="Calibri" w:eastAsia="Calibri" w:hAnsi="Calibri" w:cs="Arial"/>
          <w:lang w:val="ro-RO"/>
        </w:rPr>
        <w:t>Pâna în acest moment au fost semnate 38 de contracte (inclusiv Asistență Tehnică) în valoare de                 50,7 mil. Euro, fonduri IPA, pentru care au fost declarate la CE cheltuieli în valoare de 13,24 mil Euro IPA, rezultând o rata a absorbției de 17,67%. CE a rambursat, până în prezent, 5,11 mil Euro. Plățile efectuate până la în acest moment însumează 10,1 mil Euro IPA (inclusiv avansuri).</w:t>
      </w:r>
    </w:p>
    <w:p w:rsidR="00BD4A3E" w:rsidRPr="00BD4A3E" w:rsidRDefault="00BD4A3E" w:rsidP="00BD4A3E">
      <w:pPr>
        <w:tabs>
          <w:tab w:val="left" w:pos="270"/>
          <w:tab w:val="left" w:pos="612"/>
        </w:tabs>
        <w:spacing w:before="120" w:after="120"/>
        <w:jc w:val="both"/>
        <w:rPr>
          <w:rFonts w:ascii="Calibri" w:eastAsia="Calibri" w:hAnsi="Calibri" w:cs="Arial"/>
          <w:lang w:val="ro-RO"/>
        </w:rPr>
      </w:pPr>
      <w:r w:rsidRPr="00BD4A3E">
        <w:rPr>
          <w:rFonts w:ascii="Calibri" w:eastAsia="Calibri" w:hAnsi="Calibri" w:cs="Arial"/>
          <w:lang w:val="ro-RO"/>
        </w:rPr>
        <w:t>Domeniile de finanţare au fost sintetizate în următoarele 4 axe prioritare:</w:t>
      </w:r>
    </w:p>
    <w:p w:rsidR="00BD4A3E" w:rsidRPr="00BD4A3E" w:rsidRDefault="00BD4A3E" w:rsidP="00021698">
      <w:pPr>
        <w:numPr>
          <w:ilvl w:val="0"/>
          <w:numId w:val="120"/>
        </w:numPr>
        <w:tabs>
          <w:tab w:val="left" w:pos="709"/>
        </w:tabs>
        <w:spacing w:line="276" w:lineRule="auto"/>
        <w:contextualSpacing/>
        <w:jc w:val="both"/>
        <w:rPr>
          <w:rFonts w:eastAsia="Calibri" w:cs="Arial"/>
          <w:szCs w:val="22"/>
          <w:lang w:val="ro-RO"/>
        </w:rPr>
      </w:pPr>
      <w:r w:rsidRPr="00BD4A3E">
        <w:rPr>
          <w:rFonts w:eastAsia="Calibri" w:cs="Arial"/>
          <w:szCs w:val="22"/>
          <w:lang w:val="ro-RO"/>
        </w:rPr>
        <w:t>Promovarea ocupării forţei de muncă şi servicii pentru o creştere favorabilă a incluziunii;</w:t>
      </w:r>
    </w:p>
    <w:p w:rsidR="00BD4A3E" w:rsidRPr="00BD4A3E" w:rsidRDefault="00BD4A3E" w:rsidP="00021698">
      <w:pPr>
        <w:numPr>
          <w:ilvl w:val="0"/>
          <w:numId w:val="120"/>
        </w:numPr>
        <w:tabs>
          <w:tab w:val="left" w:pos="709"/>
        </w:tabs>
        <w:spacing w:line="276" w:lineRule="auto"/>
        <w:contextualSpacing/>
        <w:jc w:val="both"/>
        <w:rPr>
          <w:rFonts w:eastAsia="Calibri" w:cs="Arial"/>
          <w:szCs w:val="22"/>
          <w:lang w:val="ro-RO"/>
        </w:rPr>
      </w:pPr>
      <w:r w:rsidRPr="00BD4A3E">
        <w:rPr>
          <w:rFonts w:eastAsia="Calibri" w:cs="Arial"/>
          <w:szCs w:val="22"/>
          <w:lang w:val="ro-RO"/>
        </w:rPr>
        <w:t>Protecţia mediului şi managementul riscurilor;</w:t>
      </w:r>
    </w:p>
    <w:p w:rsidR="00BD4A3E" w:rsidRPr="00BD4A3E" w:rsidRDefault="00BD4A3E" w:rsidP="00021698">
      <w:pPr>
        <w:numPr>
          <w:ilvl w:val="0"/>
          <w:numId w:val="120"/>
        </w:numPr>
        <w:tabs>
          <w:tab w:val="left" w:pos="709"/>
        </w:tabs>
        <w:spacing w:line="276" w:lineRule="auto"/>
        <w:contextualSpacing/>
        <w:jc w:val="both"/>
        <w:rPr>
          <w:rFonts w:eastAsia="Calibri" w:cs="Arial"/>
          <w:szCs w:val="22"/>
          <w:lang w:val="ro-RO"/>
        </w:rPr>
      </w:pPr>
      <w:r w:rsidRPr="00BD4A3E">
        <w:rPr>
          <w:rFonts w:eastAsia="Calibri" w:cs="Arial"/>
          <w:szCs w:val="22"/>
          <w:lang w:val="ro-RO"/>
        </w:rPr>
        <w:t>Mobilitate sustenabilă şi accesibilitate;</w:t>
      </w:r>
    </w:p>
    <w:p w:rsidR="00BD4A3E" w:rsidRPr="00BD4A3E" w:rsidRDefault="00BD4A3E" w:rsidP="00021698">
      <w:pPr>
        <w:numPr>
          <w:ilvl w:val="0"/>
          <w:numId w:val="120"/>
        </w:numPr>
        <w:tabs>
          <w:tab w:val="left" w:pos="709"/>
        </w:tabs>
        <w:spacing w:line="276" w:lineRule="auto"/>
        <w:contextualSpacing/>
        <w:jc w:val="both"/>
        <w:rPr>
          <w:rFonts w:eastAsia="Calibri" w:cs="Arial"/>
          <w:szCs w:val="22"/>
          <w:lang w:val="ro-RO"/>
        </w:rPr>
      </w:pPr>
      <w:r w:rsidRPr="00BD4A3E">
        <w:rPr>
          <w:rFonts w:eastAsia="Calibri" w:cs="Arial"/>
          <w:szCs w:val="22"/>
          <w:lang w:val="ro-RO"/>
        </w:rPr>
        <w:t>Atractivitate pentru turism sustenabil.</w:t>
      </w:r>
    </w:p>
    <w:p w:rsidR="00BD4A3E" w:rsidRPr="00BD4A3E" w:rsidRDefault="00BD4A3E" w:rsidP="00BD4A3E">
      <w:pPr>
        <w:tabs>
          <w:tab w:val="left" w:pos="709"/>
        </w:tabs>
        <w:spacing w:line="276" w:lineRule="auto"/>
        <w:ind w:left="720"/>
        <w:contextualSpacing/>
        <w:jc w:val="both"/>
        <w:rPr>
          <w:rFonts w:eastAsia="Calibri" w:cs="Arial"/>
          <w:szCs w:val="22"/>
          <w:lang w:val="ro-RO"/>
        </w:rPr>
      </w:pPr>
    </w:p>
    <w:p w:rsidR="00BD4A3E" w:rsidRPr="00BD4A3E" w:rsidRDefault="00BD4A3E" w:rsidP="00BD4A3E">
      <w:pPr>
        <w:keepNext/>
        <w:spacing w:before="120"/>
        <w:jc w:val="both"/>
        <w:outlineLvl w:val="3"/>
        <w:rPr>
          <w:rFonts w:ascii="Calibri" w:eastAsia="Calibri" w:hAnsi="Calibri"/>
          <w:b/>
          <w:bCs/>
          <w:szCs w:val="20"/>
          <w:lang w:val="ro-RO"/>
        </w:rPr>
      </w:pPr>
      <w:r w:rsidRPr="00BD4A3E">
        <w:rPr>
          <w:rFonts w:ascii="Calibri" w:eastAsia="Calibri" w:hAnsi="Calibri"/>
          <w:b/>
          <w:bCs/>
          <w:szCs w:val="20"/>
          <w:lang w:val="ro-RO"/>
        </w:rPr>
        <w:t>Programe de cooperare aferente politicii de vecinătate a UE, finanţate din ENI:</w:t>
      </w:r>
    </w:p>
    <w:p w:rsidR="00BD4A3E" w:rsidRPr="00BD4A3E" w:rsidRDefault="00BD4A3E" w:rsidP="00BD4A3E">
      <w:pPr>
        <w:tabs>
          <w:tab w:val="left" w:pos="270"/>
          <w:tab w:val="left" w:pos="612"/>
        </w:tabs>
        <w:spacing w:before="120"/>
        <w:jc w:val="both"/>
        <w:rPr>
          <w:rFonts w:ascii="Calibri" w:eastAsia="Calibri" w:hAnsi="Calibri" w:cs="Arial"/>
          <w:lang w:val="ro-RO"/>
        </w:rPr>
      </w:pPr>
      <w:r w:rsidRPr="00BD4A3E">
        <w:rPr>
          <w:rFonts w:ascii="Calibri" w:eastAsia="Calibri" w:hAnsi="Calibri" w:cs="Arial"/>
          <w:b/>
          <w:u w:val="single"/>
          <w:lang w:val="ro-RO"/>
        </w:rPr>
        <w:t>Programul operaţional comun România-Ucraina 2014-202</w:t>
      </w:r>
      <w:r w:rsidRPr="00BD4A3E">
        <w:rPr>
          <w:rFonts w:ascii="Calibri" w:eastAsia="Calibri" w:hAnsi="Calibri" w:cs="Arial"/>
          <w:b/>
          <w:lang w:val="ro-RO"/>
        </w:rPr>
        <w:t>0</w:t>
      </w:r>
      <w:r w:rsidRPr="00BD4A3E">
        <w:rPr>
          <w:rFonts w:ascii="Calibri" w:hAnsi="Calibri" w:cs="Arial"/>
          <w:sz w:val="22"/>
          <w:szCs w:val="22"/>
          <w:vertAlign w:val="superscript"/>
          <w:lang w:val="ro-RO"/>
        </w:rPr>
        <w:footnoteReference w:id="42"/>
      </w:r>
      <w:r w:rsidRPr="00BD4A3E">
        <w:rPr>
          <w:rFonts w:ascii="Calibri" w:eastAsia="Calibri" w:hAnsi="Calibri" w:cs="Arial"/>
          <w:lang w:val="ro-RO"/>
        </w:rPr>
        <w:t>a fost aprobat oficial de Comisia Europeană pe 17 decembrie 2015 cu un buget de 66 mil. euro. Domeniile de finanţare au fost sintetizate în următoarele axe prioritare:</w:t>
      </w:r>
    </w:p>
    <w:p w:rsidR="00BD4A3E" w:rsidRPr="00BD4A3E" w:rsidRDefault="00BD4A3E" w:rsidP="00021698">
      <w:pPr>
        <w:numPr>
          <w:ilvl w:val="0"/>
          <w:numId w:val="123"/>
        </w:numPr>
        <w:tabs>
          <w:tab w:val="left" w:pos="709"/>
        </w:tabs>
        <w:contextualSpacing/>
        <w:jc w:val="both"/>
        <w:rPr>
          <w:rFonts w:ascii="Calibri" w:eastAsia="Calibri" w:hAnsi="Calibri" w:cs="Arial"/>
          <w:lang w:val="ro-RO"/>
        </w:rPr>
      </w:pPr>
      <w:r w:rsidRPr="00BD4A3E">
        <w:rPr>
          <w:rFonts w:ascii="Calibri" w:eastAsia="Calibri" w:hAnsi="Calibri" w:cs="Arial"/>
          <w:lang w:val="ro-RO"/>
        </w:rPr>
        <w:t>Cooperare instituţională în educaţie pentru creșterea accesului la educaţie şi a calităţii educaţiei;</w:t>
      </w:r>
    </w:p>
    <w:p w:rsidR="00BD4A3E" w:rsidRPr="00BD4A3E" w:rsidRDefault="00BD4A3E" w:rsidP="00021698">
      <w:pPr>
        <w:numPr>
          <w:ilvl w:val="0"/>
          <w:numId w:val="123"/>
        </w:numPr>
        <w:tabs>
          <w:tab w:val="left" w:pos="709"/>
        </w:tabs>
        <w:contextualSpacing/>
        <w:jc w:val="both"/>
        <w:rPr>
          <w:rFonts w:ascii="Calibri" w:eastAsia="Calibri" w:hAnsi="Calibri" w:cs="Arial"/>
          <w:lang w:val="ro-RO"/>
        </w:rPr>
      </w:pPr>
      <w:r w:rsidRPr="00BD4A3E">
        <w:rPr>
          <w:rFonts w:ascii="Calibri" w:eastAsia="Calibri" w:hAnsi="Calibri" w:cs="Arial"/>
          <w:lang w:val="ro-RO"/>
        </w:rPr>
        <w:t>Promovare şi suport pentru cercetare şi inovare;</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Conservarea şi promovarea patrimoniului cultural şi istoric;</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Dezvoltarea infrastructurii de transport transfrontalieră şi a instrumentelor TIC;</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 pentru dezvoltarea serviciilor de sănătate şi accesul la sănătate;</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 pentru activităţi comune de prevenire a dezastrelor naturale sau provocate de om, precum şi acţiuni comune în situaţii de urgenţă;</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Prevenirea şi lupta împotriva criminalităţii organizate şi cooperarea poliţienească.</w:t>
      </w:r>
    </w:p>
    <w:p w:rsidR="00BD4A3E" w:rsidRPr="00BD4A3E" w:rsidRDefault="00BD4A3E" w:rsidP="00BD4A3E">
      <w:pPr>
        <w:tabs>
          <w:tab w:val="left" w:pos="612"/>
        </w:tabs>
        <w:spacing w:before="120" w:after="120"/>
        <w:ind w:left="360"/>
        <w:contextualSpacing/>
        <w:jc w:val="both"/>
        <w:rPr>
          <w:rFonts w:ascii="Calibri" w:eastAsia="Calibri" w:hAnsi="Calibri" w:cs="Arial"/>
          <w:lang w:val="ro-RO"/>
        </w:rPr>
      </w:pPr>
    </w:p>
    <w:p w:rsidR="00BD4A3E" w:rsidRPr="00BD4A3E" w:rsidRDefault="00BD4A3E" w:rsidP="00BD4A3E">
      <w:pPr>
        <w:tabs>
          <w:tab w:val="left" w:pos="270"/>
          <w:tab w:val="left" w:pos="612"/>
        </w:tabs>
        <w:jc w:val="both"/>
        <w:rPr>
          <w:rFonts w:ascii="Calibri" w:eastAsia="Calibri" w:hAnsi="Calibri" w:cs="Arial"/>
          <w:lang w:val="ro-RO"/>
        </w:rPr>
      </w:pPr>
      <w:r w:rsidRPr="00BD4A3E">
        <w:rPr>
          <w:rFonts w:ascii="Calibri" w:eastAsia="Calibri" w:hAnsi="Calibri" w:cs="Arial"/>
          <w:b/>
          <w:u w:val="single"/>
          <w:lang w:val="ro-RO"/>
        </w:rPr>
        <w:t>Programul operațional comun România - Republica Moldova 2014-2020</w:t>
      </w:r>
      <w:r w:rsidRPr="00BD4A3E">
        <w:rPr>
          <w:rFonts w:ascii="Calibri" w:hAnsi="Calibri" w:cs="Arial"/>
          <w:sz w:val="22"/>
          <w:szCs w:val="22"/>
          <w:vertAlign w:val="superscript"/>
          <w:lang w:val="ro-RO"/>
        </w:rPr>
        <w:footnoteReference w:id="43"/>
      </w:r>
      <w:r w:rsidRPr="00BD4A3E">
        <w:rPr>
          <w:rFonts w:ascii="Calibri" w:eastAsia="Calibri" w:hAnsi="Calibri" w:cs="Arial"/>
          <w:lang w:val="ro-RO"/>
        </w:rPr>
        <w:t>a fost aprobat oficial de Comisia Europeană pe 17 decembrie 2015 cu un buget total de 89,10 mil. euro. Domeniile de finanţare au fost sintetizate în următoarele axe prioritare:</w:t>
      </w:r>
    </w:p>
    <w:p w:rsidR="00BD4A3E" w:rsidRPr="00BD4A3E" w:rsidRDefault="00BD4A3E" w:rsidP="00021698">
      <w:pPr>
        <w:numPr>
          <w:ilvl w:val="0"/>
          <w:numId w:val="124"/>
        </w:numPr>
        <w:tabs>
          <w:tab w:val="left" w:pos="709"/>
        </w:tabs>
        <w:contextualSpacing/>
        <w:jc w:val="both"/>
        <w:rPr>
          <w:rFonts w:ascii="Calibri" w:eastAsia="Calibri" w:hAnsi="Calibri" w:cs="Arial"/>
          <w:lang w:val="ro-RO"/>
        </w:rPr>
      </w:pPr>
      <w:r w:rsidRPr="00BD4A3E">
        <w:rPr>
          <w:rFonts w:ascii="Calibri" w:eastAsia="Calibri" w:hAnsi="Calibri" w:cs="Arial"/>
          <w:lang w:val="ro-RO"/>
        </w:rPr>
        <w:t>Cooperare instituţională în educaţie pentru creşterea accesului la educaţie şi a calităţii educaţiei;</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Promovare şi suport pentru cercetare şi inovare;</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Conservarea şi promovarea patrimoniului cultural şi istoric;</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Dezvoltarea infrastructurii de transport transfrontalieră şi a infrastructurii TIC;</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 pentru dezvoltarea serviciilor de sănătate şi accesul la sănătate;</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 pentru activităţi comune de prevenire a dezastrelor naturale sau provocate de om, precum şi acţiuni comune în situaţii de urgenţă;</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Prevenirea şi lupta împotriva criminalităţii organizate şi cooperarea poliţienească.</w:t>
      </w:r>
    </w:p>
    <w:p w:rsidR="00BD4A3E" w:rsidRPr="00BD4A3E" w:rsidRDefault="00BD4A3E" w:rsidP="00BD4A3E">
      <w:pPr>
        <w:tabs>
          <w:tab w:val="left" w:pos="612"/>
        </w:tabs>
        <w:spacing w:before="120" w:after="120"/>
        <w:contextualSpacing/>
        <w:jc w:val="both"/>
        <w:rPr>
          <w:rFonts w:ascii="Calibri" w:eastAsia="Calibri" w:hAnsi="Calibri" w:cs="Calibri"/>
          <w:b/>
          <w:lang w:val="ro-RO"/>
        </w:rPr>
      </w:pPr>
    </w:p>
    <w:p w:rsidR="00BD4A3E" w:rsidRPr="00BD4A3E" w:rsidRDefault="00BD4A3E" w:rsidP="00BD4A3E">
      <w:pPr>
        <w:tabs>
          <w:tab w:val="left" w:pos="612"/>
        </w:tabs>
        <w:spacing w:before="120" w:after="120"/>
        <w:contextualSpacing/>
        <w:jc w:val="both"/>
        <w:rPr>
          <w:rFonts w:ascii="Calibri" w:eastAsia="Calibri" w:hAnsi="Calibri" w:cs="Calibri"/>
          <w:lang w:val="ro-RO"/>
        </w:rPr>
      </w:pPr>
      <w:r w:rsidRPr="00BD4A3E">
        <w:rPr>
          <w:rFonts w:ascii="Calibri" w:eastAsia="Calibri" w:hAnsi="Calibri" w:cs="Calibri"/>
          <w:b/>
          <w:lang w:val="ro-RO"/>
        </w:rPr>
        <w:t>Stadiul la data de 15 octombrie 2018</w:t>
      </w:r>
      <w:r w:rsidRPr="00BD4A3E">
        <w:rPr>
          <w:rFonts w:ascii="Calibri" w:eastAsia="Calibri" w:hAnsi="Calibri" w:cs="Calibri"/>
          <w:lang w:val="ro-RO"/>
        </w:rPr>
        <w:t xml:space="preserve"> este următorul:</w:t>
      </w:r>
    </w:p>
    <w:p w:rsidR="00BD4A3E" w:rsidRPr="00BD4A3E" w:rsidRDefault="00BD4A3E" w:rsidP="00021698">
      <w:pPr>
        <w:numPr>
          <w:ilvl w:val="0"/>
          <w:numId w:val="127"/>
        </w:numPr>
        <w:ind w:left="567" w:hanging="283"/>
        <w:contextualSpacing/>
        <w:jc w:val="both"/>
        <w:rPr>
          <w:rFonts w:ascii="Calibri" w:eastAsia="Calibri" w:hAnsi="Calibri" w:cs="Calibri"/>
          <w:lang w:val="ro-RO"/>
        </w:rPr>
      </w:pPr>
      <w:r w:rsidRPr="00BD4A3E">
        <w:rPr>
          <w:rFonts w:ascii="Calibri" w:eastAsia="Calibri" w:hAnsi="Calibri" w:cs="Calibri"/>
          <w:lang w:val="ro-RO"/>
        </w:rPr>
        <w:t>Au fost lansate 2 (două) apeluri de proiecte, acoperind întreaga valoare alocată celor 7 prioritati menționate mai sus.</w:t>
      </w:r>
    </w:p>
    <w:p w:rsidR="00BD4A3E" w:rsidRPr="00BD4A3E" w:rsidRDefault="00BD4A3E" w:rsidP="00021698">
      <w:pPr>
        <w:numPr>
          <w:ilvl w:val="0"/>
          <w:numId w:val="127"/>
        </w:numPr>
        <w:ind w:left="567" w:hanging="283"/>
        <w:contextualSpacing/>
        <w:jc w:val="both"/>
        <w:rPr>
          <w:rFonts w:ascii="Calibri" w:eastAsia="Calibri" w:hAnsi="Calibri" w:cs="Calibri"/>
          <w:lang w:val="ro-RO"/>
        </w:rPr>
      </w:pPr>
      <w:r w:rsidRPr="00BD4A3E">
        <w:rPr>
          <w:rFonts w:ascii="Calibri" w:eastAsia="Calibri" w:hAnsi="Calibri" w:cs="Calibri"/>
          <w:lang w:val="ro-RO"/>
        </w:rPr>
        <w:t xml:space="preserve">Ambele apeluri au fost inchise, fiind depuse un număr de 241 de proiecte aflate în proces de evaluare. </w:t>
      </w:r>
    </w:p>
    <w:p w:rsidR="00BD4A3E" w:rsidRPr="00BD4A3E" w:rsidRDefault="00BD4A3E" w:rsidP="00021698">
      <w:pPr>
        <w:numPr>
          <w:ilvl w:val="0"/>
          <w:numId w:val="127"/>
        </w:numPr>
        <w:ind w:left="567" w:hanging="283"/>
        <w:contextualSpacing/>
        <w:jc w:val="both"/>
        <w:rPr>
          <w:rFonts w:ascii="Calibri" w:eastAsia="Calibri" w:hAnsi="Calibri" w:cs="Calibri"/>
          <w:lang w:val="ro-RO"/>
        </w:rPr>
      </w:pPr>
      <w:r w:rsidRPr="00BD4A3E">
        <w:rPr>
          <w:rFonts w:ascii="Calibri" w:eastAsia="Calibri" w:hAnsi="Calibri" w:cs="Calibri"/>
          <w:lang w:val="ro-RO"/>
        </w:rPr>
        <w:t>Pentru proiectele mari de infrastructură a căror listă a fost stabilită în Program, au fost parcurse etapele specifice, 3 proiecte din lista principală fiind transmise la Comisia Europeană în vederea aprobării finale. Al 4-lea proiect din lista principala pentru care au fost solicitate o serie de clarificari suplimentare urmează să fie transmis la Comisia Europeana ulterior primirii documentației revizuite.</w:t>
      </w:r>
    </w:p>
    <w:p w:rsidR="00BD4A3E" w:rsidRPr="00BD4A3E" w:rsidRDefault="00BD4A3E" w:rsidP="00BD4A3E">
      <w:pPr>
        <w:tabs>
          <w:tab w:val="left" w:pos="612"/>
        </w:tabs>
        <w:spacing w:before="120" w:after="120"/>
        <w:ind w:left="36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b/>
          <w:u w:val="single"/>
          <w:lang w:val="ro-RO"/>
        </w:rPr>
        <w:t>Programul operațional comun Bazinul Mării Negre 2014-2020</w:t>
      </w:r>
      <w:r w:rsidRPr="00BD4A3E">
        <w:rPr>
          <w:rFonts w:ascii="Calibri" w:hAnsi="Calibri" w:cs="Arial"/>
          <w:sz w:val="22"/>
          <w:szCs w:val="22"/>
          <w:vertAlign w:val="superscript"/>
          <w:lang w:val="ro-RO"/>
        </w:rPr>
        <w:footnoteReference w:id="44"/>
      </w:r>
      <w:r w:rsidRPr="00BD4A3E">
        <w:rPr>
          <w:rFonts w:ascii="Calibri" w:eastAsia="Calibri" w:hAnsi="Calibri" w:cs="Arial"/>
          <w:lang w:val="ro-RO"/>
        </w:rPr>
        <w:t>a fost aprobat oficial de Comisia Europeană prin decizia C(2015) 9187 din 18.12.2015 cu un buget total de 53,94 mil. euro din care 49,04 mil. fonduri externe nerambursabile.</w:t>
      </w:r>
    </w:p>
    <w:p w:rsidR="00BD4A3E" w:rsidRPr="00BD4A3E" w:rsidRDefault="00BD4A3E" w:rsidP="00BD4A3E">
      <w:pPr>
        <w:tabs>
          <w:tab w:val="left" w:pos="270"/>
          <w:tab w:val="left" w:pos="612"/>
        </w:tabs>
        <w:jc w:val="both"/>
        <w:rPr>
          <w:rFonts w:ascii="Calibri" w:eastAsia="Calibri" w:hAnsi="Calibri" w:cs="Arial"/>
          <w:lang w:val="ro-RO"/>
        </w:rPr>
      </w:pPr>
      <w:r w:rsidRPr="00BD4A3E">
        <w:rPr>
          <w:rFonts w:ascii="Calibri" w:eastAsia="Calibri" w:hAnsi="Calibri" w:cs="Arial"/>
          <w:lang w:val="ro-RO"/>
        </w:rPr>
        <w:t>Domeniile de finanțare au fost sintetizate în următoarele axe prioritare:</w:t>
      </w:r>
    </w:p>
    <w:p w:rsidR="00BD4A3E" w:rsidRPr="00BD4A3E" w:rsidRDefault="00BD4A3E" w:rsidP="00021698">
      <w:pPr>
        <w:numPr>
          <w:ilvl w:val="0"/>
          <w:numId w:val="125"/>
        </w:numPr>
        <w:tabs>
          <w:tab w:val="left" w:pos="709"/>
        </w:tabs>
        <w:contextualSpacing/>
        <w:jc w:val="both"/>
        <w:rPr>
          <w:rFonts w:ascii="Calibri" w:eastAsia="Calibri" w:hAnsi="Calibri" w:cs="Arial"/>
          <w:lang w:val="ro-RO"/>
        </w:rPr>
      </w:pPr>
      <w:r w:rsidRPr="00BD4A3E">
        <w:rPr>
          <w:rFonts w:ascii="Calibri" w:eastAsia="Calibri" w:hAnsi="Calibri" w:cs="Arial"/>
          <w:lang w:val="ro-RO"/>
        </w:rPr>
        <w:t>Promovarea în comun a mediului de afaceri şi antreprenorialului în sectoarele turism şi cultură;</w:t>
      </w:r>
    </w:p>
    <w:p w:rsidR="00BD4A3E" w:rsidRPr="00BD4A3E" w:rsidRDefault="00BD4A3E" w:rsidP="00021698">
      <w:pPr>
        <w:numPr>
          <w:ilvl w:val="0"/>
          <w:numId w:val="125"/>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Creșterea oportunităților de comerț transfrontalier şi modernizarea în domeniul agriculturii şi sectoarelor conexe, inclusiv acvacultură, industria alimentară şi industria agricolă;</w:t>
      </w:r>
    </w:p>
    <w:p w:rsidR="00BD4A3E" w:rsidRPr="00BD4A3E" w:rsidRDefault="00BD4A3E" w:rsidP="00021698">
      <w:pPr>
        <w:numPr>
          <w:ilvl w:val="0"/>
          <w:numId w:val="125"/>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Îmbunătățirea sistemului de monitorizare în comun a mediului;</w:t>
      </w:r>
    </w:p>
    <w:p w:rsidR="00BD4A3E" w:rsidRPr="00BD4A3E" w:rsidRDefault="00BD4A3E" w:rsidP="00021698">
      <w:pPr>
        <w:numPr>
          <w:ilvl w:val="0"/>
          <w:numId w:val="125"/>
        </w:numPr>
        <w:tabs>
          <w:tab w:val="left" w:pos="709"/>
        </w:tabs>
        <w:contextualSpacing/>
        <w:jc w:val="both"/>
        <w:rPr>
          <w:rFonts w:ascii="Calibri" w:eastAsia="Calibri" w:hAnsi="Calibri" w:cs="Arial"/>
          <w:lang w:val="ro-RO"/>
        </w:rPr>
      </w:pPr>
      <w:r w:rsidRPr="00BD4A3E">
        <w:rPr>
          <w:rFonts w:ascii="Calibri" w:eastAsia="Calibri" w:hAnsi="Calibri" w:cs="Arial"/>
          <w:lang w:val="ro-RO"/>
        </w:rPr>
        <w:t>Promovarea unei activități comune de conștientizare publică şi a unor acțiuni comune împotriva deșeurilor maritime și riverane.</w:t>
      </w:r>
    </w:p>
    <w:p w:rsidR="00BD4A3E" w:rsidRPr="00BD4A3E" w:rsidRDefault="00BD4A3E" w:rsidP="00BD4A3E">
      <w:pPr>
        <w:contextualSpacing/>
        <w:jc w:val="both"/>
        <w:rPr>
          <w:rFonts w:ascii="Calibri" w:eastAsia="Calibri" w:hAnsi="Calibri" w:cs="Arial"/>
          <w:lang w:val="ro-RO"/>
        </w:rPr>
      </w:pPr>
      <w:r w:rsidRPr="00BD4A3E">
        <w:rPr>
          <w:rFonts w:ascii="Calibri" w:eastAsia="Calibri" w:hAnsi="Calibri" w:cs="Arial"/>
          <w:lang w:val="ro-RO"/>
        </w:rPr>
        <w:t>Sumele cheltuite de la bugetul de stat pentru proiectele de cooperare teritorială europeană sunt esențiale pentru buna implementare a proiectelor de cooperare transfrontalieră, transnațională şi interregională aferente programelor ce fac parte din obiectivul cooperare teritorială europeană al politicii de coeziune a UE şi a proiectelor de cooperare transfrontalieră aferente politicilor de extindere şi vecinătate ale UE la care ia parte România.</w:t>
      </w:r>
    </w:p>
    <w:p w:rsidR="00BD4A3E" w:rsidRPr="00BD4A3E" w:rsidRDefault="00BD4A3E" w:rsidP="00BD4A3E">
      <w:pPr>
        <w:tabs>
          <w:tab w:val="left" w:pos="612"/>
        </w:tabs>
        <w:spacing w:before="120" w:after="120"/>
        <w:jc w:val="both"/>
        <w:rPr>
          <w:rFonts w:ascii="Calibri" w:eastAsia="Calibri" w:hAnsi="Calibri" w:cs="Arial"/>
          <w:lang w:val="ro-RO"/>
        </w:rPr>
      </w:pPr>
      <w:r w:rsidRPr="00BD4A3E">
        <w:rPr>
          <w:rFonts w:ascii="Calibri" w:eastAsia="Calibri" w:hAnsi="Calibri" w:cs="Arial"/>
          <w:lang w:val="ro-RO"/>
        </w:rPr>
        <w:t>Până în acest moment au fost semnate 21 de contracte (inclusiv Asistență Tehnică) în valoare de                    17 mil. Euro, fonduri externe nerambursabile.</w:t>
      </w:r>
    </w:p>
    <w:p w:rsidR="00BD4A3E" w:rsidRPr="00BD4A3E" w:rsidRDefault="00BD4A3E" w:rsidP="00BD4A3E">
      <w:pPr>
        <w:tabs>
          <w:tab w:val="left" w:pos="612"/>
        </w:tabs>
        <w:spacing w:before="120" w:after="120"/>
        <w:contextualSpacing/>
        <w:jc w:val="both"/>
        <w:rPr>
          <w:rFonts w:ascii="Calibri" w:eastAsia="Calibri" w:hAnsi="Calibri" w:cs="Arial"/>
          <w:b/>
          <w:lang w:val="ro-RO"/>
        </w:rPr>
      </w:pPr>
      <w:r w:rsidRPr="00BD4A3E">
        <w:rPr>
          <w:rFonts w:ascii="Calibri" w:eastAsia="Calibri" w:hAnsi="Calibri" w:cs="Arial"/>
          <w:lang w:val="ro-RO"/>
        </w:rPr>
        <w:t>Plățile efectuate până în acest moment însumează 4,1 mil Euro fonduri externe nerambursabile (inclusiv avansuri).</w:t>
      </w:r>
    </w:p>
    <w:p w:rsidR="00BD4A3E" w:rsidRPr="00BD4A3E" w:rsidRDefault="00BD4A3E" w:rsidP="00BD4A3E">
      <w:pPr>
        <w:spacing w:before="120" w:after="120"/>
        <w:contextualSpacing/>
        <w:jc w:val="both"/>
        <w:rPr>
          <w:rFonts w:ascii="Calibri" w:eastAsia="Calibri" w:hAnsi="Calibri" w:cs="Arial"/>
          <w:lang w:val="ro-RO"/>
        </w:rPr>
      </w:pPr>
    </w:p>
    <w:p w:rsidR="00BD4A3E" w:rsidRPr="00BD4A3E" w:rsidRDefault="00BD4A3E" w:rsidP="00BD4A3E">
      <w:pPr>
        <w:spacing w:before="120" w:after="120"/>
        <w:contextualSpacing/>
        <w:jc w:val="both"/>
        <w:rPr>
          <w:rFonts w:ascii="Calibri" w:eastAsia="Calibri" w:hAnsi="Calibri" w:cs="Arial"/>
          <w:u w:val="single"/>
          <w:lang w:val="ro-RO"/>
        </w:rPr>
      </w:pPr>
      <w:r w:rsidRPr="00BD4A3E">
        <w:rPr>
          <w:rFonts w:ascii="Calibri" w:eastAsia="Calibri" w:hAnsi="Calibri" w:cs="Arial"/>
          <w:b/>
          <w:u w:val="single"/>
          <w:lang w:val="ro-RO"/>
        </w:rPr>
        <w:t>Programul de Cooperare Transfrontalieră ENI Ungaria-Slovacia-România-Ucraina 2014-2020</w:t>
      </w:r>
      <w:r w:rsidRPr="00BD4A3E">
        <w:rPr>
          <w:rFonts w:ascii="Calibri" w:eastAsia="Calibri" w:hAnsi="Calibri" w:cs="Arial"/>
          <w:lang w:val="ro-RO"/>
        </w:rPr>
        <w:t xml:space="preserve"> a fost aprobat oficial de Comisia Europeană cu un buget total de 81,35 mil. euro.</w:t>
      </w:r>
    </w:p>
    <w:p w:rsidR="00BD4A3E" w:rsidRPr="00BD4A3E" w:rsidRDefault="00BD4A3E" w:rsidP="00BD4A3E">
      <w:pPr>
        <w:spacing w:before="120" w:after="120"/>
        <w:contextualSpacing/>
        <w:jc w:val="both"/>
        <w:rPr>
          <w:rFonts w:ascii="Calibri" w:eastAsia="Calibri" w:hAnsi="Calibri" w:cs="Arial"/>
          <w:lang w:val="ro-RO"/>
        </w:rPr>
      </w:pPr>
      <w:r w:rsidRPr="00BD4A3E">
        <w:rPr>
          <w:rFonts w:ascii="Calibri" w:eastAsia="Calibri" w:hAnsi="Calibri" w:cs="Arial"/>
          <w:lang w:val="ro-RO"/>
        </w:rPr>
        <w:t>Domeniile de finanţare cuprind următoarele axe prioritare:</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Promovarea culturii locale şi a istoriei cu accentuarea funcţiei de turism;</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Utilizarea durabilă a mediului în zona transfrontalieră - conservarea resurselor naturale, acţiuni de reducere a emisiilor de gaze cu efect de seră şi poluare a râurilor;</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Dezvoltarea infrastructurii de transport în vederea îmbunătăţirii mobilităţii persoanelor şi bunurilor;</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Dezvoltarea infrastructurii pentru tehnologiile de informare şi comunicare şi schimbul de informații;</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Sprijinirea activităților comune pentru prevenirea dezastrelor naturale şi antropice precum şi acțiuni comune în situațiile de urgenţă;</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lang w:val="ro-RO"/>
        </w:rPr>
      </w:pPr>
      <w:r w:rsidRPr="00BD4A3E">
        <w:rPr>
          <w:rFonts w:ascii="Calibri" w:eastAsia="Calibri" w:hAnsi="Calibri" w:cs="Arial"/>
          <w:lang w:val="ro-RO"/>
        </w:rPr>
        <w:t>Sprijin pentru dezvoltarea infrastructurii de sănătate.</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lang w:val="ro-RO"/>
        </w:rPr>
      </w:pPr>
      <w:r w:rsidRPr="00BD4A3E">
        <w:rPr>
          <w:rFonts w:ascii="Calibri" w:eastAsia="Calibri" w:hAnsi="Calibri" w:cs="Arial"/>
          <w:lang w:val="ro-RO"/>
        </w:rPr>
        <w:t>Stadiul la data de 15 octombrie 2018 este următorul:</w:t>
      </w:r>
    </w:p>
    <w:p w:rsidR="00BD4A3E" w:rsidRPr="00BD4A3E" w:rsidRDefault="00BD4A3E" w:rsidP="00021698">
      <w:pPr>
        <w:numPr>
          <w:ilvl w:val="0"/>
          <w:numId w:val="121"/>
        </w:numPr>
        <w:tabs>
          <w:tab w:val="left" w:pos="709"/>
        </w:tabs>
        <w:spacing w:before="120" w:after="120"/>
        <w:ind w:left="709" w:hanging="283"/>
        <w:contextualSpacing/>
        <w:jc w:val="both"/>
        <w:rPr>
          <w:rFonts w:ascii="Calibri" w:eastAsia="Calibri" w:hAnsi="Calibri" w:cs="Arial"/>
          <w:lang w:val="ro-RO"/>
        </w:rPr>
      </w:pPr>
      <w:r w:rsidRPr="00BD4A3E">
        <w:rPr>
          <w:rFonts w:ascii="Calibri" w:eastAsia="Calibri" w:hAnsi="Calibri" w:cs="Arial"/>
          <w:lang w:val="ro-RO"/>
        </w:rPr>
        <w:t>Au fost lansate două apeluri de propuneri de proiecte în valoare totală de 44 milioane euro;</w:t>
      </w:r>
    </w:p>
    <w:p w:rsidR="00BD4A3E" w:rsidRPr="00BD4A3E" w:rsidRDefault="00BD4A3E" w:rsidP="00021698">
      <w:pPr>
        <w:numPr>
          <w:ilvl w:val="0"/>
          <w:numId w:val="121"/>
        </w:numPr>
        <w:tabs>
          <w:tab w:val="left" w:pos="709"/>
        </w:tabs>
        <w:spacing w:before="120" w:after="120"/>
        <w:ind w:left="709" w:hanging="283"/>
        <w:contextualSpacing/>
        <w:jc w:val="both"/>
        <w:rPr>
          <w:rFonts w:ascii="Calibri" w:eastAsia="Calibri" w:hAnsi="Calibri" w:cs="Arial"/>
          <w:lang w:val="ro-RO"/>
        </w:rPr>
      </w:pPr>
      <w:r w:rsidRPr="00BD4A3E">
        <w:rPr>
          <w:rFonts w:ascii="Calibri" w:eastAsia="Calibri" w:hAnsi="Calibri" w:cs="Arial"/>
          <w:lang w:val="ro-RO"/>
        </w:rPr>
        <w:t xml:space="preserve">În cadrul celei de-a doua întâlniri a Comitetului Comun de Monitorizare (24-25.04.2018, Košice, Slovakia) nu au fost selectate proiecte mari de infrastructură cu participare românească; </w:t>
      </w:r>
    </w:p>
    <w:p w:rsidR="00BD4A3E" w:rsidRPr="00BD4A3E" w:rsidRDefault="00BD4A3E" w:rsidP="00BD4A3E">
      <w:pPr>
        <w:keepNext/>
        <w:keepLines/>
        <w:spacing w:before="120" w:after="120"/>
        <w:ind w:left="357" w:hanging="357"/>
        <w:jc w:val="both"/>
        <w:outlineLvl w:val="0"/>
        <w:rPr>
          <w:rFonts w:ascii="Calibri" w:eastAsia="Calibri" w:hAnsi="Calibri" w:cs="Arial"/>
          <w:lang w:val="ro-RO"/>
        </w:rPr>
      </w:pPr>
      <w:r w:rsidRPr="00BD4A3E">
        <w:rPr>
          <w:rFonts w:ascii="Calibri" w:eastAsia="Calibri" w:hAnsi="Calibri" w:cs="Arial"/>
          <w:lang w:val="ro-RO"/>
        </w:rPr>
        <w:t>În cadrul celei de-a treia întâlniri a Comitetului Comun de Monitorizare (12.07.2018, Baia Mare, România) au fost selectate 35 de proiecte din care 24 cu participare românească.</w:t>
      </w:r>
    </w:p>
    <w:p w:rsidR="00BD4A3E" w:rsidRPr="003964D3" w:rsidRDefault="00BD4A3E" w:rsidP="00BD4A3E">
      <w:pPr>
        <w:keepNext/>
        <w:keepLines/>
        <w:spacing w:before="120" w:after="120"/>
        <w:ind w:left="357" w:hanging="357"/>
        <w:jc w:val="both"/>
        <w:outlineLvl w:val="0"/>
        <w:rPr>
          <w:rFonts w:ascii="Calibri" w:hAnsi="Calibri" w:cs="Arial"/>
          <w:b/>
          <w:kern w:val="32"/>
          <w:sz w:val="28"/>
          <w:szCs w:val="28"/>
          <w:lang w:val="fr-FR"/>
        </w:rPr>
      </w:pPr>
    </w:p>
    <w:p w:rsidR="00BD4A3E" w:rsidRPr="003964D3" w:rsidRDefault="00BD4A3E" w:rsidP="00BD4A3E">
      <w:pPr>
        <w:keepNext/>
        <w:keepLines/>
        <w:spacing w:before="120" w:after="120"/>
        <w:ind w:left="357" w:hanging="357"/>
        <w:jc w:val="both"/>
        <w:outlineLvl w:val="0"/>
        <w:rPr>
          <w:rFonts w:ascii="Calibri" w:hAnsi="Calibri" w:cs="Arial"/>
          <w:b/>
          <w:kern w:val="32"/>
          <w:sz w:val="28"/>
          <w:szCs w:val="28"/>
          <w:lang w:val="fr-FR"/>
        </w:rPr>
      </w:pPr>
      <w:r w:rsidRPr="003964D3">
        <w:rPr>
          <w:rFonts w:ascii="Calibri" w:hAnsi="Calibri" w:cs="Arial"/>
          <w:b/>
          <w:kern w:val="32"/>
          <w:sz w:val="28"/>
          <w:szCs w:val="28"/>
          <w:lang w:val="fr-FR"/>
        </w:rPr>
        <w:t>B. FONDURI DIN POLITICA AGRICOLĂ COMUNĂ</w:t>
      </w:r>
    </w:p>
    <w:p w:rsidR="00BD4A3E" w:rsidRPr="003964D3" w:rsidRDefault="00BD4A3E" w:rsidP="00BD4A3E">
      <w:pPr>
        <w:keepNext/>
        <w:keepLines/>
        <w:spacing w:before="240" w:after="60"/>
        <w:ind w:left="360" w:hanging="360"/>
        <w:jc w:val="both"/>
        <w:outlineLvl w:val="0"/>
        <w:rPr>
          <w:rFonts w:ascii="Calibri" w:hAnsi="Calibri" w:cs="Arial"/>
          <w:b/>
          <w:kern w:val="32"/>
          <w:lang w:val="fr-FR"/>
        </w:rPr>
      </w:pPr>
      <w:r w:rsidRPr="003964D3">
        <w:rPr>
          <w:rFonts w:ascii="Calibri" w:hAnsi="Calibri" w:cs="Arial"/>
          <w:b/>
          <w:kern w:val="32"/>
          <w:lang w:val="fr-FR"/>
        </w:rPr>
        <w:t>1. Programul Național de Dezvoltare Rurală (PNDR)</w:t>
      </w:r>
    </w:p>
    <w:p w:rsidR="00BD4A3E" w:rsidRPr="00BD4A3E" w:rsidRDefault="00BD4A3E" w:rsidP="00BD4A3E">
      <w:pPr>
        <w:shd w:val="clear" w:color="auto" w:fill="FFFFFF"/>
        <w:spacing w:before="120" w:after="120"/>
        <w:ind w:left="-170"/>
        <w:contextualSpacing/>
        <w:jc w:val="both"/>
        <w:rPr>
          <w:rFonts w:ascii="Calibri" w:eastAsia="Calibri" w:hAnsi="Calibri" w:cs="Arial"/>
          <w:lang w:val="ro-RO"/>
        </w:rPr>
      </w:pPr>
      <w:r w:rsidRPr="00BD4A3E">
        <w:rPr>
          <w:rFonts w:ascii="Calibri" w:eastAsia="Calibri" w:hAnsi="Calibri" w:cs="Arial"/>
          <w:lang w:val="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aproximativ 9,5 miliarde euro fondurile publice disponibile (8,1 miliarde euro din bugetul FEADR și 1,4 miliarde euro reprezentând cofinanțarea națională). </w:t>
      </w:r>
    </w:p>
    <w:p w:rsidR="00BD4A3E" w:rsidRPr="00BD4A3E" w:rsidRDefault="00BD4A3E" w:rsidP="00BD4A3E">
      <w:pPr>
        <w:shd w:val="clear" w:color="auto" w:fill="FFFFFF"/>
        <w:spacing w:after="225"/>
        <w:ind w:left="-170"/>
        <w:contextualSpacing/>
        <w:jc w:val="both"/>
        <w:rPr>
          <w:rFonts w:ascii="Calibri" w:eastAsia="Calibri" w:hAnsi="Calibri" w:cs="Arial"/>
          <w:lang w:val="ro-RO"/>
        </w:rPr>
      </w:pPr>
    </w:p>
    <w:p w:rsidR="00BD4A3E" w:rsidRPr="00BD4A3E" w:rsidRDefault="00BD4A3E" w:rsidP="00021698">
      <w:pPr>
        <w:numPr>
          <w:ilvl w:val="1"/>
          <w:numId w:val="104"/>
        </w:numPr>
        <w:shd w:val="clear" w:color="auto" w:fill="FFFFFF"/>
        <w:spacing w:line="276" w:lineRule="auto"/>
        <w:ind w:hanging="218"/>
        <w:contextualSpacing/>
        <w:jc w:val="both"/>
        <w:rPr>
          <w:rFonts w:ascii="Calibri" w:eastAsia="Calibri" w:hAnsi="Calibri" w:cs="Arial"/>
          <w:szCs w:val="22"/>
          <w:lang w:val="ro-RO"/>
        </w:rPr>
      </w:pPr>
      <w:r w:rsidRPr="00BD4A3E">
        <w:rPr>
          <w:rFonts w:ascii="Calibri" w:eastAsia="Calibri" w:hAnsi="Calibri" w:cs="Arial"/>
          <w:szCs w:val="22"/>
          <w:lang w:val="ro-RO"/>
        </w:rPr>
        <w:t>Alocarea financiară  PNDR 2014-2020 , împărțită pe ani este următoarea:</w:t>
      </w:r>
    </w:p>
    <w:p w:rsidR="00BD4A3E" w:rsidRPr="00BD4A3E" w:rsidRDefault="00BD4A3E" w:rsidP="00BD4A3E">
      <w:pPr>
        <w:shd w:val="clear" w:color="auto" w:fill="FFFFFF"/>
        <w:spacing w:line="300" w:lineRule="atLeast"/>
        <w:jc w:val="right"/>
        <w:rPr>
          <w:rFonts w:ascii="Calibri" w:eastAsia="Calibri" w:hAnsi="Calibri" w:cs="Arial"/>
          <w:lang w:val="ro-RO"/>
        </w:rPr>
      </w:pPr>
      <w:r w:rsidRPr="00BD4A3E">
        <w:rPr>
          <w:rFonts w:ascii="Calibri" w:eastAsia="Calibri" w:hAnsi="Calibri" w:cs="Arial"/>
          <w:lang w:val="ro-RO"/>
        </w:rPr>
        <w:t>milioane euro</w:t>
      </w:r>
    </w:p>
    <w:tbl>
      <w:tblPr>
        <w:tblStyle w:val="TableGrid7"/>
        <w:tblW w:w="10054" w:type="dxa"/>
        <w:jc w:val="center"/>
        <w:tblLayout w:type="fixed"/>
        <w:tblLook w:val="04A0" w:firstRow="1" w:lastRow="0" w:firstColumn="1" w:lastColumn="0" w:noHBand="0" w:noVBand="1"/>
      </w:tblPr>
      <w:tblGrid>
        <w:gridCol w:w="988"/>
        <w:gridCol w:w="1206"/>
        <w:gridCol w:w="1310"/>
        <w:gridCol w:w="1310"/>
        <w:gridCol w:w="1310"/>
        <w:gridCol w:w="1310"/>
        <w:gridCol w:w="1310"/>
        <w:gridCol w:w="1310"/>
      </w:tblGrid>
      <w:tr w:rsidR="00BD4A3E" w:rsidRPr="00BD4A3E" w:rsidTr="00BD4A3E">
        <w:trPr>
          <w:trHeight w:val="363"/>
          <w:jc w:val="center"/>
        </w:trPr>
        <w:tc>
          <w:tcPr>
            <w:tcW w:w="988"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2014</w:t>
            </w:r>
          </w:p>
        </w:tc>
        <w:tc>
          <w:tcPr>
            <w:tcW w:w="1206"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2015</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2016</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2017</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2018</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2019</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2020</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lang w:val="ro-RO"/>
              </w:rPr>
            </w:pPr>
            <w:r w:rsidRPr="00BD4A3E">
              <w:rPr>
                <w:rFonts w:ascii="Calibri" w:eastAsia="Calibri" w:hAnsi="Calibri" w:cs="Arial"/>
                <w:b/>
                <w:sz w:val="22"/>
                <w:szCs w:val="22"/>
                <w:lang w:val="ro-RO"/>
              </w:rPr>
              <w:t>TOTAL</w:t>
            </w:r>
          </w:p>
        </w:tc>
      </w:tr>
      <w:tr w:rsidR="00BD4A3E" w:rsidRPr="00BD4A3E" w:rsidTr="00BD4A3E">
        <w:trPr>
          <w:jc w:val="center"/>
        </w:trPr>
        <w:tc>
          <w:tcPr>
            <w:tcW w:w="988"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0,0</w:t>
            </w:r>
          </w:p>
        </w:tc>
        <w:tc>
          <w:tcPr>
            <w:tcW w:w="1206"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1.723,26</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1.751,61</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1.186,54</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1.184,73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1.141,93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1.139,93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lang w:val="ro-RO"/>
              </w:rPr>
            </w:pPr>
            <w:r w:rsidRPr="00BD4A3E">
              <w:rPr>
                <w:rFonts w:ascii="Calibri" w:eastAsia="Calibri" w:hAnsi="Calibri" w:cs="Arial"/>
                <w:sz w:val="22"/>
                <w:szCs w:val="22"/>
                <w:lang w:val="ro-RO"/>
              </w:rPr>
              <w:t>8.128,00</w:t>
            </w:r>
          </w:p>
        </w:tc>
      </w:tr>
    </w:tbl>
    <w:p w:rsidR="00BD4A3E" w:rsidRPr="00BD4A3E" w:rsidRDefault="00BD4A3E" w:rsidP="00BD4A3E">
      <w:pPr>
        <w:shd w:val="clear" w:color="auto" w:fill="FFFFFF"/>
        <w:spacing w:line="300" w:lineRule="atLeast"/>
        <w:jc w:val="both"/>
        <w:rPr>
          <w:rFonts w:ascii="Calibri" w:eastAsia="Calibri" w:hAnsi="Calibri" w:cs="Arial"/>
          <w:lang w:val="ro-RO"/>
        </w:rPr>
      </w:pPr>
    </w:p>
    <w:p w:rsidR="00BD4A3E" w:rsidRPr="00CE1614" w:rsidRDefault="00BD4A3E" w:rsidP="00BD4A3E">
      <w:pPr>
        <w:shd w:val="clear" w:color="auto" w:fill="FFFFFF"/>
        <w:spacing w:line="300" w:lineRule="atLeast"/>
        <w:jc w:val="both"/>
        <w:rPr>
          <w:rFonts w:ascii="Calibri" w:eastAsia="Calibri" w:hAnsi="Calibri" w:cs="Arial"/>
          <w:lang w:val="fr-FR"/>
        </w:rPr>
      </w:pPr>
      <w:r w:rsidRPr="00CE1614">
        <w:rPr>
          <w:rFonts w:ascii="Calibri" w:eastAsia="Calibri" w:hAnsi="Calibri" w:cs="Arial"/>
          <w:lang w:val="fr-FR"/>
        </w:rPr>
        <w:t>Alocarea publică totală este împărțită pe 6 priorități de dezvoltare rurală (PDR), conform PNDR 2014-2020:</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lang w:val="ro-RO"/>
        </w:rPr>
      </w:pPr>
      <w:r w:rsidRPr="00CE1614">
        <w:rPr>
          <w:rFonts w:ascii="Calibri" w:eastAsia="Calibri" w:hAnsi="Calibri"/>
          <w:lang w:val="ro-RO"/>
        </w:rPr>
        <w:t>PDR 1 ”</w:t>
      </w:r>
      <w:r w:rsidRPr="00CE1614">
        <w:rPr>
          <w:rFonts w:ascii="Calibri" w:eastAsia="Calibri" w:hAnsi="Calibri"/>
          <w:i/>
          <w:iCs/>
          <w:lang w:val="ro-RO"/>
        </w:rPr>
        <w:t>Încurajarea transferului de cunoștințe și a inovării în agricultură, silvicultură și zonele rurale</w:t>
      </w:r>
      <w:r w:rsidRPr="00CE1614">
        <w:rPr>
          <w:rFonts w:ascii="Calibri" w:eastAsia="Calibri" w:hAnsi="Calibri"/>
          <w:lang w:val="ro-RO"/>
        </w:rPr>
        <w:t>” – această prioritate este programată prin prioritățile de la 2 la 6 (alocarea se regaseste in prioritatile 2-6);</w:t>
      </w:r>
    </w:p>
    <w:p w:rsidR="00BD4A3E" w:rsidRPr="00CE1614" w:rsidRDefault="00BD4A3E" w:rsidP="00021698">
      <w:pPr>
        <w:numPr>
          <w:ilvl w:val="0"/>
          <w:numId w:val="114"/>
        </w:numPr>
        <w:shd w:val="clear" w:color="auto" w:fill="FFFFFF"/>
        <w:spacing w:before="120" w:line="276" w:lineRule="auto"/>
        <w:ind w:left="714" w:hanging="357"/>
        <w:contextualSpacing/>
        <w:rPr>
          <w:rFonts w:ascii="Calibri" w:eastAsia="Calibri" w:hAnsi="Calibri"/>
          <w:lang w:val="ro-RO"/>
        </w:rPr>
      </w:pPr>
      <w:r w:rsidRPr="00CE1614">
        <w:rPr>
          <w:rFonts w:ascii="Calibri" w:eastAsia="Calibri" w:hAnsi="Calibri"/>
          <w:lang w:val="ro-RO"/>
        </w:rPr>
        <w:t>PDR 2: ”</w:t>
      </w:r>
      <w:r w:rsidRPr="00CE1614">
        <w:rPr>
          <w:rFonts w:ascii="Calibri" w:eastAsia="Calibri" w:hAnsi="Calibri"/>
          <w:i/>
          <w:iCs/>
          <w:lang w:val="ro-RO"/>
        </w:rPr>
        <w:t>Creșterea viabilității fermelor și a competitivității tuturor tipurilor de agricultură în toate regiunile și promovarea tehnologiilor agricole inovatoare și a gestionării durabile a pădurilor</w:t>
      </w:r>
      <w:r w:rsidRPr="00CE1614">
        <w:rPr>
          <w:rFonts w:ascii="Calibri" w:eastAsia="Calibri" w:hAnsi="Calibri"/>
          <w:lang w:val="ro-RO"/>
        </w:rPr>
        <w:t>” – alocare de 1.723,80 mil. euro;</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lang w:val="ro-RO"/>
        </w:rPr>
      </w:pPr>
      <w:r w:rsidRPr="00CE1614">
        <w:rPr>
          <w:rFonts w:ascii="Calibri" w:eastAsia="Calibri" w:hAnsi="Calibri"/>
          <w:lang w:val="ro-RO"/>
        </w:rPr>
        <w:t>PDR 3: ”</w:t>
      </w:r>
      <w:r w:rsidRPr="00CE1614">
        <w:rPr>
          <w:rFonts w:ascii="Calibri" w:eastAsia="Calibri" w:hAnsi="Calibri"/>
          <w:i/>
          <w:iCs/>
          <w:lang w:val="ro-RO"/>
        </w:rPr>
        <w:t>Promovarea organizării lanțului alimentar, inclusiv a sectoarelor de prelucrare și comercializare a produselor agricole, a bunăstării animalelor și a gestionării riscurilor în agricultură</w:t>
      </w:r>
      <w:r w:rsidRPr="00CE1614">
        <w:rPr>
          <w:rFonts w:ascii="Calibri" w:eastAsia="Calibri" w:hAnsi="Calibri"/>
          <w:lang w:val="ro-RO"/>
        </w:rPr>
        <w:t>”- alocare de 1.004,82 mil. euro;</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lang w:val="ro-RO"/>
        </w:rPr>
      </w:pPr>
      <w:r w:rsidRPr="00CE1614">
        <w:rPr>
          <w:rFonts w:ascii="Calibri" w:eastAsia="Calibri" w:hAnsi="Calibri"/>
          <w:lang w:val="ro-RO"/>
        </w:rPr>
        <w:t>PDR 4: ”</w:t>
      </w:r>
      <w:r w:rsidRPr="00CE1614">
        <w:rPr>
          <w:rFonts w:ascii="Calibri" w:eastAsia="Calibri" w:hAnsi="Calibri"/>
          <w:i/>
          <w:iCs/>
          <w:lang w:val="ro-RO"/>
        </w:rPr>
        <w:t>Refacerea, conservarea și consolidarea ecosistemelor legate de agricultură și silvicultură</w:t>
      </w:r>
      <w:r w:rsidRPr="00CE1614">
        <w:rPr>
          <w:rFonts w:ascii="Calibri" w:eastAsia="Calibri" w:hAnsi="Calibri"/>
          <w:lang w:val="ro-RO"/>
        </w:rPr>
        <w:t>” – alocare de 2.344,29 mil. euro;</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lang w:val="ro-RO"/>
        </w:rPr>
      </w:pPr>
      <w:r w:rsidRPr="00CE1614">
        <w:rPr>
          <w:rFonts w:ascii="Calibri" w:eastAsia="Calibri" w:hAnsi="Calibri"/>
          <w:lang w:val="ro-RO"/>
        </w:rPr>
        <w:t>PDR 5: ”</w:t>
      </w:r>
      <w:r w:rsidRPr="00CE1614">
        <w:rPr>
          <w:rFonts w:ascii="Calibri" w:eastAsia="Calibri" w:hAnsi="Calibri"/>
          <w:i/>
          <w:iCs/>
          <w:lang w:val="ro-RO"/>
        </w:rPr>
        <w:t>Promovarea utilizării eficiente a resurselor și sprijinirea tranziției către o economie cu emisii reduse de carbon și rezistentă la schimbările climatice în sectoarele agricol, alimentar și silvic</w:t>
      </w:r>
      <w:r w:rsidRPr="00CE1614">
        <w:rPr>
          <w:rFonts w:ascii="Calibri" w:eastAsia="Calibri" w:hAnsi="Calibri"/>
          <w:lang w:val="ro-RO"/>
        </w:rPr>
        <w:t>” – alocare de 678,82 mil. Euro;</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lang w:val="ro-RO"/>
        </w:rPr>
      </w:pPr>
      <w:r w:rsidRPr="00CE1614">
        <w:rPr>
          <w:rFonts w:ascii="Calibri" w:eastAsia="Calibri" w:hAnsi="Calibri"/>
          <w:lang w:val="ro-RO"/>
        </w:rPr>
        <w:t>PDR 6: ”</w:t>
      </w:r>
      <w:r w:rsidRPr="00CE1614">
        <w:rPr>
          <w:rFonts w:ascii="Calibri" w:eastAsia="Calibri" w:hAnsi="Calibri"/>
          <w:i/>
          <w:iCs/>
          <w:lang w:val="ro-RO"/>
        </w:rPr>
        <w:t>Promovarea incluziunii sociale, a reducerii sărăciei și a dezvoltării economice în zonele rurale</w:t>
      </w:r>
      <w:r w:rsidRPr="00CE1614">
        <w:rPr>
          <w:rFonts w:ascii="Calibri" w:eastAsia="Calibri" w:hAnsi="Calibri"/>
          <w:lang w:val="ro-RO"/>
        </w:rPr>
        <w:t>”- alocare de 2.197,89 mil. euro.</w:t>
      </w:r>
    </w:p>
    <w:p w:rsidR="00BD4A3E" w:rsidRPr="00CE1614" w:rsidRDefault="00BD4A3E" w:rsidP="00BD4A3E">
      <w:pPr>
        <w:shd w:val="clear" w:color="auto" w:fill="FFFFFF"/>
        <w:spacing w:before="240" w:after="240"/>
        <w:rPr>
          <w:rFonts w:ascii="Calibri" w:eastAsia="Calibri" w:hAnsi="Calibri" w:cs="Arial"/>
          <w:lang w:val="ro-RO"/>
        </w:rPr>
      </w:pPr>
      <w:r w:rsidRPr="00CE1614">
        <w:rPr>
          <w:rFonts w:ascii="Calibri" w:eastAsia="Calibri" w:hAnsi="Calibri" w:cs="Arial"/>
          <w:lang w:val="ro-RO"/>
        </w:rPr>
        <w:t>La alocările menționate mai sus, pe priorități de dezvoltare rurală, se adaugă alocarea pentru măsura de Asistență tehnică de 178,37 mil. euro</w:t>
      </w:r>
    </w:p>
    <w:p w:rsidR="00BD4A3E" w:rsidRPr="00CE1614" w:rsidRDefault="00BD4A3E" w:rsidP="00BD4A3E">
      <w:pPr>
        <w:ind w:right="-1"/>
        <w:jc w:val="both"/>
        <w:rPr>
          <w:rFonts w:ascii="Calibri" w:eastAsia="Calibri" w:hAnsi="Calibri" w:cs="Arial"/>
          <w:lang w:val="ro-RO"/>
        </w:rPr>
      </w:pPr>
      <w:r w:rsidRPr="00CE1614">
        <w:rPr>
          <w:rFonts w:ascii="Calibri" w:eastAsia="Calibri" w:hAnsi="Calibri" w:cs="Arial"/>
          <w:lang w:val="ro-RO"/>
        </w:rPr>
        <w:t>Programul cuprinde 16 măsuri de finanțare (la care se adaugă și o măsură exclusiv tranzitorie, respectiv Bunăstarea animalelor – angajamente multianuale încheiate prin PNDR 2007-2013). Plățile aferente angajamentelor bugetare se fac pe principiul N+3.</w:t>
      </w:r>
    </w:p>
    <w:p w:rsidR="00BD4A3E" w:rsidRPr="00CE1614" w:rsidRDefault="00BD4A3E" w:rsidP="00BD4A3E">
      <w:pPr>
        <w:ind w:right="-1"/>
        <w:jc w:val="both"/>
        <w:rPr>
          <w:rFonts w:ascii="Calibri" w:eastAsia="Calibri" w:hAnsi="Calibri" w:cs="Arial"/>
          <w:lang w:val="ro-RO"/>
        </w:rPr>
      </w:pPr>
    </w:p>
    <w:p w:rsidR="00BD4A3E" w:rsidRPr="00BD4A3E" w:rsidRDefault="00BD4A3E" w:rsidP="00021698">
      <w:pPr>
        <w:numPr>
          <w:ilvl w:val="1"/>
          <w:numId w:val="104"/>
        </w:numPr>
        <w:tabs>
          <w:tab w:val="left" w:pos="284"/>
        </w:tabs>
        <w:spacing w:after="120" w:line="276" w:lineRule="auto"/>
        <w:ind w:left="357" w:hanging="357"/>
        <w:contextualSpacing/>
        <w:jc w:val="both"/>
        <w:rPr>
          <w:rFonts w:ascii="Calibri" w:eastAsia="Calibri" w:hAnsi="Calibri" w:cs="Arial"/>
          <w:szCs w:val="22"/>
          <w:lang w:val="ro-RO"/>
        </w:rPr>
      </w:pPr>
      <w:r w:rsidRPr="00BD4A3E">
        <w:rPr>
          <w:rFonts w:ascii="Calibri" w:eastAsia="Calibri" w:hAnsi="Calibri" w:cs="Arial"/>
          <w:szCs w:val="22"/>
          <w:lang w:val="ro-RO"/>
        </w:rPr>
        <w:t>Rata de absorbție PNDR 2014-2020</w:t>
      </w:r>
    </w:p>
    <w:p w:rsidR="00BD4A3E" w:rsidRPr="003964D3" w:rsidRDefault="00BD4A3E" w:rsidP="00BD4A3E">
      <w:pPr>
        <w:shd w:val="clear" w:color="auto" w:fill="FFFFFF"/>
        <w:contextualSpacing/>
        <w:jc w:val="both"/>
        <w:rPr>
          <w:rFonts w:ascii="Calibri" w:hAnsi="Calibri" w:cs="Calibri"/>
          <w:lang w:val="ro-RO"/>
        </w:rPr>
      </w:pPr>
      <w:r w:rsidRPr="003964D3">
        <w:rPr>
          <w:rFonts w:ascii="Calibri" w:hAnsi="Calibri" w:cs="Calibri"/>
          <w:b/>
          <w:lang w:val="ro-RO"/>
        </w:rPr>
        <w:t>Valoarea plăților efectuate din FEADR</w:t>
      </w:r>
      <w:r w:rsidRPr="003964D3">
        <w:rPr>
          <w:rFonts w:ascii="Calibri" w:hAnsi="Calibri" w:cs="Calibri"/>
          <w:lang w:val="ro-RO"/>
        </w:rPr>
        <w:t xml:space="preserve"> către beneficiarii tuturor măsurilor este de 3.173,77 mil. euro, la care se adaugă prefinanțarea încasată în anul 2015, respectiv 2016, din bugetul FEADR, în vederea asigurării finanțării necesare demarării şi derulării Programului, în valoare de 325,12 mil. euro, ceea ce conduce la un </w:t>
      </w:r>
      <w:r w:rsidRPr="003964D3">
        <w:rPr>
          <w:rFonts w:ascii="Calibri" w:hAnsi="Calibri" w:cs="Calibri"/>
          <w:b/>
          <w:lang w:val="ro-RO"/>
        </w:rPr>
        <w:t>grad de absorbție FEADR 2014-2020 de 43,1%</w:t>
      </w:r>
      <w:r w:rsidRPr="003964D3">
        <w:rPr>
          <w:rFonts w:ascii="Calibri" w:hAnsi="Calibri" w:cs="Calibri"/>
          <w:lang w:val="ro-RO"/>
        </w:rPr>
        <w:t xml:space="preserve"> (conform declarațiilor de cheltuieli aferente anilor 2016- 2018 rambursate de către COM, precum și a plăților efectuate către beneficiari în perioada iulie-octombrie 2018).</w:t>
      </w:r>
    </w:p>
    <w:p w:rsidR="00BD4A3E" w:rsidRPr="00BD4A3E" w:rsidRDefault="00BD4A3E" w:rsidP="00BD4A3E">
      <w:pPr>
        <w:ind w:right="-1"/>
        <w:jc w:val="both"/>
        <w:rPr>
          <w:rFonts w:ascii="Calibri" w:eastAsia="Calibri" w:hAnsi="Calibri" w:cs="Arial"/>
          <w:lang w:val="ro-RO"/>
        </w:rPr>
      </w:pPr>
    </w:p>
    <w:p w:rsidR="00BD4A3E" w:rsidRPr="00BD4A3E" w:rsidRDefault="00BD4A3E" w:rsidP="00021698">
      <w:pPr>
        <w:numPr>
          <w:ilvl w:val="1"/>
          <w:numId w:val="104"/>
        </w:numPr>
        <w:tabs>
          <w:tab w:val="left" w:pos="284"/>
        </w:tabs>
        <w:spacing w:after="120"/>
        <w:ind w:left="357" w:hanging="357"/>
        <w:contextualSpacing/>
        <w:jc w:val="both"/>
        <w:rPr>
          <w:rFonts w:ascii="Calibri" w:eastAsia="Calibri" w:hAnsi="Calibri" w:cs="Arial"/>
          <w:lang w:val="ro-RO"/>
        </w:rPr>
      </w:pPr>
      <w:r w:rsidRPr="00BD4A3E">
        <w:rPr>
          <w:rFonts w:ascii="Calibri" w:eastAsia="Calibri" w:hAnsi="Calibri" w:cs="Arial"/>
          <w:lang w:val="ro-RO"/>
        </w:rPr>
        <w:t xml:space="preserve">Măsuri PNDR 2014-2020 lansate </w:t>
      </w:r>
    </w:p>
    <w:p w:rsidR="00BD4A3E" w:rsidRPr="003964D3" w:rsidRDefault="00BD4A3E" w:rsidP="00BD4A3E">
      <w:pPr>
        <w:tabs>
          <w:tab w:val="left" w:pos="284"/>
        </w:tabs>
        <w:ind w:right="-1"/>
        <w:jc w:val="both"/>
        <w:rPr>
          <w:rFonts w:ascii="Calibri" w:hAnsi="Calibri"/>
          <w:lang w:val="fr-FR"/>
        </w:rPr>
      </w:pPr>
      <w:r w:rsidRPr="003964D3">
        <w:rPr>
          <w:rFonts w:ascii="Calibri" w:hAnsi="Calibri"/>
          <w:lang w:val="fr-FR"/>
        </w:rPr>
        <w:t>Sunt active 41 de (sub)măsuri/componente/scheme, din care 34 (sub)măsuri/componente/scheme sunt implementate de AFIR/AM PNDR și 6 măsuri de către APIA, la care se adaugă măsura de întărire a capacității administrative la nivelul autorităților responsabile de implementarea PNDR, respectiv Asistența tehnică.</w:t>
      </w:r>
    </w:p>
    <w:p w:rsidR="00BD4A3E" w:rsidRPr="00BD4A3E" w:rsidRDefault="00BD4A3E" w:rsidP="009F7237">
      <w:pPr>
        <w:numPr>
          <w:ilvl w:val="0"/>
          <w:numId w:val="11"/>
        </w:numPr>
        <w:autoSpaceDE w:val="0"/>
        <w:autoSpaceDN w:val="0"/>
        <w:adjustRightInd w:val="0"/>
        <w:spacing w:line="276" w:lineRule="auto"/>
        <w:contextualSpacing/>
        <w:jc w:val="both"/>
        <w:rPr>
          <w:rFonts w:ascii="Calibri" w:eastAsia="Calibri" w:hAnsi="Calibri"/>
          <w:lang w:val="ro-RO"/>
        </w:rPr>
      </w:pPr>
      <w:r w:rsidRPr="00BD4A3E">
        <w:rPr>
          <w:rFonts w:ascii="Calibri" w:eastAsia="Calibri" w:hAnsi="Calibri"/>
          <w:lang w:val="ro-RO"/>
        </w:rPr>
        <w:t xml:space="preserve">Sunt nelansate 3 submăsuri, care vor fi implementate de AFIR/AM PNDR. </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 xml:space="preserve">Urmare sesiunilor derulate în cei patru ani de implementare, cumulat, numărul proiectelor depuse este de 55.339  cu o valoare publică 8.243,33 mil. euro. </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Numărul proiectelor selectate pentru finanțare este de 29.345  în valoare publică de 4.114,67 mil. euro, din care au fost contractate 28.224 proiecte în valoare publică de de 3.575,86  mil. euro. Pentru aceste contracte au fost efectuate plăți în valoare publică de 1.696,49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Detalierea pe sesiuni anuale se regăsește mai jos.</w:t>
      </w:r>
    </w:p>
    <w:p w:rsidR="00BD4A3E" w:rsidRPr="00BD4A3E" w:rsidRDefault="00BD4A3E" w:rsidP="00BD4A3E">
      <w:pPr>
        <w:spacing w:before="120" w:line="276" w:lineRule="auto"/>
        <w:ind w:left="720"/>
        <w:contextualSpacing/>
        <w:jc w:val="both"/>
        <w:rPr>
          <w:rFonts w:ascii="Calibri" w:eastAsia="Calibri" w:hAnsi="Calibri" w:cs="Calibri"/>
          <w:b/>
          <w:u w:val="single"/>
          <w:lang w:val="ro-RO"/>
        </w:rPr>
      </w:pPr>
    </w:p>
    <w:p w:rsidR="00BD4A3E" w:rsidRPr="00BD4A3E" w:rsidRDefault="00BD4A3E" w:rsidP="00BD4A3E">
      <w:pPr>
        <w:spacing w:before="120" w:line="276" w:lineRule="auto"/>
        <w:ind w:left="720"/>
        <w:contextualSpacing/>
        <w:jc w:val="both"/>
        <w:rPr>
          <w:rFonts w:ascii="Calibri" w:eastAsia="Calibri" w:hAnsi="Calibri" w:cs="Calibri"/>
          <w:b/>
          <w:u w:val="single"/>
          <w:lang w:val="ro-RO"/>
        </w:rPr>
      </w:pPr>
      <w:r w:rsidRPr="00BD4A3E">
        <w:rPr>
          <w:rFonts w:ascii="Calibri" w:eastAsia="Calibri" w:hAnsi="Calibri" w:cs="Calibri"/>
          <w:b/>
          <w:u w:val="single"/>
          <w:lang w:val="ro-RO"/>
        </w:rPr>
        <w:t>Sesiuni 2015</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Depunere</w:t>
      </w:r>
      <w:r w:rsidRPr="00BD4A3E">
        <w:rPr>
          <w:rFonts w:ascii="Calibri" w:eastAsia="Calibri" w:hAnsi="Calibri" w:cs="Calibri"/>
          <w:lang w:val="ro-RO"/>
        </w:rPr>
        <w:t xml:space="preserve">: în perioada martie – decembrie 2015 s-a derulat prima sesiune anuală în cadrul a 15 submăsuri/componente (din cadrul măsurilor implementate de către AFIR), licitându-se suma de 1.558,32 mil. euro, fiind depuse 7.691 proiecte cu o valoare publică de 1.550,27 mil. euro. </w:t>
      </w:r>
    </w:p>
    <w:p w:rsidR="00BD4A3E" w:rsidRPr="00BD4A3E" w:rsidRDefault="00BD4A3E" w:rsidP="009F7237">
      <w:pPr>
        <w:numPr>
          <w:ilvl w:val="0"/>
          <w:numId w:val="11"/>
        </w:numPr>
        <w:spacing w:line="276" w:lineRule="auto"/>
        <w:contextualSpacing/>
        <w:jc w:val="both"/>
        <w:rPr>
          <w:rFonts w:ascii="Calibri" w:eastAsia="Calibri" w:hAnsi="Calibri"/>
          <w:lang w:val="ro-RO"/>
        </w:rPr>
      </w:pPr>
      <w:r w:rsidRPr="00BD4A3E">
        <w:rPr>
          <w:rFonts w:ascii="Calibri" w:eastAsia="Calibri" w:hAnsi="Calibri" w:cs="Calibri"/>
          <w:b/>
          <w:lang w:val="ro-RO"/>
        </w:rPr>
        <w:t>Selecție și contractare</w:t>
      </w:r>
      <w:r w:rsidRPr="00BD4A3E">
        <w:rPr>
          <w:rFonts w:ascii="Calibri" w:eastAsia="Calibri" w:hAnsi="Calibri" w:cs="Calibri"/>
          <w:lang w:val="ro-RO"/>
        </w:rPr>
        <w:t xml:space="preserve">: din proiectele depuse în sesiunea 2015, s-au selectat 4.362 proiecte în valoare publică de </w:t>
      </w:r>
      <w:r w:rsidRPr="00BD4A3E">
        <w:rPr>
          <w:rFonts w:ascii="Calibri" w:eastAsia="Calibri" w:hAnsi="Calibri" w:cs="Calibri"/>
          <w:bCs/>
          <w:iCs/>
          <w:spacing w:val="-2"/>
          <w:lang w:val="ro-RO"/>
        </w:rPr>
        <w:t xml:space="preserve">902,73 mil. </w:t>
      </w:r>
      <w:r w:rsidRPr="00BD4A3E">
        <w:rPr>
          <w:rFonts w:ascii="Calibri" w:eastAsia="Calibri" w:hAnsi="Calibri" w:cs="Calibri"/>
          <w:lang w:val="ro-RO"/>
        </w:rPr>
        <w:t>euro și s-au contractat 4.155 proiecte în valoare publică de 769,25 mil. euro, plățile efectuate fiind în valoare publică de 506,27 mil. euro.</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lang w:val="ro-RO"/>
        </w:rPr>
      </w:pPr>
      <w:r w:rsidRPr="00BD4A3E">
        <w:rPr>
          <w:rFonts w:ascii="Calibri" w:eastAsia="Calibri" w:hAnsi="Calibri" w:cs="Calibri"/>
          <w:b/>
          <w:u w:val="single"/>
          <w:lang w:val="ro-RO"/>
        </w:rPr>
        <w:t>Sesiuni 2016</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Depunere</w:t>
      </w:r>
      <w:r w:rsidRPr="00BD4A3E">
        <w:rPr>
          <w:rFonts w:ascii="Calibri" w:eastAsia="Calibri" w:hAnsi="Calibri" w:cs="Calibri"/>
          <w:lang w:val="ro-RO"/>
        </w:rPr>
        <w:t>: începând cu luna aprilie s-au lansat sesiuni de depunere a cererilor de finanțare pentru 24 submăsuri/componente/scheme (din cadrul măsurilor implementate de către AFIR), licitându-se suma de 1.685,25 mil. euro, fiind depuse 14.529 proiecte cu o valoare publică de 1.965,25 mil. euro.</w:t>
      </w:r>
      <w:r w:rsidRPr="00BD4A3E">
        <w:rPr>
          <w:rFonts w:ascii="Calibri" w:eastAsia="Calibri" w:hAnsi="Calibri"/>
          <w:lang w:val="ro-RO"/>
        </w:rPr>
        <w:tab/>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Selecție și contractare</w:t>
      </w:r>
      <w:r w:rsidRPr="00BD4A3E">
        <w:rPr>
          <w:rFonts w:ascii="Calibri" w:eastAsia="Calibri" w:hAnsi="Calibri" w:cs="Calibri"/>
          <w:lang w:val="ro-RO"/>
        </w:rPr>
        <w:t xml:space="preserve">: din proiectele depuse în sesiunea 2016, s-au selectat 9.689 proiecte în valoare publică de 1.360,54 mil. euro și s-au contractat 9.396 proiecte în valoare publică de 1.275,90 mil. euro, plățile efectuate fiind în valoare publică de 643,94 mil. Euro. </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lang w:val="ro-RO"/>
        </w:rPr>
      </w:pPr>
      <w:r w:rsidRPr="00BD4A3E">
        <w:rPr>
          <w:rFonts w:ascii="Calibri" w:eastAsia="Calibri" w:hAnsi="Calibri" w:cs="Calibri"/>
          <w:b/>
          <w:u w:val="single"/>
          <w:lang w:val="ro-RO"/>
        </w:rPr>
        <w:t>Sesiuni 2017</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Depunere</w:t>
      </w:r>
      <w:r w:rsidRPr="00BD4A3E">
        <w:rPr>
          <w:rFonts w:ascii="Calibri" w:eastAsia="Calibri" w:hAnsi="Calibri" w:cs="Calibri"/>
          <w:lang w:val="ro-RO"/>
        </w:rPr>
        <w:t>: începând cu luna februarie s-au lansat sesiuni de depunere a cererilor de finanțare 2017 pentru 24 submăsuri/componente/scheme (din cadrul măsurilor implementate de către AFIR), iar exclusiv pentru teritoriul ITI Delta Dunării s-au lansat sesiuni pentru 13 submăsuri, licitându-se suma de 2.382,73 mil. euro, fiind depuse 25.019 proiecte cu o valoare publică de 3.762 mil. euro (sesiunea aferentă submăsurii 19.2 a fost deschisă în data de 20 aprilie 2017 și se va închide în momentul epuizării fondurilor alocate).</w:t>
      </w:r>
      <w:r w:rsidRPr="00BD4A3E">
        <w:rPr>
          <w:rFonts w:ascii="Calibri" w:eastAsia="Calibri" w:hAnsi="Calibri"/>
          <w:lang w:val="ro-RO"/>
        </w:rPr>
        <w:tab/>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Selecție și contractare</w:t>
      </w:r>
      <w:r w:rsidRPr="00BD4A3E">
        <w:rPr>
          <w:rFonts w:ascii="Calibri" w:eastAsia="Calibri" w:hAnsi="Calibri" w:cs="Calibri"/>
          <w:lang w:val="ro-RO"/>
        </w:rPr>
        <w:t>: din proiectele depuse în sesiunea 2017, s-au selectat 15.091 proiecte în valoare publică de 1.839,36 mil. euro și s-au contractat 14.599 proiecte în valoare publică de 1.527,92 mil. euro. Plățile efectuate sunt în valoare publică de 545,77 mil. Euro.</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lang w:val="ro-RO"/>
        </w:rPr>
      </w:pPr>
      <w:r w:rsidRPr="00BD4A3E">
        <w:rPr>
          <w:rFonts w:ascii="Calibri" w:eastAsia="Calibri" w:hAnsi="Calibri" w:cs="Calibri"/>
          <w:b/>
          <w:u w:val="single"/>
          <w:lang w:val="ro-RO"/>
        </w:rPr>
        <w:t>Sesiuni 2018</w:t>
      </w:r>
    </w:p>
    <w:p w:rsidR="00BD4A3E" w:rsidRPr="00BD4A3E" w:rsidRDefault="00BD4A3E" w:rsidP="009F7237">
      <w:pPr>
        <w:numPr>
          <w:ilvl w:val="0"/>
          <w:numId w:val="11"/>
        </w:numPr>
        <w:spacing w:line="276" w:lineRule="auto"/>
        <w:contextualSpacing/>
        <w:jc w:val="both"/>
        <w:rPr>
          <w:rFonts w:ascii="Calibri" w:eastAsia="Calibri" w:hAnsi="Calibri" w:cs="Calibri"/>
          <w:u w:val="single"/>
          <w:lang w:val="ro-RO"/>
        </w:rPr>
      </w:pPr>
      <w:r w:rsidRPr="00BD4A3E">
        <w:rPr>
          <w:rFonts w:ascii="Calibri" w:eastAsia="Calibri" w:hAnsi="Calibri" w:cs="Calibri"/>
          <w:b/>
          <w:lang w:val="ro-RO"/>
        </w:rPr>
        <w:t>Depunere</w:t>
      </w:r>
      <w:r w:rsidRPr="00BD4A3E">
        <w:rPr>
          <w:rFonts w:ascii="Calibri" w:eastAsia="Calibri" w:hAnsi="Calibri" w:cs="Calibri"/>
          <w:lang w:val="ro-RO"/>
        </w:rPr>
        <w:t>: începând cu luna ianuarie, până în prezent, s-au lansat sesiuni de depunere a cererilor de finanțare 2018 pentru 13 submăsuri/componente/scheme (din cadrul măsurilor implementate de către AFIR), licitându-se suma de 665,36 mil. euro, fiind depuse 8.100 proiecte cu o valoare publică de 965,81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În perioada martie – mai 2018 s-a derulat Campania de primire a Cererilor unice de plată pentru anul 2018, au fost depuse cereri de plată în valoare publică de 446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b/>
          <w:lang w:val="ro-RO"/>
        </w:rPr>
        <w:t>Selecție și contractare</w:t>
      </w:r>
      <w:r w:rsidRPr="00BD4A3E">
        <w:rPr>
          <w:rFonts w:ascii="Calibri" w:eastAsia="Calibri" w:hAnsi="Calibri" w:cs="Calibri"/>
          <w:lang w:val="ro-RO"/>
        </w:rPr>
        <w:t>: din proiectele depuse în sesiunea 2018, s-au selectat 203 proiecte în valoare publică de 12,04 mil. euro și s-au contractat 74 proiecte în valoare publică de 3,01 mil. euro, plățile efectuate fiind în valoare publică de 0,50 mil. Euro.</w:t>
      </w:r>
    </w:p>
    <w:p w:rsidR="00BD4A3E" w:rsidRPr="00BD4A3E" w:rsidRDefault="00BD4A3E" w:rsidP="009F7237">
      <w:pPr>
        <w:numPr>
          <w:ilvl w:val="0"/>
          <w:numId w:val="11"/>
        </w:numPr>
        <w:spacing w:line="276" w:lineRule="auto"/>
        <w:contextualSpacing/>
        <w:jc w:val="both"/>
        <w:rPr>
          <w:rFonts w:ascii="Calibri" w:eastAsia="Calibri" w:hAnsi="Calibri"/>
          <w:lang w:val="ro-RO"/>
        </w:rPr>
      </w:pPr>
      <w:r w:rsidRPr="00BD4A3E">
        <w:rPr>
          <w:rFonts w:ascii="Calibri" w:eastAsia="Calibri" w:hAnsi="Calibri" w:cs="Calibri"/>
          <w:lang w:val="ro-RO"/>
        </w:rPr>
        <w:t xml:space="preserve">Suplimentar, prin procedura de </w:t>
      </w:r>
      <w:r w:rsidRPr="00BD4A3E">
        <w:rPr>
          <w:rFonts w:ascii="Calibri" w:eastAsia="Calibri" w:hAnsi="Calibri" w:cs="Calibri"/>
          <w:b/>
          <w:lang w:val="ro-RO"/>
        </w:rPr>
        <w:t>tranziție</w:t>
      </w:r>
      <w:r w:rsidRPr="00BD4A3E">
        <w:rPr>
          <w:rFonts w:ascii="Calibri" w:eastAsia="Calibri" w:hAnsi="Calibri" w:cs="Calibri"/>
          <w:lang w:val="ro-RO"/>
        </w:rPr>
        <w:t xml:space="preserve">, au fost transferate din PNDR 2007-2013 în PNDR 2014-2020, </w:t>
      </w:r>
      <w:r w:rsidRPr="00BD4A3E">
        <w:rPr>
          <w:rFonts w:ascii="Calibri" w:eastAsia="Calibri" w:hAnsi="Calibri" w:cs="Calibri"/>
          <w:b/>
          <w:lang w:val="ro-RO"/>
        </w:rPr>
        <w:t>22.627 proiecte cu o valoare publică de 435,84 mil. euro</w:t>
      </w:r>
      <w:r w:rsidRPr="00BD4A3E">
        <w:rPr>
          <w:rFonts w:ascii="Calibri" w:eastAsia="Calibri" w:hAnsi="Calibri" w:cs="Calibri"/>
          <w:lang w:val="ro-RO"/>
        </w:rPr>
        <w:t xml:space="preserve"> (valoarea rămasă de plătit în vederea finalizării acestor contracte). Pentru aceste contracte au fost efectuate plăți în valoare publică de 254,42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lang w:val="ro-RO"/>
        </w:rPr>
        <w:t xml:space="preserve">De asemenea, au fost efectuate </w:t>
      </w:r>
      <w:r w:rsidRPr="00BD4A3E">
        <w:rPr>
          <w:rFonts w:ascii="Calibri" w:eastAsia="Calibri" w:hAnsi="Calibri"/>
          <w:b/>
          <w:lang w:val="ro-RO"/>
        </w:rPr>
        <w:t>plăți în valoare publică de 1.511,15 mil. euro pentru măsurile de plăți compensatorii pe suprafață/animale implementate de APIA</w:t>
      </w:r>
      <w:r w:rsidRPr="00BD4A3E">
        <w:rPr>
          <w:rFonts w:ascii="Calibri" w:eastAsia="Calibri" w:hAnsi="Calibri"/>
          <w:lang w:val="ro-RO"/>
        </w:rPr>
        <w:t>, aferente cererilor de plată depuse în campaniile desfășurate în anii anteriori.</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 xml:space="preserve">În cadrul </w:t>
      </w:r>
      <w:r w:rsidRPr="00BD4A3E">
        <w:rPr>
          <w:rFonts w:ascii="Calibri" w:eastAsia="Calibri" w:hAnsi="Calibri" w:cs="Calibri"/>
          <w:b/>
          <w:lang w:val="ro-RO"/>
        </w:rPr>
        <w:t>măsurilor suport</w:t>
      </w:r>
      <w:r w:rsidRPr="00BD4A3E">
        <w:rPr>
          <w:rFonts w:ascii="Calibri" w:eastAsia="Calibri" w:hAnsi="Calibri" w:cs="Calibri"/>
          <w:lang w:val="ro-RO"/>
        </w:rPr>
        <w:t>, au fost contractate 9 proiecte în valoare publică de 3,90 mil. euro - submăsura 2.1 „Servicii de consiliere pentru fermieri, tinerii fermieri,  microîntreprinderi si întreprinderile mici”,  79 proiecte în valoare publică de 8,70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lang w:val="ro-RO"/>
        </w:rPr>
        <w:t>– măsura de Asistența Tehnică, 239 proiecte în valoare publică de 69,97 mil. Euro -  submăsura 19.4 „Sprijin pentru cheltuieli de funcționare și animare” acordat GAL-urilor. Pentru aceste contracte au fost efectuate plăți în valoare publică de 109,64 mil. Euro.</w:t>
      </w:r>
    </w:p>
    <w:p w:rsidR="00BD4A3E" w:rsidRPr="00BD4A3E" w:rsidRDefault="00BD4A3E" w:rsidP="009F7237">
      <w:pPr>
        <w:numPr>
          <w:ilvl w:val="0"/>
          <w:numId w:val="11"/>
        </w:numPr>
        <w:spacing w:line="276" w:lineRule="auto"/>
        <w:contextualSpacing/>
        <w:jc w:val="both"/>
        <w:rPr>
          <w:rFonts w:ascii="Calibri" w:eastAsia="Calibri" w:hAnsi="Calibri" w:cs="Calibri"/>
          <w:lang w:val="ro-RO"/>
        </w:rPr>
      </w:pPr>
      <w:r w:rsidRPr="00BD4A3E">
        <w:rPr>
          <w:rFonts w:ascii="Calibri" w:eastAsia="Calibri" w:hAnsi="Calibri" w:cs="Calibri"/>
          <w:szCs w:val="22"/>
          <w:lang w:val="ro-RO"/>
        </w:rPr>
        <w:t xml:space="preserve">În vederea facilitării accesului la capital pentru sectorul agricol, a fost semnat cu </w:t>
      </w:r>
      <w:r w:rsidRPr="00BD4A3E">
        <w:rPr>
          <w:rFonts w:ascii="Calibri" w:eastAsia="Calibri" w:hAnsi="Calibri" w:cs="Calibri"/>
          <w:b/>
          <w:szCs w:val="22"/>
          <w:lang w:val="ro-RO"/>
        </w:rPr>
        <w:t>Fondul European de Investiții</w:t>
      </w:r>
      <w:r w:rsidRPr="00BD4A3E">
        <w:rPr>
          <w:rFonts w:ascii="Calibri" w:eastAsia="Calibri" w:hAnsi="Calibri" w:cs="Calibri"/>
          <w:szCs w:val="22"/>
          <w:lang w:val="ro-RO"/>
        </w:rPr>
        <w:t xml:space="preserve"> un contract în valoare publică 93,88 mil. euro, ce vizează acordarea de credite pentru investiții în condiții avantajoase, fiind efectuate plăți în valoare publică de 46,94 mil. euro.</w:t>
      </w:r>
    </w:p>
    <w:p w:rsidR="00BD4A3E" w:rsidRPr="00BD4A3E" w:rsidRDefault="00BD4A3E" w:rsidP="00BD4A3E">
      <w:pPr>
        <w:spacing w:line="276" w:lineRule="auto"/>
        <w:ind w:left="720"/>
        <w:contextualSpacing/>
        <w:jc w:val="both"/>
        <w:rPr>
          <w:rFonts w:ascii="Calibri" w:eastAsia="Calibri" w:hAnsi="Calibri" w:cs="Calibri"/>
          <w:lang w:val="ro-RO"/>
        </w:rPr>
      </w:pPr>
    </w:p>
    <w:p w:rsidR="00BD4A3E" w:rsidRPr="00FC6ACD" w:rsidRDefault="00BD4A3E" w:rsidP="00021698">
      <w:pPr>
        <w:numPr>
          <w:ilvl w:val="0"/>
          <w:numId w:val="104"/>
        </w:numPr>
        <w:tabs>
          <w:tab w:val="left" w:pos="90"/>
          <w:tab w:val="left" w:pos="960"/>
        </w:tabs>
        <w:spacing w:before="240" w:line="276" w:lineRule="auto"/>
        <w:ind w:left="357" w:hanging="357"/>
        <w:contextualSpacing/>
        <w:jc w:val="both"/>
        <w:rPr>
          <w:rFonts w:ascii="Calibri" w:eastAsia="Calibri" w:hAnsi="Calibri" w:cs="Arial"/>
          <w:b/>
          <w:szCs w:val="22"/>
          <w:lang w:val="ro-RO"/>
        </w:rPr>
      </w:pPr>
      <w:r w:rsidRPr="00FC6ACD">
        <w:rPr>
          <w:rFonts w:ascii="Calibri" w:eastAsia="Calibri" w:hAnsi="Calibri" w:cs="Arial"/>
          <w:b/>
          <w:szCs w:val="22"/>
          <w:lang w:val="ro-RO"/>
        </w:rPr>
        <w:t>FONDUL EUROPEAN DE GARANTARE AGRICOLĂ (FEGA)</w:t>
      </w:r>
    </w:p>
    <w:p w:rsidR="00BD4A3E" w:rsidRPr="00BD4A3E" w:rsidRDefault="00BD4A3E" w:rsidP="00021698">
      <w:pPr>
        <w:numPr>
          <w:ilvl w:val="1"/>
          <w:numId w:val="104"/>
        </w:numPr>
        <w:shd w:val="clear" w:color="auto" w:fill="92D050"/>
        <w:tabs>
          <w:tab w:val="left" w:pos="90"/>
          <w:tab w:val="left" w:pos="960"/>
        </w:tabs>
        <w:spacing w:before="120" w:after="120" w:line="276" w:lineRule="auto"/>
        <w:ind w:left="426" w:hanging="426"/>
        <w:contextualSpacing/>
        <w:jc w:val="both"/>
        <w:rPr>
          <w:rFonts w:ascii="Calibri" w:eastAsia="Calibri" w:hAnsi="Calibri" w:cs="Arial"/>
          <w:szCs w:val="22"/>
          <w:lang w:val="ro-RO"/>
        </w:rPr>
      </w:pPr>
      <w:r w:rsidRPr="00BD4A3E">
        <w:rPr>
          <w:rFonts w:ascii="Calibri" w:eastAsia="Calibri" w:hAnsi="Calibri" w:cs="Arial"/>
          <w:szCs w:val="22"/>
          <w:lang w:val="ro-RO"/>
        </w:rPr>
        <w:t>Principalele realizări în domeniul fondurilor europene FEGA în Campania 2017</w:t>
      </w:r>
    </w:p>
    <w:p w:rsidR="00BD4A3E" w:rsidRPr="00BD4A3E" w:rsidRDefault="00BD4A3E" w:rsidP="00BD4A3E">
      <w:pPr>
        <w:spacing w:before="120"/>
        <w:jc w:val="both"/>
        <w:rPr>
          <w:rFonts w:ascii="Calibri" w:eastAsia="Calibri" w:hAnsi="Calibri" w:cs="Arial"/>
          <w:lang w:val="ro-RO"/>
        </w:rPr>
      </w:pPr>
      <w:r w:rsidRPr="00BD4A3E">
        <w:rPr>
          <w:rFonts w:ascii="Calibri" w:eastAsia="Calibri" w:hAnsi="Calibri" w:cs="Arial"/>
          <w:lang w:val="ro-RO"/>
        </w:rPr>
        <w:t>Agenţia de Plăţi şi Intervenţie pentru Agricultură (APIA) funcţionează în subordinea Ministerului Agriculturii şi Dezvoltării Rurale (MADR) si gestioneaza schemele de sprijin acordate fermierilor, finantate din:</w:t>
      </w:r>
    </w:p>
    <w:p w:rsidR="00BD4A3E" w:rsidRPr="00BD4A3E" w:rsidRDefault="00BD4A3E" w:rsidP="00021698">
      <w:pPr>
        <w:numPr>
          <w:ilvl w:val="0"/>
          <w:numId w:val="110"/>
        </w:numPr>
        <w:spacing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 xml:space="preserve">FEGA – Fondul European de Garantare Agricola </w:t>
      </w:r>
    </w:p>
    <w:p w:rsidR="00BD4A3E" w:rsidRPr="00BD4A3E" w:rsidRDefault="00BD4A3E" w:rsidP="00021698">
      <w:pPr>
        <w:numPr>
          <w:ilvl w:val="0"/>
          <w:numId w:val="110"/>
        </w:numPr>
        <w:spacing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FEADR – Fondul European pentru Agricultura si Dezvoltare Rurala (prin intermediul masurilor delegate din cadrul PNDR 2014 - 2020)</w:t>
      </w:r>
    </w:p>
    <w:p w:rsidR="00BD4A3E" w:rsidRPr="00BD4A3E" w:rsidRDefault="00BD4A3E" w:rsidP="00021698">
      <w:pPr>
        <w:numPr>
          <w:ilvl w:val="0"/>
          <w:numId w:val="110"/>
        </w:numPr>
        <w:spacing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 xml:space="preserve">BN – Bugetul National </w:t>
      </w: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Ministerul Agriculturii si Dezvoltarii Rurale, prin Agentia de Plati si Interventie pentru Agricultura implementeaza </w:t>
      </w:r>
      <w:r w:rsidRPr="00BD4A3E">
        <w:rPr>
          <w:rFonts w:ascii="Calibri" w:eastAsia="Calibri" w:hAnsi="Calibri" w:cs="Arial"/>
          <w:b/>
          <w:lang w:val="ro-RO"/>
        </w:rPr>
        <w:t>Fondul European de Garantare Agricola (FEGA)</w:t>
      </w:r>
      <w:r w:rsidRPr="00BD4A3E">
        <w:rPr>
          <w:rFonts w:ascii="Calibri" w:eastAsia="Calibri" w:hAnsi="Calibri" w:cs="Arial"/>
          <w:lang w:val="ro-RO"/>
        </w:rPr>
        <w:t xml:space="preserve">. </w:t>
      </w:r>
    </w:p>
    <w:p w:rsidR="00BD4A3E" w:rsidRPr="00BD4A3E" w:rsidRDefault="00BD4A3E" w:rsidP="00BD4A3E">
      <w:pPr>
        <w:spacing w:before="120"/>
        <w:jc w:val="both"/>
        <w:rPr>
          <w:rFonts w:ascii="Calibri" w:eastAsia="Calibri" w:hAnsi="Calibri" w:cs="Arial"/>
          <w:lang w:val="ro-RO"/>
        </w:rPr>
      </w:pPr>
      <w:r w:rsidRPr="00BD4A3E">
        <w:rPr>
          <w:rFonts w:ascii="Calibri" w:eastAsia="Calibri" w:hAnsi="Calibri" w:cs="Arial"/>
          <w:lang w:val="ro-RO"/>
        </w:rPr>
        <w:t>Cele mai importante acte normative care reglementeaza acordarea sprijinului financiar pentru schemele de plăţi directe și ajutoarele naționale tranzitorii, care se aplică în agricultură în perioada 2015-2020, sunt urmatoarele:</w:t>
      </w:r>
    </w:p>
    <w:p w:rsidR="00BD4A3E" w:rsidRPr="00BD4A3E" w:rsidRDefault="00BD4A3E" w:rsidP="00BD4A3E">
      <w:pPr>
        <w:jc w:val="both"/>
        <w:rPr>
          <w:rFonts w:ascii="Calibri" w:eastAsia="Calibri" w:hAnsi="Calibri" w:cs="Arial"/>
          <w:lang w:val="ro-RO"/>
        </w:rPr>
      </w:pPr>
    </w:p>
    <w:p w:rsidR="00BD4A3E" w:rsidRPr="00BD4A3E" w:rsidRDefault="00BD4A3E" w:rsidP="00021698">
      <w:pPr>
        <w:keepNext/>
        <w:keepLines/>
        <w:numPr>
          <w:ilvl w:val="0"/>
          <w:numId w:val="113"/>
        </w:numPr>
        <w:shd w:val="clear" w:color="auto" w:fill="FFFFFF"/>
        <w:spacing w:line="276" w:lineRule="auto"/>
        <w:jc w:val="both"/>
        <w:outlineLvl w:val="1"/>
        <w:rPr>
          <w:rFonts w:ascii="Calibri" w:eastAsia="Calibri" w:hAnsi="Calibri" w:cs="Arial"/>
          <w:lang w:val="ro-RO"/>
        </w:rPr>
      </w:pPr>
      <w:r w:rsidRPr="00BD4A3E">
        <w:rPr>
          <w:rFonts w:ascii="Calibri" w:eastAsia="Calibri" w:hAnsi="Calibri" w:cs="Arial"/>
          <w:b/>
          <w:lang w:val="ro-RO"/>
        </w:rPr>
        <w:t>O.U.G.nr. 3/2015</w:t>
      </w:r>
      <w:r w:rsidRPr="00BD4A3E">
        <w:rPr>
          <w:rFonts w:ascii="Calibri" w:eastAsia="Calibri" w:hAnsi="Calibri" w:cs="Arial"/>
          <w:lang w:val="ro-RO"/>
        </w:rPr>
        <w:t xml:space="preserve"> pentru aprobarea schemelor de plăţi care se aplică în agricultură în perioada 2015-2020 şi pentru modificarea art. 2 din Legea nr. 36/1991 privind societăţile agricole şi alte forme de asociere în agricultură, </w:t>
      </w:r>
      <w:r w:rsidRPr="00BD4A3E">
        <w:rPr>
          <w:rFonts w:ascii="Calibri" w:eastAsia="Calibri" w:hAnsi="Calibri" w:cs="Arial"/>
          <w:b/>
          <w:lang w:val="ro-RO"/>
        </w:rPr>
        <w:t>cu modificarile si completarile ulterioare</w:t>
      </w:r>
      <w:r w:rsidRPr="00BD4A3E">
        <w:rPr>
          <w:rFonts w:ascii="Calibri" w:eastAsia="Calibri" w:hAnsi="Calibri" w:cs="Arial"/>
          <w:lang w:val="ro-RO"/>
        </w:rPr>
        <w:t>;</w:t>
      </w:r>
    </w:p>
    <w:p w:rsidR="00BD4A3E" w:rsidRPr="00BD4A3E" w:rsidRDefault="00BD4A3E" w:rsidP="00021698">
      <w:pPr>
        <w:numPr>
          <w:ilvl w:val="0"/>
          <w:numId w:val="113"/>
        </w:numPr>
        <w:spacing w:line="276" w:lineRule="auto"/>
        <w:jc w:val="both"/>
        <w:rPr>
          <w:rFonts w:ascii="Calibri" w:eastAsia="Calibri" w:hAnsi="Calibri" w:cs="Arial"/>
          <w:lang w:val="ro-RO"/>
        </w:rPr>
      </w:pPr>
      <w:r w:rsidRPr="00BD4A3E">
        <w:rPr>
          <w:rFonts w:ascii="Calibri" w:eastAsia="Calibri" w:hAnsi="Calibri" w:cs="Arial"/>
          <w:lang w:val="ro-RO"/>
        </w:rPr>
        <w:t xml:space="preserve">OMADR nr. 619/2015 pentru aprobarea criteriilor de eligibilitate, condițiilor specifice și a modului de implementare a schemelor de plăți prevăzute la art. 1 alin. (2) și (3) din Ordonanța de urgență a Guvernului nr. 3/2015 pentru aprobarea schemelor de plăți care se aplică în agricultură în perioada 2015-2020 și pentru modificarea art. 2 din Legea nr. 36/1991 privind societățile agricole și alte forme de asociere în agricultură, precum și a condițiilor specifice de implementare pentru măsurile compensatorii de dezvoltare rurală aplicabile pe terenurile agricole, prevăzute în Programul Național de Dezvoltare Rurală 2014-2020cu modificarile si completarile ulterioare; </w:t>
      </w:r>
    </w:p>
    <w:p w:rsidR="00BD4A3E" w:rsidRPr="00BD4A3E" w:rsidRDefault="00BD4A3E" w:rsidP="00021698">
      <w:pPr>
        <w:numPr>
          <w:ilvl w:val="0"/>
          <w:numId w:val="113"/>
        </w:numPr>
        <w:spacing w:line="276" w:lineRule="auto"/>
        <w:jc w:val="both"/>
        <w:rPr>
          <w:rFonts w:ascii="Calibri" w:eastAsia="Calibri" w:hAnsi="Calibri" w:cs="Arial"/>
          <w:lang w:val="ro-RO"/>
        </w:rPr>
      </w:pPr>
      <w:r w:rsidRPr="00BD4A3E">
        <w:rPr>
          <w:rFonts w:ascii="Calibri" w:eastAsia="Calibri" w:hAnsi="Calibri" w:cs="Arial"/>
          <w:lang w:val="ro-RO"/>
        </w:rPr>
        <w:t>OMADR nr. 620/2015 privind aprobarea formularului-tip al cererii unice de plată pentru anul 2015 și a modului de aplicare a anumitor cerințe ale măsurilor compensatorii de dezvoltare rurală aplicabile în anul 2015 pe terenurile agricole prevăzute la art. 33 din Ordonanța de urgență a Guvernului nr. 3/2015 pentru aprobarea schemelor de plăți care se aplică în agricultură în perioada 2015-2020 și pentru modificarea art. 2 din Legea nr. 36/1991 privind societățile agricole și alte forme de asociere în agricultură, pentru anul 2015 cu modificarile si completarile ulterioare.</w:t>
      </w:r>
    </w:p>
    <w:p w:rsidR="00BD4A3E" w:rsidRPr="00BD4A3E" w:rsidRDefault="00BD4A3E" w:rsidP="00BD4A3E">
      <w:pPr>
        <w:spacing w:before="120"/>
        <w:jc w:val="both"/>
        <w:rPr>
          <w:rFonts w:ascii="Calibri" w:eastAsia="Calibri" w:hAnsi="Calibri" w:cs="Arial"/>
          <w:lang w:val="ro-RO"/>
        </w:rPr>
      </w:pPr>
      <w:r w:rsidRPr="00BD4A3E">
        <w:rPr>
          <w:rFonts w:ascii="Calibri" w:eastAsia="Calibri" w:hAnsi="Calibri" w:cs="Arial"/>
          <w:b/>
          <w:lang w:val="ro-RO"/>
        </w:rPr>
        <w:t>Ajutoarele naționale tranzitorii</w:t>
      </w:r>
      <w:r w:rsidRPr="00BD4A3E">
        <w:rPr>
          <w:rFonts w:ascii="Calibri" w:eastAsia="Calibri" w:hAnsi="Calibri" w:cs="Arial"/>
          <w:lang w:val="ro-RO"/>
        </w:rPr>
        <w:t xml:space="preserve"> – ANT se acordă </w:t>
      </w:r>
      <w:r w:rsidRPr="00BD4A3E">
        <w:rPr>
          <w:rFonts w:ascii="Calibri" w:eastAsia="Calibri" w:hAnsi="Calibri" w:cs="Arial"/>
          <w:b/>
          <w:lang w:val="ro-RO"/>
        </w:rPr>
        <w:t>în domeniul vegetal și zootehnic</w:t>
      </w:r>
      <w:r w:rsidRPr="00BD4A3E">
        <w:rPr>
          <w:rFonts w:ascii="Calibri" w:eastAsia="Calibri" w:hAnsi="Calibri" w:cs="Arial"/>
          <w:lang w:val="ro-RO"/>
        </w:rPr>
        <w:t xml:space="preserve"> în limita prevederilor bugetare alocate Ministerului Agriculturii si Dezvoltarii Rurale. </w:t>
      </w:r>
    </w:p>
    <w:p w:rsidR="00BD4A3E" w:rsidRPr="00BD4A3E" w:rsidRDefault="00BD4A3E" w:rsidP="00FC6ACD">
      <w:pPr>
        <w:shd w:val="clear" w:color="auto" w:fill="FFFFFF"/>
        <w:spacing w:before="120" w:after="120"/>
        <w:jc w:val="both"/>
        <w:textAlignment w:val="baseline"/>
        <w:rPr>
          <w:rFonts w:ascii="Calibri" w:eastAsia="Calibri" w:hAnsi="Calibri" w:cs="Arial"/>
          <w:lang w:val="ro-RO"/>
        </w:rPr>
      </w:pPr>
      <w:r w:rsidRPr="00BD4A3E">
        <w:rPr>
          <w:rFonts w:ascii="Calibri" w:eastAsia="Calibri" w:hAnsi="Calibri" w:cs="Arial"/>
          <w:lang w:val="ro-RO"/>
        </w:rPr>
        <w:t xml:space="preserve">FEGA este implementat prin gestiune partajată între statele membre și Uniune si finanțează cheltuieli care sunt efectuate în conformitate cu dreptul Uniunii, in conformitate cu prevederile Regulamentului </w:t>
      </w:r>
      <w:r w:rsidRPr="00BD4A3E">
        <w:rPr>
          <w:rFonts w:ascii="Calibri" w:eastAsia="Calibri" w:hAnsi="Calibri" w:cs="Arial"/>
          <w:b/>
          <w:lang w:val="ro-RO"/>
        </w:rPr>
        <w:t>Regulamentul (UE) nr. 1306/2013 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r w:rsidRPr="00BD4A3E">
        <w:rPr>
          <w:rFonts w:ascii="Calibri" w:eastAsia="Calibri" w:hAnsi="Calibri" w:cs="Arial"/>
          <w:lang w:val="ro-RO"/>
        </w:rPr>
        <w:t>.</w:t>
      </w:r>
    </w:p>
    <w:p w:rsidR="00BD4A3E" w:rsidRPr="00BD4A3E" w:rsidRDefault="00BD4A3E" w:rsidP="00021698">
      <w:pPr>
        <w:keepNext/>
        <w:numPr>
          <w:ilvl w:val="0"/>
          <w:numId w:val="105"/>
        </w:numPr>
        <w:spacing w:before="240" w:after="60" w:line="276" w:lineRule="auto"/>
        <w:jc w:val="both"/>
        <w:outlineLvl w:val="1"/>
        <w:rPr>
          <w:rFonts w:ascii="Calibri" w:eastAsia="Calibri" w:hAnsi="Calibri" w:cs="Arial"/>
          <w:b/>
          <w:lang w:val="ro-RO"/>
        </w:rPr>
      </w:pPr>
      <w:r w:rsidRPr="00BD4A3E">
        <w:rPr>
          <w:rFonts w:ascii="Calibri" w:eastAsia="Calibri" w:hAnsi="Calibri" w:cs="Arial"/>
          <w:b/>
          <w:lang w:val="ro-RO"/>
        </w:rPr>
        <w:t xml:space="preserve">ALOCARE FEGA – PLATI DIRECTE </w:t>
      </w:r>
    </w:p>
    <w:p w:rsidR="00BD4A3E" w:rsidRPr="00BD4A3E" w:rsidRDefault="00BD4A3E" w:rsidP="00BD4A3E">
      <w:pPr>
        <w:keepNext/>
        <w:spacing w:before="120" w:after="60" w:line="276" w:lineRule="auto"/>
        <w:jc w:val="both"/>
        <w:outlineLvl w:val="1"/>
        <w:rPr>
          <w:rFonts w:ascii="Calibri" w:eastAsia="Calibri" w:hAnsi="Calibri" w:cs="Arial"/>
          <w:lang w:val="ro-RO"/>
        </w:rPr>
      </w:pPr>
      <w:r w:rsidRPr="00BD4A3E">
        <w:rPr>
          <w:rFonts w:ascii="Calibri" w:eastAsia="Calibri" w:hAnsi="Calibri" w:cs="Arial"/>
          <w:lang w:val="ro-RO"/>
        </w:rPr>
        <w:t>In Regulamentul delegat (UE) 2015/851 AL COMISIEI din 27 martie 2015 de modificare a anexelor II, III și VI la Regulamentul (UE) nr. 1307/2013 al Parlamentului European și al Consiliului de stabilire a unor norme privind plățile directe acordate fermierilor prin scheme de sprijin în cadrul politicii agricole comune este prevazut  plafonul financiar alocat României din FEGA pentru platile directe, astfel:</w:t>
      </w:r>
    </w:p>
    <w:tbl>
      <w:tblPr>
        <w:tblpPr w:leftFromText="180" w:rightFromText="180" w:vertAnchor="text" w:horzAnchor="margin" w:tblpX="-147" w:tblpY="12"/>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09"/>
        <w:gridCol w:w="1268"/>
        <w:gridCol w:w="1267"/>
        <w:gridCol w:w="1245"/>
        <w:gridCol w:w="236"/>
        <w:gridCol w:w="1266"/>
        <w:gridCol w:w="1267"/>
        <w:gridCol w:w="1266"/>
        <w:gridCol w:w="1392"/>
      </w:tblGrid>
      <w:tr w:rsidR="00BD4A3E" w:rsidRPr="00BD4A3E" w:rsidTr="00BD4A3E">
        <w:trPr>
          <w:trHeight w:val="491"/>
        </w:trPr>
        <w:tc>
          <w:tcPr>
            <w:tcW w:w="925" w:type="dxa"/>
            <w:vMerge w:val="restart"/>
            <w:shd w:val="clear" w:color="auto" w:fill="BDD6EE"/>
            <w:tcMar>
              <w:top w:w="15" w:type="dxa"/>
              <w:left w:w="108" w:type="dxa"/>
              <w:bottom w:w="0" w:type="dxa"/>
              <w:right w:w="108" w:type="dxa"/>
            </w:tcMar>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Alocare FEGA plati directe</w:t>
            </w:r>
          </w:p>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b/>
                <w:sz w:val="18"/>
                <w:szCs w:val="18"/>
                <w:lang w:val="ro-RO"/>
              </w:rPr>
              <w:t>(EURO)</w:t>
            </w:r>
          </w:p>
        </w:tc>
        <w:tc>
          <w:tcPr>
            <w:tcW w:w="1294"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2015</w:t>
            </w:r>
          </w:p>
        </w:tc>
        <w:tc>
          <w:tcPr>
            <w:tcW w:w="1294"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2016</w:t>
            </w:r>
          </w:p>
        </w:tc>
        <w:tc>
          <w:tcPr>
            <w:tcW w:w="1271"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2017</w:t>
            </w:r>
          </w:p>
        </w:tc>
        <w:tc>
          <w:tcPr>
            <w:tcW w:w="30" w:type="dxa"/>
            <w:shd w:val="clear" w:color="auto" w:fill="BDD6EE"/>
            <w:tcMar>
              <w:top w:w="15" w:type="dxa"/>
              <w:left w:w="108" w:type="dxa"/>
              <w:bottom w:w="0" w:type="dxa"/>
              <w:right w:w="108" w:type="dxa"/>
            </w:tcMar>
          </w:tcPr>
          <w:p w:rsidR="00BD4A3E" w:rsidRPr="00BD4A3E" w:rsidRDefault="00BD4A3E" w:rsidP="00BD4A3E">
            <w:pPr>
              <w:jc w:val="both"/>
              <w:rPr>
                <w:rFonts w:ascii="Calibri" w:eastAsia="Calibri" w:hAnsi="Calibri" w:cs="Arial"/>
                <w:b/>
                <w:sz w:val="18"/>
                <w:szCs w:val="18"/>
                <w:lang w:val="ro-RO"/>
              </w:rPr>
            </w:pPr>
          </w:p>
        </w:tc>
        <w:tc>
          <w:tcPr>
            <w:tcW w:w="1293"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2018</w:t>
            </w:r>
          </w:p>
        </w:tc>
        <w:tc>
          <w:tcPr>
            <w:tcW w:w="1294"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2019</w:t>
            </w:r>
          </w:p>
        </w:tc>
        <w:tc>
          <w:tcPr>
            <w:tcW w:w="1293" w:type="dxa"/>
            <w:shd w:val="clear" w:color="auto" w:fill="BDD6EE"/>
            <w:tcMar>
              <w:top w:w="15" w:type="dxa"/>
              <w:left w:w="108" w:type="dxa"/>
              <w:bottom w:w="0" w:type="dxa"/>
              <w:right w:w="108" w:type="dxa"/>
            </w:tcMar>
            <w:vAlign w:val="bottom"/>
            <w:hideMark/>
          </w:tcPr>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2020</w:t>
            </w:r>
          </w:p>
        </w:tc>
        <w:tc>
          <w:tcPr>
            <w:tcW w:w="1422" w:type="dxa"/>
            <w:shd w:val="clear" w:color="auto" w:fill="BDD6EE"/>
            <w:tcMar>
              <w:top w:w="15" w:type="dxa"/>
              <w:left w:w="108" w:type="dxa"/>
              <w:bottom w:w="0" w:type="dxa"/>
              <w:right w:w="108" w:type="dxa"/>
            </w:tcMar>
            <w:hideMark/>
          </w:tcPr>
          <w:p w:rsidR="00BD4A3E" w:rsidRPr="00BD4A3E" w:rsidRDefault="00BD4A3E" w:rsidP="00BD4A3E">
            <w:pPr>
              <w:jc w:val="both"/>
              <w:rPr>
                <w:rFonts w:ascii="Calibri" w:eastAsia="Calibri" w:hAnsi="Calibri" w:cs="Arial"/>
                <w:b/>
                <w:sz w:val="18"/>
                <w:szCs w:val="18"/>
                <w:lang w:val="ro-RO"/>
              </w:rPr>
            </w:pPr>
          </w:p>
          <w:p w:rsidR="00BD4A3E" w:rsidRPr="00BD4A3E" w:rsidRDefault="00BD4A3E" w:rsidP="00BD4A3E">
            <w:pPr>
              <w:jc w:val="both"/>
              <w:rPr>
                <w:rFonts w:ascii="Calibri" w:eastAsia="Calibri" w:hAnsi="Calibri" w:cs="Arial"/>
                <w:b/>
                <w:sz w:val="18"/>
                <w:szCs w:val="18"/>
                <w:lang w:val="ro-RO"/>
              </w:rPr>
            </w:pPr>
            <w:r w:rsidRPr="00BD4A3E">
              <w:rPr>
                <w:rFonts w:ascii="Calibri" w:eastAsia="Calibri" w:hAnsi="Calibri" w:cs="Arial"/>
                <w:b/>
                <w:sz w:val="18"/>
                <w:szCs w:val="18"/>
                <w:lang w:val="ro-RO"/>
              </w:rPr>
              <w:t>TOTAL *</w:t>
            </w:r>
          </w:p>
        </w:tc>
      </w:tr>
      <w:tr w:rsidR="00BD4A3E" w:rsidRPr="00BD4A3E" w:rsidTr="00FC6ACD">
        <w:trPr>
          <w:cantSplit/>
          <w:trHeight w:val="730"/>
        </w:trPr>
        <w:tc>
          <w:tcPr>
            <w:tcW w:w="925" w:type="dxa"/>
            <w:vMerge/>
            <w:shd w:val="clear" w:color="auto" w:fill="BDD6EE"/>
            <w:vAlign w:val="center"/>
            <w:hideMark/>
          </w:tcPr>
          <w:p w:rsidR="00BD4A3E" w:rsidRPr="00BD4A3E" w:rsidRDefault="00BD4A3E" w:rsidP="00BD4A3E">
            <w:pPr>
              <w:jc w:val="both"/>
              <w:rPr>
                <w:rFonts w:ascii="Calibri" w:eastAsia="Calibri" w:hAnsi="Calibri" w:cs="Arial"/>
                <w:sz w:val="18"/>
                <w:szCs w:val="18"/>
                <w:lang w:val="ro-RO"/>
              </w:rPr>
            </w:pPr>
          </w:p>
        </w:tc>
        <w:tc>
          <w:tcPr>
            <w:tcW w:w="1294"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1,599,992,519 </w:t>
            </w:r>
          </w:p>
        </w:tc>
        <w:tc>
          <w:tcPr>
            <w:tcW w:w="1294"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1,772,469,112 </w:t>
            </w:r>
          </w:p>
        </w:tc>
        <w:tc>
          <w:tcPr>
            <w:tcW w:w="1271" w:type="dxa"/>
            <w:shd w:val="clear" w:color="auto" w:fill="FFFFFF"/>
            <w:tcMar>
              <w:top w:w="15" w:type="dxa"/>
              <w:left w:w="108" w:type="dxa"/>
              <w:bottom w:w="0" w:type="dxa"/>
              <w:right w:w="108" w:type="dxa"/>
            </w:tcMar>
            <w:vAlign w:val="center"/>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1,801,335,000</w:t>
            </w:r>
          </w:p>
        </w:tc>
        <w:tc>
          <w:tcPr>
            <w:tcW w:w="30" w:type="dxa"/>
            <w:shd w:val="clear" w:color="auto" w:fill="FFFFFF"/>
            <w:tcMar>
              <w:top w:w="15" w:type="dxa"/>
              <w:left w:w="108" w:type="dxa"/>
              <w:bottom w:w="0" w:type="dxa"/>
              <w:right w:w="108" w:type="dxa"/>
            </w:tcMar>
          </w:tcPr>
          <w:p w:rsidR="00BD4A3E" w:rsidRPr="00BD4A3E" w:rsidRDefault="00BD4A3E" w:rsidP="00BD4A3E">
            <w:pPr>
              <w:jc w:val="both"/>
              <w:rPr>
                <w:rFonts w:ascii="Calibri" w:eastAsia="Calibri" w:hAnsi="Calibri" w:cs="Arial"/>
                <w:sz w:val="18"/>
                <w:szCs w:val="18"/>
                <w:lang w:val="ro-RO"/>
              </w:rPr>
            </w:pPr>
          </w:p>
        </w:tc>
        <w:tc>
          <w:tcPr>
            <w:tcW w:w="1293"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1,912,150,000 </w:t>
            </w:r>
          </w:p>
        </w:tc>
        <w:tc>
          <w:tcPr>
            <w:tcW w:w="1294"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1,903,195,000 </w:t>
            </w:r>
          </w:p>
        </w:tc>
        <w:tc>
          <w:tcPr>
            <w:tcW w:w="1293"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1,903,195,000 </w:t>
            </w:r>
          </w:p>
        </w:tc>
        <w:tc>
          <w:tcPr>
            <w:tcW w:w="1422" w:type="dxa"/>
            <w:shd w:val="clear" w:color="auto" w:fill="FFFFFF"/>
            <w:tcMar>
              <w:top w:w="15" w:type="dxa"/>
              <w:left w:w="108" w:type="dxa"/>
              <w:bottom w:w="0" w:type="dxa"/>
              <w:right w:w="108" w:type="dxa"/>
            </w:tcMar>
            <w:vAlign w:val="center"/>
            <w:hideMark/>
          </w:tcPr>
          <w:p w:rsidR="00BD4A3E" w:rsidRPr="00BD4A3E" w:rsidRDefault="00BD4A3E" w:rsidP="00BD4A3E">
            <w:pPr>
              <w:jc w:val="both"/>
              <w:rPr>
                <w:rFonts w:ascii="Calibri" w:eastAsia="Calibri" w:hAnsi="Calibri" w:cs="Arial"/>
                <w:sz w:val="18"/>
                <w:szCs w:val="18"/>
                <w:lang w:val="ro-RO"/>
              </w:rPr>
            </w:pPr>
            <w:r w:rsidRPr="00BD4A3E">
              <w:rPr>
                <w:rFonts w:ascii="Calibri" w:eastAsia="Calibri" w:hAnsi="Calibri" w:cs="Arial"/>
                <w:sz w:val="18"/>
                <w:szCs w:val="18"/>
                <w:lang w:val="ro-RO"/>
              </w:rPr>
              <w:t xml:space="preserve">10,892,336,631 </w:t>
            </w:r>
          </w:p>
        </w:tc>
      </w:tr>
    </w:tbl>
    <w:p w:rsidR="00BD4A3E" w:rsidRPr="00BD4A3E" w:rsidRDefault="00BD4A3E" w:rsidP="00BD4A3E">
      <w:pPr>
        <w:jc w:val="both"/>
        <w:rPr>
          <w:rFonts w:ascii="Calibri" w:eastAsia="Calibri" w:hAnsi="Calibri" w:cs="Arial"/>
          <w:lang w:val="ro-RO"/>
        </w:rPr>
      </w:pP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*La plafoanele financiare din FEGA mentionate mai sus, se vor adauga si cele estimate pentru masuri de piata si comert exterior de aproximativ 400 mil. Euro pentru perioada 2015-2020</w:t>
      </w:r>
    </w:p>
    <w:p w:rsidR="00BD4A3E" w:rsidRPr="00DB403C" w:rsidRDefault="00BD4A3E" w:rsidP="00BD4A3E">
      <w:pPr>
        <w:jc w:val="both"/>
        <w:rPr>
          <w:rFonts w:ascii="Calibri" w:eastAsia="Calibri" w:hAnsi="Calibri" w:cs="Arial"/>
          <w:sz w:val="16"/>
          <w:szCs w:val="16"/>
          <w:lang w:val="ro-RO"/>
        </w:rPr>
      </w:pPr>
    </w:p>
    <w:p w:rsidR="00BD4A3E" w:rsidRPr="00BD4A3E" w:rsidRDefault="00BD4A3E" w:rsidP="00BD4A3E">
      <w:pPr>
        <w:jc w:val="both"/>
        <w:rPr>
          <w:rFonts w:ascii="Calibri" w:eastAsia="Calibri" w:hAnsi="Calibri" w:cs="Arial"/>
          <w:b/>
          <w:lang w:val="ro-RO"/>
        </w:rPr>
      </w:pPr>
      <w:r w:rsidRPr="00BD4A3E">
        <w:rPr>
          <w:rFonts w:ascii="Calibri" w:eastAsia="Calibri" w:hAnsi="Calibri" w:cs="Arial"/>
          <w:b/>
          <w:lang w:val="ro-RO"/>
        </w:rPr>
        <w:t>Schemele de plăţi directe finantate din FEGA sunt următoarele:</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 xml:space="preserve"> schema de plată unică pe suprafaţă;</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 xml:space="preserve"> plata redistributivă;</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 xml:space="preserve"> plata pentru practici agricole benefice pentru climă și mediu;</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 xml:space="preserve"> plata pentru tinerii fermieri;</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 xml:space="preserve"> schemele de sprijin cuplat in sectorul vegetal si in sectorul zootehnic;</w:t>
      </w:r>
    </w:p>
    <w:p w:rsidR="00BD4A3E" w:rsidRPr="00BD4A3E" w:rsidRDefault="00BD4A3E" w:rsidP="009F7237">
      <w:pPr>
        <w:numPr>
          <w:ilvl w:val="0"/>
          <w:numId w:val="8"/>
        </w:numPr>
        <w:spacing w:line="276" w:lineRule="auto"/>
        <w:jc w:val="both"/>
        <w:rPr>
          <w:rFonts w:ascii="Calibri" w:eastAsia="Calibri" w:hAnsi="Calibri" w:cs="Arial"/>
          <w:lang w:val="ro-RO"/>
        </w:rPr>
      </w:pPr>
      <w:r w:rsidRPr="00BD4A3E">
        <w:rPr>
          <w:rFonts w:ascii="Calibri" w:eastAsia="Calibri" w:hAnsi="Calibri" w:cs="Arial"/>
          <w:lang w:val="ro-RO"/>
        </w:rPr>
        <w:t>schema simplificată pentru micii fermieri. </w:t>
      </w: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Beneficiarii plăţilor - sunt </w:t>
      </w:r>
      <w:r w:rsidRPr="00BD4A3E">
        <w:rPr>
          <w:rFonts w:ascii="Calibri" w:eastAsia="Calibri" w:hAnsi="Calibri" w:cs="Arial"/>
          <w:u w:val="single"/>
          <w:lang w:val="ro-RO"/>
        </w:rPr>
        <w:t>fermierii activi</w:t>
      </w:r>
      <w:r w:rsidRPr="00BD4A3E">
        <w:rPr>
          <w:rFonts w:ascii="Calibri" w:eastAsia="Calibri" w:hAnsi="Calibri" w:cs="Arial"/>
          <w:lang w:val="ro-RO"/>
        </w:rPr>
        <w:t xml:space="preserve"> persoane fizice şi/sau persoane juridice care desfășoară o activitate agricolă în calitate de utilizatori ai suprafețelor de teren agricol si/sau deținători legali de animale, în conformitate cu legislația în vigoare. In categoria beneficiarilor de plati se incadreaza si cooperativele agricole, conform Legii 566/2004 a cooperatiei agricole, precum si grupurile de producatori care desfasoara activitate agricola.</w:t>
      </w:r>
    </w:p>
    <w:p w:rsidR="00BD4A3E" w:rsidRPr="00DB403C" w:rsidRDefault="00BD4A3E" w:rsidP="00BD4A3E">
      <w:pPr>
        <w:jc w:val="both"/>
        <w:rPr>
          <w:rFonts w:ascii="Calibri" w:eastAsia="Calibri" w:hAnsi="Calibri" w:cs="Arial"/>
          <w:sz w:val="16"/>
          <w:szCs w:val="16"/>
          <w:lang w:val="ro-RO"/>
        </w:rPr>
      </w:pPr>
    </w:p>
    <w:p w:rsidR="00BD4A3E" w:rsidRPr="003964D3" w:rsidRDefault="00BD4A3E" w:rsidP="00BD4A3E">
      <w:pPr>
        <w:jc w:val="both"/>
        <w:rPr>
          <w:rFonts w:ascii="Calibri" w:hAnsi="Calibri"/>
          <w:bCs/>
          <w:szCs w:val="22"/>
          <w:lang w:val="fr-FR"/>
        </w:rPr>
      </w:pPr>
      <w:r w:rsidRPr="003964D3">
        <w:rPr>
          <w:rFonts w:ascii="Calibri" w:hAnsi="Calibri"/>
          <w:szCs w:val="22"/>
          <w:lang w:val="fr-FR"/>
        </w:rPr>
        <w:t xml:space="preserve">In ceea ce priveste Campania 2017, APIA a autorizat la plata suma de </w:t>
      </w:r>
      <w:r w:rsidRPr="003964D3">
        <w:rPr>
          <w:rFonts w:ascii="Calibri" w:hAnsi="Calibri"/>
          <w:b/>
          <w:bCs/>
          <w:szCs w:val="22"/>
          <w:lang w:val="fr-FR"/>
        </w:rPr>
        <w:t>2,636 miliarde euro</w:t>
      </w:r>
      <w:r w:rsidRPr="003964D3">
        <w:rPr>
          <w:rFonts w:ascii="Calibri" w:hAnsi="Calibri"/>
          <w:bCs/>
          <w:szCs w:val="22"/>
          <w:lang w:val="fr-FR"/>
        </w:rPr>
        <w:t xml:space="preserve">, ceea ce reprezinta un procent de absorbtie </w:t>
      </w:r>
      <w:r w:rsidRPr="003964D3">
        <w:rPr>
          <w:rFonts w:ascii="Calibri" w:hAnsi="Calibri"/>
          <w:b/>
          <w:bCs/>
          <w:szCs w:val="22"/>
          <w:lang w:val="fr-FR"/>
        </w:rPr>
        <w:t>97,50%</w:t>
      </w:r>
      <w:r w:rsidRPr="003964D3">
        <w:rPr>
          <w:rFonts w:ascii="Calibri" w:hAnsi="Calibri"/>
          <w:bCs/>
          <w:szCs w:val="22"/>
          <w:lang w:val="fr-FR"/>
        </w:rPr>
        <w:t xml:space="preserve"> din plafonul financiar alocat Romaniei în Campania 2017 de </w:t>
      </w:r>
      <w:r w:rsidRPr="003964D3">
        <w:rPr>
          <w:rFonts w:ascii="Calibri" w:hAnsi="Calibri"/>
          <w:b/>
          <w:szCs w:val="22"/>
          <w:lang w:val="fr-FR"/>
        </w:rPr>
        <w:t xml:space="preserve">1,801  </w:t>
      </w:r>
      <w:r w:rsidRPr="003964D3">
        <w:rPr>
          <w:rFonts w:ascii="Calibri" w:hAnsi="Calibri"/>
          <w:b/>
          <w:bCs/>
          <w:szCs w:val="22"/>
          <w:lang w:val="fr-FR"/>
        </w:rPr>
        <w:t>miliarde de euro</w:t>
      </w:r>
      <w:r w:rsidRPr="003964D3">
        <w:rPr>
          <w:rFonts w:ascii="Calibri" w:hAnsi="Calibri"/>
          <w:bCs/>
          <w:szCs w:val="22"/>
          <w:lang w:val="fr-FR"/>
        </w:rPr>
        <w:t>.</w:t>
      </w:r>
    </w:p>
    <w:p w:rsidR="00BD4A3E" w:rsidRPr="00DB403C" w:rsidRDefault="00BD4A3E" w:rsidP="00BD4A3E">
      <w:pPr>
        <w:jc w:val="both"/>
        <w:rPr>
          <w:rFonts w:ascii="Calibri" w:eastAsia="Calibri" w:hAnsi="Calibri" w:cs="Arial"/>
          <w:sz w:val="16"/>
          <w:szCs w:val="16"/>
          <w:lang w:val="ro-RO"/>
        </w:rPr>
      </w:pP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Plăţile se efectueaza la cursul de schimb de </w:t>
      </w:r>
      <w:r w:rsidRPr="00BD4A3E">
        <w:rPr>
          <w:rFonts w:ascii="Calibri" w:eastAsia="Calibri" w:hAnsi="Calibri" w:cs="Arial"/>
          <w:b/>
          <w:lang w:val="ro-RO"/>
        </w:rPr>
        <w:t>4,5993 lei pentru un euro</w:t>
      </w:r>
      <w:r w:rsidRPr="00BD4A3E">
        <w:rPr>
          <w:rFonts w:ascii="Calibri" w:eastAsia="Calibri" w:hAnsi="Calibri" w:cs="Arial"/>
          <w:lang w:val="ro-RO"/>
        </w:rPr>
        <w:t xml:space="preserve">, stabilit de către Banca Centrală Europeană în data de 29 septembrie 2017 şi publicat în Jurnalul Oficial al Uniunii Europene, seria C, nr. 329/05 din 30 septembrie 2017. </w:t>
      </w:r>
    </w:p>
    <w:p w:rsidR="00BD4A3E" w:rsidRPr="00BD4A3E" w:rsidRDefault="00BD4A3E" w:rsidP="00BD4A3E">
      <w:pPr>
        <w:autoSpaceDE w:val="0"/>
        <w:autoSpaceDN w:val="0"/>
        <w:adjustRightInd w:val="0"/>
        <w:jc w:val="both"/>
        <w:rPr>
          <w:rFonts w:ascii="Calibri" w:eastAsia="Calibri" w:hAnsi="Calibri" w:cs="Arial"/>
          <w:b/>
          <w:lang w:val="ro-RO"/>
        </w:rPr>
      </w:pPr>
      <w:r w:rsidRPr="00BD4A3E">
        <w:rPr>
          <w:rFonts w:ascii="Calibri" w:eastAsia="Calibri" w:hAnsi="Calibri" w:cs="Arial"/>
          <w:b/>
          <w:lang w:val="ro-RO"/>
        </w:rPr>
        <w:t>In ceea ce priveste sumele rambursate de catre Comisia Europeana in anii calendaristici 2017 si 2018, urmare a solicitarii prin declaratiile lunare de cheltuieli (ani financiari 2017 si 2018) precizam faptul ca pana la aceasta data Comisia Europeana a rambursat suma de 3,51 miliarde de euro.</w:t>
      </w:r>
    </w:p>
    <w:p w:rsidR="00BD4A3E" w:rsidRPr="00BD4A3E" w:rsidRDefault="00BD4A3E" w:rsidP="00BD4A3E">
      <w:pPr>
        <w:autoSpaceDE w:val="0"/>
        <w:autoSpaceDN w:val="0"/>
        <w:adjustRightInd w:val="0"/>
        <w:jc w:val="both"/>
        <w:rPr>
          <w:rFonts w:ascii="Calibri" w:eastAsia="Calibri" w:hAnsi="Calibri" w:cs="Arial"/>
          <w:b/>
          <w:lang w:val="ro-RO"/>
        </w:rPr>
      </w:pPr>
    </w:p>
    <w:tbl>
      <w:tblPr>
        <w:tblW w:w="5950" w:type="dxa"/>
        <w:jc w:val="center"/>
        <w:tblLook w:val="04A0" w:firstRow="1" w:lastRow="0" w:firstColumn="1" w:lastColumn="0" w:noHBand="0" w:noVBand="1"/>
      </w:tblPr>
      <w:tblGrid>
        <w:gridCol w:w="1840"/>
        <w:gridCol w:w="4110"/>
      </w:tblGrid>
      <w:tr w:rsidR="00BD4A3E" w:rsidRPr="00AC4302" w:rsidTr="00BD4A3E">
        <w:trPr>
          <w:trHeight w:val="510"/>
          <w:jc w:val="center"/>
        </w:trPr>
        <w:tc>
          <w:tcPr>
            <w:tcW w:w="184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An financiar</w:t>
            </w:r>
          </w:p>
        </w:tc>
        <w:tc>
          <w:tcPr>
            <w:tcW w:w="4110" w:type="dxa"/>
            <w:tcBorders>
              <w:top w:val="single" w:sz="4" w:space="0" w:color="auto"/>
              <w:left w:val="nil"/>
              <w:bottom w:val="single" w:sz="4"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     Suma comunicata in decizie CE</w:t>
            </w: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                     - euro-</w:t>
            </w:r>
          </w:p>
        </w:tc>
      </w:tr>
      <w:tr w:rsidR="00BD4A3E" w:rsidRPr="00BD4A3E" w:rsidTr="00BD4A3E">
        <w:trPr>
          <w:trHeight w:val="332"/>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BD4A3E" w:rsidRPr="00BD4A3E" w:rsidRDefault="00BD4A3E" w:rsidP="00BD4A3E">
            <w:pPr>
              <w:jc w:val="both"/>
              <w:rPr>
                <w:rFonts w:ascii="Calibri" w:eastAsia="Calibri" w:hAnsi="Calibri" w:cs="Arial"/>
                <w:sz w:val="22"/>
                <w:szCs w:val="22"/>
                <w:lang w:val="ro-RO"/>
              </w:rPr>
            </w:pPr>
            <w:r w:rsidRPr="00BD4A3E">
              <w:rPr>
                <w:rFonts w:ascii="Calibri" w:eastAsia="Calibri" w:hAnsi="Calibri" w:cs="Arial"/>
                <w:sz w:val="22"/>
                <w:szCs w:val="22"/>
                <w:lang w:val="ro-RO"/>
              </w:rPr>
              <w:t>2017</w:t>
            </w:r>
          </w:p>
        </w:tc>
        <w:tc>
          <w:tcPr>
            <w:tcW w:w="4110" w:type="dxa"/>
            <w:tcBorders>
              <w:top w:val="nil"/>
              <w:left w:val="nil"/>
              <w:bottom w:val="single" w:sz="4" w:space="0" w:color="auto"/>
              <w:right w:val="single" w:sz="4" w:space="0" w:color="auto"/>
            </w:tcBorders>
            <w:shd w:val="clear" w:color="auto" w:fill="FFFFFF"/>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1,772,508,497.61</w:t>
            </w:r>
          </w:p>
        </w:tc>
      </w:tr>
      <w:tr w:rsidR="00BD4A3E" w:rsidRPr="00BD4A3E" w:rsidTr="00BD4A3E">
        <w:trPr>
          <w:trHeight w:val="255"/>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BD4A3E" w:rsidRPr="00BD4A3E" w:rsidRDefault="00BD4A3E" w:rsidP="00BD4A3E">
            <w:pPr>
              <w:jc w:val="both"/>
              <w:rPr>
                <w:rFonts w:ascii="Calibri" w:eastAsia="Calibri" w:hAnsi="Calibri" w:cs="Arial"/>
                <w:sz w:val="22"/>
                <w:szCs w:val="22"/>
                <w:lang w:val="ro-RO"/>
              </w:rPr>
            </w:pPr>
            <w:r w:rsidRPr="00BD4A3E">
              <w:rPr>
                <w:rFonts w:ascii="Calibri" w:eastAsia="Calibri" w:hAnsi="Calibri" w:cs="Arial"/>
                <w:sz w:val="22"/>
                <w:szCs w:val="22"/>
                <w:lang w:val="ro-RO"/>
              </w:rPr>
              <w:t>2018</w:t>
            </w:r>
          </w:p>
        </w:tc>
        <w:tc>
          <w:tcPr>
            <w:tcW w:w="4110" w:type="dxa"/>
            <w:tcBorders>
              <w:top w:val="nil"/>
              <w:left w:val="nil"/>
              <w:bottom w:val="single" w:sz="4" w:space="0" w:color="auto"/>
              <w:right w:val="single" w:sz="4" w:space="0" w:color="auto"/>
            </w:tcBorders>
            <w:shd w:val="clear" w:color="auto" w:fill="FFFFFF"/>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1,736,792,339,41</w:t>
            </w:r>
          </w:p>
        </w:tc>
      </w:tr>
      <w:tr w:rsidR="00BD4A3E" w:rsidRPr="00BD4A3E" w:rsidTr="00BD4A3E">
        <w:trPr>
          <w:trHeight w:val="25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both"/>
              <w:rPr>
                <w:rFonts w:ascii="Calibri" w:eastAsia="Calibri" w:hAnsi="Calibri" w:cs="Arial"/>
                <w:sz w:val="22"/>
                <w:szCs w:val="22"/>
                <w:lang w:val="ro-RO"/>
              </w:rPr>
            </w:pPr>
            <w:r w:rsidRPr="00BD4A3E">
              <w:rPr>
                <w:rFonts w:ascii="Calibri" w:eastAsia="Calibri" w:hAnsi="Calibri" w:cs="Arial"/>
                <w:sz w:val="22"/>
                <w:szCs w:val="22"/>
                <w:lang w:val="ro-RO"/>
              </w:rPr>
              <w:t>Total</w:t>
            </w:r>
          </w:p>
        </w:tc>
        <w:tc>
          <w:tcPr>
            <w:tcW w:w="4110" w:type="dxa"/>
            <w:tcBorders>
              <w:top w:val="nil"/>
              <w:left w:val="nil"/>
              <w:bottom w:val="single" w:sz="4" w:space="0" w:color="auto"/>
              <w:right w:val="single" w:sz="4"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3,509,300,837,02</w:t>
            </w:r>
          </w:p>
        </w:tc>
      </w:tr>
    </w:tbl>
    <w:p w:rsidR="00BD4A3E" w:rsidRPr="00BD4A3E" w:rsidRDefault="00BD4A3E" w:rsidP="00674083">
      <w:pPr>
        <w:spacing w:before="240"/>
        <w:jc w:val="both"/>
        <w:rPr>
          <w:rFonts w:ascii="Calibri" w:eastAsia="Calibri" w:hAnsi="Calibri" w:cs="Arial"/>
          <w:lang w:val="ro-RO"/>
        </w:rPr>
      </w:pPr>
      <w:r w:rsidRPr="00BD4A3E">
        <w:rPr>
          <w:rFonts w:ascii="Calibri" w:eastAsia="Calibri" w:hAnsi="Calibri" w:cs="Arial"/>
          <w:lang w:val="ro-RO"/>
        </w:rPr>
        <w:t>În ceea ce privește Campania de primire a cererilor unice de plată pentru anul 2018, în perioada, 1 martie  - 15 mai 2018, la nivelul Agenției s-a depus un număr de 867.067 de cereri pentru o suprafață de 9.640.942 hectare.</w:t>
      </w:r>
    </w:p>
    <w:p w:rsidR="00BD4A3E" w:rsidRPr="00BD4A3E" w:rsidRDefault="00BD4A3E" w:rsidP="00BD4A3E">
      <w:pPr>
        <w:jc w:val="both"/>
        <w:rPr>
          <w:rFonts w:ascii="Calibri" w:eastAsia="Calibri" w:hAnsi="Calibri" w:cs="Arial"/>
          <w:lang w:val="ro-RO"/>
        </w:rPr>
      </w:pP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Comparativ cu anul 2017, se constată o scădere a numărului de fermieri care au depus cereri unice de plata, respectiv 884.397, dar o creștere a suprafeței pentru care s-a solicitat sprijin, pentru ca in 2017 a fost solicitată la plata o suprafață mai mica, de 9.541.389 hectare.</w:t>
      </w:r>
    </w:p>
    <w:p w:rsidR="00BD4A3E" w:rsidRPr="00BD4A3E" w:rsidRDefault="00BD4A3E" w:rsidP="00BD4A3E">
      <w:pPr>
        <w:jc w:val="both"/>
        <w:rPr>
          <w:rFonts w:ascii="Calibri" w:eastAsia="Calibri" w:hAnsi="Calibri" w:cs="Arial"/>
          <w:lang w:val="ro-RO"/>
        </w:rPr>
      </w:pPr>
    </w:p>
    <w:p w:rsidR="00BD4A3E" w:rsidRPr="00BD4A3E" w:rsidRDefault="00BD4A3E" w:rsidP="00021698">
      <w:pPr>
        <w:numPr>
          <w:ilvl w:val="0"/>
          <w:numId w:val="105"/>
        </w:numPr>
        <w:shd w:val="clear" w:color="auto" w:fill="92D050"/>
        <w:autoSpaceDE w:val="0"/>
        <w:autoSpaceDN w:val="0"/>
        <w:adjustRightInd w:val="0"/>
        <w:spacing w:before="120" w:after="120" w:line="276" w:lineRule="auto"/>
        <w:ind w:left="714" w:hanging="357"/>
        <w:contextualSpacing/>
        <w:jc w:val="both"/>
        <w:rPr>
          <w:rFonts w:ascii="Calibri" w:eastAsia="Calibri" w:hAnsi="Calibri" w:cs="Arial"/>
          <w:szCs w:val="22"/>
          <w:lang w:val="ro-RO"/>
        </w:rPr>
      </w:pPr>
      <w:r w:rsidRPr="00BD4A3E">
        <w:rPr>
          <w:rFonts w:ascii="Calibri" w:eastAsia="Calibri" w:hAnsi="Calibri" w:cs="Arial"/>
          <w:szCs w:val="22"/>
          <w:lang w:val="ro-RO"/>
        </w:rPr>
        <w:t>Fondul European pentru Agricultura si Dezvoltare Rurala</w:t>
      </w: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Agentia de Plati si Interventie pentru Agricultura implementeaza in baza acordurilor de delegare incheiate cu Agentia pentru Finantarea Investitiilor Rurale (AFIR) urmatoarele masuri finantate din FEADR:</w:t>
      </w:r>
    </w:p>
    <w:p w:rsidR="00BD4A3E" w:rsidRPr="00BD4A3E" w:rsidRDefault="00BD4A3E" w:rsidP="009F7237">
      <w:pPr>
        <w:numPr>
          <w:ilvl w:val="0"/>
          <w:numId w:val="9"/>
        </w:numPr>
        <w:spacing w:line="276" w:lineRule="auto"/>
        <w:jc w:val="both"/>
        <w:rPr>
          <w:rFonts w:ascii="Calibri" w:eastAsia="Calibri" w:hAnsi="Calibri" w:cs="Arial"/>
          <w:lang w:val="ro-RO"/>
        </w:rPr>
      </w:pPr>
      <w:bookmarkStart w:id="8" w:name="_Toc256000230"/>
      <w:r w:rsidRPr="00BD4A3E">
        <w:rPr>
          <w:rFonts w:ascii="Calibri" w:eastAsia="Calibri" w:hAnsi="Calibri" w:cs="Arial"/>
          <w:lang w:val="ro-RO"/>
        </w:rPr>
        <w:t xml:space="preserve">MĂSURA 08 - Investiții în dezvoltarea zonelor împădurite și în îmbunătățirea viabilității pădurilor </w:t>
      </w:r>
      <w:bookmarkEnd w:id="8"/>
      <w:r w:rsidRPr="00BD4A3E">
        <w:rPr>
          <w:rFonts w:ascii="Calibri" w:eastAsia="Calibri" w:hAnsi="Calibri" w:cs="Arial"/>
          <w:lang w:val="ro-RO"/>
        </w:rPr>
        <w:t>– subm</w:t>
      </w:r>
      <w:r w:rsidR="00CE1614">
        <w:rPr>
          <w:rFonts w:ascii="Calibri" w:eastAsia="Calibri" w:hAnsi="Calibri" w:cs="Arial"/>
          <w:lang w:val="ro-RO"/>
        </w:rPr>
        <w:t>ă</w:t>
      </w:r>
      <w:r w:rsidRPr="00BD4A3E">
        <w:rPr>
          <w:rFonts w:ascii="Calibri" w:eastAsia="Calibri" w:hAnsi="Calibri" w:cs="Arial"/>
          <w:lang w:val="ro-RO"/>
        </w:rPr>
        <w:t>sura 8.1 - Împăduriri şi crearea de suprafeţe împădurite</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MĂSURA 10 - Agro-mediu şi climă</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 xml:space="preserve">MĂSURA 11 – Agricultura ecologică </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MĂSURA 13 - Plăţi pentru zone care se confruntă cu constrângeri naturale sau cu alte constrângeri specifice</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Masura 14 (fosta masura 215)-  Plati in favoarea bunastarii animalelor</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MĂSURA 15 – Servicii de silvo-mediu, servicii climatice și conservarea padurilor - 15.1 - Plăți pentru angajamente de silvo-mediu</w:t>
      </w:r>
    </w:p>
    <w:p w:rsidR="00BD4A3E" w:rsidRPr="00BD4A3E" w:rsidRDefault="00BD4A3E" w:rsidP="009F7237">
      <w:pPr>
        <w:numPr>
          <w:ilvl w:val="0"/>
          <w:numId w:val="10"/>
        </w:numPr>
        <w:spacing w:line="276" w:lineRule="auto"/>
        <w:jc w:val="both"/>
        <w:rPr>
          <w:rFonts w:ascii="Calibri" w:eastAsia="Calibri" w:hAnsi="Calibri" w:cs="Arial"/>
          <w:lang w:val="ro-RO"/>
        </w:rPr>
      </w:pPr>
      <w:r w:rsidRPr="00BD4A3E">
        <w:rPr>
          <w:rFonts w:ascii="Calibri" w:eastAsia="Calibri" w:hAnsi="Calibri" w:cs="Arial"/>
          <w:lang w:val="ro-RO"/>
        </w:rPr>
        <w:t>Masura 214  - Plati privind agromediu</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Alocare FEADR + cofinantare Buget National:  </w:t>
      </w:r>
      <w:r w:rsidRPr="00BD4A3E">
        <w:rPr>
          <w:rFonts w:ascii="Calibri" w:eastAsia="Calibri" w:hAnsi="Calibri" w:cs="Arial"/>
          <w:b/>
          <w:lang w:val="ro-RO"/>
        </w:rPr>
        <w:t>3,59 miliarde euro</w:t>
      </w:r>
    </w:p>
    <w:p w:rsidR="00BD4A3E" w:rsidRPr="00BD4A3E" w:rsidRDefault="00BD4A3E" w:rsidP="00BD4A3E">
      <w:pPr>
        <w:autoSpaceDE w:val="0"/>
        <w:autoSpaceDN w:val="0"/>
        <w:adjustRightInd w:val="0"/>
        <w:jc w:val="both"/>
        <w:rPr>
          <w:rFonts w:ascii="Calibri" w:eastAsia="Calibri" w:hAnsi="Calibri" w:cs="Arial"/>
          <w:b/>
          <w:lang w:val="ro-RO"/>
        </w:rPr>
      </w:pPr>
      <w:r w:rsidRPr="00BD4A3E">
        <w:rPr>
          <w:rFonts w:ascii="Calibri" w:eastAsia="Calibri" w:hAnsi="Calibri" w:cs="Arial"/>
          <w:b/>
          <w:lang w:val="ro-RO"/>
        </w:rPr>
        <w:t xml:space="preserve">In campania 2017 au solicitat sprijin pentru masurile de dezvoltare rurala app. 409 mii  fermieri (o cerere poate viza mai multe tipuri de plati). </w:t>
      </w:r>
    </w:p>
    <w:p w:rsidR="00BD4A3E" w:rsidRPr="00BD4A3E" w:rsidRDefault="00BD4A3E" w:rsidP="00BD4A3E">
      <w:pPr>
        <w:spacing w:after="160" w:line="259" w:lineRule="auto"/>
        <w:rPr>
          <w:rFonts w:ascii="Calibri" w:eastAsia="Calibri" w:hAnsi="Calibri" w:cs="Arial"/>
          <w:lang w:val="ro-RO"/>
        </w:rPr>
      </w:pPr>
    </w:p>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PLAFOANE ALOCATE DIN FEADR PENTRU PERIOADA DE PROGRAMARE 2014-2020 – MASURILE IMPLEMENTATE DE APIA IN BAZA DELEGARII PRIMITE DE LA AFIR*</w:t>
      </w:r>
    </w:p>
    <w:p w:rsidR="00BD4A3E" w:rsidRPr="00BD4A3E" w:rsidRDefault="00BD4A3E" w:rsidP="00BD4A3E">
      <w:pPr>
        <w:jc w:val="both"/>
        <w:rPr>
          <w:rFonts w:ascii="Calibri" w:eastAsia="Calibri" w:hAnsi="Calibri" w:cs="Arial"/>
          <w:lang w:val="ro-RO"/>
        </w:rPr>
      </w:pPr>
    </w:p>
    <w:tbl>
      <w:tblPr>
        <w:tblW w:w="9596" w:type="dxa"/>
        <w:tblInd w:w="108" w:type="dxa"/>
        <w:tblLook w:val="04A0" w:firstRow="1" w:lastRow="0" w:firstColumn="1" w:lastColumn="0" w:noHBand="0" w:noVBand="1"/>
      </w:tblPr>
      <w:tblGrid>
        <w:gridCol w:w="1268"/>
        <w:gridCol w:w="3109"/>
        <w:gridCol w:w="1748"/>
        <w:gridCol w:w="1748"/>
        <w:gridCol w:w="1723"/>
      </w:tblGrid>
      <w:tr w:rsidR="00BD4A3E" w:rsidRPr="00BD4A3E" w:rsidTr="00BD4A3E">
        <w:trPr>
          <w:trHeight w:val="852"/>
        </w:trPr>
        <w:tc>
          <w:tcPr>
            <w:tcW w:w="1268" w:type="dxa"/>
            <w:tcBorders>
              <w:top w:val="single" w:sz="8" w:space="0" w:color="auto"/>
              <w:left w:val="single" w:sz="4" w:space="0" w:color="auto"/>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MASURA</w:t>
            </w:r>
          </w:p>
        </w:tc>
        <w:tc>
          <w:tcPr>
            <w:tcW w:w="3109"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Perioada de programare</w:t>
            </w: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2014 - 2020</w:t>
            </w:r>
          </w:p>
        </w:tc>
        <w:tc>
          <w:tcPr>
            <w:tcW w:w="1748"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FEADR (euro)</w:t>
            </w:r>
          </w:p>
        </w:tc>
        <w:tc>
          <w:tcPr>
            <w:tcW w:w="1748"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BN (euro)</w:t>
            </w:r>
          </w:p>
        </w:tc>
        <w:tc>
          <w:tcPr>
            <w:tcW w:w="1723" w:type="dxa"/>
            <w:tcBorders>
              <w:top w:val="single" w:sz="4"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Total (euro)</w:t>
            </w:r>
          </w:p>
        </w:tc>
      </w:tr>
      <w:tr w:rsidR="00BD4A3E" w:rsidRPr="00BD4A3E" w:rsidTr="00BD4A3E">
        <w:trPr>
          <w:trHeight w:val="1312"/>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8</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Investiții în dezvoltarea zonelor împădurite și în îmbunătățirea viabilității pădurilor </w:t>
            </w:r>
          </w:p>
        </w:tc>
        <w:tc>
          <w:tcPr>
            <w:tcW w:w="1748" w:type="dxa"/>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105,695,160</w:t>
            </w:r>
          </w:p>
        </w:tc>
        <w:tc>
          <w:tcPr>
            <w:tcW w:w="1748" w:type="dxa"/>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21,106,472</w:t>
            </w:r>
          </w:p>
        </w:tc>
        <w:tc>
          <w:tcPr>
            <w:tcW w:w="1723" w:type="dxa"/>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126,801,632</w:t>
            </w:r>
          </w:p>
        </w:tc>
      </w:tr>
      <w:tr w:rsidR="00BD4A3E" w:rsidRPr="00BD4A3E" w:rsidTr="00BD4A3E">
        <w:trPr>
          <w:trHeight w:val="512"/>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10</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Agromediu si clima</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909,964,916</w:t>
            </w:r>
          </w:p>
        </w:tc>
        <w:tc>
          <w:tcPr>
            <w:tcW w:w="1748" w:type="dxa"/>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159,032,069</w:t>
            </w:r>
          </w:p>
        </w:tc>
        <w:tc>
          <w:tcPr>
            <w:tcW w:w="1723" w:type="dxa"/>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1,068,996,985</w:t>
            </w:r>
          </w:p>
        </w:tc>
      </w:tr>
      <w:tr w:rsidR="00BD4A3E" w:rsidRPr="00BD4A3E" w:rsidTr="00BD4A3E">
        <w:trPr>
          <w:trHeight w:val="536"/>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11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Agricultura ecologica</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200,686,161</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35,011,337</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235,697,498</w:t>
            </w:r>
          </w:p>
        </w:tc>
      </w:tr>
      <w:tr w:rsidR="00BD4A3E" w:rsidRPr="00BD4A3E" w:rsidTr="00BD4A3E">
        <w:trPr>
          <w:trHeight w:val="1049"/>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13</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Plati pentru zone care se confrunta cu constringeri naturale sau alte constringeri specifice</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1,150,796,418</w:t>
            </w:r>
          </w:p>
        </w:tc>
        <w:tc>
          <w:tcPr>
            <w:tcW w:w="1748" w:type="dxa"/>
            <w:tcBorders>
              <w:top w:val="single" w:sz="4" w:space="0" w:color="auto"/>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166,798,226</w:t>
            </w:r>
          </w:p>
        </w:tc>
        <w:tc>
          <w:tcPr>
            <w:tcW w:w="1723" w:type="dxa"/>
            <w:tcBorders>
              <w:top w:val="single" w:sz="4" w:space="0" w:color="auto"/>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1,317,594,644</w:t>
            </w:r>
          </w:p>
        </w:tc>
      </w:tr>
      <w:tr w:rsidR="00BD4A3E" w:rsidRPr="00BD4A3E" w:rsidTr="00BD4A3E">
        <w:trPr>
          <w:trHeight w:val="714"/>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14</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Bunastarea animalelor</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687,938,706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88,522,854</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776,461,560</w:t>
            </w:r>
          </w:p>
        </w:tc>
      </w:tr>
      <w:tr w:rsidR="00BD4A3E" w:rsidRPr="00BD4A3E" w:rsidTr="00BD4A3E">
        <w:trPr>
          <w:trHeight w:val="851"/>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15</w:t>
            </w:r>
          </w:p>
        </w:tc>
        <w:tc>
          <w:tcPr>
            <w:tcW w:w="3109" w:type="dxa"/>
            <w:tcBorders>
              <w:top w:val="single" w:sz="4" w:space="0" w:color="auto"/>
              <w:left w:val="nil"/>
              <w:bottom w:val="single" w:sz="4" w:space="0" w:color="auto"/>
              <w:right w:val="single" w:sz="4" w:space="0" w:color="000000"/>
            </w:tcBorders>
            <w:shd w:val="clear" w:color="auto" w:fill="auto"/>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 xml:space="preserve">Servicii de silvomediu, servicii climatice și conservarea pădurilor </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58,415,000</w:t>
            </w:r>
          </w:p>
        </w:tc>
        <w:tc>
          <w:tcPr>
            <w:tcW w:w="1748" w:type="dxa"/>
            <w:tcBorders>
              <w:top w:val="single" w:sz="4"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11,732,754</w:t>
            </w:r>
          </w:p>
        </w:tc>
        <w:tc>
          <w:tcPr>
            <w:tcW w:w="1723" w:type="dxa"/>
            <w:tcBorders>
              <w:top w:val="single" w:sz="4"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70,147,754</w:t>
            </w:r>
          </w:p>
        </w:tc>
      </w:tr>
      <w:tr w:rsidR="00BD4A3E" w:rsidRPr="00BD4A3E" w:rsidTr="00BD4A3E">
        <w:trPr>
          <w:trHeight w:val="499"/>
        </w:trPr>
        <w:tc>
          <w:tcPr>
            <w:tcW w:w="4377" w:type="dxa"/>
            <w:gridSpan w:val="2"/>
            <w:tcBorders>
              <w:top w:val="nil"/>
              <w:left w:val="single" w:sz="4" w:space="0" w:color="auto"/>
              <w:bottom w:val="single" w:sz="4" w:space="0" w:color="auto"/>
              <w:right w:val="single" w:sz="4" w:space="0" w:color="000000"/>
            </w:tcBorders>
            <w:shd w:val="clear" w:color="auto" w:fill="9CC2E5"/>
            <w:noWrap/>
            <w:vAlign w:val="bottom"/>
            <w:hideMark/>
          </w:tcPr>
          <w:p w:rsidR="00BD4A3E" w:rsidRPr="00BD4A3E" w:rsidRDefault="00BD4A3E" w:rsidP="00BD4A3E">
            <w:pPr>
              <w:jc w:val="both"/>
              <w:rPr>
                <w:rFonts w:ascii="Calibri" w:eastAsia="Calibri" w:hAnsi="Calibri" w:cs="Arial"/>
                <w:b/>
                <w:lang w:val="ro-RO"/>
              </w:rPr>
            </w:pPr>
            <w:r w:rsidRPr="00BD4A3E">
              <w:rPr>
                <w:rFonts w:ascii="Calibri" w:eastAsia="Calibri" w:hAnsi="Calibri" w:cs="Arial"/>
                <w:b/>
                <w:lang w:val="ro-RO"/>
              </w:rPr>
              <w:t>TOTAL</w:t>
            </w:r>
          </w:p>
        </w:tc>
        <w:tc>
          <w:tcPr>
            <w:tcW w:w="1748" w:type="dxa"/>
            <w:tcBorders>
              <w:top w:val="nil"/>
              <w:left w:val="nil"/>
              <w:bottom w:val="single" w:sz="4" w:space="0" w:color="auto"/>
              <w:right w:val="single" w:sz="4"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lang w:val="ro-RO"/>
              </w:rPr>
            </w:pPr>
            <w:r w:rsidRPr="00BD4A3E">
              <w:rPr>
                <w:rFonts w:ascii="Calibri" w:eastAsia="Calibri" w:hAnsi="Calibri" w:cs="Arial"/>
                <w:b/>
                <w:sz w:val="22"/>
                <w:szCs w:val="22"/>
                <w:lang w:val="ro-RO"/>
              </w:rPr>
              <w:t>3,113,496,361</w:t>
            </w:r>
          </w:p>
        </w:tc>
        <w:tc>
          <w:tcPr>
            <w:tcW w:w="1748" w:type="dxa"/>
            <w:tcBorders>
              <w:top w:val="nil"/>
              <w:left w:val="nil"/>
              <w:bottom w:val="single" w:sz="4" w:space="0" w:color="auto"/>
              <w:right w:val="single" w:sz="4"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lang w:val="ro-RO"/>
              </w:rPr>
            </w:pPr>
            <w:r w:rsidRPr="00BD4A3E">
              <w:rPr>
                <w:rFonts w:ascii="Calibri" w:eastAsia="Calibri" w:hAnsi="Calibri" w:cs="Arial"/>
                <w:b/>
                <w:sz w:val="22"/>
                <w:szCs w:val="22"/>
                <w:lang w:val="ro-RO"/>
              </w:rPr>
              <w:t>482,203,712</w:t>
            </w:r>
          </w:p>
        </w:tc>
        <w:tc>
          <w:tcPr>
            <w:tcW w:w="1723" w:type="dxa"/>
            <w:tcBorders>
              <w:top w:val="nil"/>
              <w:left w:val="nil"/>
              <w:bottom w:val="single" w:sz="8" w:space="0" w:color="auto"/>
              <w:right w:val="single" w:sz="8"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lang w:val="ro-RO"/>
              </w:rPr>
            </w:pPr>
            <w:r w:rsidRPr="00BD4A3E">
              <w:rPr>
                <w:rFonts w:ascii="Calibri" w:eastAsia="Calibri" w:hAnsi="Calibri" w:cs="Arial"/>
                <w:b/>
                <w:sz w:val="22"/>
                <w:szCs w:val="22"/>
                <w:lang w:val="ro-RO"/>
              </w:rPr>
              <w:t>3,595,700,073</w:t>
            </w:r>
          </w:p>
        </w:tc>
      </w:tr>
    </w:tbl>
    <w:p w:rsidR="00BD4A3E" w:rsidRPr="00BD4A3E" w:rsidRDefault="00BD4A3E" w:rsidP="00BD4A3E">
      <w:pPr>
        <w:spacing w:after="160"/>
        <w:contextualSpacing/>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 Plafoanele alocate sunt conform </w:t>
      </w:r>
      <w:r w:rsidRPr="00BD4A3E">
        <w:rPr>
          <w:rFonts w:ascii="Calibri" w:eastAsia="Calibri" w:hAnsi="Calibri" w:cs="Arial"/>
          <w:b/>
          <w:lang w:val="ro-RO"/>
        </w:rPr>
        <w:t>Programului Național de Dezvoltare Rurală 2014-2020</w:t>
      </w:r>
      <w:r w:rsidRPr="00BD4A3E">
        <w:rPr>
          <w:rFonts w:ascii="Calibri" w:eastAsia="Calibri" w:hAnsi="Calibri" w:cs="Arial"/>
          <w:lang w:val="ro-RO"/>
        </w:rPr>
        <w:t xml:space="preserve"> – </w:t>
      </w:r>
      <w:r w:rsidRPr="00BD4A3E">
        <w:rPr>
          <w:rFonts w:ascii="Calibri" w:eastAsia="Calibri" w:hAnsi="Calibri" w:cs="Arial"/>
          <w:b/>
          <w:lang w:val="ro-RO"/>
        </w:rPr>
        <w:t>versiunea 6.1</w:t>
      </w:r>
      <w:r w:rsidRPr="00BD4A3E">
        <w:rPr>
          <w:rFonts w:ascii="Calibri" w:eastAsia="Calibri" w:hAnsi="Calibri" w:cs="Arial"/>
          <w:lang w:val="ro-RO"/>
        </w:rPr>
        <w:t xml:space="preserve"> transmisă oficial către Comisia Europeană spre analiză și aprobare în data de 18.06.2018.</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Din alocarea financiara de </w:t>
      </w:r>
      <w:r w:rsidRPr="00BD4A3E">
        <w:rPr>
          <w:rFonts w:ascii="Calibri" w:eastAsia="Calibri" w:hAnsi="Calibri" w:cs="Arial"/>
          <w:b/>
          <w:lang w:val="ro-RO"/>
        </w:rPr>
        <w:t>3,59 miliarde euro</w:t>
      </w:r>
      <w:r w:rsidRPr="00BD4A3E">
        <w:rPr>
          <w:rFonts w:ascii="Calibri" w:eastAsia="Calibri" w:hAnsi="Calibri" w:cs="Arial"/>
          <w:lang w:val="ro-RO"/>
        </w:rPr>
        <w:t xml:space="preserve">, APIA a solicitat prin intermediul declaraţiile anuale, anii financiari 2016, 2017, respectiv declaraţiile de cheltuieli aferente periodei 16.10.2017-31.12.2017 si 01.01.2018-30.06.2018, suma de </w:t>
      </w:r>
      <w:r w:rsidRPr="00BD4A3E">
        <w:rPr>
          <w:rFonts w:ascii="Calibri" w:eastAsia="Calibri" w:hAnsi="Calibri" w:cs="Arial"/>
          <w:b/>
          <w:lang w:val="ro-RO"/>
        </w:rPr>
        <w:t>1,341 miliarde euro</w:t>
      </w:r>
      <w:r w:rsidRPr="00BD4A3E">
        <w:rPr>
          <w:rFonts w:ascii="Calibri" w:eastAsia="Calibri" w:hAnsi="Calibri" w:cs="Arial"/>
          <w:lang w:val="ro-RO"/>
        </w:rPr>
        <w:t>.</w:t>
      </w:r>
    </w:p>
    <w:p w:rsidR="00BD4A3E" w:rsidRPr="00BD4A3E" w:rsidRDefault="00BD4A3E" w:rsidP="00BD4A3E">
      <w:pPr>
        <w:autoSpaceDE w:val="0"/>
        <w:autoSpaceDN w:val="0"/>
        <w:adjustRightInd w:val="0"/>
        <w:jc w:val="both"/>
        <w:rPr>
          <w:rFonts w:ascii="Calibri" w:eastAsia="Calibri" w:hAnsi="Calibri" w:cs="Arial"/>
          <w:lang w:val="ro-RO"/>
        </w:rPr>
      </w:pPr>
    </w:p>
    <w:tbl>
      <w:tblPr>
        <w:tblW w:w="5030" w:type="pct"/>
        <w:tblLook w:val="04A0" w:firstRow="1" w:lastRow="0" w:firstColumn="1" w:lastColumn="0" w:noHBand="0" w:noVBand="1"/>
      </w:tblPr>
      <w:tblGrid>
        <w:gridCol w:w="2916"/>
        <w:gridCol w:w="3002"/>
        <w:gridCol w:w="4195"/>
      </w:tblGrid>
      <w:tr w:rsidR="00BD4A3E" w:rsidRPr="00BD4A3E" w:rsidTr="00BD4A3E">
        <w:trPr>
          <w:trHeight w:val="526"/>
        </w:trPr>
        <w:tc>
          <w:tcPr>
            <w:tcW w:w="1442" w:type="pct"/>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An financiar</w:t>
            </w:r>
          </w:p>
        </w:tc>
        <w:tc>
          <w:tcPr>
            <w:tcW w:w="1484" w:type="pct"/>
            <w:tcBorders>
              <w:top w:val="single" w:sz="8" w:space="0" w:color="auto"/>
              <w:left w:val="nil"/>
              <w:bottom w:val="single" w:sz="4" w:space="0" w:color="auto"/>
              <w:right w:val="single" w:sz="4" w:space="0" w:color="auto"/>
            </w:tcBorders>
            <w:shd w:val="clear" w:color="000000" w:fill="BDD7EE"/>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 xml:space="preserve">PNDR 2007-2013 </w:t>
            </w:r>
            <w:r w:rsidRPr="00BD4A3E">
              <w:rPr>
                <w:rFonts w:ascii="Calibri" w:eastAsia="Calibri" w:hAnsi="Calibri" w:cs="Arial"/>
                <w:lang w:val="ro-RO"/>
              </w:rPr>
              <w:br/>
              <w:t>(euro)</w:t>
            </w:r>
          </w:p>
        </w:tc>
        <w:tc>
          <w:tcPr>
            <w:tcW w:w="2074" w:type="pct"/>
            <w:tcBorders>
              <w:top w:val="single" w:sz="8" w:space="0" w:color="auto"/>
              <w:left w:val="nil"/>
              <w:bottom w:val="single" w:sz="4" w:space="0" w:color="auto"/>
              <w:right w:val="single" w:sz="8" w:space="0" w:color="auto"/>
            </w:tcBorders>
            <w:shd w:val="clear" w:color="000000" w:fill="BDD7EE"/>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 PNDR 2014-2020</w:t>
            </w:r>
            <w:r w:rsidRPr="00BD4A3E">
              <w:rPr>
                <w:rFonts w:ascii="Calibri" w:eastAsia="Calibri" w:hAnsi="Calibri" w:cs="Arial"/>
                <w:lang w:val="ro-RO"/>
              </w:rPr>
              <w:br/>
              <w:t xml:space="preserve">(euro) </w:t>
            </w:r>
          </w:p>
        </w:tc>
      </w:tr>
      <w:tr w:rsidR="00BD4A3E" w:rsidRPr="00BD4A3E" w:rsidTr="00BD4A3E">
        <w:trPr>
          <w:trHeight w:val="263"/>
        </w:trPr>
        <w:tc>
          <w:tcPr>
            <w:tcW w:w="1442" w:type="pct"/>
            <w:tcBorders>
              <w:top w:val="nil"/>
              <w:left w:val="single" w:sz="8"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2016</w:t>
            </w:r>
          </w:p>
        </w:tc>
        <w:tc>
          <w:tcPr>
            <w:tcW w:w="14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97,588,061.91</w:t>
            </w:r>
          </w:p>
        </w:tc>
        <w:tc>
          <w:tcPr>
            <w:tcW w:w="2074" w:type="pct"/>
            <w:tcBorders>
              <w:top w:val="nil"/>
              <w:left w:val="nil"/>
              <w:bottom w:val="single" w:sz="4"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338,787,633.67</w:t>
            </w:r>
          </w:p>
        </w:tc>
      </w:tr>
      <w:tr w:rsidR="00BD4A3E" w:rsidRPr="00BD4A3E" w:rsidTr="00BD4A3E">
        <w:trPr>
          <w:trHeight w:val="263"/>
        </w:trPr>
        <w:tc>
          <w:tcPr>
            <w:tcW w:w="1442" w:type="pct"/>
            <w:tcBorders>
              <w:top w:val="nil"/>
              <w:left w:val="single" w:sz="8"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2017</w:t>
            </w:r>
          </w:p>
        </w:tc>
        <w:tc>
          <w:tcPr>
            <w:tcW w:w="1484" w:type="pct"/>
            <w:tcBorders>
              <w:top w:val="nil"/>
              <w:left w:val="nil"/>
              <w:bottom w:val="single" w:sz="4" w:space="0" w:color="auto"/>
              <w:right w:val="single" w:sz="4" w:space="0" w:color="auto"/>
            </w:tcBorders>
            <w:shd w:val="clear" w:color="000000" w:fill="BDD7EE"/>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 </w:t>
            </w:r>
          </w:p>
        </w:tc>
        <w:tc>
          <w:tcPr>
            <w:tcW w:w="2074" w:type="pct"/>
            <w:tcBorders>
              <w:top w:val="nil"/>
              <w:left w:val="nil"/>
              <w:bottom w:val="single" w:sz="4"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513,783,019.10</w:t>
            </w:r>
          </w:p>
        </w:tc>
      </w:tr>
      <w:tr w:rsidR="00BD4A3E" w:rsidRPr="00BD4A3E" w:rsidTr="00BD4A3E">
        <w:trPr>
          <w:trHeight w:val="278"/>
        </w:trPr>
        <w:tc>
          <w:tcPr>
            <w:tcW w:w="1442" w:type="pct"/>
            <w:tcBorders>
              <w:top w:val="nil"/>
              <w:left w:val="single" w:sz="8" w:space="0" w:color="auto"/>
              <w:bottom w:val="nil"/>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2018</w:t>
            </w:r>
          </w:p>
        </w:tc>
        <w:tc>
          <w:tcPr>
            <w:tcW w:w="1484" w:type="pct"/>
            <w:tcBorders>
              <w:top w:val="nil"/>
              <w:left w:val="nil"/>
              <w:bottom w:val="nil"/>
              <w:right w:val="single" w:sz="4" w:space="0" w:color="auto"/>
            </w:tcBorders>
            <w:shd w:val="clear" w:color="000000" w:fill="BDD7EE"/>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 </w:t>
            </w:r>
          </w:p>
        </w:tc>
        <w:tc>
          <w:tcPr>
            <w:tcW w:w="2074" w:type="pct"/>
            <w:tcBorders>
              <w:top w:val="nil"/>
              <w:left w:val="nil"/>
              <w:bottom w:val="nil"/>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488,959,731.10</w:t>
            </w:r>
          </w:p>
        </w:tc>
      </w:tr>
      <w:tr w:rsidR="00BD4A3E" w:rsidRPr="00BD4A3E" w:rsidTr="00BD4A3E">
        <w:trPr>
          <w:trHeight w:val="278"/>
        </w:trPr>
        <w:tc>
          <w:tcPr>
            <w:tcW w:w="144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TOTAL</w:t>
            </w:r>
          </w:p>
        </w:tc>
        <w:tc>
          <w:tcPr>
            <w:tcW w:w="1484" w:type="pct"/>
            <w:tcBorders>
              <w:top w:val="single" w:sz="8" w:space="0" w:color="auto"/>
              <w:left w:val="nil"/>
              <w:bottom w:val="single" w:sz="8" w:space="0" w:color="auto"/>
              <w:right w:val="single" w:sz="4"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97,588,061.91</w:t>
            </w:r>
          </w:p>
        </w:tc>
        <w:tc>
          <w:tcPr>
            <w:tcW w:w="2074" w:type="pct"/>
            <w:tcBorders>
              <w:top w:val="single" w:sz="8" w:space="0" w:color="auto"/>
              <w:left w:val="nil"/>
              <w:bottom w:val="single" w:sz="8"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1,341,530,383.87</w:t>
            </w:r>
          </w:p>
        </w:tc>
      </w:tr>
    </w:tbl>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spacing w:line="276" w:lineRule="auto"/>
        <w:jc w:val="both"/>
        <w:rPr>
          <w:rFonts w:ascii="Calibri" w:eastAsia="Calibri" w:hAnsi="Calibri" w:cs="Arial"/>
          <w:lang w:val="ro-RO"/>
        </w:rPr>
      </w:pPr>
      <w:r w:rsidRPr="00BD4A3E">
        <w:rPr>
          <w:rFonts w:ascii="Calibri" w:eastAsia="Calibri" w:hAnsi="Calibri" w:cs="Arial"/>
          <w:lang w:val="ro-RO"/>
        </w:rPr>
        <w:t>Situatia defalcata pe masuri se prezinta astfel:</w:t>
      </w:r>
    </w:p>
    <w:tbl>
      <w:tblPr>
        <w:tblpPr w:leftFromText="180" w:rightFromText="180" w:vertAnchor="text" w:horzAnchor="margin" w:tblpY="80"/>
        <w:tblW w:w="5119" w:type="pct"/>
        <w:tblLayout w:type="fixed"/>
        <w:tblLook w:val="04A0" w:firstRow="1" w:lastRow="0" w:firstColumn="1" w:lastColumn="0" w:noHBand="0" w:noVBand="1"/>
      </w:tblPr>
      <w:tblGrid>
        <w:gridCol w:w="1161"/>
        <w:gridCol w:w="2025"/>
        <w:gridCol w:w="1758"/>
        <w:gridCol w:w="1669"/>
        <w:gridCol w:w="1756"/>
        <w:gridCol w:w="1923"/>
      </w:tblGrid>
      <w:tr w:rsidR="00BD4A3E" w:rsidRPr="00BD4A3E" w:rsidTr="00BD4A3E">
        <w:trPr>
          <w:trHeight w:val="2212"/>
        </w:trPr>
        <w:tc>
          <w:tcPr>
            <w:tcW w:w="564" w:type="pct"/>
            <w:tcBorders>
              <w:top w:val="single" w:sz="8" w:space="0" w:color="auto"/>
              <w:left w:val="single" w:sz="8" w:space="0" w:color="auto"/>
              <w:bottom w:val="single" w:sz="8"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An financiar</w:t>
            </w:r>
          </w:p>
        </w:tc>
        <w:tc>
          <w:tcPr>
            <w:tcW w:w="984" w:type="pct"/>
            <w:tcBorders>
              <w:top w:val="single" w:sz="8" w:space="0" w:color="auto"/>
              <w:left w:val="nil"/>
              <w:bottom w:val="single" w:sz="8"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PNDR 2014-2020</w:t>
            </w:r>
          </w:p>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(euro)</w:t>
            </w:r>
          </w:p>
        </w:tc>
        <w:tc>
          <w:tcPr>
            <w:tcW w:w="854"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M10 - Agromediu și climă (euro)</w:t>
            </w:r>
          </w:p>
        </w:tc>
        <w:tc>
          <w:tcPr>
            <w:tcW w:w="811"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M11 - Agricultură ecologică (euro)</w:t>
            </w:r>
          </w:p>
        </w:tc>
        <w:tc>
          <w:tcPr>
            <w:tcW w:w="853"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M13 - Plăți pentru zone care se confruntă cu constrângeri naturale sau cu alte constrângeri specifice (euro)</w:t>
            </w:r>
          </w:p>
        </w:tc>
        <w:tc>
          <w:tcPr>
            <w:tcW w:w="935" w:type="pct"/>
            <w:tcBorders>
              <w:top w:val="single" w:sz="8" w:space="0" w:color="auto"/>
              <w:left w:val="nil"/>
              <w:bottom w:val="single" w:sz="8" w:space="0" w:color="auto"/>
              <w:right w:val="single" w:sz="8" w:space="0" w:color="auto"/>
            </w:tcBorders>
            <w:shd w:val="clear" w:color="auto" w:fill="BDD6EE"/>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M14 - Bunăstarea animalelor (euro)</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2016</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338,787,633.67</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41,343,388.88</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8,377,434.73</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206,971,753.24</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82,095,056.82</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2017</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513,783,019.10</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111,652,752.24</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30,605,168.56</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220,664,570.45</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150,860,527.85</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2018</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488,959,731.10</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96,234,954.17</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24,270,532.45</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214,654,355.87</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sidRPr="00BD4A3E">
              <w:rPr>
                <w:rFonts w:asciiTheme="minorHAnsi" w:hAnsiTheme="minorHAnsi"/>
                <w:sz w:val="22"/>
                <w:szCs w:val="22"/>
              </w:rPr>
              <w:t>153,799,888.61</w:t>
            </w:r>
          </w:p>
        </w:tc>
      </w:tr>
      <w:tr w:rsidR="00BD4A3E" w:rsidRPr="00BD4A3E" w:rsidTr="00BD4A3E">
        <w:trPr>
          <w:trHeight w:val="340"/>
        </w:trPr>
        <w:tc>
          <w:tcPr>
            <w:tcW w:w="564" w:type="pct"/>
            <w:tcBorders>
              <w:top w:val="nil"/>
              <w:left w:val="single" w:sz="8" w:space="0" w:color="auto"/>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b/>
                <w:lang w:val="ro-RO"/>
              </w:rPr>
            </w:pPr>
            <w:r w:rsidRPr="00BD4A3E">
              <w:rPr>
                <w:rFonts w:ascii="Calibri" w:eastAsia="Calibri" w:hAnsi="Calibri" w:cs="Arial"/>
                <w:b/>
                <w:lang w:val="ro-RO"/>
              </w:rPr>
              <w:t>TOTAL</w:t>
            </w:r>
          </w:p>
        </w:tc>
        <w:tc>
          <w:tcPr>
            <w:tcW w:w="984"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sidRPr="00BD4A3E">
              <w:rPr>
                <w:rFonts w:asciiTheme="minorHAnsi" w:hAnsiTheme="minorHAnsi"/>
                <w:b/>
                <w:sz w:val="22"/>
                <w:szCs w:val="22"/>
              </w:rPr>
              <w:t>1,341,530,383.87</w:t>
            </w:r>
          </w:p>
        </w:tc>
        <w:tc>
          <w:tcPr>
            <w:tcW w:w="854"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sidRPr="00BD4A3E">
              <w:rPr>
                <w:rFonts w:asciiTheme="minorHAnsi" w:hAnsiTheme="minorHAnsi"/>
                <w:b/>
                <w:sz w:val="22"/>
                <w:szCs w:val="22"/>
              </w:rPr>
              <w:t>249,231,095.29</w:t>
            </w:r>
          </w:p>
        </w:tc>
        <w:tc>
          <w:tcPr>
            <w:tcW w:w="811"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sidRPr="00BD4A3E">
              <w:rPr>
                <w:rFonts w:asciiTheme="minorHAnsi" w:hAnsiTheme="minorHAnsi"/>
                <w:b/>
                <w:sz w:val="22"/>
                <w:szCs w:val="22"/>
              </w:rPr>
              <w:t>63,253,135.74</w:t>
            </w:r>
          </w:p>
        </w:tc>
        <w:tc>
          <w:tcPr>
            <w:tcW w:w="853"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sidRPr="00BD4A3E">
              <w:rPr>
                <w:rFonts w:asciiTheme="minorHAnsi" w:hAnsiTheme="minorHAnsi"/>
                <w:b/>
                <w:sz w:val="22"/>
                <w:szCs w:val="22"/>
              </w:rPr>
              <w:t>642,290,679.56</w:t>
            </w:r>
          </w:p>
        </w:tc>
        <w:tc>
          <w:tcPr>
            <w:tcW w:w="935" w:type="pct"/>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sidRPr="00BD4A3E">
              <w:rPr>
                <w:rFonts w:asciiTheme="minorHAnsi" w:hAnsiTheme="minorHAnsi"/>
                <w:b/>
                <w:sz w:val="22"/>
                <w:szCs w:val="22"/>
              </w:rPr>
              <w:t>386,755,473.28</w:t>
            </w:r>
          </w:p>
        </w:tc>
      </w:tr>
    </w:tbl>
    <w:p w:rsidR="00BD4A3E" w:rsidRPr="00BD4A3E" w:rsidRDefault="00BD4A3E" w:rsidP="00BD4A3E">
      <w:pPr>
        <w:autoSpaceDE w:val="0"/>
        <w:autoSpaceDN w:val="0"/>
        <w:adjustRightInd w:val="0"/>
        <w:jc w:val="both"/>
        <w:rPr>
          <w:rFonts w:ascii="Calibri" w:eastAsia="Calibri" w:hAnsi="Calibri" w:cs="Arial"/>
          <w:lang w:val="ro-RO"/>
        </w:rPr>
      </w:pPr>
    </w:p>
    <w:p w:rsidR="00BD4A3E" w:rsidRPr="003964D3" w:rsidRDefault="00BD4A3E" w:rsidP="00BD4A3E">
      <w:pPr>
        <w:autoSpaceDE w:val="0"/>
        <w:autoSpaceDN w:val="0"/>
        <w:adjustRightInd w:val="0"/>
        <w:jc w:val="both"/>
        <w:rPr>
          <w:rFonts w:ascii="Calibri" w:hAnsi="Calibri"/>
          <w:b/>
          <w:szCs w:val="22"/>
          <w:lang w:val="fr-FR"/>
        </w:rPr>
      </w:pPr>
      <w:r w:rsidRPr="003964D3">
        <w:rPr>
          <w:rFonts w:ascii="Calibri" w:hAnsi="Calibri"/>
          <w:szCs w:val="22"/>
          <w:lang w:val="fr-FR"/>
        </w:rPr>
        <w:t xml:space="preserve">Agentia de Plati si Interventie pentru Agricultura a autorizat la plata in perioada 16 octombrie 2017 – 15 octombrie 2018 pentru masurile de dezvoltare rurala, Campania 2017, suma totală de </w:t>
      </w:r>
      <w:r w:rsidRPr="003964D3">
        <w:rPr>
          <w:rFonts w:ascii="Calibri" w:hAnsi="Calibri"/>
          <w:b/>
          <w:szCs w:val="22"/>
          <w:lang w:val="fr-FR"/>
        </w:rPr>
        <w:t>590,54 milioane euro.</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Menționăm că plăţile se efectuează la cursurile de schimb valutar stabilite de către Banca Centrală Europeană, astfel: </w:t>
      </w:r>
    </w:p>
    <w:p w:rsidR="00BD4A3E" w:rsidRPr="00BD4A3E" w:rsidRDefault="00BD4A3E" w:rsidP="00BD4A3E">
      <w:pPr>
        <w:autoSpaceDE w:val="0"/>
        <w:autoSpaceDN w:val="0"/>
        <w:adjustRightInd w:val="0"/>
        <w:jc w:val="both"/>
        <w:rPr>
          <w:rFonts w:ascii="Calibri" w:eastAsia="Calibri" w:hAnsi="Calibri" w:cs="Arial"/>
          <w:lang w:val="ro-RO"/>
        </w:rPr>
      </w:pPr>
      <w:r w:rsidRPr="00BD4A3E">
        <w:rPr>
          <w:rFonts w:ascii="Calibri" w:eastAsia="Calibri" w:hAnsi="Calibri" w:cs="Arial"/>
          <w:lang w:val="ro-RO"/>
        </w:rPr>
        <w:t xml:space="preserve">- 4,5390 lei pentru un euro, stabilit de către Banca Centrală Europeană în data de 30.12.2016 şi publicat în Jurnalul Oficial al Uniunii Europene, seria C, nr. 491/01 din 31.12.2016, pentru plăţile finanțate din FEADR (Fondul European Agricol pentru Dezvoltare Rurală). </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021698">
      <w:pPr>
        <w:numPr>
          <w:ilvl w:val="0"/>
          <w:numId w:val="103"/>
        </w:numPr>
        <w:shd w:val="clear" w:color="auto" w:fill="92D050"/>
        <w:tabs>
          <w:tab w:val="left" w:pos="90"/>
          <w:tab w:val="left" w:pos="960"/>
        </w:tabs>
        <w:spacing w:after="120" w:line="276" w:lineRule="auto"/>
        <w:contextualSpacing/>
        <w:jc w:val="both"/>
        <w:rPr>
          <w:rFonts w:ascii="Calibri" w:eastAsia="Calibri" w:hAnsi="Calibri" w:cs="Arial"/>
          <w:lang w:val="ro-RO"/>
        </w:rPr>
      </w:pPr>
      <w:r w:rsidRPr="00BD4A3E">
        <w:rPr>
          <w:rFonts w:ascii="Calibri" w:eastAsia="Calibri" w:hAnsi="Calibri" w:cs="Arial"/>
          <w:lang w:val="ro-RO"/>
        </w:rPr>
        <w:t>Principalele realizari în anul 2017</w:t>
      </w:r>
    </w:p>
    <w:p w:rsidR="00BD4A3E" w:rsidRPr="00BD4A3E" w:rsidRDefault="00BD4A3E" w:rsidP="00BD4A3E">
      <w:pPr>
        <w:spacing w:after="240"/>
        <w:jc w:val="both"/>
        <w:rPr>
          <w:rFonts w:ascii="Calibri" w:eastAsia="Calibri" w:hAnsi="Calibri" w:cs="Arial"/>
          <w:lang w:val="ro-RO"/>
        </w:rPr>
      </w:pPr>
      <w:r w:rsidRPr="00BD4A3E">
        <w:rPr>
          <w:rFonts w:ascii="Calibri" w:eastAsia="Calibri" w:hAnsi="Calibri" w:cs="Arial"/>
          <w:lang w:val="ro-RO"/>
        </w:rPr>
        <w:t>Masurile  implementate de catre Agentia de Plati si Interventie pentru Agricultura au ca principal scop stimularea absorbtiei fondurilor europene, cu respectarea prevederilor comunitare si nationale in vigoare.</w:t>
      </w:r>
    </w:p>
    <w:p w:rsidR="00BD4A3E" w:rsidRPr="00BD4A3E" w:rsidRDefault="00BD4A3E" w:rsidP="00BD4A3E">
      <w:pPr>
        <w:spacing w:after="240"/>
        <w:jc w:val="both"/>
        <w:rPr>
          <w:rFonts w:ascii="Calibri" w:eastAsia="Calibri" w:hAnsi="Calibri" w:cs="Arial"/>
          <w:lang w:val="ro-RO"/>
        </w:rPr>
      </w:pPr>
      <w:r w:rsidRPr="00BD4A3E">
        <w:rPr>
          <w:rFonts w:ascii="Calibri" w:eastAsia="Calibri" w:hAnsi="Calibri" w:cs="Arial"/>
          <w:lang w:val="ro-RO"/>
        </w:rPr>
        <w:t>In continuare sunt prezentate cateva dintre masurile luate de APIA, pe parcursul anului 2017:</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autorizarea si efectuarea platilor in avans catre fermierii beneficiari ai schemei de plata pe suprafata;</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încheierea/prelungirea conventiilor de lucru incheiate intre APIA, fondurile de garantare in domeniul agriculturii si bancile comerciale in vederea eliberarii adeverintelor in cadrul diferitelor scheme de sprijin implementate, respectiv: SAPS, AXA II (PNDR), ajutoarele naţionale tranzitorii in sector zootehnic, platile pentru bunastarea animalelor (pasari si porcine);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incheierea de acorduri si protocoale cu institutii din tara si din strainatate;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Participarea la misiunile de audit ale Comisiei Europene, ale Curții Europene de Conturi, la întâlnirile bilaterale sau de conciliere;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activităţi de informare publica asupra măsurilor/schemelor de sprijin derulate din fonduri europene (FEGA - Fondul European de Garantare Agricolă şi FEADR -Fondul European Agricol pentru Dezvoltare Rurala) şi de la bugetul naţional;</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organizarea de sesiuni de instruire a reprezentanţilor asociaţiilor profesionale din domeniul agriculturii şi de sesiuni de informare a fermierilor, acţiuni de tip caravană, prin centrele judeţene şi locale, în unităţile administrative-teritoriale;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realizarea, tipărirea, distribuirea/difuzarea de materiale de informare având secţiune specială cu privire la măsurile implementate de APIA;</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 xml:space="preserve">postarea pe pagina web oficială a instituţiei - </w:t>
      </w:r>
      <w:hyperlink r:id="rId44" w:history="1">
        <w:r w:rsidRPr="00BD4A3E">
          <w:rPr>
            <w:rFonts w:ascii="Calibri" w:eastAsia="Calibri" w:hAnsi="Calibri" w:cs="Arial"/>
            <w:lang w:val="ro-RO"/>
          </w:rPr>
          <w:t>www.apia.org.ro</w:t>
        </w:r>
      </w:hyperlink>
      <w:r w:rsidRPr="00BD4A3E">
        <w:rPr>
          <w:rFonts w:ascii="Calibri" w:eastAsia="Calibri" w:hAnsi="Calibri" w:cs="Arial"/>
          <w:lang w:val="ro-RO"/>
        </w:rPr>
        <w:t>, a materialelor de informare aferente Campaniei de primire a cererilor de sprijin pe suprafaţă, în cadrul secţiunii deschise special cu această ocazie, care s-a putut accesa din pagina de început. </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participarea instituţiei la evenimente de informare publică sau promovare a constat în organizarea unor standuri proprii sau doar în prezenţa unor reprezentanţi ai Agenţiei în stand-urile unor organisme partenere, din cadrul MADR sau externe, cu ocazia evenimentelor de tipul târgurilor (internaţionale/naţionale) sau expoziţiilor;</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activităţi de informare publică sau promovare au fost derulate şi în cadrul unor conferinţe, seminarii, simpozioane, colocvii de specialitate, întâlniri cu reprezentanţi ai primăriilor sau prefecturilor, producători sau asociaţii agricole etc., cu participarea specialiştilor APIA;</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participarea cu stand propriu la Târgul internaţional de produse şi echipamente în domeniul agriculturii, horticulturii, viticulturii şi zootehniei – IndAgra 2017;</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lang w:val="ro-RO"/>
        </w:rPr>
      </w:pPr>
      <w:r w:rsidRPr="00BD4A3E">
        <w:rPr>
          <w:rFonts w:ascii="Calibri" w:eastAsia="Calibri" w:hAnsi="Calibri" w:cs="Arial"/>
          <w:lang w:val="ro-RO"/>
        </w:rPr>
        <w:t>Identificarea prin mijloace electronice a parcelelor agricole din cadrul exploatației și a suprafețelor din angajamente.</w:t>
      </w:r>
    </w:p>
    <w:p w:rsidR="00BD4A3E" w:rsidRPr="003964D3" w:rsidRDefault="00BD4A3E" w:rsidP="00BD4A3E">
      <w:pPr>
        <w:spacing w:before="240" w:after="240"/>
        <w:ind w:left="360"/>
        <w:jc w:val="both"/>
        <w:rPr>
          <w:rFonts w:ascii="Calibri" w:hAnsi="Calibri" w:cs="Arial"/>
          <w:lang w:val="ro-RO"/>
        </w:rPr>
      </w:pPr>
      <w:r w:rsidRPr="003964D3">
        <w:rPr>
          <w:rFonts w:ascii="Calibri" w:hAnsi="Calibri" w:cs="Arial"/>
          <w:lang w:val="ro-RO"/>
        </w:rPr>
        <w:t>Pentru creșterea gradului de accesare a Masurilor 10 si 11, in anul 2017, AM PNDR , APIA si AFIR  a avut în vedere realizarea unei campanii ample de informare a potențialilor beneficiari ai măsurii, derulată prin intermediul diferitelor canale de comunicare, care a cuprins printre altele:</w:t>
      </w:r>
    </w:p>
    <w:p w:rsidR="00BD4A3E" w:rsidRPr="00BD4A3E" w:rsidRDefault="00BD4A3E" w:rsidP="00021698">
      <w:pPr>
        <w:numPr>
          <w:ilvl w:val="0"/>
          <w:numId w:val="111"/>
        </w:numPr>
        <w:spacing w:before="240" w:line="276" w:lineRule="auto"/>
        <w:jc w:val="both"/>
        <w:rPr>
          <w:rFonts w:ascii="Calibri" w:eastAsia="Calibri" w:hAnsi="Calibri" w:cs="Arial"/>
          <w:lang w:val="ro-RO"/>
        </w:rPr>
      </w:pPr>
      <w:r w:rsidRPr="00BD4A3E">
        <w:rPr>
          <w:rFonts w:ascii="Calibri" w:eastAsia="Calibri" w:hAnsi="Calibri" w:cs="Arial"/>
          <w:lang w:val="ro-RO"/>
        </w:rPr>
        <w:t>realizarea de materiale de informare publicate pe site-ul instituţiilor responsabile cu elaborarea şi implementarea măsurilor de mediu şi climă, pe portalul Rețelei Naționale de Dezvoltare Rurală,</w:t>
      </w:r>
    </w:p>
    <w:p w:rsidR="00BD4A3E" w:rsidRPr="00BD4A3E" w:rsidRDefault="00BD4A3E" w:rsidP="00021698">
      <w:pPr>
        <w:numPr>
          <w:ilvl w:val="0"/>
          <w:numId w:val="111"/>
        </w:numPr>
        <w:spacing w:line="276" w:lineRule="auto"/>
        <w:jc w:val="both"/>
        <w:rPr>
          <w:rFonts w:ascii="Calibri" w:eastAsia="Calibri" w:hAnsi="Calibri" w:cs="Arial"/>
          <w:lang w:val="ro-RO"/>
        </w:rPr>
      </w:pPr>
      <w:r w:rsidRPr="00BD4A3E">
        <w:rPr>
          <w:rFonts w:ascii="Calibri" w:eastAsia="Calibri" w:hAnsi="Calibri" w:cs="Arial"/>
          <w:lang w:val="ro-RO"/>
        </w:rPr>
        <w:t>publicarea unor comunicate de presă (preluate ulterior pe canalele media la nivel naţional şi regional) şi publicarea articolelor prin utilizarea instrumentelor social media,</w:t>
      </w:r>
    </w:p>
    <w:p w:rsidR="00BD4A3E" w:rsidRPr="00BD4A3E" w:rsidRDefault="00BD4A3E" w:rsidP="00021698">
      <w:pPr>
        <w:numPr>
          <w:ilvl w:val="0"/>
          <w:numId w:val="111"/>
        </w:numPr>
        <w:spacing w:after="240" w:line="276" w:lineRule="auto"/>
        <w:jc w:val="both"/>
        <w:rPr>
          <w:rFonts w:ascii="Calibri" w:eastAsia="Calibri" w:hAnsi="Calibri" w:cs="Arial"/>
          <w:lang w:val="ro-RO"/>
        </w:rPr>
      </w:pPr>
      <w:r w:rsidRPr="00BD4A3E">
        <w:rPr>
          <w:rFonts w:ascii="Calibri" w:eastAsia="Calibri" w:hAnsi="Calibri" w:cs="Arial"/>
          <w:lang w:val="ro-RO"/>
        </w:rPr>
        <w:t>informaţii furnizate prin formularul cererii unice de plată pe suprafaţă și Ghidul solicitantului.   ( materiale ce au fost publicate in timp util pe site-ul gestionat de Agentia de Plati si Interventie pentru Agricultura).</w:t>
      </w:r>
    </w:p>
    <w:p w:rsidR="00BD4A3E" w:rsidRPr="00BD4A3E" w:rsidRDefault="00BD4A3E" w:rsidP="00BD4A3E">
      <w:pPr>
        <w:spacing w:before="240" w:after="240"/>
        <w:jc w:val="both"/>
        <w:rPr>
          <w:rFonts w:ascii="Calibri" w:eastAsia="Calibri" w:hAnsi="Calibri" w:cs="Arial"/>
          <w:lang w:val="ro-RO"/>
        </w:rPr>
      </w:pPr>
      <w:r w:rsidRPr="00BD4A3E">
        <w:rPr>
          <w:rFonts w:ascii="Calibri" w:eastAsia="Calibri" w:hAnsi="Calibri" w:cs="Arial"/>
          <w:lang w:val="ro-RO"/>
        </w:rPr>
        <w:t>În paralel, APIA a derulat caravane şi campanii de informare şi promovare înainte de demararea depunerii cererilor unice de plată.</w:t>
      </w:r>
    </w:p>
    <w:p w:rsidR="00BD4A3E" w:rsidRPr="00BD4A3E" w:rsidRDefault="00BD4A3E" w:rsidP="00021698">
      <w:pPr>
        <w:numPr>
          <w:ilvl w:val="0"/>
          <w:numId w:val="102"/>
        </w:numPr>
        <w:shd w:val="clear" w:color="auto" w:fill="92D050"/>
        <w:tabs>
          <w:tab w:val="left" w:pos="90"/>
          <w:tab w:val="left" w:pos="960"/>
        </w:tabs>
        <w:spacing w:after="120" w:line="276" w:lineRule="auto"/>
        <w:contextualSpacing/>
        <w:jc w:val="both"/>
        <w:rPr>
          <w:rFonts w:ascii="Calibri" w:eastAsia="Calibri" w:hAnsi="Calibri" w:cs="Arial"/>
          <w:lang w:val="ro-RO"/>
        </w:rPr>
      </w:pPr>
      <w:r w:rsidRPr="00BD4A3E">
        <w:rPr>
          <w:rFonts w:ascii="Calibri" w:eastAsia="Calibri" w:hAnsi="Calibri" w:cs="Arial"/>
          <w:lang w:val="ro-RO"/>
        </w:rPr>
        <w:t>Obiective in perioada 2019-2021</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b/>
          <w:lang w:val="ro-RO"/>
        </w:rPr>
      </w:pPr>
      <w:r w:rsidRPr="00BD4A3E">
        <w:rPr>
          <w:rFonts w:ascii="Calibri" w:eastAsia="Calibri" w:hAnsi="Calibri" w:cs="Arial"/>
          <w:b/>
          <w:lang w:val="ro-RO"/>
        </w:rPr>
        <w:t>In ceea ce priveste perioada 2019-2021, principalul obiectiv al Agentiei este de a asigura o buna gestionare a fondurilor comunitare si nationale si de a veni in sprijinul fermierilor romani, asigurand astfel dezvoltarea sectorului agricol, a exploataţiilor vegetale si de crestere a animalelor, cu respectarea masurilor de protejare a mediului inconjurator, precum si valorificarea resurselor şi posibilităţilor naturale de care dispune România.</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 xml:space="preserve">Să menținem trendul ascendent al absorbției fondurilor europene și să încurajăm fermierii să mizeze pe agricultură prin accesarea cât mai multor forme de sprijin financiar. </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Să contribuim în continuare, cu sprijinul şi în interesul fermierilor, la modernizarea şi eficientizarea agriculturii, la dezvoltarea satului românesc și la creșterea economiei în ansamblul ei, pe termen mediu şi lung, în România.</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Calitatea produselor agricole europene, metodele de producţie utilizate, siguranţa alimentară şi proprietăţile nutritive ale acestora, producţia ecologică, rămân atuuri care pot susţine produsele agricole în competiţia cu cele obţinute în ţări terţe la preţuri mult mai scăzute şi calitate pe măsura costurilor de producţie.</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Măsura de promovare a produselor agricole pe piaţa internă a Uniunii Europene şi pe pieţele ţărilor terţe la a cărei finanţare participă, alături de beneficiari, Comisia Europeană conţin instrumente destinate consolidării schimburilor comerciale, pătrunderii şi creşterii cotei de piaţă a produselor din Uniunea Europeană, inclusiv româneşti, pe pieţele ţărilor terţe, efectele benefice fiind cuantificate la nivel economic.</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Politica Agricolă Comună (PAC) permite ca potenţialul sectorului agricol şi agroalimentar european să fie eliberat şi pus în valoare, pentru a contribui la Strategia Europa 2020 pentru o creştere inteligentă, durabilă şi favorabilă incluziunii, sprijinind agricultura ca sursă de siguranţă alimentară, de folosire sustenabilă a resurselor şi de dinamism pentru zonele rurale.</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lang w:val="ro-RO"/>
        </w:rPr>
      </w:pPr>
      <w:r w:rsidRPr="00BD4A3E">
        <w:rPr>
          <w:rFonts w:ascii="Calibri" w:eastAsia="Calibri" w:hAnsi="Calibri" w:cs="Arial"/>
          <w:lang w:val="ro-RO"/>
        </w:rPr>
        <w:t>În calitate de instrument PAC, politica europeană de promovare pentru produsele agricole urmăreşte obiectivele reformei PAC până în 2020 şi, în special, stimularea competitivităţii agriculturii europene, atât pe piaţa internă, cât şi în ţările terţe, punând accentul pe următoarele obiective:</w:t>
      </w:r>
    </w:p>
    <w:p w:rsidR="00BD4A3E" w:rsidRPr="00BD4A3E" w:rsidRDefault="00BD4A3E" w:rsidP="00021698">
      <w:pPr>
        <w:numPr>
          <w:ilvl w:val="0"/>
          <w:numId w:val="112"/>
        </w:numPr>
        <w:autoSpaceDE w:val="0"/>
        <w:autoSpaceDN w:val="0"/>
        <w:adjustRightInd w:val="0"/>
        <w:spacing w:before="60" w:after="60"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Sporirea nivelului de conştientizare al consumatorilor în ceea ce priveşte meritele produselor agricole europene;</w:t>
      </w:r>
    </w:p>
    <w:p w:rsidR="00BD4A3E" w:rsidRPr="00BD4A3E" w:rsidRDefault="00BD4A3E" w:rsidP="00021698">
      <w:pPr>
        <w:numPr>
          <w:ilvl w:val="0"/>
          <w:numId w:val="112"/>
        </w:numPr>
        <w:autoSpaceDE w:val="0"/>
        <w:autoSpaceDN w:val="0"/>
        <w:adjustRightInd w:val="0"/>
        <w:spacing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Dezvoltarea şi deschiderea de noi pieţe pentru produsele agricole europene pe piaţa internă şi în ţările terţe;</w:t>
      </w:r>
    </w:p>
    <w:p w:rsidR="00BD4A3E" w:rsidRPr="00BD4A3E" w:rsidRDefault="00BD4A3E" w:rsidP="00021698">
      <w:pPr>
        <w:numPr>
          <w:ilvl w:val="0"/>
          <w:numId w:val="112"/>
        </w:numPr>
        <w:autoSpaceDE w:val="0"/>
        <w:autoSpaceDN w:val="0"/>
        <w:adjustRightInd w:val="0"/>
        <w:spacing w:line="276" w:lineRule="auto"/>
        <w:contextualSpacing/>
        <w:jc w:val="both"/>
        <w:rPr>
          <w:rFonts w:ascii="Calibri" w:eastAsia="Calibri" w:hAnsi="Calibri" w:cs="Arial"/>
          <w:szCs w:val="22"/>
          <w:lang w:val="ro-RO"/>
        </w:rPr>
      </w:pPr>
      <w:r w:rsidRPr="00BD4A3E">
        <w:rPr>
          <w:rFonts w:ascii="Calibri" w:eastAsia="Calibri" w:hAnsi="Calibri" w:cs="Arial"/>
          <w:szCs w:val="22"/>
          <w:lang w:val="ro-RO"/>
        </w:rPr>
        <w:t>Sporirea eficacităţii şi eficienţei politicii, prin valorificarea mai eficientă a producţiei agricole europene şi prin consolidarea poziţiei acesteia pe diferitele pieţe existente.</w:t>
      </w:r>
    </w:p>
    <w:p w:rsidR="00BD4A3E" w:rsidRPr="00BD4A3E" w:rsidRDefault="00BD4A3E" w:rsidP="00BD4A3E">
      <w:pPr>
        <w:ind w:right="144"/>
        <w:jc w:val="both"/>
        <w:rPr>
          <w:rFonts w:ascii="Calibri" w:eastAsia="Calibri" w:hAnsi="Calibri" w:cs="Arial"/>
          <w:lang w:val="ro-RO"/>
        </w:rPr>
      </w:pPr>
    </w:p>
    <w:p w:rsidR="00BD4A3E" w:rsidRPr="00BD4A3E" w:rsidRDefault="00BD4A3E" w:rsidP="00021698">
      <w:pPr>
        <w:numPr>
          <w:ilvl w:val="0"/>
          <w:numId w:val="109"/>
        </w:numPr>
        <w:shd w:val="clear" w:color="auto" w:fill="92D050"/>
        <w:tabs>
          <w:tab w:val="left" w:pos="90"/>
          <w:tab w:val="left" w:pos="960"/>
        </w:tabs>
        <w:spacing w:after="120" w:line="276" w:lineRule="auto"/>
        <w:contextualSpacing/>
        <w:jc w:val="both"/>
        <w:rPr>
          <w:rFonts w:ascii="Calibri" w:eastAsia="Calibri" w:hAnsi="Calibri" w:cs="Arial"/>
          <w:lang w:val="ro-RO"/>
        </w:rPr>
      </w:pPr>
      <w:r w:rsidRPr="00BD4A3E">
        <w:rPr>
          <w:rFonts w:ascii="Calibri" w:eastAsia="Calibri" w:hAnsi="Calibri" w:cs="Arial"/>
          <w:lang w:val="ro-RO"/>
        </w:rPr>
        <w:t>FONDUL EUROPEAN PENTRU PESCUIT SI AFACERI MARITIME</w:t>
      </w:r>
    </w:p>
    <w:p w:rsidR="00BD4A3E" w:rsidRPr="00BD4A3E" w:rsidRDefault="00BD4A3E" w:rsidP="00BD4A3E">
      <w:pPr>
        <w:tabs>
          <w:tab w:val="left" w:pos="709"/>
          <w:tab w:val="left" w:pos="1899"/>
        </w:tabs>
        <w:ind w:right="-108"/>
        <w:jc w:val="both"/>
        <w:rPr>
          <w:rFonts w:ascii="Calibri" w:eastAsia="Calibri" w:hAnsi="Calibri" w:cs="Arial"/>
          <w:b/>
          <w:lang w:val="ro-RO"/>
        </w:rPr>
      </w:pPr>
      <w:r w:rsidRPr="00BD4A3E">
        <w:rPr>
          <w:rFonts w:ascii="Calibri" w:eastAsia="Calibri" w:hAnsi="Calibri" w:cs="Arial"/>
          <w:b/>
          <w:lang w:val="ro-RO"/>
        </w:rPr>
        <w:t>Alocare financiară anuală FEPAM:</w:t>
      </w:r>
    </w:p>
    <w:p w:rsidR="00BD4A3E" w:rsidRPr="00BD4A3E" w:rsidRDefault="00BD4A3E" w:rsidP="00BD4A3E">
      <w:pPr>
        <w:jc w:val="both"/>
        <w:rPr>
          <w:rFonts w:ascii="Calibri" w:eastAsia="Calibri" w:hAnsi="Calibri" w:cs="Arial"/>
          <w:lang w:val="ro-RO"/>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2286"/>
        <w:gridCol w:w="3309"/>
        <w:gridCol w:w="2706"/>
      </w:tblGrid>
      <w:tr w:rsidR="00BD4A3E" w:rsidRPr="00AC4302" w:rsidTr="00BD4A3E">
        <w:trPr>
          <w:trHeight w:val="604"/>
        </w:trPr>
        <w:tc>
          <w:tcPr>
            <w:tcW w:w="1353" w:type="dxa"/>
            <w:shd w:val="clear" w:color="auto" w:fill="auto"/>
          </w:tcPr>
          <w:p w:rsidR="00BD4A3E" w:rsidRPr="00BD4A3E" w:rsidRDefault="00BD4A3E" w:rsidP="00BD4A3E">
            <w:pPr>
              <w:jc w:val="center"/>
              <w:rPr>
                <w:rFonts w:ascii="Calibri" w:eastAsia="Calibri" w:hAnsi="Calibri" w:cs="Arial"/>
                <w:b/>
                <w:lang w:val="ro-RO"/>
              </w:rPr>
            </w:pPr>
            <w:r w:rsidRPr="00BD4A3E">
              <w:rPr>
                <w:rFonts w:ascii="Calibri" w:eastAsia="Calibri" w:hAnsi="Calibri" w:cs="Arial"/>
                <w:b/>
                <w:lang w:val="ro-RO"/>
              </w:rPr>
              <w:t>Anul de alocare</w:t>
            </w:r>
          </w:p>
        </w:tc>
        <w:tc>
          <w:tcPr>
            <w:tcW w:w="2286" w:type="dxa"/>
            <w:shd w:val="clear" w:color="auto" w:fill="auto"/>
          </w:tcPr>
          <w:p w:rsidR="00BD4A3E" w:rsidRPr="00BD4A3E" w:rsidRDefault="00BD4A3E" w:rsidP="00BD4A3E">
            <w:pPr>
              <w:jc w:val="center"/>
              <w:rPr>
                <w:rFonts w:ascii="Calibri" w:eastAsia="Calibri" w:hAnsi="Calibri" w:cs="Arial"/>
                <w:b/>
                <w:lang w:val="ro-RO"/>
              </w:rPr>
            </w:pPr>
            <w:r w:rsidRPr="00BD4A3E">
              <w:rPr>
                <w:rFonts w:ascii="Calibri" w:eastAsia="Calibri" w:hAnsi="Calibri" w:cs="Arial"/>
                <w:b/>
                <w:lang w:val="ro-RO"/>
              </w:rPr>
              <w:t>Alocația principală FEPAM</w:t>
            </w:r>
          </w:p>
        </w:tc>
        <w:tc>
          <w:tcPr>
            <w:tcW w:w="3309" w:type="dxa"/>
          </w:tcPr>
          <w:p w:rsidR="00BD4A3E" w:rsidRPr="00BD4A3E" w:rsidRDefault="00BD4A3E" w:rsidP="00BD4A3E">
            <w:pPr>
              <w:jc w:val="center"/>
              <w:rPr>
                <w:rFonts w:ascii="Calibri" w:eastAsia="Calibri" w:hAnsi="Calibri" w:cs="Arial"/>
                <w:b/>
                <w:lang w:val="ro-RO"/>
              </w:rPr>
            </w:pPr>
            <w:r w:rsidRPr="00BD4A3E">
              <w:rPr>
                <w:rFonts w:ascii="Calibri" w:eastAsia="Calibri" w:hAnsi="Calibri" w:cs="Arial"/>
                <w:b/>
                <w:lang w:val="ro-RO"/>
              </w:rPr>
              <w:t>Contribuție Buget național corespunzătoare maximă</w:t>
            </w:r>
          </w:p>
        </w:tc>
        <w:tc>
          <w:tcPr>
            <w:tcW w:w="2706" w:type="dxa"/>
          </w:tcPr>
          <w:p w:rsidR="00BD4A3E" w:rsidRPr="00BD4A3E" w:rsidRDefault="00BD4A3E" w:rsidP="00BD4A3E">
            <w:pPr>
              <w:jc w:val="center"/>
              <w:rPr>
                <w:rFonts w:ascii="Calibri" w:eastAsia="Calibri" w:hAnsi="Calibri" w:cs="Arial"/>
                <w:b/>
                <w:lang w:val="ro-RO"/>
              </w:rPr>
            </w:pPr>
            <w:r w:rsidRPr="00BD4A3E">
              <w:rPr>
                <w:rFonts w:ascii="Calibri" w:eastAsia="Calibri" w:hAnsi="Calibri" w:cs="Arial"/>
                <w:b/>
                <w:lang w:val="ro-RO"/>
              </w:rPr>
              <w:t>Anul limită de cheltuire a alocării</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2015</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46.465.937,00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15.488.645,67</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2018</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2016</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23.594.150,00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7.864.716,67</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2019</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2017</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23.976.562,00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7.992.187,33</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2020</w:t>
            </w:r>
          </w:p>
        </w:tc>
      </w:tr>
      <w:tr w:rsidR="00BD4A3E" w:rsidRPr="00BD4A3E" w:rsidTr="00BD4A3E">
        <w:trPr>
          <w:trHeight w:val="309"/>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2018</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24.534.471,00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8.178.157,00</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2021</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2019</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24.702.232,00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8.234.077,33</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2022</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lang w:val="ro-RO"/>
              </w:rPr>
            </w:pPr>
            <w:r w:rsidRPr="00BD4A3E">
              <w:rPr>
                <w:rFonts w:ascii="Calibri" w:eastAsia="Calibri" w:hAnsi="Calibri" w:cs="Arial"/>
                <w:lang w:val="ro-RO"/>
              </w:rPr>
              <w:t>2020</w:t>
            </w:r>
          </w:p>
        </w:tc>
        <w:tc>
          <w:tcPr>
            <w:tcW w:w="2286" w:type="dxa"/>
            <w:shd w:val="clear" w:color="auto" w:fill="auto"/>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25.148.019,00</w:t>
            </w:r>
          </w:p>
        </w:tc>
        <w:tc>
          <w:tcPr>
            <w:tcW w:w="3309" w:type="dxa"/>
          </w:tcPr>
          <w:p w:rsidR="00BD4A3E" w:rsidRPr="00BD4A3E" w:rsidRDefault="00BD4A3E" w:rsidP="00BD4A3E">
            <w:pPr>
              <w:jc w:val="right"/>
              <w:rPr>
                <w:rFonts w:ascii="Calibri" w:eastAsia="Calibri" w:hAnsi="Calibri" w:cs="Arial"/>
                <w:sz w:val="22"/>
                <w:szCs w:val="22"/>
                <w:lang w:val="ro-RO"/>
              </w:rPr>
            </w:pPr>
            <w:r w:rsidRPr="00BD4A3E">
              <w:rPr>
                <w:rFonts w:ascii="Calibri" w:eastAsia="Calibri" w:hAnsi="Calibri" w:cs="Arial"/>
                <w:sz w:val="22"/>
                <w:szCs w:val="22"/>
                <w:lang w:val="ro-RO"/>
              </w:rPr>
              <w:t>7.529.926,50</w:t>
            </w:r>
          </w:p>
        </w:tc>
        <w:tc>
          <w:tcPr>
            <w:tcW w:w="2706" w:type="dxa"/>
          </w:tcPr>
          <w:p w:rsidR="00BD4A3E" w:rsidRPr="00BD4A3E" w:rsidRDefault="00BD4A3E" w:rsidP="00BD4A3E">
            <w:pPr>
              <w:jc w:val="center"/>
              <w:rPr>
                <w:rFonts w:ascii="Calibri" w:eastAsia="Calibri" w:hAnsi="Calibri" w:cs="Arial"/>
                <w:lang w:val="ro-RO"/>
              </w:rPr>
            </w:pPr>
            <w:r w:rsidRPr="00BD4A3E">
              <w:rPr>
                <w:rFonts w:ascii="Calibri" w:eastAsia="Calibri" w:hAnsi="Calibri" w:cs="Arial"/>
                <w:lang w:val="ro-RO"/>
              </w:rPr>
              <w:t>2023</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b/>
                <w:sz w:val="22"/>
                <w:szCs w:val="22"/>
                <w:lang w:val="ro-RO"/>
              </w:rPr>
            </w:pPr>
            <w:r w:rsidRPr="00BD4A3E">
              <w:rPr>
                <w:rFonts w:ascii="Calibri" w:eastAsia="Calibri" w:hAnsi="Calibri" w:cs="Arial"/>
                <w:b/>
                <w:sz w:val="22"/>
                <w:szCs w:val="22"/>
                <w:lang w:val="ro-RO"/>
              </w:rPr>
              <w:t>Total</w:t>
            </w:r>
          </w:p>
        </w:tc>
        <w:tc>
          <w:tcPr>
            <w:tcW w:w="2286" w:type="dxa"/>
            <w:shd w:val="clear" w:color="auto" w:fill="auto"/>
          </w:tcPr>
          <w:p w:rsidR="00BD4A3E" w:rsidRPr="00BD4A3E" w:rsidRDefault="0031347F" w:rsidP="00BD4A3E">
            <w:pPr>
              <w:jc w:val="right"/>
              <w:rPr>
                <w:rFonts w:ascii="Calibri" w:eastAsia="Calibri" w:hAnsi="Calibri" w:cs="Arial"/>
                <w:b/>
                <w:sz w:val="22"/>
                <w:szCs w:val="22"/>
                <w:lang w:val="ro-RO"/>
              </w:rPr>
            </w:pPr>
            <w:r w:rsidRPr="00BD4A3E">
              <w:rPr>
                <w:rFonts w:ascii="Calibri" w:eastAsia="Calibri" w:hAnsi="Calibri" w:cs="Arial"/>
                <w:b/>
                <w:sz w:val="22"/>
                <w:szCs w:val="22"/>
                <w:lang w:val="ro-RO"/>
              </w:rPr>
              <w:fldChar w:fldCharType="begin"/>
            </w:r>
            <w:r w:rsidR="00BD4A3E" w:rsidRPr="00BD4A3E">
              <w:rPr>
                <w:rFonts w:ascii="Calibri" w:eastAsia="Calibri" w:hAnsi="Calibri" w:cs="Arial"/>
                <w:b/>
                <w:sz w:val="22"/>
                <w:szCs w:val="22"/>
                <w:lang w:val="ro-RO"/>
              </w:rPr>
              <w:instrText xml:space="preserve"> =SUM(ABOVE) </w:instrText>
            </w:r>
            <w:r w:rsidRPr="00BD4A3E">
              <w:rPr>
                <w:rFonts w:ascii="Calibri" w:eastAsia="Calibri" w:hAnsi="Calibri" w:cs="Arial"/>
                <w:b/>
                <w:sz w:val="22"/>
                <w:szCs w:val="22"/>
                <w:lang w:val="ro-RO"/>
              </w:rPr>
              <w:fldChar w:fldCharType="separate"/>
            </w:r>
            <w:r w:rsidR="00BD4A3E" w:rsidRPr="00BD4A3E">
              <w:rPr>
                <w:rFonts w:ascii="Calibri" w:eastAsia="Calibri" w:hAnsi="Calibri" w:cs="Arial"/>
                <w:b/>
                <w:sz w:val="22"/>
                <w:szCs w:val="22"/>
                <w:lang w:val="ro-RO"/>
              </w:rPr>
              <w:t>168.421.371</w:t>
            </w:r>
            <w:r w:rsidRPr="00BD4A3E">
              <w:rPr>
                <w:rFonts w:ascii="Calibri" w:eastAsia="Calibri" w:hAnsi="Calibri" w:cs="Arial"/>
                <w:b/>
                <w:sz w:val="22"/>
                <w:szCs w:val="22"/>
                <w:lang w:val="ro-RO"/>
              </w:rPr>
              <w:fldChar w:fldCharType="end"/>
            </w:r>
          </w:p>
        </w:tc>
        <w:tc>
          <w:tcPr>
            <w:tcW w:w="3309" w:type="dxa"/>
          </w:tcPr>
          <w:p w:rsidR="00BD4A3E" w:rsidRPr="00BD4A3E" w:rsidRDefault="0031347F" w:rsidP="00BD4A3E">
            <w:pPr>
              <w:jc w:val="right"/>
              <w:rPr>
                <w:rFonts w:ascii="Calibri" w:eastAsia="Calibri" w:hAnsi="Calibri" w:cs="Arial"/>
                <w:b/>
                <w:sz w:val="22"/>
                <w:szCs w:val="22"/>
                <w:lang w:val="ro-RO"/>
              </w:rPr>
            </w:pPr>
            <w:r w:rsidRPr="00BD4A3E">
              <w:rPr>
                <w:rFonts w:ascii="Calibri" w:eastAsia="Calibri" w:hAnsi="Calibri" w:cs="Arial"/>
                <w:b/>
                <w:sz w:val="22"/>
                <w:szCs w:val="22"/>
                <w:lang w:val="ro-RO"/>
              </w:rPr>
              <w:fldChar w:fldCharType="begin"/>
            </w:r>
            <w:r w:rsidR="00BD4A3E" w:rsidRPr="00BD4A3E">
              <w:rPr>
                <w:rFonts w:ascii="Calibri" w:eastAsia="Calibri" w:hAnsi="Calibri" w:cs="Arial"/>
                <w:b/>
                <w:sz w:val="22"/>
                <w:szCs w:val="22"/>
                <w:lang w:val="ro-RO"/>
              </w:rPr>
              <w:instrText xml:space="preserve"> =SUM(ABOVE) </w:instrText>
            </w:r>
            <w:r w:rsidRPr="00BD4A3E">
              <w:rPr>
                <w:rFonts w:ascii="Calibri" w:eastAsia="Calibri" w:hAnsi="Calibri" w:cs="Arial"/>
                <w:b/>
                <w:sz w:val="22"/>
                <w:szCs w:val="22"/>
                <w:lang w:val="ro-RO"/>
              </w:rPr>
              <w:fldChar w:fldCharType="separate"/>
            </w:r>
            <w:r w:rsidR="00BD4A3E" w:rsidRPr="00BD4A3E">
              <w:rPr>
                <w:rFonts w:ascii="Calibri" w:eastAsia="Calibri" w:hAnsi="Calibri" w:cs="Arial"/>
                <w:b/>
                <w:sz w:val="22"/>
                <w:szCs w:val="22"/>
                <w:lang w:val="ro-RO"/>
              </w:rPr>
              <w:t>55.287.710,5</w:t>
            </w:r>
            <w:r w:rsidRPr="00BD4A3E">
              <w:rPr>
                <w:rFonts w:ascii="Calibri" w:eastAsia="Calibri" w:hAnsi="Calibri" w:cs="Arial"/>
                <w:b/>
                <w:sz w:val="22"/>
                <w:szCs w:val="22"/>
                <w:lang w:val="ro-RO"/>
              </w:rPr>
              <w:fldChar w:fldCharType="end"/>
            </w:r>
          </w:p>
        </w:tc>
        <w:tc>
          <w:tcPr>
            <w:tcW w:w="2706" w:type="dxa"/>
          </w:tcPr>
          <w:p w:rsidR="00BD4A3E" w:rsidRPr="00BD4A3E" w:rsidRDefault="00BD4A3E" w:rsidP="00BD4A3E">
            <w:pPr>
              <w:jc w:val="both"/>
              <w:rPr>
                <w:rFonts w:ascii="Calibri" w:eastAsia="Calibri" w:hAnsi="Calibri" w:cs="Arial"/>
                <w:lang w:val="ro-RO"/>
              </w:rPr>
            </w:pP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lang w:val="ro-RO"/>
        </w:rPr>
      </w:pPr>
      <w:r w:rsidRPr="00BD4A3E">
        <w:rPr>
          <w:rFonts w:ascii="Calibri" w:eastAsia="Calibri" w:hAnsi="Calibri" w:cs="Arial"/>
          <w:b/>
          <w:lang w:val="ro-RO"/>
        </w:rPr>
        <w:t>Angajamente bugetare la data de 22.10.2018:</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lang w:val="ro-RO"/>
        </w:rPr>
      </w:pPr>
      <w:r w:rsidRPr="00BD4A3E">
        <w:rPr>
          <w:rFonts w:ascii="Calibri" w:eastAsia="Calibri" w:hAnsi="Calibri" w:cs="Arial"/>
          <w:b/>
          <w:lang w:val="ro-RO"/>
        </w:rPr>
        <w:t>CONTRACTE DE FINANŢARE CU BENEFICIARII: 168</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Valoare totală eligibilă CONTRACTE DE FINANŢARE CU BENEFICIARII: 518.394.414,40 lei</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Valoare contribuție nerambursabilă CONTRACTE DE FINANŢARE CU BENEFICIARII: 374.199.886,84 lei (din care contribuție UE: 283.240.145,47 lei)</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din care:</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lang w:val="ro-RO"/>
        </w:rPr>
      </w:pPr>
      <w:r w:rsidRPr="00BD4A3E">
        <w:rPr>
          <w:rFonts w:ascii="Calibri" w:eastAsia="Calibri" w:hAnsi="Calibri" w:cs="Arial"/>
          <w:lang w:val="ro-RO"/>
        </w:rPr>
        <w:t>Contracte reziliate: 4</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Valoare totală eligibilă contracte reziliate: 7.631.347,46 lei (din care contribuție UE: 3.793.531,70 lei)</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lang w:val="ro-RO"/>
        </w:rPr>
      </w:pPr>
      <w:r w:rsidRPr="00BD4A3E">
        <w:rPr>
          <w:rFonts w:ascii="Calibri" w:eastAsia="Calibri" w:hAnsi="Calibri" w:cs="Arial"/>
          <w:lang w:val="ro-RO"/>
        </w:rPr>
        <w:t>Contracte finalizate: 75</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Valoare totală eligibilă contracte finalizate: 140.336.820,91 lei (din care contribuție UE: 94.943.989,97 lei)</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lang w:val="ro-RO"/>
        </w:rPr>
      </w:pPr>
      <w:r w:rsidRPr="00BD4A3E">
        <w:rPr>
          <w:rFonts w:ascii="Calibri" w:eastAsia="Calibri" w:hAnsi="Calibri" w:cs="Arial"/>
          <w:lang w:val="ro-RO"/>
        </w:rPr>
        <w:t>Contracte în implementare: 89</w:t>
      </w: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Valoare totală eligibilă contracte în implementare: 370.426.246,02 lei</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lang w:val="ro-RO"/>
        </w:rPr>
      </w:pPr>
      <w:r w:rsidRPr="00BD4A3E">
        <w:rPr>
          <w:rFonts w:ascii="Calibri" w:eastAsia="Calibri" w:hAnsi="Calibri" w:cs="Arial"/>
          <w:b/>
          <w:lang w:val="ro-RO"/>
        </w:rPr>
        <w:t>Gradul de angajare a sumelor alocate = 35,82%.</w:t>
      </w:r>
    </w:p>
    <w:p w:rsidR="00BD4A3E" w:rsidRPr="00BD4A3E" w:rsidRDefault="00BD4A3E" w:rsidP="00BD4A3E">
      <w:pPr>
        <w:tabs>
          <w:tab w:val="left" w:pos="709"/>
          <w:tab w:val="left" w:pos="1899"/>
        </w:tabs>
        <w:spacing w:before="120"/>
        <w:ind w:right="-108"/>
        <w:jc w:val="both"/>
        <w:rPr>
          <w:rFonts w:ascii="Calibri" w:eastAsia="Calibri" w:hAnsi="Calibri" w:cs="Arial"/>
          <w:b/>
          <w:lang w:val="ro-RO"/>
        </w:rPr>
      </w:pPr>
      <w:r w:rsidRPr="00BD4A3E">
        <w:rPr>
          <w:rFonts w:ascii="Calibri" w:eastAsia="Calibri" w:hAnsi="Calibri" w:cs="Arial"/>
          <w:b/>
          <w:lang w:val="ro-RO"/>
        </w:rPr>
        <w:t>Plăți către beneficiari la data de 22.10.2018:</w:t>
      </w:r>
    </w:p>
    <w:p w:rsidR="00BD4A3E" w:rsidRPr="00BD4A3E" w:rsidRDefault="00BD4A3E" w:rsidP="00BD4A3E">
      <w:pPr>
        <w:tabs>
          <w:tab w:val="left" w:pos="709"/>
          <w:tab w:val="left" w:pos="1899"/>
        </w:tabs>
        <w:ind w:right="-108"/>
        <w:jc w:val="both"/>
        <w:rPr>
          <w:rFonts w:ascii="Calibri" w:eastAsia="Calibri" w:hAnsi="Calibri" w:cs="Arial"/>
          <w:lang w:val="ro-RO"/>
        </w:rPr>
      </w:pPr>
    </w:p>
    <w:tbl>
      <w:tblPr>
        <w:tblStyle w:val="Tabelgril11"/>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23"/>
        <w:gridCol w:w="1736"/>
        <w:gridCol w:w="1614"/>
        <w:gridCol w:w="1736"/>
        <w:gridCol w:w="1610"/>
      </w:tblGrid>
      <w:tr w:rsidR="00BD4A3E" w:rsidRPr="00AC4302" w:rsidTr="00BD4A3E">
        <w:trPr>
          <w:trHeight w:val="274"/>
        </w:trPr>
        <w:tc>
          <w:tcPr>
            <w:tcW w:w="2915" w:type="dxa"/>
            <w:gridSpan w:val="2"/>
            <w:tcBorders>
              <w:top w:val="single" w:sz="4" w:space="0" w:color="auto"/>
            </w:tcBorders>
            <w:noWrap/>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Prefinanțări (lei)</w:t>
            </w:r>
          </w:p>
        </w:tc>
        <w:tc>
          <w:tcPr>
            <w:tcW w:w="3350" w:type="dxa"/>
            <w:gridSpan w:val="2"/>
            <w:tcBorders>
              <w:top w:val="single" w:sz="4" w:space="0" w:color="auto"/>
            </w:tcBorders>
            <w:noWrap/>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Rambursări (lei)</w:t>
            </w:r>
          </w:p>
        </w:tc>
        <w:tc>
          <w:tcPr>
            <w:tcW w:w="1736" w:type="dxa"/>
            <w:vMerge w:val="restart"/>
            <w:tcBorders>
              <w:top w:val="single" w:sz="4" w:space="0" w:color="auto"/>
            </w:tcBorders>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Total (lei)</w:t>
            </w:r>
          </w:p>
        </w:tc>
        <w:tc>
          <w:tcPr>
            <w:tcW w:w="1610" w:type="dxa"/>
            <w:vMerge w:val="restart"/>
            <w:tcBorders>
              <w:top w:val="single" w:sz="4" w:space="0" w:color="auto"/>
            </w:tcBorders>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Rata de plată la beneficiar %</w:t>
            </w:r>
          </w:p>
        </w:tc>
      </w:tr>
      <w:tr w:rsidR="00BD4A3E" w:rsidRPr="00BD4A3E" w:rsidTr="00BD4A3E">
        <w:trPr>
          <w:trHeight w:val="293"/>
        </w:trPr>
        <w:tc>
          <w:tcPr>
            <w:tcW w:w="1492"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Contribuţie UE</w:t>
            </w:r>
          </w:p>
        </w:tc>
        <w:tc>
          <w:tcPr>
            <w:tcW w:w="1423"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Contributie națională</w:t>
            </w:r>
          </w:p>
        </w:tc>
        <w:tc>
          <w:tcPr>
            <w:tcW w:w="1736"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Contribuţie UE</w:t>
            </w:r>
          </w:p>
        </w:tc>
        <w:tc>
          <w:tcPr>
            <w:tcW w:w="1614"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Contributie națională</w:t>
            </w:r>
          </w:p>
        </w:tc>
        <w:tc>
          <w:tcPr>
            <w:tcW w:w="1736" w:type="dxa"/>
            <w:vMerge/>
            <w:vAlign w:val="center"/>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0" w:type="dxa"/>
            <w:vMerge/>
            <w:vAlign w:val="center"/>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293"/>
        </w:trPr>
        <w:tc>
          <w:tcPr>
            <w:tcW w:w="1492"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423"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0"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310"/>
        </w:trPr>
        <w:tc>
          <w:tcPr>
            <w:tcW w:w="1492"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6.590.268,20</w:t>
            </w:r>
          </w:p>
        </w:tc>
        <w:tc>
          <w:tcPr>
            <w:tcW w:w="1423"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2.196.756,07</w:t>
            </w:r>
          </w:p>
        </w:tc>
        <w:tc>
          <w:tcPr>
            <w:tcW w:w="1736"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140.795.733,59</w:t>
            </w:r>
          </w:p>
        </w:tc>
        <w:tc>
          <w:tcPr>
            <w:tcW w:w="1614"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46.931.911,20</w:t>
            </w:r>
          </w:p>
        </w:tc>
        <w:tc>
          <w:tcPr>
            <w:tcW w:w="1736"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196.254.669,05</w:t>
            </w:r>
          </w:p>
        </w:tc>
        <w:tc>
          <w:tcPr>
            <w:tcW w:w="1610" w:type="dxa"/>
            <w:noWrap/>
            <w:hideMark/>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18,78</w:t>
            </w: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lang w:val="ro-RO"/>
        </w:rPr>
      </w:pPr>
      <w:r w:rsidRPr="00BD4A3E">
        <w:rPr>
          <w:rFonts w:ascii="Calibri" w:eastAsia="Calibri" w:hAnsi="Calibri" w:cs="Arial"/>
          <w:b/>
          <w:lang w:val="ro-RO"/>
        </w:rPr>
        <w:t>Sume încasate de la CE</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Prefinanțări primite de la CE = 10.646.336,01 euro.</w:t>
      </w:r>
    </w:p>
    <w:p w:rsidR="00BD4A3E" w:rsidRPr="00BD4A3E" w:rsidRDefault="00BD4A3E" w:rsidP="00BD4A3E">
      <w:pPr>
        <w:tabs>
          <w:tab w:val="left" w:pos="709"/>
          <w:tab w:val="left" w:pos="1899"/>
        </w:tabs>
        <w:ind w:right="-108"/>
        <w:jc w:val="both"/>
        <w:rPr>
          <w:rFonts w:ascii="Calibri" w:eastAsia="Calibri" w:hAnsi="Calibri" w:cs="Arial"/>
          <w:lang w:val="ro-RO"/>
        </w:rPr>
      </w:pPr>
    </w:p>
    <w:tbl>
      <w:tblPr>
        <w:tblStyle w:val="Tabelgril12"/>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14"/>
        <w:gridCol w:w="1736"/>
        <w:gridCol w:w="1614"/>
        <w:gridCol w:w="1736"/>
        <w:gridCol w:w="1325"/>
      </w:tblGrid>
      <w:tr w:rsidR="00BD4A3E" w:rsidRPr="00BD4A3E" w:rsidTr="00BD4A3E">
        <w:trPr>
          <w:trHeight w:val="274"/>
        </w:trPr>
        <w:tc>
          <w:tcPr>
            <w:tcW w:w="3228" w:type="dxa"/>
            <w:gridSpan w:val="2"/>
            <w:tcBorders>
              <w:top w:val="single" w:sz="4" w:space="0" w:color="auto"/>
            </w:tcBorders>
            <w:noWrap/>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Cheltuieli declarate de AM la AC (euro)</w:t>
            </w:r>
          </w:p>
        </w:tc>
        <w:tc>
          <w:tcPr>
            <w:tcW w:w="3350" w:type="dxa"/>
            <w:gridSpan w:val="2"/>
            <w:tcBorders>
              <w:top w:val="single" w:sz="4" w:space="0" w:color="auto"/>
            </w:tcBorders>
            <w:noWrap/>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Cheltuieli certificate de ACP (euro)</w:t>
            </w:r>
          </w:p>
        </w:tc>
        <w:tc>
          <w:tcPr>
            <w:tcW w:w="1736" w:type="dxa"/>
            <w:vMerge w:val="restart"/>
            <w:tcBorders>
              <w:top w:val="single" w:sz="4" w:space="0" w:color="auto"/>
            </w:tcBorders>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Rambursări de la CE</w:t>
            </w:r>
          </w:p>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(euro)</w:t>
            </w:r>
          </w:p>
        </w:tc>
        <w:tc>
          <w:tcPr>
            <w:tcW w:w="1325" w:type="dxa"/>
            <w:vMerge w:val="restart"/>
            <w:tcBorders>
              <w:top w:val="single" w:sz="4" w:space="0" w:color="auto"/>
            </w:tcBorders>
            <w:vAlign w:val="center"/>
          </w:tcPr>
          <w:p w:rsidR="00BD4A3E" w:rsidRPr="00BD4A3E" w:rsidRDefault="00BD4A3E" w:rsidP="00BD4A3E">
            <w:pPr>
              <w:jc w:val="center"/>
              <w:rPr>
                <w:rFonts w:ascii="Calibri" w:hAnsi="Calibri" w:cs="Arial"/>
                <w:b/>
                <w:lang w:val="ro-RO"/>
              </w:rPr>
            </w:pPr>
            <w:r w:rsidRPr="00BD4A3E">
              <w:rPr>
                <w:rFonts w:ascii="Calibri" w:hAnsi="Calibri" w:cs="Arial"/>
                <w:b/>
                <w:lang w:val="ro-RO"/>
              </w:rPr>
              <w:t>Rata de absorbție efectivă</w:t>
            </w:r>
            <w:r w:rsidRPr="00BD4A3E">
              <w:rPr>
                <w:rFonts w:ascii="Calibri" w:hAnsi="Calibri" w:cs="Arial"/>
                <w:b/>
                <w:lang w:val="ro-RO"/>
              </w:rPr>
              <w:br/>
              <w:t>(%)</w:t>
            </w:r>
          </w:p>
        </w:tc>
      </w:tr>
      <w:tr w:rsidR="00BD4A3E" w:rsidRPr="00BD4A3E" w:rsidTr="00BD4A3E">
        <w:trPr>
          <w:trHeight w:val="293"/>
        </w:trPr>
        <w:tc>
          <w:tcPr>
            <w:tcW w:w="1614" w:type="dxa"/>
            <w:vMerge w:val="restart"/>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Valoare publică</w:t>
            </w:r>
          </w:p>
        </w:tc>
        <w:tc>
          <w:tcPr>
            <w:tcW w:w="1614" w:type="dxa"/>
            <w:vMerge w:val="restart"/>
            <w:hideMark/>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Contribuţie UE</w:t>
            </w:r>
          </w:p>
        </w:tc>
        <w:tc>
          <w:tcPr>
            <w:tcW w:w="1736" w:type="dxa"/>
            <w:vMerge w:val="restart"/>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Valoare publică</w:t>
            </w:r>
          </w:p>
        </w:tc>
        <w:tc>
          <w:tcPr>
            <w:tcW w:w="1614" w:type="dxa"/>
            <w:vMerge w:val="restart"/>
          </w:tcPr>
          <w:p w:rsidR="00BD4A3E" w:rsidRPr="00BD4A3E" w:rsidRDefault="00BD4A3E" w:rsidP="00BD4A3E">
            <w:pPr>
              <w:tabs>
                <w:tab w:val="left" w:pos="709"/>
                <w:tab w:val="left" w:pos="1899"/>
              </w:tabs>
              <w:ind w:right="-108"/>
              <w:jc w:val="center"/>
              <w:rPr>
                <w:rFonts w:ascii="Calibri" w:hAnsi="Calibri" w:cs="Arial"/>
                <w:b/>
                <w:lang w:val="ro-RO"/>
              </w:rPr>
            </w:pPr>
            <w:r w:rsidRPr="00BD4A3E">
              <w:rPr>
                <w:rFonts w:ascii="Calibri" w:hAnsi="Calibri" w:cs="Arial"/>
                <w:b/>
                <w:lang w:val="ro-RO"/>
              </w:rPr>
              <w:t>Contribuţie UE</w:t>
            </w: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325"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293"/>
        </w:trPr>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325"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322"/>
        </w:trPr>
        <w:tc>
          <w:tcPr>
            <w:tcW w:w="1614"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36.417.226,92</w:t>
            </w:r>
          </w:p>
        </w:tc>
        <w:tc>
          <w:tcPr>
            <w:tcW w:w="1614"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27.312.920,19</w:t>
            </w:r>
          </w:p>
        </w:tc>
        <w:tc>
          <w:tcPr>
            <w:tcW w:w="1736"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25.900.639,02</w:t>
            </w:r>
          </w:p>
        </w:tc>
        <w:tc>
          <w:tcPr>
            <w:tcW w:w="1614"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19.425.479,27</w:t>
            </w:r>
          </w:p>
        </w:tc>
        <w:tc>
          <w:tcPr>
            <w:tcW w:w="1736"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17.482.931,30</w:t>
            </w:r>
          </w:p>
        </w:tc>
        <w:tc>
          <w:tcPr>
            <w:tcW w:w="1325" w:type="dxa"/>
            <w:noWrap/>
          </w:tcPr>
          <w:p w:rsidR="00BD4A3E" w:rsidRPr="00BD4A3E" w:rsidRDefault="00BD4A3E" w:rsidP="00BD4A3E">
            <w:pPr>
              <w:tabs>
                <w:tab w:val="left" w:pos="709"/>
                <w:tab w:val="left" w:pos="1899"/>
              </w:tabs>
              <w:jc w:val="right"/>
              <w:rPr>
                <w:rFonts w:ascii="Calibri" w:hAnsi="Calibri" w:cs="Arial"/>
                <w:lang w:val="ro-RO"/>
              </w:rPr>
            </w:pPr>
            <w:r w:rsidRPr="00BD4A3E">
              <w:rPr>
                <w:rFonts w:ascii="Calibri" w:hAnsi="Calibri" w:cs="Arial"/>
                <w:lang w:val="ro-RO"/>
              </w:rPr>
              <w:t>12,35</w:t>
            </w: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lang w:val="ro-RO"/>
        </w:rPr>
      </w:pPr>
      <w:r w:rsidRPr="00BD4A3E">
        <w:rPr>
          <w:rFonts w:ascii="Calibri" w:eastAsia="Calibri" w:hAnsi="Calibri" w:cs="Arial"/>
          <w:lang w:val="ro-RO"/>
        </w:rPr>
        <w:t>Transformarea sumelor din lei în euro în prezentul document s-a efectuat la cursul INFOREURO aferent lunii OCTOMBRIE 2018: 1 euro = 4,6701 lei</w:t>
      </w:r>
    </w:p>
    <w:p w:rsidR="00BD4A3E" w:rsidRPr="00BD4A3E" w:rsidRDefault="00BD4A3E" w:rsidP="00BD4A3E">
      <w:pPr>
        <w:jc w:val="both"/>
        <w:rPr>
          <w:rFonts w:ascii="Calibri" w:eastAsia="Calibri" w:hAnsi="Calibri" w:cs="Arial"/>
          <w:lang w:val="ro-RO"/>
        </w:rPr>
      </w:pPr>
    </w:p>
    <w:p w:rsidR="00BD4A3E" w:rsidRPr="00BD4A3E" w:rsidRDefault="00BD4A3E" w:rsidP="00BD4A3E">
      <w:pPr>
        <w:spacing w:after="120"/>
        <w:jc w:val="both"/>
        <w:rPr>
          <w:rFonts w:ascii="Calibri" w:eastAsia="Calibri" w:hAnsi="Calibri" w:cs="Arial"/>
          <w:b/>
          <w:lang w:val="ro-RO"/>
        </w:rPr>
      </w:pPr>
      <w:r w:rsidRPr="00BD4A3E">
        <w:rPr>
          <w:rFonts w:ascii="Calibri" w:eastAsia="Calibri" w:hAnsi="Calibri" w:cs="Arial"/>
          <w:b/>
          <w:lang w:val="ro-RO"/>
        </w:rPr>
        <w:t>Riscurile care pot interveni în perioada 2018-2020 în implementarea POPAM</w:t>
      </w:r>
    </w:p>
    <w:p w:rsidR="00BD4A3E" w:rsidRPr="003964D3" w:rsidRDefault="00BD4A3E" w:rsidP="00BD4A3E">
      <w:pPr>
        <w:jc w:val="both"/>
        <w:rPr>
          <w:rFonts w:asciiTheme="minorHAnsi" w:hAnsiTheme="minorHAnsi"/>
          <w:b/>
          <w:lang w:val="ro-RO"/>
        </w:rPr>
      </w:pPr>
      <w:r w:rsidRPr="00BD4A3E">
        <w:rPr>
          <w:rFonts w:asciiTheme="minorHAnsi" w:hAnsiTheme="minorHAnsi"/>
          <w:lang w:val="ro-RO" w:eastAsia="ro-RO"/>
        </w:rPr>
        <w:t>-</w:t>
      </w:r>
      <w:r w:rsidRPr="003964D3">
        <w:rPr>
          <w:rFonts w:asciiTheme="minorHAnsi" w:hAnsiTheme="minorHAnsi"/>
          <w:b/>
          <w:lang w:val="ro-RO"/>
        </w:rPr>
        <w:t xml:space="preserve"> riscului ”întârzierea/lipsa desemnării AMPOPAM” care</w:t>
      </w:r>
      <w:r w:rsidRPr="003964D3">
        <w:rPr>
          <w:rFonts w:asciiTheme="minorHAnsi" w:hAnsiTheme="minorHAnsi"/>
          <w:lang w:val="ro-RO"/>
        </w:rPr>
        <w:t xml:space="preserve"> a fost eliminat ca urmare a desemnării MADR ca autoritate de management și a Ministerului Finanțelor Publice ca autoritate de certificare pentru Programul Operațional pentru Pescuit și Afaceri Maritime.</w:t>
      </w:r>
    </w:p>
    <w:p w:rsidR="00BD4A3E" w:rsidRPr="00BD4A3E" w:rsidRDefault="00BD4A3E" w:rsidP="00BD4A3E">
      <w:pPr>
        <w:jc w:val="both"/>
        <w:rPr>
          <w:rFonts w:asciiTheme="minorHAnsi" w:hAnsiTheme="minorHAnsi"/>
          <w:lang w:eastAsia="ro-RO"/>
        </w:rPr>
      </w:pPr>
      <w:r w:rsidRPr="00BD4A3E">
        <w:rPr>
          <w:rFonts w:asciiTheme="minorHAnsi" w:hAnsiTheme="minorHAnsi"/>
          <w:lang w:eastAsia="ro-RO"/>
        </w:rPr>
        <w:t>-lipsa disponibilităților financiare ale solicitanților/ beneficiarilor POPAM;</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-beneficiarii privați, în speță pescarii comerciali, nu au venituri suficiente pentru susținerea unor investiții de tipul celor cofinanţate prin POPAM (veniturile acestora sunt limitate la cota de pescuit alocată pe autorizația de pescuit), rata de cofinanțare fiind de 50%. Pentru a intensifica informarea acestora cu privire la măsurile ce au fost prevăzute în legislația națională referitoare la plăți, AM va proceda la elaborarea unei fișe de prezentare a facilităților privind plata la factură și avansul de până la 50% din cuantumul sprijinului financiar nerambursabil și distribuirea acesteia pescarilor prin inspectorii ANPA;</w:t>
      </w:r>
    </w:p>
    <w:p w:rsidR="00BD4A3E" w:rsidRPr="003964D3" w:rsidRDefault="00BD4A3E" w:rsidP="00BD4A3E">
      <w:pPr>
        <w:jc w:val="both"/>
        <w:rPr>
          <w:rFonts w:asciiTheme="minorHAnsi" w:hAnsiTheme="minorHAnsi"/>
          <w:lang w:val="fr-FR" w:eastAsia="ro-RO"/>
        </w:rPr>
      </w:pPr>
      <w:r w:rsidRPr="003964D3">
        <w:rPr>
          <w:rFonts w:asciiTheme="minorHAnsi" w:hAnsiTheme="minorHAnsi"/>
          <w:lang w:val="fr-FR" w:eastAsia="ro-RO"/>
        </w:rPr>
        <w:t>-inoperabilitatea pe perioade semnificative a sistemului electronic de transmitere adatelor utilizat de DGP-AMPOPAM;</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 În acest sens, AM a inițiat discuții cu autoritatea portuară din Constanța și cu organizațiile de pescari pentru identificarea unei posibile locații.</w:t>
      </w:r>
    </w:p>
    <w:p w:rsidR="00BD4A3E" w:rsidRPr="00715536" w:rsidRDefault="00BD4A3E" w:rsidP="00BD4A3E">
      <w:pPr>
        <w:contextualSpacing/>
        <w:jc w:val="both"/>
        <w:rPr>
          <w:rFonts w:asciiTheme="minorHAnsi" w:hAnsiTheme="minorHAnsi"/>
          <w:lang w:val="ro-RO"/>
        </w:rPr>
      </w:pPr>
      <w:r w:rsidRPr="00715536">
        <w:rPr>
          <w:rFonts w:asciiTheme="minorHAnsi" w:hAnsiTheme="minorHAnsi"/>
          <w:lang w:val="ro-RO"/>
        </w:rPr>
        <w:t xml:space="preserve">-întârzieri semnificative la nivelul MDRAPFE în operaționalizarea tuturor modulelor sistemului integrat de management SMIS2014+/MySMIS 2014; </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-dificultăți ale beneficiarilor în operarea datelor în MySMIS 2014;</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-disfuncționalități temporare ale sistemelor informatice MySMIS 2014, SMIS2014 ș.a.</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-întârzierea/lipsa aprobării CE a modificării țintelor/operațiunilor sau realocărilor bugetare POPAM;</w:t>
      </w:r>
    </w:p>
    <w:p w:rsidR="00BD4A3E" w:rsidRPr="00BD4A3E" w:rsidRDefault="00BD4A3E" w:rsidP="00BD4A3E">
      <w:pPr>
        <w:jc w:val="both"/>
        <w:rPr>
          <w:rFonts w:asciiTheme="minorHAnsi" w:hAnsiTheme="minorHAnsi"/>
          <w:lang w:val="ro-RO" w:eastAsia="ro-RO"/>
        </w:rPr>
      </w:pPr>
      <w:r w:rsidRPr="00BD4A3E">
        <w:rPr>
          <w:rFonts w:asciiTheme="minorHAnsi" w:hAnsiTheme="minorHAnsi"/>
          <w:lang w:val="ro-RO" w:eastAsia="ro-RO"/>
        </w:rPr>
        <w:t>-modificări frecvente ale cadrului legislativ și instituțional;</w:t>
      </w:r>
    </w:p>
    <w:p w:rsidR="00BD4A3E" w:rsidRPr="00BD4A3E" w:rsidRDefault="00BD4A3E" w:rsidP="00BD4A3E">
      <w:pPr>
        <w:rPr>
          <w:rFonts w:asciiTheme="minorHAnsi" w:hAnsiTheme="minorHAnsi"/>
          <w:lang w:val="ro-RO" w:eastAsia="ro-RO"/>
        </w:rPr>
      </w:pPr>
      <w:r w:rsidRPr="00BD4A3E">
        <w:rPr>
          <w:rFonts w:asciiTheme="minorHAnsi" w:hAnsiTheme="minorHAnsi"/>
          <w:lang w:val="ro-RO" w:eastAsia="ro-RO"/>
        </w:rPr>
        <w:t>-birocrația excesivă.</w:t>
      </w:r>
    </w:p>
    <w:p w:rsidR="00BD4A3E" w:rsidRPr="00BD4A3E" w:rsidRDefault="00BD4A3E" w:rsidP="00BD4A3E">
      <w:pPr>
        <w:jc w:val="both"/>
        <w:rPr>
          <w:rFonts w:ascii="Calibri" w:eastAsia="Calibri" w:hAnsi="Calibri" w:cs="Arial"/>
          <w:b/>
          <w:lang w:val="ro-RO"/>
        </w:rPr>
      </w:pPr>
    </w:p>
    <w:p w:rsidR="00825CEE" w:rsidRPr="001F3A7D" w:rsidRDefault="00825CEE" w:rsidP="00825CEE">
      <w:pPr>
        <w:suppressAutoHyphens/>
        <w:spacing w:before="240" w:after="120"/>
        <w:jc w:val="both"/>
        <w:outlineLvl w:val="1"/>
        <w:rPr>
          <w:rFonts w:ascii="Calibri" w:hAnsi="Calibri" w:cs="Arial"/>
          <w:b/>
          <w:bCs/>
          <w:lang w:val="fr-FR"/>
        </w:rPr>
      </w:pPr>
    </w:p>
    <w:p w:rsidR="00DB403C" w:rsidRPr="001F3A7D" w:rsidRDefault="00DB403C" w:rsidP="00825CEE">
      <w:pPr>
        <w:suppressAutoHyphens/>
        <w:spacing w:before="240" w:after="120"/>
        <w:jc w:val="both"/>
        <w:outlineLvl w:val="1"/>
        <w:rPr>
          <w:rFonts w:ascii="Calibri" w:hAnsi="Calibri" w:cs="Arial"/>
          <w:b/>
          <w:bCs/>
          <w:lang w:val="fr-FR"/>
        </w:rPr>
      </w:pPr>
    </w:p>
    <w:p w:rsidR="00DC78F8" w:rsidRPr="001F3A7D" w:rsidRDefault="00DC78F8" w:rsidP="00825CEE">
      <w:pPr>
        <w:shd w:val="clear" w:color="auto" w:fill="9CC2E5" w:themeFill="accent1" w:themeFillTint="99"/>
        <w:suppressAutoHyphens/>
        <w:spacing w:before="240" w:after="120"/>
        <w:ind w:firstLine="720"/>
        <w:jc w:val="both"/>
        <w:outlineLvl w:val="1"/>
        <w:rPr>
          <w:rFonts w:ascii="Calibri" w:hAnsi="Calibri" w:cs="Arial"/>
          <w:b/>
          <w:color w:val="0000CC"/>
          <w:lang w:val="fr-FR"/>
        </w:rPr>
      </w:pPr>
      <w:r w:rsidRPr="001F3A7D">
        <w:rPr>
          <w:rFonts w:ascii="Calibri" w:hAnsi="Calibri" w:cs="Arial"/>
          <w:b/>
          <w:color w:val="0000CC"/>
          <w:lang w:val="fr-FR"/>
        </w:rPr>
        <w:t>Contribuţia României la bugetul UE</w:t>
      </w:r>
    </w:p>
    <w:p w:rsidR="00F54482" w:rsidRPr="003964D3" w:rsidRDefault="00F54482" w:rsidP="00F54482">
      <w:pPr>
        <w:ind w:firstLine="561"/>
        <w:jc w:val="both"/>
        <w:rPr>
          <w:rFonts w:ascii="Calibri" w:hAnsi="Calibri" w:cs="Arial Narrow"/>
          <w:lang w:val="pt-BR"/>
        </w:rPr>
      </w:pPr>
      <w:r w:rsidRPr="00260002">
        <w:rPr>
          <w:rFonts w:ascii="Calibri" w:hAnsi="Calibri" w:cs="Arial Narrow"/>
          <w:lang w:val="pt-BR"/>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rsidR="00F54482" w:rsidRPr="00260002" w:rsidRDefault="00F54482" w:rsidP="00F54482">
      <w:pPr>
        <w:widowControl w:val="0"/>
        <w:spacing w:before="120"/>
        <w:ind w:firstLine="561"/>
        <w:jc w:val="both"/>
        <w:rPr>
          <w:rFonts w:asciiTheme="minorHAnsi" w:eastAsia="SimSun" w:hAnsiTheme="minorHAnsi" w:cs="Arial Narrow"/>
          <w:lang w:val="ro-RO" w:eastAsia="ro-RO"/>
        </w:rPr>
      </w:pPr>
      <w:r w:rsidRPr="00260002">
        <w:rPr>
          <w:rFonts w:ascii="Calibri" w:eastAsia="SimSun" w:hAnsi="Calibri" w:cs="Arial Narrow"/>
          <w:lang w:val="ro-RO" w:eastAsia="ro-RO"/>
        </w:rPr>
        <w:t>Începând cu anul 2014 sistemul resurselor proprii ale Uniunii Europene este reglementat prin Decizia nr. 2014/335/CE, Euratom, aceasta fiind publicată, atât în original (EN) cât şi toate limbile oficiale ale statelor membre (inclusiv în limba română), în Jurnalul Oficial al Uniunii Europene nr. L 168 din 07.06.2014 (p. 105-111 pentru versiunea in limba română).</w:t>
      </w:r>
    </w:p>
    <w:p w:rsidR="00F54482" w:rsidRPr="00260002" w:rsidRDefault="00F54482" w:rsidP="00F54482">
      <w:pPr>
        <w:widowControl w:val="0"/>
        <w:spacing w:before="120"/>
        <w:jc w:val="both"/>
        <w:rPr>
          <w:rFonts w:ascii="Arial Narrow" w:eastAsia="SimSun" w:hAnsi="Arial Narrow" w:cs="Arial Narrow"/>
          <w:lang w:val="ro-RO" w:eastAsia="ro-RO"/>
        </w:rPr>
      </w:pPr>
    </w:p>
    <w:p w:rsidR="00F54482" w:rsidRPr="00260002" w:rsidRDefault="00F54482" w:rsidP="00F54482">
      <w:pPr>
        <w:widowControl w:val="0"/>
        <w:ind w:firstLine="561"/>
        <w:jc w:val="both"/>
        <w:rPr>
          <w:rFonts w:ascii="Calibri" w:eastAsia="SimSun" w:hAnsi="Calibri" w:cs="Arial Narrow"/>
          <w:lang w:val="ro-RO" w:eastAsia="ro-RO"/>
        </w:rPr>
      </w:pPr>
    </w:p>
    <w:p w:rsidR="003964D3" w:rsidRDefault="00A86CF1" w:rsidP="000321A4">
      <w:pPr>
        <w:widowControl w:val="0"/>
        <w:jc w:val="both"/>
        <w:rPr>
          <w:rFonts w:ascii="Calibri" w:eastAsia="SimSun" w:hAnsi="Calibri" w:cs="Arial Narrow"/>
          <w:lang w:val="ro-RO" w:eastAsia="ro-RO"/>
        </w:rPr>
      </w:pPr>
      <w:r>
        <w:rPr>
          <w:rFonts w:ascii="Arial Narrow" w:eastAsia="SimSun" w:hAnsi="Arial Narrow" w:cs="Arial Narrow"/>
          <w:noProof/>
          <w:lang w:val="ro-RO" w:eastAsia="ro-RO"/>
        </w:rPr>
      </w:r>
      <w:r>
        <w:rPr>
          <w:rFonts w:ascii="Arial Narrow" w:eastAsia="SimSun" w:hAnsi="Arial Narrow" w:cs="Arial Narrow"/>
          <w:noProof/>
          <w:lang w:val="ro-RO" w:eastAsia="ro-RO"/>
        </w:rPr>
        <w:pict>
          <v:group id="Canvas 648" o:spid="_x0000_s1026" editas="canvas" style="width:495.65pt;height:254.1pt;mso-position-horizontal-relative:char;mso-position-vertical-relative:line" coordsize="62947,3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">
            <v:shape id="_x0000_s1027" type="#_x0000_t75" style="position:absolute;width:62947;height:32270;visibility:visible">
              <v:fill o:detectmouseclick="t"/>
              <v:path o:connecttype="none"/>
            </v:shape>
            <v:group id="Group 8" o:spid="_x0000_s1028" style="position:absolute;left:63;width:62884;height:32200" coordsize="9903,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9" o:spid="_x0000_s1029" style="position:absolute;left:4906;top:426;width:4927;height:2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line id="Line 10" o:spid="_x0000_s1030" style="position:absolute;visibility:visible" from="4917,2424" to="4967,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U5cYAAADbAAAADwAAAGRycy9kb3ducmV2LnhtbESPT2sCMRTE7wW/Q3iF3mq2VmxZjVIq&#10;xT94sLYUvD02z93FzcuSpNn12xuh0OMwM79hZoveNCKS87VlBU/DDARxYXXNpYLvr4/HVxA+IGts&#10;LJOCC3lYzAd3M8y17fiT4iGUIkHY56igCqHNpfRFRQb90LbEyTtZZzAk6UqpHXYJbho5yrKJNFhz&#10;WqiwpfeKivPh1ygYxclyjZtdPK6242W3d/EnXE5KPdz3b1MQgfrwH/5rr7WCl2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lOXGAAAA2wAAAA8AAAAAAAAA&#10;AAAAAAAAoQIAAGRycy9kb3ducmV2LnhtbFBLBQYAAAAABAAEAPkAAACUAwAAAAA=&#10;" strokecolor="green" strokeweight="0"/>
              <v:rect id="Rectangle 11" o:spid="_x0000_s1031" style="position:absolute;left:4917;top:2424;width:5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p8YA&#10;AADbAAAADwAAAGRycy9kb3ducmV2LnhtbESPT2vCQBTE7wW/w/IKXopuLFpDmo1IMaCn4p8ivT2y&#10;r0lq9m3Irhr76bsFocdhZn7DpIveNOJCnastK5iMIxDEhdU1lwoO+3wUg3AeWWNjmRTcyMEiGzyk&#10;mGh75S1ddr4UAcIuQQWV920ipSsqMujGtiUO3pftDPogu1LqDq8Bbhr5HEUv0mDNYaHClt4qKk67&#10;s1FQx/mHn8XT959Vvvk2q+PT55HPSg0f++UrCE+9/w/f22utYD6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zp8YAAADbAAAADwAAAAAAAAAAAAAAAACYAgAAZHJz&#10;L2Rvd25yZXYueG1sUEsFBgAAAAAEAAQA9QAAAIsDAAAAAA==&#10;" fillcolor="green" stroked="f"/>
              <v:line id="Line 12" o:spid="_x0000_s1032" style="position:absolute;visibility:visible" from="4917,2435" to="4957,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pCsYAAADbAAAADwAAAGRycy9kb3ducmV2LnhtbESPT2sCMRTE7wW/Q3iF3mq2Um1ZjVIq&#10;xT94sLYUvD02z93FzcuSpNn12xuh0OMwM79hZoveNCKS87VlBU/DDARxYXXNpYLvr4/HVxA+IGts&#10;LJOCC3lYzAd3M8y17fiT4iGUIkHY56igCqHNpfRFRQb90LbEyTtZZzAk6UqpHXYJbho5yrKJNFhz&#10;WqiwpfeKivPh1ygYxclyjZtdPK62z8tu7+JPuJyUerjv36YgAvXhP/zXXmsFL2O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qQrGAAAA2wAAAA8AAAAAAAAA&#10;AAAAAAAAoQIAAGRycy9kb3ducmV2LnhtbFBLBQYAAAAABAAEAPkAAACUAwAAAAA=&#10;" strokecolor="green" strokeweight="0"/>
              <v:rect id="Rectangle 13" o:spid="_x0000_s1033" style="position:absolute;left:4917;top:2435;width: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IS8UA&#10;AADbAAAADwAAAGRycy9kb3ducmV2LnhtbESPT2vCQBTE7wW/w/KEXopuKq2G6CpFDNRT8R/i7ZF9&#10;JtHs25BdNfXTdwuCx2FmfsNMZq2pxJUaV1pW8N6PQBBnVpecK9hu0l4MwnlkjZVlUvBLDmbTzssE&#10;E21vvKLr2uciQNglqKDwvk6kdFlBBl3f1sTBO9rGoA+yyaVu8BbgppKDKBpKgyWHhQJrmheUndcX&#10;o6CM053/jD9+7ot0eTKL/dthzxelXrvt1xiEp9Y/w4/2t1YwGsL/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ghLxQAAANsAAAAPAAAAAAAAAAAAAAAAAJgCAABkcnMv&#10;ZG93bnJldi54bWxQSwUGAAAAAAQABAD1AAAAigMAAAAA&#10;" fillcolor="green" stroked="f"/>
              <v:line id="Line 14" o:spid="_x0000_s1034" style="position:absolute;visibility:visible" from="4917,2445" to="4947,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S5sUAAADbAAAADwAAAGRycy9kb3ducmV2LnhtbESPT2sCMRTE7wW/Q3iF3jRbKSpboxRF&#10;tNKDf0qht8fmubt087IkaXb99qYg9DjMzG+Y+bI3jYjkfG1ZwfMoA0FcWF1zqeDzvBnOQPiArLGx&#10;TAqu5GG5GDzMMde24yPFUyhFgrDPUUEVQptL6YuKDPqRbYmTd7HOYEjSlVI77BLcNHKcZRNpsOa0&#10;UGFLq4qKn9OvUTCOk/UO3z/i93b/su4OLn6F60Wpp8f+7RVEoD78h+/tnVYwncL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S5sUAAADbAAAADwAAAAAAAAAA&#10;AAAAAAChAgAAZHJzL2Rvd25yZXYueG1sUEsFBgAAAAAEAAQA+QAAAJMDAAAAAA==&#10;" strokecolor="green" strokeweight="0"/>
              <v:rect id="Rectangle 15" o:spid="_x0000_s1035" style="position:absolute;left:4917;top:2445;width:3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5osMA&#10;AADbAAAADwAAAGRycy9kb3ducmV2LnhtbERPTWvCQBC9C/6HZQq9iG4sVkN0E6QYaE9F2xJ6G7Jj&#10;kpqdDdlVY39991Dw+Hjfm2wwrbhQ7xrLCuazCARxaXXDlYLPj3wag3AeWWNrmRTcyEGWjkcbTLS9&#10;8p4uB1+JEMIuQQW1910ipStrMuhmtiMO3NH2Bn2AfSV1j9cQblr5FEVLabDh0FBjRy81lafD2Sho&#10;4vzLP8eL999d/vZjdsXku+CzUo8Pw3YNwtPg7+J/96tWsAp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05osMAAADbAAAADwAAAAAAAAAAAAAAAACYAgAAZHJzL2Rv&#10;d25yZXYueG1sUEsFBgAAAAAEAAQA9QAAAIgDAAAAAA==&#10;" fillcolor="green" stroked="f"/>
              <v:line id="Line 16" o:spid="_x0000_s1036" style="position:absolute;visibility:visible" from="4917,2455" to="493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jD8UAAADbAAAADwAAAGRycy9kb3ducmV2LnhtbESPQWsCMRSE7wX/Q3iF3mq2UmxdjSJK&#10;qZUeWhXB22Pz3F3cvCxJml3/vSkUehxm5htmtuhNIyI5X1tW8DTMQBAXVtdcKjjs3x5fQfiArLGx&#10;TAqu5GExH9zNMNe242+Ku1CKBGGfo4IqhDaX0hcVGfRD2xIn72ydwZCkK6V22CW4aeQoy8bSYM1p&#10;ocKWVhUVl92PUTCK4/UGPz7j6X37vO6+XDyG61mph/t+OQURqA//4b/2Rit4mcDvl/Q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qjD8UAAADbAAAADwAAAAAAAAAA&#10;AAAAAAChAgAAZHJzL2Rvd25yZXYueG1sUEsFBgAAAAAEAAQA+QAAAJMDAAAAAA==&#10;" strokecolor="green" strokeweight="0"/>
              <v:rect id="Rectangle 17" o:spid="_x0000_s1037" style="position:absolute;left:4917;top:2455;width:2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Fg8MA&#10;AADbAAAADwAAAGRycy9kb3ducmV2LnhtbERPy2rCQBTdF/yH4QrdlDqxtBKio4gY0JU0tYi7S+Y2&#10;Sc3cCZnJo359Z1Ho8nDeq81oatFT6yrLCuazCARxbnXFhYLzR/ocg3AeWWNtmRT8kIPNevKwwkTb&#10;gd+pz3whQgi7BBWU3jeJlC4vyaCb2YY4cF+2NegDbAupWxxCuKnlSxQtpMGKQ0OJDe1Kym9ZZxRU&#10;cfrp3+LX032fHr/N/vJ0vXCn1ON03C5BeBr9v/jPfdAK4rA+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5Fg8MAAADbAAAADwAAAAAAAAAAAAAAAACYAgAAZHJzL2Rv&#10;d25yZXYueG1sUEsFBgAAAAAEAAQA9QAAAIgDAAAAAA==&#10;" fillcolor="green" stroked="f"/>
              <v:line id="Line 18" o:spid="_x0000_s1038" style="position:absolute;visibility:visible" from="4917,2465" to="4927,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fLsQAAADbAAAADwAAAGRycy9kb3ducmV2LnhtbESPQWsCMRSE7wX/Q3hCbzWrFJGtUUQR&#10;bfHQqhS8PTbP3cXNy5Kk2fXfN0Khx2FmvmHmy940IpLztWUF41EGgriwuuZSwfm0fZmB8AFZY2OZ&#10;FNzJw3IxeJpjrm3HXxSPoRQJwj5HBVUIbS6lLyoy6Ee2JU7e1TqDIUlXSu2wS3DTyEmWTaXBmtNC&#10;hS2tKypuxx+jYBKnmz2+H+Jl9/G66T5d/A73q1LPw371BiJQH/7Df+29VjAbw+N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d8uxAAAANsAAAAPAAAAAAAAAAAA&#10;AAAAAKECAABkcnMvZG93bnJldi54bWxQSwUGAAAAAAQABAD5AAAAkgMAAAAA&#10;" strokecolor="green" strokeweight="0"/>
              <v:rect id="Rectangle 19" o:spid="_x0000_s1039" style="position:absolute;left:4917;top:2465;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yaccA&#10;AADcAAAADwAAAGRycy9kb3ducmV2LnhtbESPQWvCQBSE74X+h+UJvRTdtNYSo6uUYsCeRGsJvT2y&#10;zyRt9m3Irhr99a4geBxm5htmOu9MLQ7UusqygpdBBII4t7riQsH2O+3HIJxH1lhbJgUncjCfPT5M&#10;MdH2yGs6bHwhAoRdggpK75tESpeXZNANbEMcvJ1tDfog20LqFo8Bbmr5GkXv0mDFYaHEhj5Lyv83&#10;e6OgitMfP4rfVudF+vVnFtnzb8Z7pZ563ccEhKfO38O39lIrGI7G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smnHAAAA3AAAAA8AAAAAAAAAAAAAAAAAmAIAAGRy&#10;cy9kb3ducmV2LnhtbFBLBQYAAAAABAAEAPUAAACMAwAAAAA=&#10;" fillcolor="green" stroked="f"/>
              <v:rect id="Rectangle 20" o:spid="_x0000_s1040" style="position:absolute;left:4906;top:2627;width:4927;height:2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rccEA&#10;AADcAAAADwAAAGRycy9kb3ducmV2LnhtbERPTYvCMBC9C/6HMII3TdS1uF2jiCAIqwersNehGduy&#10;zaQ2Ueu/N4eFPT7e93Ld2Vo8qPWVYw2TsQJBnDtTcaHhct6NFiB8QDZYOyYNL/KwXvV7S0yNe/KJ&#10;HlkoRAxhn6KGMoQmldLnJVn0Y9cQR+7qWoshwraQpsVnDLe1nCqVSIsVx4YSG9qWlP9md6sBkw9z&#10;O15nh/P3PcHPolO7+Y/SejjoNl8gAnXhX/zn3hsNs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K3HBAAAA3AAAAA8AAAAAAAAAAAAAAAAAmAIAAGRycy9kb3du&#10;cmV2LnhtbFBLBQYAAAAABAAEAPUAAACGAwAAAAA=&#10;" stroked="f"/>
              <v:rect id="Rectangle 21" o:spid="_x0000_s1041" style="position:absolute;left:9396;top:254;width:42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4"/>
                          <w:szCs w:val="14"/>
                        </w:rPr>
                        <w:t>mii LEI</w:t>
                      </w:r>
                    </w:p>
                  </w:txbxContent>
                </v:textbox>
              </v:rect>
              <v:rect id="Rectangle 22" o:spid="_x0000_s1042" style="position:absolute;left:193;top:446;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A86CF1" w:rsidRDefault="00A86CF1" w:rsidP="00A325AD">
                      <w:r>
                        <w:rPr>
                          <w:rFonts w:ascii="Arial" w:hAnsi="Arial" w:cs="Arial"/>
                          <w:b/>
                          <w:bCs/>
                          <w:color w:val="000000"/>
                          <w:sz w:val="16"/>
                          <w:szCs w:val="16"/>
                        </w:rPr>
                        <w:t xml:space="preserve">Cod </w:t>
                      </w:r>
                    </w:p>
                  </w:txbxContent>
                </v:textbox>
              </v:rect>
              <v:rect id="Rectangle 23" o:spid="_x0000_s1043" style="position:absolute;left:2407;top:446;width:82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A86CF1" w:rsidRDefault="00A86CF1" w:rsidP="00A325AD">
                      <w:r>
                        <w:rPr>
                          <w:rFonts w:ascii="Arial" w:hAnsi="Arial" w:cs="Arial"/>
                          <w:b/>
                          <w:bCs/>
                          <w:color w:val="000000"/>
                          <w:sz w:val="16"/>
                          <w:szCs w:val="16"/>
                        </w:rPr>
                        <w:t>Denumirea</w:t>
                      </w:r>
                    </w:p>
                  </w:txbxContent>
                </v:textbox>
              </v:rect>
              <v:rect id="Rectangle 24" o:spid="_x0000_s1044" style="position:absolute;left:5303;top:446;width:35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2019</w:t>
                      </w:r>
                    </w:p>
                  </w:txbxContent>
                </v:textbox>
              </v:rect>
              <v:rect id="Rectangle 25" o:spid="_x0000_s1045" style="position:absolute;left:6501;top:446;width:35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2020</w:t>
                      </w:r>
                    </w:p>
                  </w:txbxContent>
                </v:textbox>
              </v:rect>
              <v:rect id="Rectangle 26" o:spid="_x0000_s1046" style="position:absolute;left:7761;top:446;width:35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A86CF1" w:rsidRDefault="00A86CF1" w:rsidP="00A325AD">
                      <w:r>
                        <w:rPr>
                          <w:rFonts w:ascii="Arial" w:hAnsi="Arial" w:cs="Arial"/>
                          <w:b/>
                          <w:bCs/>
                          <w:color w:val="000000"/>
                          <w:sz w:val="16"/>
                          <w:szCs w:val="16"/>
                        </w:rPr>
                        <w:t>2021</w:t>
                      </w:r>
                    </w:p>
                  </w:txbxContent>
                </v:textbox>
              </v:rect>
              <v:rect id="Rectangle 27" o:spid="_x0000_s1047" style="position:absolute;left:9020;top:446;width:35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2022</w:t>
                      </w:r>
                    </w:p>
                  </w:txbxContent>
                </v:textbox>
              </v:rect>
              <v:rect id="Rectangle 28" o:spid="_x0000_s1048" style="position:absolute;left:61;top:700;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55.03.01</w:t>
                      </w:r>
                    </w:p>
                  </w:txbxContent>
                </v:textbox>
              </v:rect>
              <v:rect id="Rectangle 29" o:spid="_x0000_s1049" style="position:absolute;left:772;top:700;width:188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 xml:space="preserve">Contributii din taxe vamale </w:t>
                      </w:r>
                    </w:p>
                  </w:txbxContent>
                </v:textbox>
              </v:rect>
              <v:rect id="Rectangle 30" o:spid="_x0000_s1050" style="position:absolute;left:5292;top:700;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797.508,0</w:t>
                      </w:r>
                    </w:p>
                  </w:txbxContent>
                </v:textbox>
              </v:rect>
              <v:rect id="Rectangle 31" o:spid="_x0000_s1051" style="position:absolute;left:6552;top:700;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794.056,0</w:t>
                      </w:r>
                    </w:p>
                  </w:txbxContent>
                </v:textbox>
              </v:rect>
              <v:rect id="Rectangle 32" o:spid="_x0000_s1052" style="position:absolute;left:7812;top:700;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A86CF1" w:rsidRDefault="00A86CF1" w:rsidP="00A325AD">
                      <w:r>
                        <w:rPr>
                          <w:rFonts w:ascii="Arial" w:hAnsi="Arial" w:cs="Arial"/>
                          <w:color w:val="000000"/>
                          <w:sz w:val="16"/>
                          <w:szCs w:val="16"/>
                        </w:rPr>
                        <w:t>790.603,0</w:t>
                      </w:r>
                    </w:p>
                  </w:txbxContent>
                </v:textbox>
              </v:rect>
              <v:rect id="Rectangle 33" o:spid="_x0000_s1053" style="position:absolute;left:9071;top:700;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787.151,0</w:t>
                      </w:r>
                    </w:p>
                  </w:txbxContent>
                </v:textbox>
              </v:rect>
              <v:rect id="Rectangle 34" o:spid="_x0000_s1054" style="position:absolute;left:61;top:954;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A86CF1" w:rsidRDefault="00A86CF1" w:rsidP="00A325AD">
                      <w:r>
                        <w:rPr>
                          <w:rFonts w:ascii="Arial" w:hAnsi="Arial" w:cs="Arial"/>
                          <w:b/>
                          <w:bCs/>
                          <w:color w:val="000000"/>
                          <w:sz w:val="16"/>
                          <w:szCs w:val="16"/>
                        </w:rPr>
                        <w:t>55.03.03</w:t>
                      </w:r>
                    </w:p>
                  </w:txbxContent>
                </v:textbox>
              </v:rect>
              <v:rect id="Rectangle 35" o:spid="_x0000_s1055" style="position:absolute;left:772;top:954;width:227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Contribuţii din sectorul zaharului</w:t>
                      </w:r>
                    </w:p>
                  </w:txbxContent>
                </v:textbox>
              </v:rect>
              <v:rect id="Rectangle 36" o:spid="_x0000_s1056" style="position:absolute;left:5790;top:954;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37" o:spid="_x0000_s1057" style="position:absolute;left:7050;top:954;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38" o:spid="_x0000_s1058" style="position:absolute;left:8309;top:954;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39" o:spid="_x0000_s1059" style="position:absolute;left:9569;top:954;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40" o:spid="_x0000_s1060" style="position:absolute;left:772;top:1177;width:357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A86CF1" w:rsidRPr="00393B6C" w:rsidRDefault="00A86CF1" w:rsidP="00A325AD">
                      <w:pPr>
                        <w:rPr>
                          <w:lang w:val="fr-FR"/>
                        </w:rPr>
                      </w:pPr>
                      <w:r w:rsidRPr="00393B6C">
                        <w:rPr>
                          <w:rFonts w:ascii="Arial" w:hAnsi="Arial" w:cs="Arial"/>
                          <w:b/>
                          <w:bCs/>
                          <w:i/>
                          <w:iCs/>
                          <w:color w:val="000000"/>
                          <w:sz w:val="16"/>
                          <w:szCs w:val="16"/>
                          <w:lang w:val="fr-FR"/>
                        </w:rPr>
                        <w:t xml:space="preserve">Total contributii din resurse proprii tradiţionale </w:t>
                      </w:r>
                    </w:p>
                  </w:txbxContent>
                </v:textbox>
              </v:rect>
              <v:rect id="Rectangle 41" o:spid="_x0000_s1061" style="position:absolute;left:5292;top:1177;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797.508,0</w:t>
                      </w:r>
                    </w:p>
                  </w:txbxContent>
                </v:textbox>
              </v:rect>
              <v:rect id="Rectangle 42" o:spid="_x0000_s1062" style="position:absolute;left:6552;top:1177;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A86CF1" w:rsidRDefault="00A86CF1" w:rsidP="00A325AD">
                      <w:r>
                        <w:rPr>
                          <w:rFonts w:ascii="Arial" w:hAnsi="Arial" w:cs="Arial"/>
                          <w:b/>
                          <w:bCs/>
                          <w:color w:val="000000"/>
                          <w:sz w:val="16"/>
                          <w:szCs w:val="16"/>
                        </w:rPr>
                        <w:t>794.056,0</w:t>
                      </w:r>
                    </w:p>
                  </w:txbxContent>
                </v:textbox>
              </v:rect>
              <v:rect id="Rectangle 43" o:spid="_x0000_s1063" style="position:absolute;left:7812;top:1177;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790.603,0</w:t>
                      </w:r>
                    </w:p>
                  </w:txbxContent>
                </v:textbox>
              </v:rect>
              <v:rect id="Rectangle 44" o:spid="_x0000_s1064" style="position:absolute;left:9071;top:1177;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A86CF1" w:rsidRDefault="00A86CF1" w:rsidP="00A325AD">
                      <w:r>
                        <w:rPr>
                          <w:rFonts w:ascii="Arial" w:hAnsi="Arial" w:cs="Arial"/>
                          <w:b/>
                          <w:bCs/>
                          <w:color w:val="000000"/>
                          <w:sz w:val="16"/>
                          <w:szCs w:val="16"/>
                        </w:rPr>
                        <w:t>787.151,0</w:t>
                      </w:r>
                    </w:p>
                  </w:txbxContent>
                </v:textbox>
              </v:rect>
              <v:rect id="Rectangle 45" o:spid="_x0000_s1065" style="position:absolute;left:61;top:1390;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55.03.04</w:t>
                      </w:r>
                    </w:p>
                  </w:txbxContent>
                </v:textbox>
              </v:rect>
              <v:rect id="Rectangle 46" o:spid="_x0000_s1066" style="position:absolute;left:772;top:1390;width:19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Contributii din resursa TVA</w:t>
                      </w:r>
                    </w:p>
                  </w:txbxContent>
                </v:textbox>
              </v:rect>
              <v:rect id="Rectangle 47" o:spid="_x0000_s1067" style="position:absolute;left:5160;top:1390;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1.089.777,0</w:t>
                      </w:r>
                    </w:p>
                  </w:txbxContent>
                </v:textbox>
              </v:rect>
              <v:rect id="Rectangle 48" o:spid="_x0000_s1068" style="position:absolute;left:6420;top:1390;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1.085.060,0</w:t>
                      </w:r>
                    </w:p>
                  </w:txbxContent>
                </v:textbox>
              </v:rect>
              <v:rect id="Rectangle 49" o:spid="_x0000_s1069" style="position:absolute;left:7680;top:1390;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1.080.342,0</w:t>
                      </w:r>
                    </w:p>
                  </w:txbxContent>
                </v:textbox>
              </v:rect>
              <v:rect id="Rectangle 50" o:spid="_x0000_s1070" style="position:absolute;left:8939;top:1390;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1.075.624,0</w:t>
                      </w:r>
                    </w:p>
                  </w:txbxContent>
                </v:textbox>
              </v:rect>
              <v:rect id="Rectangle 51" o:spid="_x0000_s1071" style="position:absolute;left:61;top:1603;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55.03.05</w:t>
                      </w:r>
                    </w:p>
                  </w:txbxContent>
                </v:textbox>
              </v:rect>
              <v:rect id="Rectangle 52" o:spid="_x0000_s1072" style="position:absolute;left:772;top:1603;width:386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A86CF1" w:rsidRPr="00393B6C" w:rsidRDefault="00A86CF1" w:rsidP="00A325AD">
                      <w:pPr>
                        <w:rPr>
                          <w:lang w:val="fr-FR"/>
                        </w:rPr>
                      </w:pPr>
                      <w:r w:rsidRPr="00393B6C">
                        <w:rPr>
                          <w:rFonts w:ascii="Arial" w:hAnsi="Arial" w:cs="Arial"/>
                          <w:color w:val="000000"/>
                          <w:sz w:val="16"/>
                          <w:szCs w:val="16"/>
                          <w:lang w:val="fr-FR"/>
                        </w:rPr>
                        <w:t>Contribuţii pentru corectia/rabatul acordat Marii Britanii</w:t>
                      </w:r>
                    </w:p>
                  </w:txbxContent>
                </v:textbox>
              </v:rect>
              <v:rect id="Rectangle 53" o:spid="_x0000_s1073" style="position:absolute;left:5292;top:1603;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510.775,0</w:t>
                      </w:r>
                    </w:p>
                  </w:txbxContent>
                </v:textbox>
              </v:rect>
              <v:rect id="Rectangle 54" o:spid="_x0000_s1074" style="position:absolute;left:6552;top:1603;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A86CF1" w:rsidRDefault="00A86CF1" w:rsidP="00A325AD">
                      <w:r>
                        <w:rPr>
                          <w:rFonts w:ascii="Arial" w:hAnsi="Arial" w:cs="Arial"/>
                          <w:color w:val="000000"/>
                          <w:sz w:val="16"/>
                          <w:szCs w:val="16"/>
                        </w:rPr>
                        <w:t>505.452,0</w:t>
                      </w:r>
                    </w:p>
                  </w:txbxContent>
                </v:textbox>
              </v:rect>
              <v:rect id="Rectangle 55" o:spid="_x0000_s1075" style="position:absolute;left:7812;top:1603;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503.255,0</w:t>
                      </w:r>
                    </w:p>
                  </w:txbxContent>
                </v:textbox>
              </v:rect>
              <v:rect id="Rectangle 56" o:spid="_x0000_s1076" style="position:absolute;left:9071;top:1603;width:7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501.057,0</w:t>
                      </w:r>
                    </w:p>
                  </w:txbxContent>
                </v:textbox>
              </v:rect>
              <v:rect id="Rectangle 57" o:spid="_x0000_s1077" style="position:absolute;left:61;top:1816;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55.03.06</w:t>
                      </w:r>
                    </w:p>
                  </w:txbxContent>
                </v:textbox>
              </v:rect>
              <v:rect id="Rectangle 58" o:spid="_x0000_s1078" style="position:absolute;left:772;top:1816;width:193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 xml:space="preserve">Contributii din resursa VNB </w:t>
                      </w:r>
                    </w:p>
                  </w:txbxContent>
                </v:textbox>
              </v:rect>
              <v:rect id="Rectangle 59" o:spid="_x0000_s1079" style="position:absolute;left:5160;top:1816;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6.107.686,0</w:t>
                      </w:r>
                    </w:p>
                  </w:txbxContent>
                </v:textbox>
              </v:rect>
              <v:rect id="Rectangle 60" o:spid="_x0000_s1080" style="position:absolute;left:6420;top:1816;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6.654.820,0</w:t>
                      </w:r>
                    </w:p>
                  </w:txbxContent>
                </v:textbox>
              </v:rect>
              <v:rect id="Rectangle 61" o:spid="_x0000_s1081" style="position:absolute;left:7680;top:1816;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7.202.966,0</w:t>
                      </w:r>
                    </w:p>
                  </w:txbxContent>
                </v:textbox>
              </v:rect>
              <v:rect id="Rectangle 62" o:spid="_x0000_s1082" style="position:absolute;left:8939;top:1816;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A86CF1" w:rsidRDefault="00A86CF1" w:rsidP="00A325AD">
                      <w:r>
                        <w:rPr>
                          <w:rFonts w:ascii="Arial" w:hAnsi="Arial" w:cs="Arial"/>
                          <w:color w:val="000000"/>
                          <w:sz w:val="16"/>
                          <w:szCs w:val="16"/>
                        </w:rPr>
                        <w:t>7.449.216,0</w:t>
                      </w:r>
                    </w:p>
                  </w:txbxContent>
                </v:textbox>
              </v:rect>
              <v:rect id="Rectangle 63" o:spid="_x0000_s1083" style="position:absolute;left:61;top:2029;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55.03.10</w:t>
                      </w:r>
                    </w:p>
                  </w:txbxContent>
                </v:textbox>
              </v:rect>
              <v:rect id="Rectangle 64" o:spid="_x0000_s1084" style="position:absolute;left:772;top:2029;width:372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A86CF1" w:rsidRDefault="00A86CF1" w:rsidP="00A325AD">
                      <w:r>
                        <w:rPr>
                          <w:rFonts w:ascii="Arial" w:hAnsi="Arial" w:cs="Arial"/>
                          <w:color w:val="000000"/>
                          <w:sz w:val="16"/>
                          <w:szCs w:val="16"/>
                        </w:rPr>
                        <w:t xml:space="preserve">Contributii pentru reducerile în favoarea Danemarca, </w:t>
                      </w:r>
                    </w:p>
                  </w:txbxContent>
                </v:textbox>
              </v:rect>
              <v:rect id="Rectangle 65" o:spid="_x0000_s1085" style="position:absolute;left:772;top:2232;width:229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A86CF1" w:rsidRPr="00393B6C" w:rsidRDefault="00A86CF1" w:rsidP="00A325AD">
                      <w:pPr>
                        <w:rPr>
                          <w:lang w:val="fr-FR"/>
                        </w:rPr>
                      </w:pPr>
                      <w:r w:rsidRPr="00393B6C">
                        <w:rPr>
                          <w:rFonts w:ascii="Arial" w:hAnsi="Arial" w:cs="Arial"/>
                          <w:color w:val="000000"/>
                          <w:sz w:val="16"/>
                          <w:szCs w:val="16"/>
                          <w:lang w:val="fr-FR"/>
                        </w:rPr>
                        <w:t>Austria, Ţărilor de Jos şi Suediei</w:t>
                      </w:r>
                    </w:p>
                  </w:txbxContent>
                </v:textbox>
              </v:rect>
              <v:rect id="Rectangle 66" o:spid="_x0000_s1086" style="position:absolute;left:5384;top:2029;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66.639,0</w:t>
                      </w:r>
                    </w:p>
                  </w:txbxContent>
                </v:textbox>
              </v:rect>
              <v:rect id="Rectangle 67" o:spid="_x0000_s1087" style="position:absolute;left:6643;top:2029;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65.344,0</w:t>
                      </w:r>
                    </w:p>
                  </w:txbxContent>
                </v:textbox>
              </v:rect>
              <v:rect id="Rectangle 68" o:spid="_x0000_s1088" style="position:absolute;left:7903;top:2029;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65.060,0</w:t>
                      </w:r>
                    </w:p>
                  </w:txbxContent>
                </v:textbox>
              </v:rect>
              <v:rect id="Rectangle 69" o:spid="_x0000_s1089" style="position:absolute;left:9163;top:2029;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64.776,0</w:t>
                      </w:r>
                    </w:p>
                  </w:txbxContent>
                </v:textbox>
              </v:rect>
              <v:rect id="Rectangle 70" o:spid="_x0000_s1090" style="position:absolute;left:772;top:2435;width:266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A86CF1" w:rsidRDefault="00A86CF1" w:rsidP="00A325AD">
                      <w:r>
                        <w:rPr>
                          <w:rFonts w:ascii="Arial" w:hAnsi="Arial" w:cs="Arial"/>
                          <w:b/>
                          <w:bCs/>
                          <w:color w:val="000000"/>
                          <w:sz w:val="16"/>
                          <w:szCs w:val="16"/>
                        </w:rPr>
                        <w:t>Total contributii din resurse proprii</w:t>
                      </w:r>
                    </w:p>
                  </w:txbxContent>
                </v:textbox>
              </v:rect>
              <v:rect id="Rectangle 71" o:spid="_x0000_s1091" style="position:absolute;left:5160;top:2435;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8.572.385,0</w:t>
                      </w:r>
                    </w:p>
                  </w:txbxContent>
                </v:textbox>
              </v:rect>
              <v:rect id="Rectangle 72" o:spid="_x0000_s1092" style="position:absolute;left:6420;top:2435;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A86CF1" w:rsidRDefault="00A86CF1" w:rsidP="00A325AD">
                      <w:r>
                        <w:rPr>
                          <w:rFonts w:ascii="Arial" w:hAnsi="Arial" w:cs="Arial"/>
                          <w:b/>
                          <w:bCs/>
                          <w:color w:val="000000"/>
                          <w:sz w:val="16"/>
                          <w:szCs w:val="16"/>
                        </w:rPr>
                        <w:t>9.104.732,0</w:t>
                      </w:r>
                    </w:p>
                  </w:txbxContent>
                </v:textbox>
              </v:rect>
              <v:rect id="Rectangle 73" o:spid="_x0000_s1093" style="position:absolute;left:7680;top:2435;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9.642.226,0</w:t>
                      </w:r>
                    </w:p>
                  </w:txbxContent>
                </v:textbox>
              </v:rect>
              <v:rect id="Rectangle 74" o:spid="_x0000_s1094" style="position:absolute;left:8939;top:2435;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A86CF1" w:rsidRDefault="00A86CF1" w:rsidP="00A325AD">
                      <w:r>
                        <w:rPr>
                          <w:rFonts w:ascii="Arial" w:hAnsi="Arial" w:cs="Arial"/>
                          <w:b/>
                          <w:bCs/>
                          <w:color w:val="000000"/>
                          <w:sz w:val="16"/>
                          <w:szCs w:val="16"/>
                        </w:rPr>
                        <w:t>9.877.824,0</w:t>
                      </w:r>
                    </w:p>
                  </w:txbxContent>
                </v:textbox>
              </v:rect>
              <v:rect id="Rectangle 75" o:spid="_x0000_s1095" style="position:absolute;left:61;top:2648;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A86CF1" w:rsidRDefault="00A86CF1" w:rsidP="00A325AD">
                      <w:r>
                        <w:rPr>
                          <w:rFonts w:ascii="Arial" w:hAnsi="Arial" w:cs="Arial"/>
                          <w:b/>
                          <w:bCs/>
                          <w:color w:val="000000"/>
                          <w:sz w:val="16"/>
                          <w:szCs w:val="16"/>
                        </w:rPr>
                        <w:t>55.03.07</w:t>
                      </w:r>
                    </w:p>
                  </w:txbxContent>
                </v:textbox>
              </v:rect>
              <v:rect id="Rectangle 76" o:spid="_x0000_s1096" style="position:absolute;left:772;top:2648;width:276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Contributii suplimentare si neprevazute</w:t>
                      </w:r>
                    </w:p>
                  </w:txbxContent>
                </v:textbox>
              </v:rect>
              <v:rect id="Rectangle 77" o:spid="_x0000_s1097" style="position:absolute;left:5292;top:2648;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55.013,0</w:t>
                      </w:r>
                    </w:p>
                  </w:txbxContent>
                </v:textbox>
              </v:rect>
              <v:rect id="Rectangle 78" o:spid="_x0000_s1098" style="position:absolute;left:7050;top:2648;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79" o:spid="_x0000_s1099" style="position:absolute;left:8309;top:2648;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80" o:spid="_x0000_s1100" style="position:absolute;left:9569;top:2648;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81" o:spid="_x0000_s1101" style="position:absolute;left:1249;top:2861;width:10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A86CF1" w:rsidRDefault="00A86CF1" w:rsidP="00A325AD"/>
                  </w:txbxContent>
                </v:textbox>
              </v:rect>
              <v:rect id="Rectangle 82" o:spid="_x0000_s1102" style="position:absolute;left:1280;top:2901;width:352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A86CF1" w:rsidRDefault="00A86CF1" w:rsidP="00A325AD">
                      <w:r>
                        <w:rPr>
                          <w:rFonts w:ascii="Arial" w:hAnsi="Arial" w:cs="Arial"/>
                          <w:color w:val="000000"/>
                          <w:sz w:val="16"/>
                          <w:szCs w:val="16"/>
                        </w:rPr>
                        <w:t xml:space="preserve">rezerve pentru acoperirea diferentelor calculate la </w:t>
                      </w:r>
                    </w:p>
                  </w:txbxContent>
                </v:textbox>
              </v:rect>
              <v:rect id="Rectangle 83" o:spid="_x0000_s1103" style="position:absolute;left:1249;top:3104;width:148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 xml:space="preserve">soldurile TVA si VNB </w:t>
                      </w:r>
                    </w:p>
                  </w:txbxContent>
                </v:textbox>
              </v:rect>
              <v:rect id="Rectangle 84" o:spid="_x0000_s1104" style="position:absolute;left:5292;top:2861;width:6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A86CF1" w:rsidRDefault="00A86CF1" w:rsidP="00A325AD">
                      <w:r>
                        <w:rPr>
                          <w:rFonts w:ascii="Arial" w:hAnsi="Arial" w:cs="Arial"/>
                          <w:color w:val="000000"/>
                          <w:sz w:val="16"/>
                          <w:szCs w:val="16"/>
                        </w:rPr>
                        <w:t>55.013,0</w:t>
                      </w:r>
                    </w:p>
                  </w:txbxContent>
                </v:textbox>
              </v:rect>
              <v:rect id="Rectangle 85" o:spid="_x0000_s1105" style="position:absolute;left:7050;top:2861;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86" o:spid="_x0000_s1106" style="position:absolute;left:8309;top:2861;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87" o:spid="_x0000_s1107" style="position:absolute;left:9569;top:2861;width:2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0,0</w:t>
                      </w:r>
                    </w:p>
                  </w:txbxContent>
                </v:textbox>
              </v:rect>
              <v:rect id="Rectangle 88" o:spid="_x0000_s1108" style="position:absolute;left:173;top:3307;width:4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55.03</w:t>
                      </w:r>
                    </w:p>
                  </w:txbxContent>
                </v:textbox>
              </v:rect>
              <v:rect id="Rectangle 89" o:spid="_x0000_s1109" style="position:absolute;left:772;top:3307;width:269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A86CF1" w:rsidRDefault="00A86CF1" w:rsidP="00A325AD">
                      <w:r>
                        <w:rPr>
                          <w:rFonts w:ascii="Arial" w:hAnsi="Arial" w:cs="Arial"/>
                          <w:b/>
                          <w:bCs/>
                          <w:i/>
                          <w:iCs/>
                          <w:color w:val="000000"/>
                          <w:sz w:val="16"/>
                          <w:szCs w:val="16"/>
                        </w:rPr>
                        <w:t>Contributia Romaniei la bugetul UE</w:t>
                      </w:r>
                    </w:p>
                  </w:txbxContent>
                </v:textbox>
              </v:rect>
              <v:rect id="Rectangle 90" o:spid="_x0000_s1110" style="position:absolute;left:5160;top:3307;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8.627.398,0</w:t>
                      </w:r>
                    </w:p>
                  </w:txbxContent>
                </v:textbox>
              </v:rect>
              <v:rect id="Rectangle 91" o:spid="_x0000_s1111" style="position:absolute;left:6420;top:3307;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9.104.732,0</w:t>
                      </w:r>
                    </w:p>
                  </w:txbxContent>
                </v:textbox>
              </v:rect>
              <v:rect id="Rectangle 92" o:spid="_x0000_s1112" style="position:absolute;left:7680;top:3307;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A86CF1" w:rsidRDefault="00A86CF1" w:rsidP="00A325AD">
                      <w:r>
                        <w:rPr>
                          <w:rFonts w:ascii="Arial" w:hAnsi="Arial" w:cs="Arial"/>
                          <w:b/>
                          <w:bCs/>
                          <w:color w:val="000000"/>
                          <w:sz w:val="16"/>
                          <w:szCs w:val="16"/>
                        </w:rPr>
                        <w:t>9.642.226,0</w:t>
                      </w:r>
                    </w:p>
                  </w:txbxContent>
                </v:textbox>
              </v:rect>
              <v:rect id="Rectangle 93" o:spid="_x0000_s1113" style="position:absolute;left:8939;top:3307;width:84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A86CF1" w:rsidRDefault="00A86CF1" w:rsidP="00A325AD">
                      <w:r>
                        <w:rPr>
                          <w:rFonts w:ascii="Arial" w:hAnsi="Arial" w:cs="Arial"/>
                          <w:b/>
                          <w:bCs/>
                          <w:color w:val="000000"/>
                          <w:sz w:val="16"/>
                          <w:szCs w:val="16"/>
                        </w:rPr>
                        <w:t>9.877.824,0</w:t>
                      </w:r>
                    </w:p>
                  </w:txbxContent>
                </v:textbox>
              </v:rect>
              <v:rect id="Rectangle 94" o:spid="_x0000_s1114" style="position:absolute;left:5313;top:3591;width:7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A86CF1" w:rsidRDefault="00A86CF1" w:rsidP="00A325AD">
                      <w:r>
                        <w:rPr>
                          <w:rFonts w:ascii="Arial" w:hAnsi="Arial" w:cs="Arial"/>
                          <w:i/>
                          <w:iCs/>
                          <w:color w:val="FFFFFF"/>
                          <w:sz w:val="14"/>
                          <w:szCs w:val="14"/>
                        </w:rPr>
                        <w:t>1.572.248,0</w:t>
                      </w:r>
                    </w:p>
                  </w:txbxContent>
                </v:textbox>
              </v:rect>
              <v:rect id="Rectangle 95" o:spid="_x0000_s1115" style="position:absolute;left:6572;top:3591;width:7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A86CF1" w:rsidRDefault="00A86CF1" w:rsidP="00A325AD">
                      <w:r>
                        <w:rPr>
                          <w:rFonts w:ascii="Arial" w:hAnsi="Arial" w:cs="Arial"/>
                          <w:i/>
                          <w:iCs/>
                          <w:color w:val="FFFFFF"/>
                          <w:sz w:val="14"/>
                          <w:szCs w:val="14"/>
                        </w:rPr>
                        <w:t>1.418.204,0</w:t>
                      </w:r>
                    </w:p>
                  </w:txbxContent>
                </v:textbox>
              </v:rect>
              <v:rect id="Rectangle 96" o:spid="_x0000_s1116" style="position:absolute;left:7832;top:3591;width:7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A86CF1" w:rsidRDefault="00A86CF1" w:rsidP="00A325AD">
                      <w:r>
                        <w:rPr>
                          <w:rFonts w:ascii="Arial" w:hAnsi="Arial" w:cs="Arial"/>
                          <w:i/>
                          <w:iCs/>
                          <w:color w:val="FFFFFF"/>
                          <w:sz w:val="14"/>
                          <w:szCs w:val="14"/>
                        </w:rPr>
                        <w:t>1.955.698,0</w:t>
                      </w:r>
                    </w:p>
                  </w:txbxContent>
                </v:textbox>
              </v:rect>
              <v:rect id="Rectangle 97" o:spid="_x0000_s1117" style="position:absolute;left:9091;top:3591;width:7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A86CF1" w:rsidRDefault="00A86CF1" w:rsidP="00A325AD">
                      <w:r>
                        <w:rPr>
                          <w:rFonts w:ascii="Arial" w:hAnsi="Arial" w:cs="Arial"/>
                          <w:i/>
                          <w:iCs/>
                          <w:color w:val="FFFFFF"/>
                          <w:sz w:val="14"/>
                          <w:szCs w:val="14"/>
                        </w:rPr>
                        <w:t>2.191.296,0</w:t>
                      </w:r>
                    </w:p>
                  </w:txbxContent>
                </v:textbox>
              </v:rect>
              <v:rect id="Rectangle 98" o:spid="_x0000_s1118" style="position:absolute;left:762;top:3855;width:142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 xml:space="preserve">Produsul Intern Brut </w:t>
                      </w:r>
                    </w:p>
                  </w:txbxContent>
                </v:textbox>
              </v:rect>
              <v:rect id="Rectangle 99" o:spid="_x0000_s1119" style="position:absolute;left:2113;top:3824;width:73;height:1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0"/>
                          <w:szCs w:val="10"/>
                        </w:rPr>
                        <w:t>*)</w:t>
                      </w:r>
                    </w:p>
                  </w:txbxContent>
                </v:textbox>
              </v:rect>
              <v:rect id="Rectangle 100" o:spid="_x0000_s1120" style="position:absolute;left:4967;top:3824;width:115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A86CF1" w:rsidRDefault="00A86CF1" w:rsidP="00A325AD">
                      <w:r>
                        <w:rPr>
                          <w:rFonts w:ascii="Arial" w:hAnsi="Arial" w:cs="Arial"/>
                          <w:color w:val="000000"/>
                          <w:sz w:val="16"/>
                          <w:szCs w:val="16"/>
                        </w:rPr>
                        <w:t>1.022.500.000,0</w:t>
                      </w:r>
                    </w:p>
                  </w:txbxContent>
                </v:textbox>
              </v:rect>
              <v:rect id="Rectangle 101" o:spid="_x0000_s1121" style="position:absolute;left:6227;top:3824;width:115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1.101.000.000,0</w:t>
                      </w:r>
                    </w:p>
                  </w:txbxContent>
                </v:textbox>
              </v:rect>
              <v:rect id="Rectangle 102" o:spid="_x0000_s1122" style="position:absolute;left:7487;top:3824;width:115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A86CF1" w:rsidRDefault="00A86CF1" w:rsidP="00A325AD">
                      <w:r>
                        <w:rPr>
                          <w:rFonts w:ascii="Arial" w:hAnsi="Arial" w:cs="Arial"/>
                          <w:color w:val="000000"/>
                          <w:sz w:val="16"/>
                          <w:szCs w:val="16"/>
                        </w:rPr>
                        <w:t>1.178.600.000,0</w:t>
                      </w:r>
                    </w:p>
                  </w:txbxContent>
                </v:textbox>
              </v:rect>
              <v:rect id="Rectangle 103" o:spid="_x0000_s1123" style="position:absolute;left:8746;top:3824;width:115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1.261.500.000,0</w:t>
                      </w:r>
                    </w:p>
                  </w:txbxContent>
                </v:textbox>
              </v:rect>
              <v:rect id="Rectangle 104" o:spid="_x0000_s1124" style="position:absolute;left:762;top:4078;width:446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A86CF1" w:rsidRPr="00393B6C" w:rsidRDefault="00A86CF1" w:rsidP="00A325AD">
                      <w:pPr>
                        <w:rPr>
                          <w:lang w:val="fr-FR"/>
                        </w:rPr>
                      </w:pPr>
                      <w:r w:rsidRPr="00393B6C">
                        <w:rPr>
                          <w:rFonts w:ascii="Arial" w:hAnsi="Arial" w:cs="Arial"/>
                          <w:color w:val="000000"/>
                          <w:sz w:val="16"/>
                          <w:szCs w:val="16"/>
                          <w:lang w:val="fr-FR"/>
                        </w:rPr>
                        <w:t xml:space="preserve">Contributia Romaniei privind resursele proprii la bugetul UE, ca </w:t>
                      </w:r>
                    </w:p>
                  </w:txbxContent>
                </v:textbox>
              </v:rect>
              <v:rect id="Rectangle 105" o:spid="_x0000_s1125" style="position:absolute;left:762;top:4271;width:381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 xml:space="preserve">pondere in PIB (%), inclusiv contributii suplimentare si </w:t>
                      </w:r>
                    </w:p>
                  </w:txbxContent>
                </v:textbox>
              </v:rect>
              <v:rect id="Rectangle 106" o:spid="_x0000_s1126" style="position:absolute;left:762;top:4463;width:8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neprevazute</w:t>
                      </w:r>
                    </w:p>
                  </w:txbxContent>
                </v:textbox>
              </v:rect>
              <v:rect id="Rectangle 107" o:spid="_x0000_s1127" style="position:absolute;left:5739;top:4271;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0,84</w:t>
                      </w:r>
                    </w:p>
                  </w:txbxContent>
                </v:textbox>
              </v:rect>
              <v:rect id="Rectangle 108" o:spid="_x0000_s1128" style="position:absolute;left:6999;top:4271;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0,83</w:t>
                      </w:r>
                    </w:p>
                  </w:txbxContent>
                </v:textbox>
              </v:rect>
              <v:rect id="Rectangle 109" o:spid="_x0000_s1129" style="position:absolute;left:8259;top:4271;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0,82</w:t>
                      </w:r>
                    </w:p>
                  </w:txbxContent>
                </v:textbox>
              </v:rect>
              <v:rect id="Rectangle 110" o:spid="_x0000_s1130" style="position:absolute;left:9518;top:4271;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A86CF1" w:rsidRDefault="00A86CF1" w:rsidP="00A325AD">
                      <w:r>
                        <w:rPr>
                          <w:rFonts w:ascii="Arial" w:hAnsi="Arial" w:cs="Arial"/>
                          <w:color w:val="000000"/>
                          <w:sz w:val="16"/>
                          <w:szCs w:val="16"/>
                        </w:rPr>
                        <w:t>0,78</w:t>
                      </w:r>
                    </w:p>
                  </w:txbxContent>
                </v:textbox>
              </v:rect>
              <v:rect id="Rectangle 111" o:spid="_x0000_s1131" style="position:absolute;left:30;top:4869;width:84;height:1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A86CF1" w:rsidRDefault="00A86CF1" w:rsidP="00A325AD">
                      <w:r>
                        <w:rPr>
                          <w:color w:val="000000"/>
                          <w:sz w:val="10"/>
                          <w:szCs w:val="10"/>
                        </w:rPr>
                        <w:t>*)</w:t>
                      </w:r>
                    </w:p>
                  </w:txbxContent>
                </v:textbox>
              </v:rect>
              <v:rect id="Rectangle 112" o:spid="_x0000_s1132" style="position:absolute;left:112;top:4910;width:2430;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A86CF1" w:rsidRPr="00393B6C" w:rsidRDefault="00A86CF1" w:rsidP="00A325AD">
                      <w:pPr>
                        <w:rPr>
                          <w:lang w:val="fr-FR"/>
                        </w:rPr>
                      </w:pPr>
                      <w:r w:rsidRPr="00393B6C">
                        <w:rPr>
                          <w:color w:val="000000"/>
                          <w:sz w:val="14"/>
                          <w:szCs w:val="14"/>
                          <w:lang w:val="fr-FR"/>
                        </w:rPr>
                        <w:t xml:space="preserve"> CNSP  - Prognoza de iarnă - ianuarie 2019</w:t>
                      </w:r>
                    </w:p>
                  </w:txbxContent>
                </v:textbox>
              </v:rect>
              <v:rect id="Rectangle 113" o:spid="_x0000_s1133" style="position:absolute;left:386;top:20;width:774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A86CF1" w:rsidRPr="00393B6C" w:rsidRDefault="00A86CF1" w:rsidP="00A325AD">
                      <w:pPr>
                        <w:rPr>
                          <w:lang w:val="fr-FR"/>
                        </w:rPr>
                      </w:pPr>
                      <w:r w:rsidRPr="00393B6C">
                        <w:rPr>
                          <w:rFonts w:ascii="Arial" w:hAnsi="Arial" w:cs="Arial"/>
                          <w:b/>
                          <w:bCs/>
                          <w:color w:val="000000"/>
                          <w:sz w:val="16"/>
                          <w:szCs w:val="16"/>
                          <w:lang w:val="fr-FR"/>
                        </w:rPr>
                        <w:t>Contribuţia României la bugetul Uniunii Europene pentru anul 2019 şi estimarea pentru anii 2020-2022</w:t>
                      </w:r>
                    </w:p>
                  </w:txbxContent>
                </v:textbox>
              </v:rect>
              <v:line id="Line 114" o:spid="_x0000_s1134" style="position:absolute;visibility:visible" from="731,0" to="7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yTcMAAADcAAAADwAAAGRycy9kb3ducmV2LnhtbERPy2oCMRTdF/oP4QpupGYUkTIaRVsV&#10;C4L4wu11cp0ZOrkZkqjTfn2zELo8nPd42phK3Mn50rKCXjcBQZxZXXKu4HhYvr2D8AFZY2WZFPyQ&#10;h+nk9WWMqbYP3tF9H3IRQ9inqKAIoU6l9FlBBn3X1sSRu1pnMETocqkdPmK4qWQ/SYbSYMmxocCa&#10;PgrKvvc3o+Dc+8p+d0c3X83Pnc0nX7aLk7wq1W41sxGIQE34Fz/da61gMIz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78k3DAAAA3AAAAA8AAAAAAAAAAAAA&#10;AAAAoQIAAGRycy9kb3ducmV2LnhtbFBLBQYAAAAABAAEAPkAAACRAwAAAAA=&#10;" strokecolor="#d4d4d4" strokeweight="0"/>
              <v:rect id="Rectangle 115" o:spid="_x0000_s1135" style="position:absolute;left:731;width:1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tIcQA&#10;AADcAAAADwAAAGRycy9kb3ducmV2LnhtbESP3WoCMRSE74W+QziF3kjNWupSV6OIVGjvrPoAh81x&#10;sz85WZJU1z59UxB6OczMN8xyPdhOXMiH2rGC6SQDQVw6XXOl4HTcPb+BCBFZY+eYFNwowHr1MFpi&#10;od2Vv+hyiJVIEA4FKjAx9oWUoTRkMUxcT5y8s/MWY5K+ktrjNcFtJ1+yLJcWa04LBnvaGirbw7dV&#10;IJu9rmX/nvvmPG713HzO8Gem1NPjsFmAiDTE//C9/aEVvO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SHEAAAA3AAAAA8AAAAAAAAAAAAAAAAAmAIAAGRycy9k&#10;b3ducmV2LnhtbFBLBQYAAAAABAAEAPUAAACJAwAAAAA=&#10;" fillcolor="#d4d4d4" stroked="f"/>
              <v:line id="Line 116" o:spid="_x0000_s1136" style="position:absolute;visibility:visible" from="4906,0" to="49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JoccAAADcAAAADwAAAGRycy9kb3ducmV2LnhtbESP3WoCMRSE7wXfIRzBG6lZpUjZGqXW&#10;HyoIstbi7enmuLt0c7IkUbd9+qYg9HKYmW+Y6bw1tbiS85VlBaNhAoI4t7riQsHxff3wBMIHZI21&#10;ZVLwTR7ms25niqm2N87oegiFiBD2KSooQ2hSKX1ekkE/tA1x9M7WGQxRukJqh7cIN7UcJ8lEGqw4&#10;LpTY0GtJ+dfhYhScRtv8Jzu6xWZxGuyW/LlffcizUv1e+/IMIlAb/sP39ptW8DgZ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cmhxwAAANwAAAAPAAAAAAAA&#10;AAAAAAAAAKECAABkcnMvZG93bnJldi54bWxQSwUGAAAAAAQABAD5AAAAlQMAAAAA&#10;" strokecolor="#d4d4d4" strokeweight="0"/>
              <v:rect id="Rectangle 117" o:spid="_x0000_s1137" style="position:absolute;left:4906;width:1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WzcQA&#10;AADcAAAADwAAAGRycy9kb3ducmV2LnhtbESP0WoCMRRE34X+Q7iFvkjNtuqiq1GKVKhvrfUDLpvr&#10;ZnVzsyRRt369KQg+DjNzhpkvO9uIM/lQO1bwNshAEJdO11wp2P2uXycgQkTW2DgmBX8UYLl46s2x&#10;0O7CP3TexkokCIcCFZgY20LKUBqyGAauJU7e3nmLMUlfSe3xkuC2ke9ZlkuLNacFgy2tDJXH7ckq&#10;kIdvXcv2M/eHff+op2YzxutYqZfn7mMGIlIXH+F7+0srGOVD+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ls3EAAAA3AAAAA8AAAAAAAAAAAAAAAAAmAIAAGRycy9k&#10;b3ducmV2LnhtbFBLBQYAAAAABAAEAPUAAACJAwAAAAA=&#10;" fillcolor="#d4d4d4" stroked="f"/>
              <v:line id="Line 118" o:spid="_x0000_s1138" style="position:absolute;visibility:visible" from="6044,0" to="6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0TscAAADcAAAADwAAAGRycy9kb3ducmV2LnhtbESP3WoCMRSE7wu+QzhCb4pmLSKyGqXa&#10;WiwI4h/enm6Ou4ubkyWJuvbpm0LBy2FmvmHG08ZU4krOl5YV9LoJCOLM6pJzBfvdojME4QOyxsoy&#10;KbiTh+mk9TTGVNsbb+i6DbmIEPYpKihCqFMpfVaQQd+1NXH0TtYZDFG6XGqHtwg3lXxNkoE0WHJc&#10;KLCmeUHZeXsxCo69r+xns3ezz9nxZfXO3+uPgzwp9dxu3kYgAjXhEf5vL7WC/qA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PROxwAAANwAAAAPAAAAAAAA&#10;AAAAAAAAAKECAABkcnMvZG93bnJldi54bWxQSwUGAAAAAAQABAD5AAAAlQMAAAAA&#10;" strokecolor="#d4d4d4" strokeweight="0"/>
              <v:rect id="Rectangle 119" o:spid="_x0000_s1139" style="position:absolute;left:6044;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rIsQA&#10;AADcAAAADwAAAGRycy9kb3ducmV2LnhtbESP3WoCMRSE7wu+QzhCb4pmW7qLrkaRotDe1Z8HOGyO&#10;m9XNyZJEXfv0TaHg5TAz3zDzZW9bcSUfGscKXscZCOLK6YZrBYf9ZjQBESKyxtYxKbhTgOVi8DTH&#10;Ursbb+m6i7VIEA4lKjAxdqWUoTJkMYxdR5y8o/MWY5K+ltrjLcFtK9+yrJAWG04LBjv6MFSddxer&#10;QJ6+dSO7deFPx5eznpqvHH9ypZ6H/WoGIlIfH+H/9qdW8F7k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qyLEAAAA3AAAAA8AAAAAAAAAAAAAAAAAmAIAAGRycy9k&#10;b3ducmV2LnhtbFBLBQYAAAAABAAEAPUAAACJAwAAAAA=&#10;" fillcolor="#d4d4d4" stroked="f"/>
              <v:line id="Line 120" o:spid="_x0000_s1140" style="position:absolute;visibility:visible" from="7304,0" to="7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PoscAAADcAAAADwAAAGRycy9kb3ducmV2LnhtbESP3WoCMRSE7wu+QzhCb4pmlbKU1Sja&#10;WmlBKP7h7XFz3F3cnCxJ1G2fvikUvBxm5htmPG1NLa7kfGVZwaCfgCDOra64ULDbvvdeQPiArLG2&#10;TAq+ycN00nkYY6btjdd03YRCRAj7DBWUITSZlD4vyaDv24Y4eifrDIYoXSG1w1uEm1oOkySVBiuO&#10;CyU29FpSft5cjILD4DP/We/cfDk/PK3e+Pi12MuTUo/ddjYCEagN9/B/+0MreE5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s+ixwAAANwAAAAPAAAAAAAA&#10;AAAAAAAAAKECAABkcnMvZG93bnJldi54bWxQSwUGAAAAAAQABAD5AAAAlQMAAAAA&#10;" strokecolor="#d4d4d4" strokeweight="0"/>
              <v:rect id="Rectangle 121" o:spid="_x0000_s1141" style="position:absolute;left:7304;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zsQA&#10;AADcAAAADwAAAGRycy9kb3ducmV2LnhtbESP0WoCMRRE3wX/IVyhL6VmLbq2q1GkVKhvrfYDLpvr&#10;ZnVzsyRRV7++EQo+DjNzhpkvO9uIM/lQO1YwGmYgiEuna64U/O7WL28gQkTW2DgmBVcKsFz0e3Ms&#10;tLvwD523sRIJwqFABSbGtpAylIYshqFriZO3d95iTNJXUnu8JLht5GuW5dJizWnBYEsfhsrj9mQV&#10;yMO3rmX7mfvD/vmo381mgreJUk+DbjUDEamLj/B/+0srGOd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M7EAAAA3AAAAA8AAAAAAAAAAAAAAAAAmAIAAGRycy9k&#10;b3ducmV2LnhtbFBLBQYAAAAABAAEAPUAAACJAwAAAAA=&#10;" fillcolor="#d4d4d4" stroked="f"/>
              <v:line id="Line 122" o:spid="_x0000_s1142" style="position:absolute;visibility:visible" from="0,0" to="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S8MAAADcAAAADwAAAGRycy9kb3ducmV2LnhtbERPy2oCMRTdF/oP4QpupGYUkTIaRVsV&#10;C4L4wu11cp0ZOrkZkqjTfn2zELo8nPd42phK3Mn50rKCXjcBQZxZXXKu4HhYvr2D8AFZY2WZFPyQ&#10;h+nk9WWMqbYP3tF9H3IRQ9inqKAIoU6l9FlBBn3X1sSRu1pnMETocqkdPmK4qWQ/SYbSYMmxocCa&#10;PgrKvvc3o+Dc+8p+d0c3X83Pnc0nX7aLk7wq1W41sxGIQE34Fz/da61gMIxr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kvDAAAA3AAAAA8AAAAAAAAAAAAA&#10;AAAAoQIAAGRycy9kb3ducmV2LnhtbFBLBQYAAAAABAAEAPkAAACRAwAAAAA=&#10;" strokecolor="#d4d4d4" strokeweight="0"/>
              <v:rect id="Rectangle 123" o:spid="_x0000_s1143" style="position:absolute;width:1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hJ8MA&#10;AADcAAAADwAAAGRycy9kb3ducmV2LnhtbESP0WoCMRRE34X+Q7iCL6JZRRddjVKkhfpmbT/gsrlu&#10;Vjc3S5Lqtl9vBKGPw8ycYdbbzjbiSj7UjhVMxhkI4tLpmisF31/vowWIEJE1No5JwS8F2G5eemss&#10;tLvxJ12PsRIJwqFABSbGtpAylIYshrFriZN3ct5iTNJXUnu8Jbht5DTLcmmx5rRgsKWdofJy/LEK&#10;5Pmga9m+5f58Gl700uzn+DdXatDvXlcgInXxP/xsf2gFs3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yhJ8MAAADcAAAADwAAAAAAAAAAAAAAAACYAgAAZHJzL2Rv&#10;d25yZXYueG1sUEsFBgAAAAAEAAQA9QAAAIgDAAAAAA==&#10;" fillcolor="#d4d4d4" stroked="f"/>
              <v:line id="Line 124" o:spid="_x0000_s1144" style="position:absolute;visibility:visible" from="731,223" to="7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kkMUAAADcAAAADwAAAGRycy9kb3ducmV2LnhtbERPW2vCMBR+H+w/hDPYi8zUMdzojDIv&#10;EwVh1Au+njXHtqw5KUnU6q83D8IeP777YNSaWpzI+cqygl43AUGcW11xoWC7+X75AOEDssbaMim4&#10;kIfR8PFhgKm2Z87otA6FiCHsU1RQhtCkUvq8JIO+axviyB2sMxgidIXUDs8x3NTyNUn60mDFsaHE&#10;hiYl5X/ro1Gw7y3za7Z14/l431lN+fdntpMHpZ6f2q9PEIHa8C++uxdawdt7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JkkMUAAADcAAAADwAAAAAAAAAA&#10;AAAAAAChAgAAZHJzL2Rvd25yZXYueG1sUEsFBgAAAAAEAAQA+QAAAJMDAAAAAA==&#10;" strokecolor="#d4d4d4" strokeweight="0"/>
              <v:rect id="Rectangle 125" o:spid="_x0000_s1145" style="position:absolute;left:731;top:223;width:11;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7/MQA&#10;AADcAAAADwAAAGRycy9kb3ducmV2LnhtbESPzWrDMBCE74W8g9hALyWRU5o/x0oIpYX2lr8HWKyN&#10;ZcdaGUlJ3D59VSj0OMzMN0yx6W0rbuRD7VjBZJyBIC6drrlScDq+jxYgQkTW2DomBV8UYLMePBSY&#10;a3fnPd0OsRIJwiFHBSbGLpcylIYshrHriJN3dt5iTNJXUnu8J7ht5XOWzaTFmtOCwY5eDZWXw9Uq&#10;kM1O17J7m/nm/HTRS/M5xe+pUo/DfrsCEamP/+G/9odW8DKf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O/zEAAAA3AAAAA8AAAAAAAAAAAAAAAAAmAIAAGRycy9k&#10;b3ducmV2LnhtbFBLBQYAAAAABAAEAPUAAACJAwAAAAA=&#10;" fillcolor="#d4d4d4" stroked="f"/>
              <v:line id="Line 126" o:spid="_x0000_s1146" style="position:absolute;visibility:visible" from="4906,223" to="490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ffMcAAADcAAAADwAAAGRycy9kb3ducmV2LnhtbESP3WoCMRSE7wu+QziCN0WzSqmyGkVb&#10;LS0UxD+8PW6Ou4ubkyWJuu3TN4VCL4eZ+YaZzBpTiRs5X1pW0O8lIIgzq0vOFex3q+4IhA/IGivL&#10;pOCLPMymrYcJptreeUO3bchFhLBPUUERQp1K6bOCDPqerYmjd7bOYIjS5VI7vEe4qeQgSZ6lwZLj&#10;QoE1vRSUXbZXo+DY/8i+N3u3eFscHz9f+bReHuRZqU67mY9BBGrCf/iv/a4VPA0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F98xwAAANwAAAAPAAAAAAAA&#10;AAAAAAAAAKECAABkcnMvZG93bnJldi54bWxQSwUGAAAAAAQABAD5AAAAlQMAAAAA&#10;" strokecolor="#d4d4d4" strokeweight="0"/>
              <v:rect id="Rectangle 127" o:spid="_x0000_s1147" style="position:absolute;left:4906;top:223;width:11;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EMUA&#10;AADcAAAADwAAAGRycy9kb3ducmV2LnhtbESP0WoCMRRE34X+Q7iFvkjNWnXbbo0iYkHfrO0HXDbX&#10;zermZkmibvv1jSD4OMzMGWY672wjzuRD7VjBcJCBIC6drrlS8PP9+fwGIkRkjY1jUvBLAeazh94U&#10;C+0u/EXnXaxEgnAoUIGJsS2kDKUhi2HgWuLk7Z23GJP0ldQeLwluG/mSZbm0WHNaMNjS0lB53J2s&#10;AnnY6lq2q9wf9v2jfjebCf5NlHp67BYfICJ18R6+tddawfh1BN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QAQxQAAANwAAAAPAAAAAAAAAAAAAAAAAJgCAABkcnMv&#10;ZG93bnJldi54bWxQSwUGAAAAAAQABAD1AAAAigMAAAAA&#10;" fillcolor="#d4d4d4" stroked="f"/>
              <v:line id="Line 128" o:spid="_x0000_s1148" style="position:absolute;visibility:visible" from="6044,223" to="60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ik8cAAADcAAAADwAAAGRycy9kb3ducmV2LnhtbESPW2sCMRSE3wv9D+EUfBHNKlJlaxRv&#10;LS0UxBu+nm6Ou4ubkyWJuu2vbwpCH4eZ+YYZTxtTiSs5X1pW0OsmIIgzq0vOFex3r50RCB+QNVaW&#10;ScE3eZhOHh/GmGp74w1dtyEXEcI+RQVFCHUqpc8KMui7tiaO3sk6gyFKl0vt8BbhppL9JHmWBkuO&#10;CwXWtCgoO28vRsGx95H9bPZu/jY/tj+X/LVeHeRJqdZTM3sBEagJ/+F7+10rGAw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WKTxwAAANwAAAAPAAAAAAAA&#10;AAAAAAAAAKECAABkcnMvZG93bnJldi54bWxQSwUGAAAAAAQABAD5AAAAlQMAAAAA&#10;" strokecolor="#d4d4d4" strokeweight="0"/>
              <v:rect id="Rectangle 129" o:spid="_x0000_s1149" style="position:absolute;left:6044;top:223;width:10;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9/8QA&#10;AADcAAAADwAAAGRycy9kb3ducmV2LnhtbESP0WoCMRRE34X+Q7gFX6RmK91tuzVKEYX6prYfcNlc&#10;N6ubmyVJde3XN4Lg4zAzZ5jpvLetOJEPjWMFz+MMBHHldMO1gp/v1dMbiBCRNbaOScGFAsxnD4Mp&#10;ltqdeUunXaxFgnAoUYGJsSulDJUhi2HsOuLk7Z23GJP0tdQezwluWznJskJabDgtGOxoYag67n6t&#10;AnnY6EZ2y8If9qOjfjfrHP9ypYaP/ecHiEh9vIdv7S+t4OU1h+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Pf/EAAAA3AAAAA8AAAAAAAAAAAAAAAAAmAIAAGRycy9k&#10;b3ducmV2LnhtbFBLBQYAAAAABAAEAPUAAACJAwAAAAA=&#10;" fillcolor="#d4d4d4" stroked="f"/>
              <v:line id="Line 130" o:spid="_x0000_s1150" style="position:absolute;visibility:visible" from="7304,223" to="730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Zf8cAAADcAAAADwAAAGRycy9kb3ducmV2LnhtbESPW2sCMRSE34X+h3AKvhTNKkVlaxRv&#10;LS0UxBu+nm6Ou4ubkyWJuu2vbwoFH4eZ+YYZTxtTiSs5X1pW0OsmIIgzq0vOFex3r50RCB+QNVaW&#10;ScE3eZhOHlpjTLW98Yau25CLCGGfooIihDqV0mcFGfRdWxNH72SdwRCly6V2eItwU8l+kgykwZLj&#10;QoE1LQrKztuLUXDsfWQ/m72bv82PT59L/lqvDvKkVPuxmb2ACNSEe/i//a4VPA8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1l/xwAAANwAAAAPAAAAAAAA&#10;AAAAAAAAAKECAABkcnMvZG93bnJldi54bWxQSwUGAAAAAAQABAD5AAAAlQMAAAAA&#10;" strokecolor="#d4d4d4" strokeweight="0"/>
              <v:rect id="Rectangle 131" o:spid="_x0000_s1151" style="position:absolute;left:7304;top:223;width:10;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GE8MA&#10;AADcAAAADwAAAGRycy9kb3ducmV2LnhtbESP3WoCMRSE7wXfIRyhN0WzFn9Xo5TSgr3z7wEOm+Nm&#10;dXOyJKlufXpTKHg5zMw3zHLd2lpcyYfKsYLhIANBXDhdcangePjqz0CEiKyxdkwKfinAetXtLDHX&#10;7sY7uu5jKRKEQ44KTIxNLmUoDFkMA9cQJ+/kvMWYpC+l9nhLcFvLtyybSIsVpwWDDX0YKi77H6tA&#10;nre6ks3nxJ9Prxc9N99jvI+Veum17wsQkdr4DP+3N1rBaDqF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GE8MAAADcAAAADwAAAAAAAAAAAAAAAACYAgAAZHJzL2Rv&#10;d25yZXYueG1sUEsFBgAAAAAEAAQA9QAAAIgDAAAAAA==&#10;" fillcolor="#d4d4d4" stroked="f"/>
              <v:line id="Line 132" o:spid="_x0000_s1152" style="position:absolute;visibility:visible" from="8563,0" to="85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olsUAAADcAAAADwAAAGRycy9kb3ducmV2LnhtbERPW2vCMBR+H+w/hDPYi8zUMdzojDIv&#10;EwVh1Au+njXHtqw5KUnU6q83D8IeP777YNSaWpzI+cqygl43AUGcW11xoWC7+X75AOEDssbaMim4&#10;kIfR8PFhgKm2Z87otA6FiCHsU1RQhtCkUvq8JIO+axviyB2sMxgidIXUDs8x3NTyNUn60mDFsaHE&#10;hiYl5X/ro1Gw7y3za7Z14/l431lN+fdntpMHpZ6f2q9PEIHa8C++uxdawdt7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RolsUAAADcAAAADwAAAAAAAAAA&#10;AAAAAAChAgAAZHJzL2Rvd25yZXYueG1sUEsFBgAAAAAEAAQA+QAAAJMDAAAAAA==&#10;" strokecolor="#d4d4d4" strokeweight="0"/>
              <v:rect id="Rectangle 133" o:spid="_x0000_s1153" style="position:absolute;left:8563;width:1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3+sQA&#10;AADcAAAADwAAAGRycy9kb3ducmV2LnhtbESP0WoCMRRE34X+Q7iCL6VmK9XqahQRBftmrR9w2Vw3&#10;q5ubJYm69utNoeDjMDNnmNmitbW4kg+VYwXv/QwEceF0xaWCw8/mbQwiRGSNtWNScKcAi/lLZ4a5&#10;djf+pus+liJBOOSowMTY5FKGwpDF0HcNcfKOzluMSfpSao+3BLe1HGTZSFqsOC0YbGhlqDjvL1aB&#10;PO10JZv1yJ+Or2c9MV9D/B0q1eu2yymISG18hv/bW63g43MC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N/rEAAAA3AAAAA8AAAAAAAAAAAAAAAAAmAIAAGRycy9k&#10;b3ducmV2LnhtbFBLBQYAAAAABAAEAPUAAACJAwAAAAA=&#10;" fillcolor="#d4d4d4" stroked="f"/>
              <v:rect id="Rectangle 134" o:spid="_x0000_s1154" style="position:absolute;left:10;top:416;width:9823;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135" o:spid="_x0000_s1155" style="position:absolute;visibility:visible" from="9823,0" to="982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xLMcAAADcAAAADwAAAGRycy9kb3ducmV2LnhtbESP3WoCMRSE7wu+QzhCb4pmV0qR1Sja&#10;WmlBKP7h7XFz3F3cnCxJ1G2fvikUvBxm5htmPG1NLa7kfGVZQdpPQBDnVldcKNht33tDED4ga6wt&#10;k4Jv8jCddB7GmGl74zVdN6EQEcI+QwVlCE0mpc9LMuj7tiGO3sk6gyFKV0jt8BbhppaDJHmR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7EsxwAAANwAAAAPAAAAAAAA&#10;AAAAAAAAAKECAABkcnMvZG93bnJldi54bWxQSwUGAAAAAAQABAD5AAAAlQMAAAAA&#10;" strokecolor="#d4d4d4" strokeweight="0"/>
              <v:rect id="Rectangle 136" o:spid="_x0000_s1156" style="position:absolute;left:9823;width:1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VrMMA&#10;AADcAAAADwAAAGRycy9kb3ducmV2LnhtbESP3WoCMRSE74W+QzgFb0SzShW7NYqIQr2rPw9w2Bw3&#10;q5uTJYm69ukboeDlMDPfMLNFa2txIx8qxwqGgwwEceF0xaWC42HTn4IIEVlj7ZgUPCjAYv7WmWGu&#10;3Z13dNvHUiQIhxwVmBibXMpQGLIYBq4hTt7JeYsxSV9K7fGe4LaWoyybSIsVpwWDDa0MFZf91SqQ&#10;5x9dyWY98edT76I/zXaMv2Oluu/t8gtEpDa+wv/tb63gYzq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TVrMMAAADcAAAADwAAAAAAAAAAAAAAAACYAgAAZHJzL2Rv&#10;d25yZXYueG1sUEsFBgAAAAAEAAQA9QAAAIgDAAAAAA==&#10;" fillcolor="#d4d4d4" stroked="f"/>
              <v:line id="Line 137" o:spid="_x0000_s1157" style="position:absolute;visibility:visible" from="10,680" to="603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138" o:spid="_x0000_s1158" style="position:absolute;left:10;top:680;width:602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139" o:spid="_x0000_s1159" style="position:absolute;visibility:visible" from="6054,680" to="729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140" o:spid="_x0000_s1160" style="position:absolute;left:6054;top:680;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141" o:spid="_x0000_s1161" style="position:absolute;visibility:visible" from="7314,680" to="855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142" o:spid="_x0000_s1162" style="position:absolute;left:7314;top:680;width:1239;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143" o:spid="_x0000_s1163" style="position:absolute;visibility:visible" from="8573,680" to="9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144" o:spid="_x0000_s1164" style="position:absolute;left:8573;top:680;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145" o:spid="_x0000_s1165" style="position:absolute;visibility:visible" from="10,933" to="603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146" o:spid="_x0000_s1166" style="position:absolute;left:10;top:933;width:602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line id="Line 147" o:spid="_x0000_s1167" style="position:absolute;visibility:visible" from="6054,933" to="72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148" o:spid="_x0000_s1168" style="position:absolute;left:6054;top:933;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149" o:spid="_x0000_s1169" style="position:absolute;visibility:visible" from="7314,933" to="85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150" o:spid="_x0000_s1170" style="position:absolute;left:7314;top:933;width:1239;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151" o:spid="_x0000_s1171" style="position:absolute;visibility:visible" from="8573,933" to="98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rect id="Rectangle 152" o:spid="_x0000_s1172" style="position:absolute;left:8573;top:933;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line id="Line 153" o:spid="_x0000_s1173" style="position:absolute;visibility:visible" from="10,1156" to="6034,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154" o:spid="_x0000_s1174" style="position:absolute;left:10;top:1156;width:60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155" o:spid="_x0000_s1175" style="position:absolute;visibility:visible" from="6054,1156" to="7294,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156" o:spid="_x0000_s1176" style="position:absolute;left:6054;top:1156;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157" o:spid="_x0000_s1177" style="position:absolute;visibility:visible" from="7314,1156" to="855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158" o:spid="_x0000_s1178" style="position:absolute;left:7314;top:1156;width:123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159" o:spid="_x0000_s1179" style="position:absolute;visibility:visible" from="8573,1156" to="981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160" o:spid="_x0000_s1180" style="position:absolute;left:8573;top:1156;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161" o:spid="_x0000_s1181" style="position:absolute;visibility:visible" from="10,1369" to="603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162" o:spid="_x0000_s1182" style="position:absolute;left:10;top:1369;width:60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163" o:spid="_x0000_s1183" style="position:absolute;visibility:visible" from="6054,1369" to="729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164" o:spid="_x0000_s1184" style="position:absolute;left:6054;top:1369;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165" o:spid="_x0000_s1185" style="position:absolute;visibility:visible" from="7314,1369" to="855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166" o:spid="_x0000_s1186" style="position:absolute;left:7314;top:1369;width:123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167" o:spid="_x0000_s1187" style="position:absolute;visibility:visible" from="8573,1369" to="981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168" o:spid="_x0000_s1188" style="position:absolute;left:8573;top:1369;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169" o:spid="_x0000_s1189" style="position:absolute;visibility:visible" from="10,1582" to="6034,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170" o:spid="_x0000_s1190" style="position:absolute;left:10;top:1582;width:60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171" o:spid="_x0000_s1191" style="position:absolute;visibility:visible" from="6054,1582" to="7294,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172" o:spid="_x0000_s1192" style="position:absolute;left:6054;top:1582;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173" o:spid="_x0000_s1193" style="position:absolute;visibility:visible" from="7314,1582" to="8553,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174" o:spid="_x0000_s1194" style="position:absolute;left:7314;top:1582;width:123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175" o:spid="_x0000_s1195" style="position:absolute;visibility:visible" from="8573,1582" to="9813,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176" o:spid="_x0000_s1196" style="position:absolute;left:8573;top:1582;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177" o:spid="_x0000_s1197" style="position:absolute;visibility:visible" from="10,1795" to="603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178" o:spid="_x0000_s1198" style="position:absolute;left:10;top:1795;width:60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179" o:spid="_x0000_s1199" style="position:absolute;visibility:visible" from="6054,1795" to="729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180" o:spid="_x0000_s1200" style="position:absolute;left:6054;top:1795;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181" o:spid="_x0000_s1201" style="position:absolute;visibility:visible" from="7314,1795" to="855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182" o:spid="_x0000_s1202" style="position:absolute;left:7314;top:1795;width:123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183" o:spid="_x0000_s1203" style="position:absolute;visibility:visible" from="8573,1795" to="981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184" o:spid="_x0000_s1204" style="position:absolute;left:8573;top:1795;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185" o:spid="_x0000_s1205" style="position:absolute;visibility:visible" from="10,2008" to="603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186" o:spid="_x0000_s1206" style="position:absolute;left:10;top:2008;width:60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187" o:spid="_x0000_s1207" style="position:absolute;visibility:visible" from="6054,2008" to="729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188" o:spid="_x0000_s1208" style="position:absolute;left:6054;top:2008;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189" o:spid="_x0000_s1209" style="position:absolute;visibility:visible" from="7314,2008" to="855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190" o:spid="_x0000_s1210" style="position:absolute;left:7314;top:2008;width:123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191" o:spid="_x0000_s1211" style="position:absolute;visibility:visible" from="8573,2008" to="981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192" o:spid="_x0000_s1212" style="position:absolute;left:8573;top:2008;width:124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193" o:spid="_x0000_s1213" style="position:absolute;visibility:visible" from="10,2414" to="603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194" o:spid="_x0000_s1214" style="position:absolute;left:10;top:2414;width:602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195" o:spid="_x0000_s1215" style="position:absolute;visibility:visible" from="6054,2414" to="729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196" o:spid="_x0000_s1216" style="position:absolute;left:6054;top:2414;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197" o:spid="_x0000_s1217" style="position:absolute;visibility:visible" from="7314,2414" to="855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1LsUAAADcAAAADwAAAGRycy9kb3ducmV2LnhtbESPT2sCMRTE7wW/Q3iCt5q1Vl23Rimi&#10;aG+tf8DjY/O6G9y8LJuo229vBKHHYWZ+w8wWra3ElRpvHCsY9BMQxLnThgsFh/36NQXhA7LGyjEp&#10;+CMPi3nnZYaZdjf+oesuFCJC2GeooAyhzqT0eUkWfd/VxNH7dY3FEGVTSN3gLcJtJd+SZCwtGo4L&#10;Jda0LCk/7y5Wgfkeb0Zfk+P0KFebMDil59TYg1K9bvv5ASJQG/7Dz/ZWKxi9D+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1LsUAAADcAAAADwAAAAAAAAAA&#10;AAAAAAChAgAAZHJzL2Rvd25yZXYueG1sUEsFBgAAAAAEAAQA+QAAAJMDAAAAAA==&#10;" strokeweight="0"/>
              <v:rect id="Rectangle 198" o:spid="_x0000_s1218" style="position:absolute;left:7314;top:2414;width:1239;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line id="Line 199" o:spid="_x0000_s1219" style="position:absolute;visibility:visible" from="8573,2414" to="981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200" o:spid="_x0000_s1220" style="position:absolute;left:8573;top:2414;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201" o:spid="_x0000_s1221" style="position:absolute;visibility:visible" from="10,2627" to="603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202" o:spid="_x0000_s1222" style="position:absolute;left:10;top:2627;width:602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203" o:spid="_x0000_s1223" style="position:absolute;visibility:visible" from="6054,2627" to="729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204" o:spid="_x0000_s1224" style="position:absolute;left:6054;top:2627;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205" o:spid="_x0000_s1225" style="position:absolute;visibility:visible" from="7314,2627" to="855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206" o:spid="_x0000_s1226" style="position:absolute;left:7314;top:2627;width:1239;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207" o:spid="_x0000_s1227" style="position:absolute;visibility:visible" from="8573,2627" to="981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208" o:spid="_x0000_s1228" style="position:absolute;left:8573;top:2627;width:124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group>
            <v:line id="Line 209" o:spid="_x0000_s1229" style="position:absolute;visibility:visible" from="127,18034" to="4705,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U9ccAAADcAAAADwAAAGRycy9kb3ducmV2LnhtbESPW2sCMRSE3wv+h3CEvhTNWliR1Sja&#10;Gy0I4g1fj5vj7uLmZElS3fbXNwXBx2FmvmEms9bU4kLOV5YVDPoJCOLc6ooLBbvte28EwgdkjbVl&#10;UvBDHmbTzsMEM22vvKbLJhQiQthnqKAMocmk9HlJBn3fNsTRO1lnMETpCqkdXiPc1PI5SYbSYMVx&#10;ocSGXkrKz5tvo+Aw+Mp/1zu3+FgcnpavfFy97eVJqcduOx+DCNSGe/jW/tQK0jSF/zPx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ZT1xwAAANwAAAAPAAAAAAAA&#10;AAAAAAAAAKECAABkcnMvZG93bnJldi54bWxQSwUGAAAAAAQABAD5AAAAlQMAAAAA&#10;" strokecolor="#d4d4d4" strokeweight="0"/>
            <v:rect id="Rectangle 210" o:spid="_x0000_s1230" style="position:absolute;left:127;top:18034;width:4578;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wdcMA&#10;AADcAAAADwAAAGRycy9kb3ducmV2LnhtbESP0WoCMRRE34X+Q7iFvkjNtrCLbo0ioqBvVv2Ay+a6&#10;Wd3cLEmqa7++EYQ+DjNzhpnOe9uKK/nQOFbwMcpAEFdON1wrOB7W72MQISJrbB2TgjsFmM9eBlMs&#10;tbvxN133sRYJwqFEBSbGrpQyVIYshpHriJN3ct5iTNLXUnu8Jbht5WeWFdJiw2nBYEdLQ9Vl/2MV&#10;yPNON7JbFf58Gl70xGxz/M2VenvtF18gIvXxP/xsb7SCPC/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wdcMAAADcAAAADwAAAAAAAAAAAAAAAACYAgAAZHJzL2Rv&#10;d25yZXYueG1sUEsFBgAAAAAEAAQA9QAAAIgDAAAAAA==&#10;" fillcolor="#d4d4d4" stroked="f"/>
            <v:line id="Line 211" o:spid="_x0000_s1231" style="position:absolute;visibility:visible" from="4775,18034" to="38379,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212" o:spid="_x0000_s1232" style="position:absolute;left:4775;top:18034;width:33604;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213" o:spid="_x0000_s1233" style="position:absolute;visibility:visible" from="38506,18034" to="46380,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214" o:spid="_x0000_s1234" style="position:absolute;left:38506;top:18034;width:7874;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215" o:spid="_x0000_s1235" style="position:absolute;visibility:visible" from="46507,18034" to="54375,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216" o:spid="_x0000_s1236" style="position:absolute;left:46507;top:18034;width:7868;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217" o:spid="_x0000_s1237" style="position:absolute;visibility:visible" from="54502,18034" to="62376,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218" o:spid="_x0000_s1238" style="position:absolute;left:54502;top:18034;width:7874;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219" o:spid="_x0000_s1239" style="position:absolute;visibility:visible" from="127,20872" to="38379,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220" o:spid="_x0000_s1240" style="position:absolute;left:127;top:20872;width:38252;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221" o:spid="_x0000_s1241" style="position:absolute;visibility:visible" from="38506,20872" to="46380,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222" o:spid="_x0000_s1242" style="position:absolute;left:38506;top:20872;width:7874;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223" o:spid="_x0000_s1243" style="position:absolute;visibility:visible" from="46507,20872" to="54375,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224" o:spid="_x0000_s1244" style="position:absolute;left:46507;top:20872;width:7868;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225" o:spid="_x0000_s1245" style="position:absolute;visibility:visible" from="54502,20872" to="62376,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226" o:spid="_x0000_s1246" style="position:absolute;left:54502;top:20872;width:7874;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227" o:spid="_x0000_s1247" style="position:absolute;visibility:visible" from="4705,2768" to="4705,2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228" o:spid="_x0000_s1248" style="position:absolute;left:4705;top:2768;width:70;height:19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229" o:spid="_x0000_s1249" style="position:absolute;visibility:visible" from="31216,2768" to="31216,2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230" o:spid="_x0000_s1250" style="position:absolute;left:31216;top:2768;width:70;height:19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rect id="Rectangle 231" o:spid="_x0000_s1251" style="position:absolute;left:38379;top:2768;width:127;height:20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rect id="Rectangle 232" o:spid="_x0000_s1252" style="position:absolute;left:46380;top:2768;width:127;height:20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rect id="Rectangle 233" o:spid="_x0000_s1253" style="position:absolute;left:54375;top:2768;width:127;height:20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rect id="Rectangle 234" o:spid="_x0000_s1254" style="position:absolute;left:127;top:22675;width:62376;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rect id="Rectangle 235" o:spid="_x0000_s1255" style="position:absolute;left:62376;top:2768;width:127;height:20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line id="Line 236" o:spid="_x0000_s1256" style="position:absolute;visibility:visible" from="4705,22802" to="4705,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gxscAAADcAAAADwAAAGRycy9kb3ducmV2LnhtbESP3WoCMRSE74W+QziF3kjNKiiyNUrt&#10;HwqCrLV4e7o57i7dnCxJqqtPbwTBy2FmvmEms9bU4kDOV5YV9HsJCOLc6ooLBdvvz+cxCB+QNdaW&#10;ScGJPMymD50JptoeOaPDJhQiQtinqKAMoUml9HlJBn3PNsTR21tnMETpCqkdHiPc1HKQJCNpsOK4&#10;UGJDbyXlf5t/o2DXX+bnbOvmX/Ndd/XOv+uPH7lX6umxfX0BEagN9/CtvdAKhuM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CDGxwAAANwAAAAPAAAAAAAA&#10;AAAAAAAAAKECAABkcnMvZG93bnJldi54bWxQSwUGAAAAAAQABAD5AAAAlQMAAAAA&#10;" strokecolor="#d4d4d4" strokeweight="0"/>
            <v:rect id="Rectangle 237" o:spid="_x0000_s1257" style="position:absolute;left:4705;top:22802;width:70;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qsUA&#10;AADcAAAADwAAAGRycy9kb3ducmV2LnhtbESPzWrDMBCE74W8g9hCL6WR2+KQulZCKAmkt+bnARZr&#10;Y9mxVkZSEidPXxUKOQ4z8w1TzgfbiTP50DhW8DrOQBBXTjdcK9jvVi9TECEia+wck4IrBZjPRg8l&#10;FtpdeEPnbaxFgnAoUIGJsS+kDJUhi2HseuLkHZy3GJP0tdQeLwluO/mWZRNpseG0YLCnL0PVcXuy&#10;CmT7oxvZLye+PTwf9Yf5zvGWK/X0OCw+QUQa4j38315rBfn0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X+qxQAAANwAAAAPAAAAAAAAAAAAAAAAAJgCAABkcnMv&#10;ZG93bnJldi54bWxQSwUGAAAAAAQABAD1AAAAigMAAAAA&#10;" fillcolor="#d4d4d4" stroked="f"/>
            <v:rect id="Rectangle 238" o:spid="_x0000_s1258" style="position:absolute;left:127;top:24091;width:62376;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rect id="Rectangle 239" o:spid="_x0000_s1259" style="position:absolute;left:127;top:25698;width:62376;height: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rect id="Rectangle 240" o:spid="_x0000_s1260" style="position:absolute;top:2641;width:127;height:26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241" o:spid="_x0000_s1261" style="position:absolute;left:4641;top:24218;width:134;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242" o:spid="_x0000_s1262" style="position:absolute;left:31153;top:24218;width:133;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rect id="Rectangle 243" o:spid="_x0000_s1263" style="position:absolute;left:38379;top:24218;width:127;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rect id="Rectangle 244" o:spid="_x0000_s1264" style="position:absolute;left:46380;top:24218;width:127;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rect id="Rectangle 245" o:spid="_x0000_s1265" style="position:absolute;left:54375;top:24218;width:127;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rect id="Rectangle 246" o:spid="_x0000_s1266" style="position:absolute;left:127;top:29438;width:62376;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247" o:spid="_x0000_s1267" style="position:absolute;left:62376;top:24218;width:127;height:5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248" o:spid="_x0000_s1268" style="position:absolute;visibility:visible" from="63,29565" to="69,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L9MgAAADcAAAADwAAAGRycy9kb3ducmV2LnhtbESPQUvDQBSE74X+h+UVehG7qah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SL9MgAAADcAAAADwAAAAAA&#10;AAAAAAAAAAChAgAAZHJzL2Rvd25yZXYueG1sUEsFBgAAAAAEAAQA+QAAAJYDAAAAAA==&#10;" strokecolor="#d4d4d4" strokeweight="0"/>
            <v:rect id="Rectangle 249" o:spid="_x0000_s1269" style="position:absolute;left:63;top:29565;width:64;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UmMMA&#10;AADcAAAADwAAAGRycy9kb3ducmV2LnhtbESP3WoCMRSE74W+QziF3kjNtrCiW6OIKNg7/x7gsDlu&#10;VjcnS5Lq6tObguDlMDPfMJNZZxtxIR9qxwq+BhkI4tLpmisFh/3qcwQiRGSNjWNScKMAs+lbb4KF&#10;dlfe0mUXK5EgHApUYGJsCylDachiGLiWOHlH5y3GJH0ltcdrgttGfmfZUFqsOS0YbGlhqDzv/qwC&#10;edroWrbLoT8d+2c9Nr853nOlPt67+Q+ISF18hZ/ttVaQj3P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UmMMAAADcAAAADwAAAAAAAAAAAAAAAACYAgAAZHJzL2Rv&#10;d25yZXYueG1sUEsFBgAAAAAEAAQA9QAAAIgDAAAAAA==&#10;" fillcolor="#d4d4d4" stroked="f"/>
            <v:line id="Line 250" o:spid="_x0000_s1270" style="position:absolute;visibility:visible" from="4705,29565" to="4705,3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wGMcAAADcAAAADwAAAGRycy9kb3ducmV2LnhtbESPW2sCMRSE34X+h3AKvhTNKlR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rAYxwAAANwAAAAPAAAAAAAA&#10;AAAAAAAAAKECAABkcnMvZG93bnJldi54bWxQSwUGAAAAAAQABAD5AAAAlQMAAAAA&#10;" strokecolor="#d4d4d4" strokeweight="0"/>
            <v:rect id="Rectangle 251" o:spid="_x0000_s1271" style="position:absolute;left:4705;top:29565;width:70;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vdMQA&#10;AADcAAAADwAAAGRycy9kb3ducmV2LnhtbESPUWvCMBSF34X9h3AHvshMFepm1yhDNphvzu0HXJpr&#10;09rclCTTbr/eCIKPh3POdzjlerCdOJEPjWMFs2kGgrhyuuFawc/3x9MLiBCRNXaOScEfBVivHkYl&#10;Ftqd+YtO+1iLBOFQoAITY19IGSpDFsPU9cTJOzhvMSbpa6k9nhPcdnKeZQtpseG0YLCnjaHquP+1&#10;CmS7043s3xe+PUyOemm2Of7nSo0fh7dXEJGGeA/f2p9aQb58hu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73TEAAAA3AAAAA8AAAAAAAAAAAAAAAAAmAIAAGRycy9k&#10;b3ducmV2LnhtbFBLBQYAAAAABAAEAPUAAACJAwAAAAA=&#10;" fillcolor="#d4d4d4" stroked="f"/>
            <v:line id="Line 252" o:spid="_x0000_s1272" style="position:absolute;visibility:visible" from="31216,29565" to="31222,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B8cUAAADcAAAADwAAAGRycy9kb3ducmV2LnhtbERPW2vCMBR+H+w/hDPYi8zUw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B8cUAAADcAAAADwAAAAAAAAAA&#10;AAAAAAChAgAAZHJzL2Rvd25yZXYueG1sUEsFBgAAAAAEAAQA+QAAAJMDAAAAAA==&#10;" strokecolor="#d4d4d4" strokeweight="0"/>
            <v:rect id="Rectangle 253" o:spid="_x0000_s1273" style="position:absolute;left:31216;top:29565;width:70;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ncQA&#10;AADcAAAADwAAAGRycy9kb3ducmV2LnhtbESP3WoCMRSE7wXfIRzBG6nZCivu1iilKLR39ecBDpvj&#10;ZnVzsiSpbn16Uyh4OczMN8xy3dtWXMmHxrGC12kGgrhyuuFawfGwfVmACBFZY+uYFPxSgPVqOFhi&#10;qd2Nd3Tdx1okCIcSFZgYu1LKUBmyGKauI07eyXmLMUlfS+3xluC2lbMsm0uLDacFgx19GKou+x+r&#10;QJ6/dSO7zdyfT5OLLsxXjvdcqfGof38DEamPz/B/+1MryIs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3p3EAAAA3AAAAA8AAAAAAAAAAAAAAAAAmAIAAGRycy9k&#10;b3ducmV2LnhtbFBLBQYAAAAABAAEAPUAAACJAwAAAAA=&#10;" fillcolor="#d4d4d4" stroked="f"/>
            <v:line id="Line 254" o:spid="_x0000_s1274" style="position:absolute;visibility:visible" from="38442,29565" to="38449,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5DMMAAADcAAAADwAAAGRycy9kb3ducmV2LnhtbERPy2oCMRTdF/oP4RbclJrRhZSpUeoT&#10;BUHGKm6vk+vM0MnNkEQd/XqzKHR5OO/huDW1uJLzlWUFvW4Cgji3uuJCwf5n8fEJwgdkjbVlUnAn&#10;D+PR68sQU21vnNF1FwoRQ9inqKAMoUml9HlJBn3XNsSRO1tnMEToCqkd3mK4qWU/SQbSYMWxocSG&#10;piXlv7uLUXDsrfNHtneT5eT4vpnxaTs/yLNSnbf2+wtEoDb8i//cK61gkMT58Uw8AnL0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geQzDAAAA3AAAAA8AAAAAAAAAAAAA&#10;AAAAoQIAAGRycy9kb3ducmV2LnhtbFBLBQYAAAAABAAEAPkAAACRAwAAAAA=&#10;" strokecolor="#d4d4d4" strokeweight="0"/>
            <v:rect id="Rectangle 255" o:spid="_x0000_s1275" style="position:absolute;left:38442;top:29565;width:64;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mYMMA&#10;AADcAAAADwAAAGRycy9kb3ducmV2LnhtbESP0WoCMRRE3wv+Q7iFvpSateBit0YRUbBvdvUDLpvr&#10;ZnVzsyRRV7/eFIQ+DjNzhpnOe9uKC/nQOFYwGmYgiCunG64V7HfrjwmIEJE1to5JwY0CzGeDlykW&#10;2l35ly5lrEWCcChQgYmxK6QMlSGLYeg64uQdnLcYk/S11B6vCW5b+ZllubTYcFow2NHSUHUqz1aB&#10;PG51I7tV7o+H95P+Mj9jvI+VenvtF98gIvXxP/xsb7SCPBvB3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mYMMAAADcAAAADwAAAAAAAAAAAAAAAACYAgAAZHJzL2Rv&#10;d25yZXYueG1sUEsFBgAAAAAEAAQA9QAAAIgDAAAAAA==&#10;" fillcolor="#d4d4d4" stroked="f"/>
            <v:line id="Line 256" o:spid="_x0000_s1276" style="position:absolute;visibility:visible" from="46443,29565" to="46450,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5C4MYAAADcAAAADwAAAGRycy9kb3ducmV2LnhtbESPS4sCMRCE7wv+h9DCXhbN6EFkNIq6&#10;D1YQxBde20k7MzjpDElWZ/31mwXBY1FVX1HjaWMqcSXnS8sKet0EBHFmdcm5gv3uszME4QOyxsoy&#10;KfglD9NJ62WMqbY33tB1G3IRIexTVFCEUKdS+qwgg75ra+Lona0zGKJ0udQObxFuKtlPkoE0WHJc&#10;KLCmRUHZZftjFBx7y+y+2bv51/z4tnrn0/rjIM9Kvbab2QhEoCY8w4/2t1YwSPrwfyYe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uDGAAAA3AAAAA8AAAAAAAAA&#10;AAAAAAAAoQIAAGRycy9kb3ducmV2LnhtbFBLBQYAAAAABAAEAPkAAACUAwAAAAA=&#10;" strokecolor="#d4d4d4" strokeweight="0"/>
            <v:rect id="Rectangle 257" o:spid="_x0000_s1277" style="position:absolute;left:46443;top:29565;width:64;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djMQA&#10;AADcAAAADwAAAGRycy9kb3ducmV2LnhtbESPUWvCMBSF3wX/Q7jCXmSmbli22igiDra3qfsBl+a2&#10;qTY3JYna7dcvg4GPh3POdzjlerCduJIPrWMF81kGgrhyuuVGwdfx7fEFRIjIGjvHpOCbAqxX41GJ&#10;hXY33tP1EBuRIBwKVGBi7AspQ2XIYpi5njh5tfMWY5K+kdrjLcFtJ5+yLJcWW04LBnvaGqrOh4tV&#10;IE+fupX9LvenenrWr+ZjgT8L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HYzEAAAA3AAAAA8AAAAAAAAAAAAAAAAAmAIAAGRycy9k&#10;b3ducmV2LnhtbFBLBQYAAAAABAAEAPUAAACJAwAAAAA=&#10;" fillcolor="#d4d4d4" stroked="f"/>
            <v:line id="Line 258" o:spid="_x0000_s1278" style="position:absolute;visibility:visible" from="54438,29565" to="54444,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D8YAAADcAAAADwAAAGRycy9kb3ducmV2LnhtbESPQWsCMRSE7wX/Q3hCL6VmFRH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fw/GAAAA3AAAAA8AAAAAAAAA&#10;AAAAAAAAoQIAAGRycy9kb3ducmV2LnhtbFBLBQYAAAAABAAEAPkAAACUAwAAAAA=&#10;" strokecolor="#d4d4d4" strokeweight="0"/>
            <v:rect id="Rectangle 259" o:spid="_x0000_s1279" style="position:absolute;left:54438;top:29565;width:64;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gY8QA&#10;AADcAAAADwAAAGRycy9kb3ducmV2LnhtbESP3WoCMRSE7wt9h3AKvSk128IuujWKiILe1Z8HOGyO&#10;m9XNyZKkuvr0Rih4OczMN8x42ttWnMmHxrGCr0EGgrhyuuFawX63/ByCCBFZY+uYFFwpwHTy+jLG&#10;UrsLb+i8jbVIEA4lKjAxdqWUoTJkMQxcR5y8g/MWY5K+ltrjJcFtK7+zrJAWG04LBjuaG6pO2z+r&#10;QB5/dSO7ReGPh4+THpl1jrdcqfe3fvYDIlIfn+H/9korKLIcHmfSE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IGPEAAAA3AAAAA8AAAAAAAAAAAAAAAAAmAIAAGRycy9k&#10;b3ducmV2LnhtbFBLBQYAAAAABAAEAPUAAACJAwAAAAA=&#10;" fillcolor="#d4d4d4" stroked="f"/>
            <v:line id="Line 260" o:spid="_x0000_s1280" style="position:absolute;visibility:visible" from="62439,29565" to="62445,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E48YAAADcAAAADwAAAGRycy9kb3ducmV2LnhtbESPW4vCMBSE3wX/QziCL7Km+lCkaxTd&#10;GysIi5fF17PNsS02JyXJatdfb4QFH4eZ+YaZzltTizM5X1lWMBomIIhzqysuFOx3708TED4ga6wt&#10;k4I/8jCfdTtTzLS98IbO21CICGGfoYIyhCaT0uclGfRD2xBH72idwRClK6R2eIlwU8txkqTSYMVx&#10;ocSGXkrKT9tfo+AwWuXXzd4tP5aHwfqVf77evuVRqX6vXTyDCNSGR/i//akVpEk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FROPGAAAA3AAAAA8AAAAAAAAA&#10;AAAAAAAAoQIAAGRycy9kb3ducmV2LnhtbFBLBQYAAAAABAAEAPkAAACUAwAAAAA=&#10;" strokecolor="#d4d4d4" strokeweight="0"/>
            <v:rect id="Rectangle 261" o:spid="_x0000_s1281" style="position:absolute;left:62439;top:29565;width:64;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j8QA&#10;AADcAAAADwAAAGRycy9kb3ducmV2LnhtbESPUWvCMBSF34X9h3AHvoimE+y0a5QxHGxv6vwBl+a2&#10;qTY3JYna7dcvg4GPh3POdzjlZrCduJIPrWMFT7MMBHHldMuNguPX+3QJIkRkjZ1jUvBNATbrh1GJ&#10;hXY33tP1EBuRIBwKVGBi7AspQ2XIYpi5njh5tfMWY5K+kdrjLcFtJ+dZlkuLLacFgz29GarOh4tV&#10;IE873cp+m/tTPTnrlflc4M9CqfHj8PoCItIQ7+H/9od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G4/EAAAA3AAAAA8AAAAAAAAAAAAAAAAAmAIAAGRycy9k&#10;b3ducmV2LnhtbFBLBQYAAAAABAAEAPUAAACJAwAAAAA=&#10;" fillcolor="#d4d4d4" stroked="f"/>
            <v:line id="Line 262" o:spid="_x0000_s1282" style="position:absolute;visibility:visible" from="63,0" to="62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CsMAAADcAAAADwAAAGRycy9kb3ducmV2LnhtbERPy2oCMRTdF/oP4RbclJrRhZSpUeoT&#10;BUHGKm6vk+vM0MnNkEQd/XqzKHR5OO/huDW1uJLzlWUFvW4Cgji3uuJCwf5n8fEJwgdkjbVlUnAn&#10;D+PR68sQU21vnNF1FwoRQ9inqKAMoUml9HlJBn3XNsSRO1tnMEToCqkd3mK4qWU/SQbSYMWxocSG&#10;piXlv7uLUXDsrfNHtneT5eT4vpnxaTs/yLNSnbf2+wtEoDb8i//cK61gkMS18Uw8AnL0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WdQrDAAAA3AAAAA8AAAAAAAAAAAAA&#10;AAAAoQIAAGRycy9kb3ducmV2LnhtbFBLBQYAAAAABAAEAPkAAACRAwAAAAA=&#10;" strokecolor="#d4d4d4" strokeweight="0"/>
            <v:rect id="Rectangle 263" o:spid="_x0000_s1283" style="position:absolute;left:63;width:6250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qZsQA&#10;AADcAAAADwAAAGRycy9kb3ducmV2LnhtbESP3WoCMRSE74W+QziF3kg3a8GlbjdKKS3UO3/6AIfN&#10;cbO6OVmSqFuf3giCl8PMfMNUi8F24kQ+tI4VTLIcBHHtdMuNgr/tz+s7iBCRNXaOScE/BVjMn0YV&#10;ltqdeU2nTWxEgnAoUYGJsS+lDLUhiyFzPXHyds5bjEn6RmqP5wS3nXzL80JabDktGOzpy1B92Byt&#10;Arlf6Vb234Xf78YHPTPLKV6mSr08D58fICIN8RG+t3+1giKfwe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3KmbEAAAA3AAAAA8AAAAAAAAAAAAAAAAAmAIAAGRycy9k&#10;b3ducmV2LnhtbFBLBQYAAAAABAAEAPUAAACJAwAAAAA=&#10;" fillcolor="#d4d4d4" stroked="f"/>
            <v:line id="Line 264" o:spid="_x0000_s1284" style="position:absolute;visibility:visible" from="63,1352" to="6250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v0cQAAADcAAAADwAAAGRycy9kb3ducmV2LnhtbERPz2vCMBS+D/Y/hCfsMta0O8jojKKb&#10;isJAdEqvz+bZljUvJYla/euXw2DHj+/3aNKbVlzI+caygixJQRCXVjdcKdh/L17eQPiArLG1TApu&#10;5GEyfnwYYa7tlbd02YVKxBD2OSqoQ+hyKX1Zk0Gf2I44cifrDIYIXSW1w2sMN618TdOhNNhwbKix&#10;o4+ayp/d2SgosnV53+7dbDkrnr8++biZH+RJqadBP30HEagP/+I/90orGGZxfjwTj4A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RxAAAANwAAAAPAAAAAAAAAAAA&#10;AAAAAKECAABkcnMvZG93bnJldi54bWxQSwUGAAAAAAQABAD5AAAAkgMAAAAA&#10;" strokecolor="#d4d4d4" strokeweight="0"/>
            <v:rect id="Rectangle 265" o:spid="_x0000_s1285" style="position:absolute;left:63;top:1352;width:6250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wvcQA&#10;AADcAAAADwAAAGRycy9kb3ducmV2LnhtbESPUWvCMBSF3wf7D+EKvow1rWBxtVHGUHBvm/oDLs21&#10;qTY3Jcm07tcvg8EeD+ec73Dq9Wh7cSUfOscKiiwHQdw43XGr4HjYPi9AhIissXdMCu4UYL16fKix&#10;0u7Gn3Tdx1YkCIcKFZgYh0rK0BiyGDI3ECfv5LzFmKRvpfZ4S3Dby1mel9Jix2nB4EBvhprL/ssq&#10;kOcP3clhU/rz6emiX8z7HL/nSk0n4+sSRKQx/of/2jutoCwK+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sL3EAAAA3AAAAA8AAAAAAAAAAAAAAAAAmAIAAGRycy9k&#10;b3ducmV2LnhtbFBLBQYAAAAABAAEAPUAAACJAwAAAAA=&#10;" fillcolor="#d4d4d4" stroked="f"/>
            <v:line id="Line 266" o:spid="_x0000_s1286" style="position:absolute;visibility:visible" from="62503,2705" to="62509,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UPccAAADcAAAADwAAAGRycy9kb3ducmV2LnhtbESPT2sCMRTE7wW/Q3iCl6LZ9SBlNYra&#10;WlooiP/w+tw8dxc3L0uS6rafvikIHoeZ+Q0zmbWmFldyvrKsIB0kIIhzqysuFOx3q/4LCB+QNdaW&#10;ScEPeZhNO08TzLS98Yau21CICGGfoYIyhCaT0uclGfQD2xBH72ydwRClK6R2eItwU8thkoykwYrj&#10;QokNLUvKL9tvo+CYfua/m71bvC+Oz1+vfFq/HeRZqV63nY9BBGrDI3xvf2gFo3QI/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9Q9xwAAANwAAAAPAAAAAAAA&#10;AAAAAAAAAKECAABkcnMvZG93bnJldi54bWxQSwUGAAAAAAQABAD5AAAAlQMAAAAA&#10;" strokecolor="#d4d4d4" strokeweight="0"/>
            <v:rect id="Rectangle 267" o:spid="_x0000_s1287" style="position:absolute;left:62503;top:2705;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LUcQA&#10;AADcAAAADwAAAGRycy9kb3ducmV2LnhtbESP3WoCMRSE74W+QziF3kjN2uJSV6OIVGjvrPoAh81x&#10;sz85WZJU1z59UxB6OczMN8xyPdhOXMiH2rGC6SQDQVw6XXOl4HTcPb+BCBFZY+eYFNwowHr1MFpi&#10;od2Vv+hyiJVIEA4FKjAx9oWUoTRkMUxcT5y8s/MWY5K+ktrjNcFtJ1+yLJcWa04LBnvaGirbw7dV&#10;IJu9rmX/nvvmPG713HzO8Gem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i1HEAAAA3AAAAA8AAAAAAAAAAAAAAAAAmAIAAGRycy9k&#10;b3ducmV2LnhtbFBLBQYAAAAABAAEAPUAAACJAwAAAAA=&#10;" fillcolor="#d4d4d4" stroked="f"/>
            <v:line id="Line 268" o:spid="_x0000_s1288" style="position:absolute;visibility:visible" from="62503,4318" to="6250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0scAAADcAAAADwAAAGRycy9kb3ducmV2LnhtbESP3WoCMRSE7wu+QzhCb4pmV4q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nSxwAAANwAAAAPAAAAAAAA&#10;AAAAAAAAAKECAABkcnMvZG93bnJldi54bWxQSwUGAAAAAAQABAD5AAAAlQMAAAAA&#10;" strokecolor="#d4d4d4" strokeweight="0"/>
            <v:rect id="Rectangle 269" o:spid="_x0000_s1289" style="position:absolute;left:62503;top:4318;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2vsMA&#10;AADcAAAADwAAAGRycy9kb3ducmV2LnhtbESP3WoCMRSE74W+QzhCb6RmLexiV6OUotDe+fcAh81x&#10;s7o5WZJUtz69KQheDjPzDTNf9rYVF/KhcaxgMs5AEFdON1wrOOzXb1MQISJrbB2Tgj8KsFy8DOZY&#10;anflLV12sRYJwqFEBSbGrpQyVIYshrHriJN3dN5iTNLXUnu8Jrht5XuWFdJiw2nBYEdfhqrz7tcq&#10;kKeNbmS3KvzpODrrD/OT4y1X6nXYf85AROrjM/xof2sFxSSH/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2vsMAAADcAAAADwAAAAAAAAAAAAAAAACYAgAAZHJzL2Rv&#10;d25yZXYueG1sUEsFBgAAAAAEAAQA9QAAAIgDAAAAAA==&#10;" fillcolor="#d4d4d4" stroked="f"/>
            <v:line id="Line 270" o:spid="_x0000_s1290" style="position:absolute;visibility:visible" from="62503,5924" to="6250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SPscAAADcAAAADwAAAGRycy9kb3ducmV2LnhtbESPT2vCQBTE70K/w/IKXqRu4iGU1FXq&#10;XyoUilbx+sw+k9Ds27C7auqn7xYKPQ4z8xtmPO1MI67kfG1ZQTpMQBAXVtdcKth/rp6eQfiArLGx&#10;TAq+ycN08tAbY67tjbd03YVSRAj7HBVUIbS5lL6oyKAf2pY4emfrDIYoXSm1w1uEm0aOkiSTBmuO&#10;CxW2NK+o+NpdjIJjuinu272brWfHwfuCTx/Lgzwr1X/sXl9ABOrCf/iv/aYVZGkGv2fiEZ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NI+xwAAANwAAAAPAAAAAAAA&#10;AAAAAAAAAKECAABkcnMvZG93bnJldi54bWxQSwUGAAAAAAQABAD5AAAAlQMAAAAA&#10;" strokecolor="#d4d4d4" strokeweight="0"/>
            <v:rect id="Rectangle 271" o:spid="_x0000_s1291" style="position:absolute;left:62503;top:5924;width:6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NUsMA&#10;AADcAAAADwAAAGRycy9kb3ducmV2LnhtbESP0WoCMRRE3wX/IVzBl6JZBVe7NUopFuxbtf2Ay+a6&#10;Wd3cLEnUrV/fCIKPw8ycYZbrzjbiQj7UjhVMxhkI4tLpmisFvz+fowWIEJE1No5JwR8FWK/6vSUW&#10;2l15R5d9rESCcChQgYmxLaQMpSGLYexa4uQdnLcYk/SV1B6vCW4bOc2yXFqsOS0YbOnDUHnan60C&#10;efzWtWw3uT8eXk761XzN8DZTajjo3t9AROriM/xob7WCfDKH+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NUsMAAADcAAAADwAAAAAAAAAAAAAAAACYAgAAZHJzL2Rv&#10;d25yZXYueG1sUEsFBgAAAAAEAAQA9QAAAIgDAAAAAA==&#10;" fillcolor="#d4d4d4" stroked="f"/>
            <v:line id="Line 272" o:spid="_x0000_s1292" style="position:absolute;visibility:visible" from="62503,7340" to="62509,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18QAAADcAAAADwAAAGRycy9kb3ducmV2LnhtbERPz2vCMBS+D/Y/hCfsMta0O8jojKKb&#10;isJAdEqvz+bZljUvJYla/euXw2DHj+/3aNKbVlzI+caygixJQRCXVjdcKdh/L17eQPiArLG1TApu&#10;5GEyfnwYYa7tlbd02YVKxBD2OSqoQ+hyKX1Zk0Gf2I44cifrDIYIXSW1w2sMN618TdOhNNhwbKix&#10;o4+ayp/d2SgosnV53+7dbDkrnr8++biZH+RJqadBP30HEagP/+I/90orGGZxbTwTj4A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XxAAAANwAAAAPAAAAAAAAAAAA&#10;AAAAAKECAABkcnMvZG93bnJldi54bWxQSwUGAAAAAAQABAD5AAAAkgMAAAAA&#10;" strokecolor="#d4d4d4" strokeweight="0"/>
            <v:rect id="Rectangle 273" o:spid="_x0000_s1293" style="position:absolute;left:62503;top:7340;width:6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8u8MA&#10;AADcAAAADwAAAGRycy9kb3ducmV2LnhtbESP0WoCMRRE34X+Q7iFvohmLbjo1ihFFOpbXf2Ay+a6&#10;Wd3cLEnUbb++EQo+DjNzhlmsetuKG/nQOFYwGWcgiCunG64VHA/b0QxEiMgaW8ek4IcCrJYvgwUW&#10;2t15T7cy1iJBOBSowMTYFVKGypDFMHYdcfJOzluMSfpaao/3BLetfM+yXFpsOC0Y7GhtqLqUV6tA&#10;nr91I7tN7s+n4UXPzW6Kv1Ol3l77zw8Qkfr4DP+3v7SCfDK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8u8MAAADcAAAADwAAAAAAAAAAAAAAAACYAgAAZHJzL2Rv&#10;d25yZXYueG1sUEsFBgAAAAAEAAQA9QAAAIgDAAAAAA==&#10;" fillcolor="#d4d4d4" stroked="f"/>
            <v:line id="Line 274" o:spid="_x0000_s1294" style="position:absolute;visibility:visible" from="62503,8693" to="6250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lbMQAAADcAAAADwAAAGRycy9kb3ducmV2LnhtbERPz2vCMBS+D/wfwhO8DJvqQUbXKNNN&#10;2UAYdYrXt+bZFpuXkkTt9tebw2DHj+93vuhNK67kfGNZwSRJQRCXVjdcKdh/rcdPIHxA1thaJgU/&#10;5GExHzzkmGl744Kuu1CJGMI+QwV1CF0mpS9rMugT2xFH7mSdwRChq6R2eIvhppXTNJ1Jgw3Hhho7&#10;WtVUnncXo+A4+Sh/i71bbpbHx+0rf3++HeRJqdGwf3kGEagP/+I/97tWMJvG+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SVsxAAAANwAAAAPAAAAAAAAAAAA&#10;AAAAAKECAABkcnMvZG93bnJldi54bWxQSwUGAAAAAAQABAD5AAAAkgMAAAAA&#10;" strokecolor="#d4d4d4" strokeweight="0"/>
            <v:rect id="Rectangle 275" o:spid="_x0000_s1295" style="position:absolute;left:62503;top:8693;width:6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6AMQA&#10;AADcAAAADwAAAGRycy9kb3ducmV2LnhtbESPUWvCMBSF3wf+h3AFX8ZMFSzaNYrIBPe2qT/g0lyb&#10;1uamJJnW/fplMNjj4ZzzHU65GWwnbuRD41jBbJqBIK6cbrhWcD7tX5YgQkTW2DkmBQ8KsFmPnkos&#10;tLvzJ92OsRYJwqFABSbGvpAyVIYshqnriZN3cd5iTNLXUnu8J7jt5DzLcmmx4bRgsKedoep6/LIK&#10;ZPuhG9m/5b69PF/1yrwv8Huh1GQ8bF9BRBrif/ivfdAK8v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egDEAAAA3AAAAA8AAAAAAAAAAAAAAAAAmAIAAGRycy9k&#10;b3ducmV2LnhtbFBLBQYAAAAABAAEAPUAAACJAwAAAAA=&#10;" fillcolor="#d4d4d4" stroked="f"/>
            <v:line id="Line 276" o:spid="_x0000_s1296" style="position:absolute;visibility:visible" from="62503,10045" to="62509,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egMcAAADcAAAADwAAAGRycy9kb3ducmV2LnhtbESPT2sCMRTE7wW/Q3iCl6JZ9yBlNYra&#10;WlooiP/w+tw8dxc3L0uS6rafvikIHoeZ+Q0zmbWmFldyvrKsYDhIQBDnVldcKNjvVv0XED4ga6wt&#10;k4If8jCbdp4mmGl74w1dt6EQEcI+QwVlCE0mpc9LMugHtiGO3tk6gyFKV0jt8BbhppZpkoykwYrj&#10;QokNLUvKL9tvo+A4/Mx/N3u3eF8cn79e+bR+O8izUr1uOx+DCNSGR/je/tAKRmk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x6AxwAAANwAAAAPAAAAAAAA&#10;AAAAAAAAAKECAABkcnMvZG93bnJldi54bWxQSwUGAAAAAAQABAD5AAAAlQMAAAAA&#10;" strokecolor="#d4d4d4" strokeweight="0"/>
            <v:rect id="Rectangle 277" o:spid="_x0000_s1297" style="position:absolute;left:62503;top:10045;width:6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B7MQA&#10;AADcAAAADwAAAGRycy9kb3ducmV2LnhtbESPUWvCMBSF34X9h3AHe5GZzmHZukYZMsG9qdsPuDS3&#10;TbW5KUnU6q9fBoKPh3POdzjlYrCdOJEPrWMFL5MMBHHldMuNgt+f1fMbiBCRNXaOScGFAizmD6MS&#10;C+3OvKXTLjYiQTgUqMDE2BdShsqQxTBxPXHyauctxiR9I7XHc4LbTk6zLJcWW04LBntaGqoOu6NV&#10;IPcb3cr+K/f7enzQ7+Z7hteZ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QezEAAAA3AAAAA8AAAAAAAAAAAAAAAAAmAIAAGRycy9k&#10;b3ducmV2LnhtbFBLBQYAAAAABAAEAPUAAACJAwAAAAA=&#10;" fillcolor="#d4d4d4" stroked="f"/>
            <v:line id="Line 278" o:spid="_x0000_s1298" style="position:absolute;visibility:visible" from="62503,11398" to="6250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jb8cAAADcAAAADwAAAGRycy9kb3ducmV2LnhtbESP3WoCMRSE7wXfIRzBG6lZpUj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iNvxwAAANwAAAAPAAAAAAAA&#10;AAAAAAAAAKECAABkcnMvZG93bnJldi54bWxQSwUGAAAAAAQABAD5AAAAlQMAAAAA&#10;" strokecolor="#d4d4d4" strokeweight="0"/>
            <v:rect id="Rectangle 279" o:spid="_x0000_s1299" style="position:absolute;left:62503;top:11398;width:6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8A8MA&#10;AADcAAAADwAAAGRycy9kb3ducmV2LnhtbESP0WoCMRRE3wv+Q7iCL0WzCrvoahSRCvWtVT/gsrlu&#10;Vjc3S5Lqtl/fCIU+DjNzhlltetuKO/nQOFYwnWQgiCunG64VnE/78RxEiMgaW8ek4JsCbNaDlxWW&#10;2j34k+7HWIsE4VCiAhNjV0oZKkMWw8R1xMm7OG8xJulrqT0+Ety2cpZlhbTYcFow2NHOUHU7flkF&#10;8vqhG9m9Ff56eb3phTnk+JMrNRr22yWISH38D/+137WCYpb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98A8MAAADcAAAADwAAAAAAAAAAAAAAAACYAgAAZHJzL2Rv&#10;d25yZXYueG1sUEsFBgAAAAAEAAQA9QAAAIgDAAAAAA==&#10;" fillcolor="#d4d4d4" stroked="f"/>
            <v:line id="Line 280" o:spid="_x0000_s1300" style="position:absolute;visibility:visible" from="62503,12750" to="62509,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Yg8cAAADcAAAADwAAAGRycy9kb3ducmV2LnhtbESPT2sCMRTE7wW/Q3iCl6JZPSxlNYra&#10;WlooiP/w+tw8dxc3L0uS6rafvikIHoeZ+Q0zmbWmFldyvrKsYDhIQBDnVldcKNjvVv0XED4ga6wt&#10;k4If8jCbdp4mmGl74w1dt6EQEcI+QwVlCE0mpc9LMugHtiGO3tk6gyFKV0jt8BbhppajJEmlwYrj&#10;QokNLUvKL9tvo+A4/Mx/N3u3eF8cn79e+bR+O8izUr1uOx+DCNSGR/je/tAK0lE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BiDxwAAANwAAAAPAAAAAAAA&#10;AAAAAAAAAKECAABkcnMvZG93bnJldi54bWxQSwUGAAAAAAQABAD5AAAAlQMAAAAA&#10;" strokecolor="#d4d4d4" strokeweight="0"/>
            <v:rect id="Rectangle 281" o:spid="_x0000_s1301" style="position:absolute;left:62503;top:12750;width:6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H78QA&#10;AADcAAAADwAAAGRycy9kb3ducmV2LnhtbESPUWvCMBSF3wf+h3CFvYimE+xc1yhjbKBvzu0HXJrb&#10;ptrclCTTzl9vBGGPh3POdzjlerCdOJEPrWMFT7MMBHHldMuNgp/vz+kSRIjIGjvHpOCPAqxXo4cS&#10;C+3O/EWnfWxEgnAoUIGJsS+kDJUhi2HmeuLk1c5bjEn6RmqP5wS3nZxnWS4ttpwWDPb0bqg67n+t&#10;AnnY6Vb2H7k/1JOjfjHbBV4WSj2Oh7dXEJGG+B++tzdaQT5/ht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R+/EAAAA3AAAAA8AAAAAAAAAAAAAAAAAmAIAAGRycy9k&#10;b3ducmV2LnhtbFBLBQYAAAAABAAEAPUAAACJAwAAAAA=&#10;" fillcolor="#d4d4d4" stroked="f"/>
            <v:line id="Line 282" o:spid="_x0000_s1302" style="position:absolute;visibility:visible" from="62503,15328" to="62509,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pasQAAADcAAAADwAAAGRycy9kb3ducmV2LnhtbERPz2vCMBS+D/wfwhO8DJvqQUbXKNNN&#10;2UAYdYrXt+bZFpuXkkTt9tebw2DHj+93vuhNK67kfGNZwSRJQRCXVjdcKdh/rcdPIHxA1thaJgU/&#10;5GExHzzkmGl744Kuu1CJGMI+QwV1CF0mpS9rMugT2xFH7mSdwRChq6R2eIvhppXTNJ1Jgw3Hhho7&#10;WtVUnncXo+A4+Sh/i71bbpbHx+0rf3++HeRJqdGwf3kGEagP/+I/97tWMJvGt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ylqxAAAANwAAAAPAAAAAAAAAAAA&#10;AAAAAKECAABkcnMvZG93bnJldi54bWxQSwUGAAAAAAQABAD5AAAAkgMAAAAA&#10;" strokecolor="#d4d4d4" strokeweight="0"/>
            <v:rect id="Rectangle 283" o:spid="_x0000_s1303" style="position:absolute;left:62503;top:15328;width:6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BsMA&#10;AADcAAAADwAAAGRycy9kb3ducmV2LnhtbESP0WoCMRRE3wX/IVyhL1KzCi51NYpIC+2bbvsBl811&#10;s7q5WZJUt369KQg+DjNzhlltetuKC/nQOFYwnWQgiCunG64V/Hx/vL6BCBFZY+uYFPxRgM16OFhh&#10;od2VD3QpYy0ShEOBCkyMXSFlqAxZDBPXESfv6LzFmKSvpfZ4TXDbylmW5dJiw2nBYEc7Q9W5/LUK&#10;5GmvG9m95/50HJ/1wnzN8TZX6mXUb5cgIvXxGX60P7WCfLaA/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2BsMAAADcAAAADwAAAAAAAAAAAAAAAACYAgAAZHJzL2Rv&#10;d25yZXYueG1sUEsFBgAAAAAEAAQA9QAAAIgDAAAAAA==&#10;" fillcolor="#d4d4d4" stroked="f"/>
            <v:line id="Line 284" o:spid="_x0000_s1304" style="position:absolute;visibility:visible" from="62503,16681" to="62509,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zscMAAADcAAAADwAAAGRycy9kb3ducmV2LnhtbERPy2oCMRTdF/oP4QpupGZUkDIaRVsV&#10;C4L4wu11cp0ZOrkZkqjTfn2zELo8nPd42phK3Mn50rKCXjcBQZxZXXKu4HhYvr2D8AFZY2WZFPyQ&#10;h+nk9WWMqbYP3tF9H3IRQ9inqKAIoU6l9FlBBn3X1sSRu1pnMETocqkdPmK4qWQ/SYbSYMmxocCa&#10;PgrKvvc3o+Dc+8p+d0c3X83Pnc0nX7aLk7wq1W41sxGIQE34Fz/da61gOIj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Ms7HDAAAA3AAAAA8AAAAAAAAAAAAA&#10;AAAAoQIAAGRycy9kb3ducmV2LnhtbFBLBQYAAAAABAAEAPkAAACRAwAAAAA=&#10;" strokecolor="#d4d4d4" strokeweight="0"/>
            <v:rect id="Rectangle 285" o:spid="_x0000_s1305" style="position:absolute;left:62503;top:16681;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s3cQA&#10;AADcAAAADwAAAGRycy9kb3ducmV2LnhtbESP3WoCMRSE74W+QziF3kjN2uJSV6OIVGjvrPoAh81x&#10;sz85WZJU1z59UxB6OczMN8xyPdhOXMiH2rGC6SQDQVw6XXOl4HTcPb+BCBFZY+eYFNwowHr1MFpi&#10;od2Vv+hyiJVIEA4FKjAx9oWUoTRkMUxcT5y8s/MWY5K+ktrjNcFtJ1+yLJcWa04LBnvaGirbw7dV&#10;IJu9rmX/nvvmPG713HzO8Gem1NPjsFmAiDTE//C9/aEV5K9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7N3EAAAA3AAAAA8AAAAAAAAAAAAAAAAAmAIAAGRycy9k&#10;b3ducmV2LnhtbFBLBQYAAAAABAAEAPUAAACJAwAAAAA=&#10;" fillcolor="#d4d4d4" stroked="f"/>
            <v:line id="Line 286" o:spid="_x0000_s1306" style="position:absolute;visibility:visible" from="62503,18034" to="62509,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IXccAAADcAAAADwAAAGRycy9kb3ducmV2LnhtbESP3WoCMRSE7wXfIRzBG6lZLUjZGqXW&#10;HyoIstbi7enmuLt0c7IkUbd9+qYg9HKYmW+Y6bw1tbiS85VlBaNhAoI4t7riQsHxff3wBMIHZI21&#10;ZVLwTR7ms25niqm2N87oegiFiBD2KSooQ2hSKX1ekkE/tA1x9M7WGQxRukJqh7cIN7UcJ8lEGqw4&#10;LpTY0GtJ+dfhYhScRtv8Jzu6xWZxGuyW/LlffcizUv1e+/IMIlAb/sP39ptWMHkc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0ohdxwAAANwAAAAPAAAAAAAA&#10;AAAAAAAAAKECAABkcnMvZG93bnJldi54bWxQSwUGAAAAAAQABAD5AAAAlQMAAAAA&#10;" strokecolor="#d4d4d4" strokeweight="0"/>
            <v:rect id="Rectangle 287" o:spid="_x0000_s1307" style="position:absolute;left:62503;top:18034;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XMcQA&#10;AADcAAAADwAAAGRycy9kb3ducmV2LnhtbESPUWvCMBSF34X9h3AHvshMVSxb1ygyFLY3p/6AS3Pb&#10;VJubkmTa7dcvA2GPh3POdzjlerCduJIPrWMFs2kGgrhyuuVGwem4e3oGESKyxs4xKfimAOvVw6jE&#10;Qrsbf9L1EBuRIBwKVGBi7AspQ2XIYpi6njh5tfMWY5K+kdrjLcFtJ+dZlkuLLacFgz29Gaouhy+r&#10;QJ73upX9NvfnenLRL+ZjiT9LpcaPw+YVRKQh/ofv7XetIF8s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1zHEAAAA3AAAAA8AAAAAAAAAAAAAAAAAmAIAAGRycy9k&#10;b3ducmV2LnhtbFBLBQYAAAAABAAEAPUAAACJAwAAAAA=&#10;" fillcolor="#d4d4d4" stroked="f"/>
            <v:line id="Line 288" o:spid="_x0000_s1308" style="position:absolute;visibility:visible" from="62503,20872" to="62509,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1sscAAADcAAAADwAAAGRycy9kb3ducmV2LnhtbESPW2sCMRSE3wv9D+EUfBHNaovI1ije&#10;WloQxBu+nm6Ou4ubkyWJuu2vbwpCH4eZ+YYZTRpTiSs5X1pW0OsmIIgzq0vOFex3b50hCB+QNVaW&#10;ScE3eZiMHx9GmGp74w1dtyEXEcI+RQVFCHUqpc8KMui7tiaO3sk6gyFKl0vt8BbhppL9JBlIgyXH&#10;hQJrmheUnbcXo+DY+8x+Nns3e58d26sFf62XB3lSqvXUTF9BBGrCf/je/tAKBs8v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7WyxwAAANwAAAAPAAAAAAAA&#10;AAAAAAAAAKECAABkcnMvZG93bnJldi54bWxQSwUGAAAAAAQABAD5AAAAlQMAAAAA&#10;" strokecolor="#d4d4d4" strokeweight="0"/>
            <v:rect id="Rectangle 289" o:spid="_x0000_s1309" style="position:absolute;left:62503;top:20872;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3sQA&#10;AADcAAAADwAAAGRycy9kb3ducmV2LnhtbESP3WoCMRSE7wu+QzhCb4pm27KLrkaRotDe1Z8HOGyO&#10;m9XNyZJEXfv0TaHg5TAz3zDzZW9bcSUfGscKXscZCOLK6YZrBYf9ZjQBESKyxtYxKbhTgOVi8DTH&#10;Ursbb+m6i7VIEA4lKjAxdqWUoTJkMYxdR5y8o/MWY5K+ltrjLcFtK9+yrJAWG04LBjv6MFSddxer&#10;QJ6+dSO7deFPx5eznpqvHH9ypZ6H/WoGIlIfH+H/9qdWULz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6t7EAAAA3AAAAA8AAAAAAAAAAAAAAAAAmAIAAGRycy9k&#10;b3ducmV2LnhtbFBLBQYAAAAABAAEAPUAAACJAwAAAAA=&#10;" fillcolor="#d4d4d4" stroked="f"/>
            <v:line id="Line 290" o:spid="_x0000_s1310" style="position:absolute;visibility:visible" from="62503,22739" to="62509,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OXscAAADcAAAADwAAAGRycy9kb3ducmV2LnhtbESP3WoCMRSE7wu+QzhCb4pmtbCU1Sja&#10;WmlBKP7h7XFz3F3cnCxJ1G2fvikUvBxm5htmPG1NLa7kfGVZwaCfgCDOra64ULDbvvdeQPiArLG2&#10;TAq+ycN00nkYY6btjdd03YRCRAj7DBWUITSZlD4vyaDv24Y4eifrDIYoXSG1w1uEm1oOkySVBiuO&#10;CyU29FpSft5cjILD4DP/We/cfDk/PK3e+Pi12MuTUo/ddjYCEagN9/B/+0MrS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6Y5exwAAANwAAAAPAAAAAAAA&#10;AAAAAAAAAKECAABkcnMvZG93bnJldi54bWxQSwUGAAAAAAQABAD5AAAAlQMAAAAA&#10;" strokecolor="#d4d4d4" strokeweight="0"/>
            <v:rect id="Rectangle 291" o:spid="_x0000_s1311" style="position:absolute;left:62503;top:22739;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RMsQA&#10;AADcAAAADwAAAGRycy9kb3ducmV2LnhtbESP0WoCMRRE3wX/IVyhL6Vmrbi2q1GkVKhvrfYDLpvr&#10;ZnVzsyRRV7++EQo+DjNzhpkvO9uIM/lQO1YwGmYgiEuna64U/O7WL28gQkTW2DgmBVcKsFz0e3Ms&#10;tLvwD523sRIJwqFABSbGtpAylIYshqFriZO3d95iTNJXUnu8JLht5GuW5dJizWnBYEsfhsrj9mQV&#10;yMO3rmX7mfvD/vmo381mgreJUk+DbjUDEamLj/B/+0sryMd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0TLEAAAA3AAAAA8AAAAAAAAAAAAAAAAAmAIAAGRycy9k&#10;b3ducmV2LnhtbFBLBQYAAAAABAAEAPUAAACJAwAAAAA=&#10;" fillcolor="#d4d4d4" stroked="f"/>
            <v:line id="Line 292" o:spid="_x0000_s1312" style="position:absolute;visibility:visible" from="62503,24155" to="62509,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t8MAAADcAAAADwAAAGRycy9kb3ducmV2LnhtbERPy2oCMRTdF/oP4QpupGZUkDIaRVsV&#10;C4L4wu11cp0ZOrkZkqjTfn2zELo8nPd42phK3Mn50rKCXjcBQZxZXXKu4HhYvr2D8AFZY2WZFPyQ&#10;h+nk9WWMqbYP3tF9H3IRQ9inqKAIoU6l9FlBBn3X1sSRu1pnMETocqkdPmK4qWQ/SYbSYMmxocCa&#10;PgrKvvc3o+Dc+8p+d0c3X83Pnc0nX7aLk7wq1W41sxGIQE34Fz/da61gOIhr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6v7fDAAAA3AAAAA8AAAAAAAAAAAAA&#10;AAAAoQIAAGRycy9kb3ducmV2LnhtbFBLBQYAAAAABAAEAPkAAACRAwAAAAA=&#10;" strokecolor="#d4d4d4" strokeweight="0"/>
            <v:rect id="Rectangle 293" o:spid="_x0000_s1313" style="position:absolute;left:62503;top:24155;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g28MA&#10;AADcAAAADwAAAGRycy9kb3ducmV2LnhtbESP0WoCMRRE34X+Q7iCL6JZFRddjVKkhfpmbT/gsrlu&#10;Vjc3S5Lqtl9vBKGPw8ycYdbbzjbiSj7UjhVMxhkI4tLpmisF31/vowWIEJE1No5JwS8F2G5eemss&#10;tLvxJ12PsRIJwqFABSbGtpAylIYshrFriZN3ct5iTNJXUnu8Jbht5DTLcmmx5rRgsKWdofJy/LEK&#10;5Pmga9m+5f58Gl700uzn+DdXatDvXlcgInXxP/xsf2gF+W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vg28MAAADcAAAADwAAAAAAAAAAAAAAAACYAgAAZHJzL2Rv&#10;d25yZXYueG1sUEsFBgAAAAAEAAQA9QAAAIgDAAAAAA==&#10;" fillcolor="#d4d4d4" stroked="f"/>
            <v:line id="Line 294" o:spid="_x0000_s1314" style="position:absolute;visibility:visible" from="62503,25768" to="62509,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AzMMAAADcAAAADwAAAGRycy9kb3ducmV2LnhtbERPy2oCMRTdF/oP4QpupGYUkTIaRVsV&#10;C4L4wu11cp0ZOrkZkqjTfn2zELo8nPd42phK3Mn50rKCXjcBQZxZXXKu4HhYvr2D8AFZY2WZFPyQ&#10;h+nk9WWMqbYP3tF9H3IRQ9inqKAIoU6l9FlBBn3X1sSRu1pnMETocqkdPmK4qWQ/SYbSYMmxocCa&#10;PgrKvvc3o+Dc+8p+d0c3X83Pnc0nX7aLk7wq1W41sxGIQE34Fz/da61gOIj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wMzDAAAA3AAAAA8AAAAAAAAAAAAA&#10;AAAAoQIAAGRycy9kb3ducmV2LnhtbFBLBQYAAAAABAAEAPkAAACRAwAAAAA=&#10;" strokecolor="#d4d4d4" strokeweight="0"/>
            <v:rect id="Rectangle 295" o:spid="_x0000_s1315" style="position:absolute;left:62503;top:25768;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foMQA&#10;AADcAAAADwAAAGRycy9kb3ducmV2LnhtbESP3WoCMRSE74W+QziF3kjNWupSV6OIVGjvrPoAh81x&#10;sz85WZJU1z59UxB6OczMN8xyPdhOXMiH2rGC6SQDQVw6XXOl4HTcPb+BCBFZY+eYFNwowHr1MFpi&#10;od2Vv+hyiJVIEA4FKjAx9oWUoTRkMUxcT5y8s/MWY5K+ktrjNcFtJ1+yLJcWa04LBnvaGirbw7dV&#10;IJu9rmX/nvvmPG713HzO8Gem1NPjsFmAiDTE//C9/aEV5K9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n6DEAAAA3AAAAA8AAAAAAAAAAAAAAAAAmAIAAGRycy9k&#10;b3ducmV2LnhtbFBLBQYAAAAABAAEAPUAAACJAwAAAAA=&#10;" fillcolor="#d4d4d4" stroked="f"/>
            <v:line id="Line 296" o:spid="_x0000_s1316" style="position:absolute;visibility:visible" from="62503,29502" to="62509,2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7IMcAAADcAAAADwAAAGRycy9kb3ducmV2LnhtbESP3WoCMRSE7wXfIRzBG6lZpUjZGqXW&#10;HyoIstbi7enmuLt0c7IkUbd9+qYg9HKYmW+Y6bw1tbiS85VlBaNhAoI4t7riQsHxff3wBMIHZI21&#10;ZVLwTR7ms25niqm2N87oegiFiBD2KSooQ2hSKX1ekkE/tA1x9M7WGQxRukJqh7cIN7UcJ8lEGqw4&#10;LpTY0GtJ+dfhYhScRtv8Jzu6xWZxGuyW/LlffcizUv1e+/IMIlAb/sP39ptWMHkc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PsgxwAAANwAAAAPAAAAAAAA&#10;AAAAAAAAAKECAABkcnMvZG93bnJldi54bWxQSwUGAAAAAAQABAD5AAAAlQMAAAAA&#10;" strokecolor="#d4d4d4" strokeweight="0"/>
            <v:rect id="Rectangle 297" o:spid="_x0000_s1317" style="position:absolute;left:62503;top:29502;width:6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kTMQA&#10;AADcAAAADwAAAGRycy9kb3ducmV2LnhtbESP0WoCMRRE34X+Q7iFvkjNtuqiq1GKVKhvrfUDLpvr&#10;ZnVzsyRRt369KQg+DjNzhpkvO9uIM/lQO1bwNshAEJdO11wp2P2uXycgQkTW2DgmBX8UYLl46s2x&#10;0O7CP3TexkokCIcCFZgY20LKUBqyGAauJU7e3nmLMUlfSe3xkuC2ke9ZlkuLNacFgy2tDJXH7ckq&#10;kIdvXcv2M/eHff+op2YzxutYqZfn7mMGIlIXH+F7+0sryEdD+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pEzEAAAA3AAAAA8AAAAAAAAAAAAAAAAAmAIAAGRycy9k&#10;b3ducmV2LnhtbFBLBQYAAAAABAAEAPUAAACJAwAAAAA=&#10;" fillcolor="#d4d4d4" stroked="f"/>
            <v:line id="Line 298" o:spid="_x0000_s1318" style="position:absolute;visibility:visible" from="63,30791" to="62503,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HGz8cAAADcAAAADwAAAGRycy9kb3ducmV2LnhtbESP3WoCMRSE7wu+QzhCb4pmLSKyGqXa&#10;WiwI4h/enm6Ou4ubkyWJuvbpm0LBy2FmvmHG08ZU4krOl5YV9LoJCOLM6pJzBfvdojME4QOyxsoy&#10;KbiTh+mk9TTGVNsbb+i6DbmIEPYpKihCqFMpfVaQQd+1NXH0TtYZDFG6XGqHtwg3lXxNkoE0WHJc&#10;KLCmeUHZeXsxCo69r+xns3ezz9nxZfXO3+uPgzwp9dxu3kYgAjXhEf5vL7WCQb8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cbPxwAAANwAAAAPAAAAAAAA&#10;AAAAAAAAAKECAABkcnMvZG93bnJldi54bWxQSwUGAAAAAAQABAD5AAAAlQMAAAAA&#10;" strokecolor="#d4d4d4" strokeweight="0"/>
            <v:rect id="Rectangle 299" o:spid="_x0000_s1319" style="position:absolute;left:63;top:30791;width:62503;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Zo8QA&#10;AADcAAAADwAAAGRycy9kb3ducmV2LnhtbESP3WoCMRSE7wu+QzhCb4pmW7qLrkaRotDe1Z8HOGyO&#10;m9XNyZJEXfv0TaHg5TAz3zDzZW9bcSUfGscKXscZCOLK6YZrBYf9ZjQBESKyxtYxKbhTgOVi8DTH&#10;Ursbb+m6i7VIEA4lKjAxdqWUoTJkMYxdR5y8o/MWY5K+ltrjLcFtK9+yrJAWG04LBjv6MFSddxer&#10;QJ6+dSO7deFPx5eznpqvHH9ypZ6H/WoGIlIfH+H/9qdWULz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maPEAAAA3AAAAA8AAAAAAAAAAAAAAAAAmAIAAGRycy9k&#10;b3ducmV2LnhtbFBLBQYAAAAABAAEAPUAAACJAwAAAAA=&#10;" fillcolor="#d4d4d4" stroked="f"/>
            <v:line id="Line 300" o:spid="_x0000_s1320" style="position:absolute;visibility:visible" from="63,32143" to="62503,3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I8cAAADcAAAADwAAAGRycy9kb3ducmV2LnhtbESP3WoCMRSE7wu+QzhCb4pmlbKU1Sja&#10;WmlBKP7h7XFz3F3cnCxJ1G2fvikUvBxm5htmPG1NLa7kfGVZwaCfgCDOra64ULDbvvdeQPiArLG2&#10;TAq+ycN00nkYY6btjdd03YRCRAj7DBWUITSZlD4vyaDv24Y4eifrDIYoXSG1w1uEm1oOkySVBiuO&#10;CyU29FpSft5cjILD4DP/We/cfDk/PK3e+Pi12MuTUo/ddjYCEagN9/B/+0MrS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0jxwAAANwAAAAPAAAAAAAA&#10;AAAAAAAAAKECAABkcnMvZG93bnJldi54bWxQSwUGAAAAAAQABAD5AAAAlQMAAAAA&#10;" strokecolor="#d4d4d4" strokeweight="0"/>
            <v:rect id="Rectangle 301" o:spid="_x0000_s1321" style="position:absolute;left:63;top:32143;width:6250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iT8QA&#10;AADcAAAADwAAAGRycy9kb3ducmV2LnhtbESP0WoCMRRE3wX/IVyhL6VmLbq2q1GkVKhvrfYDLpvr&#10;ZnVzsyRRV7++EQo+DjNzhpkvO9uIM/lQO1YwGmYgiEuna64U/O7WL28gQkTW2DgmBVcKsFz0e3Ms&#10;tLvwD523sRIJwqFABSbGtpAylIYshqFriZO3d95iTNJXUnu8JLht5GuW5dJizWnBYEsfhsrj9mQV&#10;yMO3rmX7mfvD/vmo381mgreJUk+DbjUDEamLj/B/+0sryMd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ok/EAAAA3AAAAA8AAAAAAAAAAAAAAAAAmAIAAGRycy9k&#10;b3ducmV2LnhtbFBLBQYAAAAABAAEAPUAAACJAwAAAAA=&#10;" fillcolor="#d4d4d4" stroked="f"/>
            <w10:anchorlock/>
          </v:group>
        </w:pict>
      </w:r>
    </w:p>
    <w:p w:rsidR="003964D3" w:rsidRDefault="003964D3" w:rsidP="00F54482">
      <w:pPr>
        <w:widowControl w:val="0"/>
        <w:ind w:firstLine="561"/>
        <w:jc w:val="both"/>
        <w:rPr>
          <w:rFonts w:ascii="Calibri" w:eastAsia="SimSun" w:hAnsi="Calibri" w:cs="Arial Narrow"/>
          <w:lang w:val="ro-RO" w:eastAsia="ro-RO"/>
        </w:rPr>
      </w:pPr>
    </w:p>
    <w:p w:rsidR="00F54482" w:rsidRPr="003964D3" w:rsidRDefault="00F54482" w:rsidP="00F54482">
      <w:pPr>
        <w:widowControl w:val="0"/>
        <w:ind w:firstLine="561"/>
        <w:jc w:val="both"/>
        <w:rPr>
          <w:rFonts w:ascii="Calibri" w:eastAsia="SimSun" w:hAnsi="Calibri"/>
          <w:sz w:val="28"/>
          <w:szCs w:val="28"/>
          <w:lang w:val="ro-RO" w:eastAsia="ro-RO"/>
        </w:rPr>
      </w:pPr>
      <w:r w:rsidRPr="00260002">
        <w:rPr>
          <w:rFonts w:ascii="Calibri" w:eastAsia="SimSun" w:hAnsi="Calibri" w:cs="Arial Narrow"/>
          <w:lang w:val="ro-RO" w:eastAsia="ro-RO"/>
        </w:rPr>
        <w:t>Aceste sume pot suferi modificări, întrucât, pe de o parte, potrivit procedurilor comunitare, se vor efectua ajustări tehnice automate ale indicatorilor stabiliţi în cadrul reuniunii ACOR-Previziuni, la momentul apariţiei noilor indicatori macroeconomici estimaţi de Comisia Europeană, iar pe de altă parte, nivelul contribuţiei tuturor Statelor Membre, deci şi a României, se va modifica în funcţie de negocierile la nivel comunitar în ceea ce priveşte volumul total al bugetului Uniunii Europene.</w:t>
      </w:r>
    </w:p>
    <w:p w:rsidR="00F54482" w:rsidRPr="00260002" w:rsidRDefault="00F54482" w:rsidP="00F54482">
      <w:pPr>
        <w:widowControl w:val="0"/>
        <w:spacing w:before="60"/>
        <w:ind w:firstLine="561"/>
        <w:jc w:val="both"/>
        <w:rPr>
          <w:rFonts w:ascii="Calibri" w:eastAsia="SimSun" w:hAnsi="Calibri" w:cs="Arial Narrow"/>
          <w:lang w:val="ro-RO" w:eastAsia="ro-RO"/>
        </w:rPr>
      </w:pPr>
      <w:r w:rsidRPr="00260002">
        <w:rPr>
          <w:rFonts w:ascii="Calibri" w:eastAsia="SimSun" w:hAnsi="Calibri" w:cs="Arial Narrow"/>
          <w:lang w:val="ro-RO" w:eastAsia="ro-RO"/>
        </w:rPr>
        <w:t>Menționăm că pentru anii 2021 și 2022 pot apărea modificări substanțiale, dintre care, la acest moment, pot fi prevăzute următoarele:</w:t>
      </w:r>
    </w:p>
    <w:p w:rsidR="00F54482" w:rsidRPr="00260002" w:rsidRDefault="00F54482" w:rsidP="00021698">
      <w:pPr>
        <w:widowControl w:val="0"/>
        <w:numPr>
          <w:ilvl w:val="0"/>
          <w:numId w:val="108"/>
        </w:numPr>
        <w:suppressAutoHyphens/>
        <w:ind w:left="708" w:hanging="147"/>
        <w:jc w:val="both"/>
        <w:rPr>
          <w:rFonts w:ascii="Calibri" w:eastAsia="SimSun" w:hAnsi="Calibri" w:cs="Arial Narrow"/>
          <w:lang w:val="ro-RO" w:eastAsia="ro-RO"/>
        </w:rPr>
      </w:pPr>
      <w:r w:rsidRPr="00260002">
        <w:rPr>
          <w:rFonts w:ascii="Calibri" w:eastAsia="SimSun" w:hAnsi="Calibri" w:cs="Arial Narrow"/>
          <w:lang w:val="ro-RO" w:eastAsia="ro-RO"/>
        </w:rPr>
        <w:t>BREXIT – acoperirea golului rămas în urma retragerii UK din UE (echivalentul contribuției UK la bugetul UE sau altă sumă în funcție de rezultatul acordului din martie 2019);</w:t>
      </w:r>
    </w:p>
    <w:p w:rsidR="00F54482" w:rsidRPr="00260002" w:rsidRDefault="00F54482" w:rsidP="00021698">
      <w:pPr>
        <w:widowControl w:val="0"/>
        <w:numPr>
          <w:ilvl w:val="0"/>
          <w:numId w:val="108"/>
        </w:numPr>
        <w:suppressAutoHyphens/>
        <w:ind w:left="709" w:hanging="148"/>
        <w:jc w:val="both"/>
        <w:rPr>
          <w:rFonts w:ascii="Calibri" w:eastAsia="SimSun" w:hAnsi="Calibri" w:cs="Arial Narrow"/>
          <w:lang w:val="ro-RO" w:eastAsia="ro-RO"/>
        </w:rPr>
      </w:pPr>
      <w:r w:rsidRPr="00260002">
        <w:rPr>
          <w:rFonts w:ascii="Calibri" w:eastAsia="SimSun" w:hAnsi="Calibri" w:cs="Arial Narrow"/>
          <w:lang w:val="ro-RO" w:eastAsia="ro-RO"/>
        </w:rPr>
        <w:t>Cadrul Financiar Multianual 2021-2027 - aflat la început de negociere, așteptându-se ca finalizarea acestuia să se facă în anul 2019 sau, în cel mai rău caz, în anul 2020. Factorii care influențează cuantumul contribuției RO la bugetul UE sunt:</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lang w:val="ro-RO" w:eastAsia="ro-RO"/>
        </w:rPr>
      </w:pPr>
      <w:r w:rsidRPr="00260002">
        <w:rPr>
          <w:rFonts w:ascii="Calibri" w:eastAsia="SimSun" w:hAnsi="Calibri" w:cs="Arial Narrow"/>
          <w:lang w:val="ro-RO" w:eastAsia="ro-RO"/>
        </w:rPr>
        <w:t>Noile resurse proprii – vor genera modificări ale ponderii contribuției RO la bugetul UE în totalul Resurse proprii;</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lang w:val="ro-RO" w:eastAsia="ro-RO"/>
        </w:rPr>
      </w:pPr>
      <w:r w:rsidRPr="00260002">
        <w:rPr>
          <w:rFonts w:ascii="Calibri" w:eastAsia="SimSun" w:hAnsi="Calibri" w:cs="Arial Narrow"/>
          <w:lang w:val="ro-RO" w:eastAsia="ro-RO"/>
        </w:rPr>
        <w:t>Creșterea plafonului de finanțare a bugetului UE prin sistemul de resurse proprii;</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lang w:val="ro-RO" w:eastAsia="ro-RO"/>
        </w:rPr>
      </w:pPr>
      <w:r w:rsidRPr="00260002">
        <w:rPr>
          <w:rFonts w:ascii="Calibri" w:eastAsia="SimSun" w:hAnsi="Calibri" w:cs="Arial Narrow"/>
          <w:lang w:val="ro-RO" w:eastAsia="ro-RO"/>
        </w:rPr>
        <w:t>Alte influențe din Piața Internă și Internațională.</w:t>
      </w:r>
    </w:p>
    <w:p w:rsidR="00F54482" w:rsidRPr="00260002" w:rsidRDefault="00F54482" w:rsidP="00F54482">
      <w:pPr>
        <w:widowControl w:val="0"/>
        <w:suppressAutoHyphens/>
        <w:ind w:left="1418"/>
        <w:jc w:val="both"/>
        <w:rPr>
          <w:rFonts w:ascii="Calibri" w:eastAsia="SimSun" w:hAnsi="Calibri" w:cs="Arial Narrow"/>
          <w:lang w:val="ro-RO" w:eastAsia="ro-RO"/>
        </w:rPr>
      </w:pPr>
    </w:p>
    <w:p w:rsidR="00F54482" w:rsidRPr="003964D3" w:rsidRDefault="00F54482" w:rsidP="00F54482">
      <w:pPr>
        <w:spacing w:before="120" w:after="120"/>
        <w:jc w:val="both"/>
        <w:rPr>
          <w:rFonts w:asciiTheme="minorHAnsi" w:hAnsiTheme="minorHAnsi"/>
          <w:lang w:val="fr-FR"/>
        </w:rPr>
      </w:pPr>
      <w:r w:rsidRPr="00260002">
        <w:rPr>
          <w:rFonts w:asciiTheme="minorHAnsi" w:hAnsiTheme="minorHAnsi" w:cs="Arial Narrow"/>
          <w:b/>
          <w:lang w:val="pt-BR"/>
        </w:rPr>
        <w:t>Estimarea contribuţiei României la Fondul European de Dezvoltare pentru perioada 2019</w:t>
      </w:r>
      <w:r w:rsidRPr="00260002">
        <w:rPr>
          <w:rFonts w:asciiTheme="minorHAnsi" w:hAnsiTheme="minorHAnsi" w:cs="Arial Narrow"/>
          <w:b/>
          <w:bCs/>
          <w:lang w:val="pt-BR"/>
        </w:rPr>
        <w:t xml:space="preserve"> – 2022</w:t>
      </w:r>
    </w:p>
    <w:p w:rsidR="00F54482" w:rsidRPr="00260002" w:rsidRDefault="00F54482" w:rsidP="00F54482">
      <w:pPr>
        <w:widowControl w:val="0"/>
        <w:spacing w:before="120"/>
        <w:ind w:firstLine="561"/>
        <w:jc w:val="both"/>
        <w:rPr>
          <w:rFonts w:ascii="Calibri" w:eastAsia="SimSun" w:hAnsi="Calibri" w:cs="Arial Narrow"/>
          <w:lang w:val="ro-RO" w:eastAsia="ro-RO"/>
        </w:rPr>
      </w:pPr>
      <w:r w:rsidRPr="00260002">
        <w:rPr>
          <w:rFonts w:ascii="Calibri" w:eastAsia="SimSun" w:hAnsi="Calibri" w:cs="Arial Narrow"/>
          <w:lang w:val="ro-RO" w:eastAsia="ro-RO"/>
        </w:rPr>
        <w:t>Prin Legea nr. 16/2008, România a aderat la Acordul, semnat la Luxemburg la 25 iunie 2005, de modificare a Acordului de parteneriat dintre membrii grupului statelor din Africa, Caraibe şi Pacific, pe de o parte, şi Comunitatea Europeană şi statele membre, pe de altă parte, semnat la Cotonou la 23 iunie 2000. În acest context, din 2011, România contribuie la cel de-al 10-lea Fond European pentru Dezvoltare (FED 10).</w:t>
      </w:r>
    </w:p>
    <w:p w:rsidR="00F54482" w:rsidRPr="00260002" w:rsidRDefault="00F54482" w:rsidP="00F54482">
      <w:pPr>
        <w:widowControl w:val="0"/>
        <w:spacing w:before="120"/>
        <w:ind w:firstLine="561"/>
        <w:jc w:val="both"/>
        <w:rPr>
          <w:rFonts w:ascii="Calibri" w:eastAsia="SimSun" w:hAnsi="Calibri" w:cs="Arial Narrow"/>
          <w:lang w:val="ro-RO" w:eastAsia="ro-RO"/>
        </w:rPr>
      </w:pPr>
      <w:r w:rsidRPr="00260002">
        <w:rPr>
          <w:rFonts w:ascii="Calibri" w:eastAsia="SimSun" w:hAnsi="Calibri" w:cs="Arial Narrow"/>
          <w:lang w:val="ro-RO" w:eastAsia="ro-RO"/>
        </w:rPr>
        <w:t>În tabelul de mai jos este prezentată estimarea contribuției României la FED pentru perioada 201</w:t>
      </w:r>
      <w:r>
        <w:rPr>
          <w:rFonts w:ascii="Calibri" w:eastAsia="SimSun" w:hAnsi="Calibri" w:cs="Arial Narrow"/>
          <w:lang w:val="ro-RO" w:eastAsia="ro-RO"/>
        </w:rPr>
        <w:t>9</w:t>
      </w:r>
      <w:r w:rsidRPr="00260002">
        <w:rPr>
          <w:rFonts w:ascii="Calibri" w:eastAsia="SimSun" w:hAnsi="Calibri" w:cs="Arial Narrow"/>
          <w:lang w:val="ro-RO" w:eastAsia="ro-RO"/>
        </w:rPr>
        <w:t>-202</w:t>
      </w:r>
      <w:r>
        <w:rPr>
          <w:rFonts w:ascii="Calibri" w:eastAsia="SimSun" w:hAnsi="Calibri" w:cs="Arial Narrow"/>
          <w:lang w:val="ro-RO" w:eastAsia="ro-RO"/>
        </w:rPr>
        <w:t>2</w:t>
      </w:r>
      <w:r w:rsidRPr="00260002">
        <w:rPr>
          <w:rFonts w:ascii="Calibri" w:eastAsia="SimSun" w:hAnsi="Calibri" w:cs="Arial Narrow"/>
          <w:lang w:val="ro-RO" w:eastAsia="ro-RO"/>
        </w:rPr>
        <w:t>:</w:t>
      </w:r>
    </w:p>
    <w:p w:rsidR="00F54482" w:rsidRPr="00260002" w:rsidRDefault="00F54482" w:rsidP="00F54482">
      <w:pPr>
        <w:widowControl w:val="0"/>
        <w:spacing w:before="120"/>
        <w:ind w:firstLine="561"/>
        <w:jc w:val="both"/>
        <w:rPr>
          <w:rFonts w:ascii="Calibri" w:eastAsia="SimSun" w:hAnsi="Calibri" w:cs="Arial Narrow"/>
          <w:sz w:val="16"/>
          <w:szCs w:val="16"/>
          <w:lang w:val="ro-RO" w:eastAsia="ro-RO"/>
        </w:rPr>
      </w:pPr>
    </w:p>
    <w:p w:rsidR="00F54482" w:rsidRPr="00260002" w:rsidRDefault="00F54482" w:rsidP="00F54482">
      <w:pPr>
        <w:widowControl w:val="0"/>
        <w:spacing w:before="120"/>
        <w:jc w:val="both"/>
        <w:rPr>
          <w:rFonts w:ascii="Arial Narrow" w:eastAsia="SimSun" w:hAnsi="Arial Narrow" w:cs="Arial Narrow"/>
          <w:lang w:val="ro-RO" w:eastAsia="ro-RO"/>
        </w:rPr>
      </w:pPr>
      <w:r w:rsidRPr="00260002">
        <w:rPr>
          <w:rFonts w:eastAsia="SimSun"/>
          <w:noProof/>
          <w:lang w:val="ro-RO" w:eastAsia="ro-RO"/>
        </w:rPr>
        <w:drawing>
          <wp:inline distT="0" distB="0" distL="0" distR="0">
            <wp:extent cx="6299835" cy="85790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857905"/>
                    </a:xfrm>
                    <a:prstGeom prst="rect">
                      <a:avLst/>
                    </a:prstGeom>
                    <a:noFill/>
                    <a:ln>
                      <a:noFill/>
                    </a:ln>
                  </pic:spPr>
                </pic:pic>
              </a:graphicData>
            </a:graphic>
          </wp:inline>
        </w:drawing>
      </w:r>
    </w:p>
    <w:p w:rsidR="00F54482" w:rsidRPr="00260002" w:rsidRDefault="00F54482" w:rsidP="00F54482">
      <w:pPr>
        <w:spacing w:after="120"/>
        <w:ind w:right="6"/>
        <w:jc w:val="both"/>
        <w:rPr>
          <w:rFonts w:ascii="Arial Narrow" w:hAnsi="Arial Narrow" w:cs="Arial Narrow"/>
          <w:lang w:val="fr-FR"/>
        </w:rPr>
      </w:pPr>
    </w:p>
    <w:p w:rsidR="00F54482" w:rsidRPr="00260002" w:rsidRDefault="00F54482" w:rsidP="00F54482">
      <w:pPr>
        <w:spacing w:before="120" w:after="120"/>
        <w:ind w:right="6"/>
        <w:jc w:val="both"/>
        <w:rPr>
          <w:rFonts w:asciiTheme="minorHAnsi" w:hAnsiTheme="minorHAnsi" w:cs="Arial Narrow"/>
          <w:lang w:val="fr-FR"/>
        </w:rPr>
      </w:pPr>
      <w:r w:rsidRPr="00260002">
        <w:rPr>
          <w:rFonts w:ascii="Calibri" w:eastAsia="SimSun" w:hAnsi="Calibri" w:cs="Arial Narrow"/>
          <w:lang w:val="ro-RO" w:eastAsia="ro-RO"/>
        </w:rPr>
        <w:t>Aceste sume pot suferi modificări în funcţie de deciziile luate la nivel comunitar, cu privire la necesarul de fonduri pentru plăţile către statele ACP.</w:t>
      </w:r>
    </w:p>
    <w:p w:rsidR="00DC78F8" w:rsidRPr="00410235" w:rsidRDefault="00DC78F8" w:rsidP="00DC78F8">
      <w:pPr>
        <w:pStyle w:val="BodyTextIndent2"/>
        <w:spacing w:after="0"/>
        <w:ind w:firstLine="561"/>
        <w:rPr>
          <w:rFonts w:asciiTheme="minorHAnsi" w:hAnsiTheme="minorHAnsi"/>
        </w:rPr>
      </w:pPr>
    </w:p>
    <w:p w:rsidR="00352B52" w:rsidRPr="00C86702" w:rsidRDefault="00352B52" w:rsidP="00DC78F8">
      <w:pPr>
        <w:keepNext/>
        <w:suppressAutoHyphens/>
        <w:spacing w:before="240" w:after="120"/>
        <w:jc w:val="both"/>
        <w:outlineLvl w:val="1"/>
        <w:rPr>
          <w:rFonts w:ascii="Calibri" w:hAnsi="Calibri" w:cs="Arial"/>
          <w:b/>
          <w:bCs/>
          <w:iCs/>
          <w:color w:val="000066"/>
          <w:lang w:val="ro-RO" w:eastAsia="zh-CN"/>
        </w:rPr>
      </w:pPr>
      <w:r w:rsidRPr="00C86702">
        <w:rPr>
          <w:rFonts w:ascii="Calibri" w:hAnsi="Calibri" w:cs="Arial"/>
          <w:b/>
          <w:bCs/>
          <w:iCs/>
          <w:color w:val="000066"/>
          <w:lang w:val="ro-RO" w:eastAsia="zh-CN"/>
        </w:rPr>
        <w:t xml:space="preserve">Poziţia financiară netă a României în relaţia cu bugetul UE </w:t>
      </w:r>
    </w:p>
    <w:tbl>
      <w:tblPr>
        <w:tblW w:w="15490" w:type="dxa"/>
        <w:tblInd w:w="108" w:type="dxa"/>
        <w:tblLook w:val="04A0" w:firstRow="1" w:lastRow="0" w:firstColumn="1" w:lastColumn="0" w:noHBand="0" w:noVBand="1"/>
      </w:tblPr>
      <w:tblGrid>
        <w:gridCol w:w="15490"/>
      </w:tblGrid>
      <w:tr w:rsidR="00DC78F8" w:rsidRPr="0012479C" w:rsidTr="0028639D">
        <w:trPr>
          <w:trHeight w:val="996"/>
        </w:trPr>
        <w:tc>
          <w:tcPr>
            <w:tcW w:w="15490" w:type="dxa"/>
            <w:tcBorders>
              <w:top w:val="nil"/>
              <w:left w:val="nil"/>
              <w:bottom w:val="nil"/>
              <w:right w:val="nil"/>
            </w:tcBorders>
            <w:shd w:val="clear" w:color="auto" w:fill="auto"/>
          </w:tcPr>
          <w:tbl>
            <w:tblPr>
              <w:tblW w:w="9829" w:type="dxa"/>
              <w:tblLook w:val="04A0" w:firstRow="1" w:lastRow="0" w:firstColumn="1" w:lastColumn="0" w:noHBand="0" w:noVBand="1"/>
            </w:tblPr>
            <w:tblGrid>
              <w:gridCol w:w="5728"/>
              <w:gridCol w:w="1311"/>
              <w:gridCol w:w="1394"/>
              <w:gridCol w:w="1396"/>
            </w:tblGrid>
            <w:tr w:rsidR="0056747E" w:rsidRPr="001549B5" w:rsidTr="001E0D47">
              <w:trPr>
                <w:trHeight w:val="603"/>
              </w:trPr>
              <w:tc>
                <w:tcPr>
                  <w:tcW w:w="9829" w:type="dxa"/>
                  <w:gridSpan w:val="4"/>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center"/>
                    <w:rPr>
                      <w:rFonts w:ascii="Calibri" w:hAnsi="Calibri" w:cs="Arial"/>
                      <w:b/>
                      <w:bCs/>
                      <w:lang w:val="ro-RO" w:eastAsia="zh-CN"/>
                    </w:rPr>
                  </w:pPr>
                  <w:r w:rsidRPr="001549B5">
                    <w:rPr>
                      <w:rFonts w:ascii="Calibri" w:hAnsi="Calibri" w:cs="Arial"/>
                      <w:b/>
                      <w:bCs/>
                      <w:lang w:val="ro-RO" w:eastAsia="zh-CN"/>
                    </w:rPr>
                    <w:t>Evoluţia fluxurilor financiare dintre România şi Uniunea Europeană</w:t>
                  </w:r>
                  <w:r w:rsidRPr="001549B5">
                    <w:rPr>
                      <w:rFonts w:ascii="Calibri" w:hAnsi="Calibri" w:cs="Arial"/>
                      <w:b/>
                      <w:bCs/>
                      <w:lang w:val="ro-RO" w:eastAsia="zh-CN"/>
                    </w:rPr>
                    <w:br/>
                    <w:t>( BALANŢA FINANCIARĂ NETĂ)</w:t>
                  </w:r>
                </w:p>
              </w:tc>
            </w:tr>
            <w:tr w:rsidR="0056747E" w:rsidRPr="001549B5" w:rsidTr="001E0D47">
              <w:trPr>
                <w:trHeight w:val="285"/>
              </w:trPr>
              <w:tc>
                <w:tcPr>
                  <w:tcW w:w="9829" w:type="dxa"/>
                  <w:gridSpan w:val="4"/>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center"/>
                    <w:rPr>
                      <w:rFonts w:ascii="Calibri" w:hAnsi="Calibri" w:cs="Arial"/>
                      <w:b/>
                      <w:bCs/>
                      <w:lang w:val="ro-RO" w:eastAsia="zh-CN"/>
                    </w:rPr>
                  </w:pPr>
                  <w:r w:rsidRPr="001549B5">
                    <w:rPr>
                      <w:rFonts w:ascii="Calibri" w:hAnsi="Calibri" w:cs="Arial"/>
                      <w:b/>
                      <w:bCs/>
                      <w:lang w:val="ro-RO" w:eastAsia="zh-CN"/>
                    </w:rPr>
                    <w:t>la 31.12.2018</w:t>
                  </w:r>
                </w:p>
              </w:tc>
            </w:tr>
            <w:tr w:rsidR="0056747E" w:rsidRPr="001549B5" w:rsidTr="001E0D47">
              <w:trPr>
                <w:trHeight w:val="276"/>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r w:rsidRPr="001549B5">
                    <w:rPr>
                      <w:rFonts w:ascii="Calibri" w:hAnsi="Calibri" w:cs="Arial"/>
                      <w:b/>
                      <w:bCs/>
                      <w:lang w:val="ro-RO" w:eastAsia="zh-CN"/>
                    </w:rPr>
                    <w:t>Sume primite în CFM</w:t>
                  </w:r>
                  <w:r w:rsidRPr="001549B5">
                    <w:rPr>
                      <w:rFonts w:ascii="Calibri" w:hAnsi="Calibri" w:cs="Arial"/>
                      <w:b/>
                      <w:bCs/>
                      <w:vertAlign w:val="superscript"/>
                      <w:lang w:val="ro-RO" w:eastAsia="zh-CN"/>
                    </w:rPr>
                    <w:t>*)</w:t>
                  </w:r>
                  <w:r w:rsidRPr="001549B5">
                    <w:rPr>
                      <w:rFonts w:ascii="Calibri" w:hAnsi="Calibri" w:cs="Arial"/>
                      <w:b/>
                      <w:bCs/>
                      <w:lang w:val="ro-RO" w:eastAsia="zh-CN"/>
                    </w:rPr>
                    <w:t xml:space="preserve"> 2007-2013</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2E0E4B" w:rsidRDefault="0056747E" w:rsidP="0056747E">
                  <w:pPr>
                    <w:widowControl w:val="0"/>
                    <w:tabs>
                      <w:tab w:val="num" w:pos="709"/>
                    </w:tabs>
                    <w:suppressAutoHyphens/>
                    <w:jc w:val="both"/>
                    <w:rPr>
                      <w:rFonts w:ascii="Calibri" w:hAnsi="Calibri" w:cs="Arial"/>
                      <w:b/>
                      <w:bCs/>
                      <w:sz w:val="20"/>
                      <w:szCs w:val="20"/>
                      <w:lang w:val="ro-RO" w:eastAsia="zh-CN"/>
                    </w:rPr>
                  </w:pPr>
                  <w:r w:rsidRPr="002E0E4B">
                    <w:rPr>
                      <w:rFonts w:ascii="Calibri" w:hAnsi="Calibri" w:cs="Arial"/>
                      <w:b/>
                      <w:bCs/>
                      <w:sz w:val="20"/>
                      <w:szCs w:val="20"/>
                      <w:lang w:val="ro-RO" w:eastAsia="zh-CN"/>
                    </w:rPr>
                    <w:t>milioane euro</w:t>
                  </w:r>
                </w:p>
              </w:tc>
            </w:tr>
            <w:tr w:rsidR="0056747E" w:rsidRPr="001549B5" w:rsidTr="001E0D47">
              <w:trPr>
                <w:trHeight w:val="1176"/>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val="ro-RO" w:eastAsia="zh-CN"/>
                    </w:rPr>
                  </w:pPr>
                  <w:r w:rsidRPr="001549B5">
                    <w:rPr>
                      <w:rFonts w:ascii="Calibri" w:hAnsi="Calibri" w:cs="Arial" w:hint="eastAsia"/>
                      <w:lang w:eastAsia="zh-CN"/>
                    </w:rPr>
                    <w:t>Denumire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 xml:space="preserve">Realizat 2018 </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 xml:space="preserve"> 2007-2018</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CCCCFF" w:fill="C0C0C0"/>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I. SUME PRIMITE DE LA BUGETUL UE </w:t>
                  </w:r>
                  <w:r w:rsidRPr="003964D3">
                    <w:rPr>
                      <w:rFonts w:ascii="Calibri" w:hAnsi="Calibri" w:cs="Arial" w:hint="eastAsia"/>
                      <w:lang w:val="fr-FR" w:eastAsia="zh-CN"/>
                    </w:rPr>
                    <w:t>(A+B)</w:t>
                  </w:r>
                </w:p>
              </w:tc>
              <w:tc>
                <w:tcPr>
                  <w:tcW w:w="1311"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37.066,11</w:t>
                  </w:r>
                </w:p>
              </w:tc>
              <w:tc>
                <w:tcPr>
                  <w:tcW w:w="1394"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6,55</w:t>
                  </w:r>
                </w:p>
              </w:tc>
              <w:tc>
                <w:tcPr>
                  <w:tcW w:w="1396"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37.072,66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i/>
                      <w:iCs/>
                      <w:lang w:val="fr-FR" w:eastAsia="zh-CN"/>
                    </w:rPr>
                  </w:pPr>
                  <w:r w:rsidRPr="003964D3">
                    <w:rPr>
                      <w:rFonts w:ascii="Calibri" w:hAnsi="Calibri" w:cs="Arial" w:hint="eastAsia"/>
                      <w:b/>
                      <w:bCs/>
                      <w:i/>
                      <w:iCs/>
                      <w:lang w:val="fr-FR" w:eastAsia="zh-CN"/>
                    </w:rPr>
                    <w:t>A. Fonduri de pre-aderare</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2.711,65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6,54</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2.718,20</w:t>
                  </w:r>
                </w:p>
              </w:tc>
            </w:tr>
            <w:tr w:rsidR="0056747E" w:rsidRPr="001549B5" w:rsidTr="001E0D47">
              <w:trPr>
                <w:trHeight w:val="294"/>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 xml:space="preserve">B. Fonduri post-aderare, </w:t>
                  </w:r>
                  <w:r w:rsidRPr="001549B5">
                    <w:rPr>
                      <w:rFonts w:ascii="Calibri" w:hAnsi="Calibri" w:cs="Arial" w:hint="eastAsia"/>
                      <w:i/>
                      <w:iCs/>
                      <w:lang w:eastAsia="zh-CN"/>
                    </w:rPr>
                    <w:t xml:space="preserve">din care: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34.354,46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34.354,46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 xml:space="preserve">i) </w:t>
                  </w:r>
                  <w:r w:rsidRPr="001549B5">
                    <w:rPr>
                      <w:rFonts w:ascii="Calibri" w:hAnsi="Calibri" w:cs="Arial" w:hint="eastAsia"/>
                      <w:lang w:eastAsia="zh-CN"/>
                    </w:rPr>
                    <w:t xml:space="preserve">Avansuri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4.217,07</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4.217,07</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ii)</w:t>
                  </w:r>
                  <w:r w:rsidRPr="001549B5">
                    <w:rPr>
                      <w:rFonts w:ascii="Calibri" w:hAnsi="Calibri" w:cs="Arial" w:hint="eastAsia"/>
                      <w:lang w:eastAsia="zh-CN"/>
                    </w:rPr>
                    <w:t>Rambursari (inclusiv FEGA)</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30.137,39</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30.137,39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B1. Fonduri structurale si de coeziune (FSC), </w:t>
                  </w:r>
                  <w:r w:rsidRPr="003964D3">
                    <w:rPr>
                      <w:rFonts w:ascii="Calibri" w:hAnsi="Calibri" w:cs="Arial" w:hint="eastAsia"/>
                      <w:lang w:val="fr-FR" w:eastAsia="zh-CN"/>
                    </w:rPr>
                    <w:t>din care:</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17.254,26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17.254,26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a)</w:t>
                  </w:r>
                  <w:r w:rsidRPr="001549B5">
                    <w:rPr>
                      <w:rFonts w:ascii="Calibri" w:hAnsi="Calibri" w:cs="Arial" w:hint="eastAsia"/>
                      <w:lang w:eastAsia="zh-CN"/>
                    </w:rPr>
                    <w:t xml:space="preserve"> Avansuri din FSC</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2.125,81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2.125,81</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b)</w:t>
                  </w:r>
                  <w:r w:rsidRPr="001549B5">
                    <w:rPr>
                      <w:rFonts w:ascii="Calibri" w:hAnsi="Calibri" w:cs="Arial" w:hint="eastAsia"/>
                      <w:lang w:eastAsia="zh-CN"/>
                    </w:rPr>
                    <w:t xml:space="preserve"> Rambursari din FSC</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15.128,45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15.128,45</w:t>
                  </w:r>
                </w:p>
              </w:tc>
            </w:tr>
            <w:tr w:rsidR="0056747E" w:rsidRPr="001549B5" w:rsidTr="001E0D47">
              <w:trPr>
                <w:trHeight w:val="678"/>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B2. Fonduri pentru dezvoltare rurala si pescuit (FEADR+FEP), </w:t>
                  </w:r>
                  <w:r w:rsidRPr="003964D3">
                    <w:rPr>
                      <w:rFonts w:ascii="Calibri" w:hAnsi="Calibri" w:cs="Arial" w:hint="eastAsia"/>
                      <w:lang w:val="fr-FR" w:eastAsia="zh-CN"/>
                    </w:rPr>
                    <w:t xml:space="preserve">din care: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7.734,02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7.734,02</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a)</w:t>
                  </w:r>
                  <w:r w:rsidRPr="001549B5">
                    <w:rPr>
                      <w:rFonts w:ascii="Calibri" w:hAnsi="Calibri" w:cs="Arial" w:hint="eastAsia"/>
                      <w:lang w:eastAsia="zh-CN"/>
                    </w:rPr>
                    <w:t xml:space="preserve"> Avansuri (FEADR+FEP)</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593,88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593,88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b)</w:t>
                  </w:r>
                  <w:r w:rsidRPr="001549B5">
                    <w:rPr>
                      <w:rFonts w:ascii="Calibri" w:hAnsi="Calibri" w:cs="Arial" w:hint="eastAsia"/>
                      <w:lang w:eastAsia="zh-CN"/>
                    </w:rPr>
                    <w:t xml:space="preserve"> Rambursari  (FEADR+FEP)</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7.140,15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7.140,15</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B3. Fondul European pentru Garantare Agricola (FEGA)</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7.658,82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7.658,82</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 xml:space="preserve">B4. Altele (post-aderare), </w:t>
                  </w:r>
                  <w:r w:rsidRPr="001549B5">
                    <w:rPr>
                      <w:rFonts w:ascii="Calibri" w:hAnsi="Calibri" w:cs="Arial" w:hint="eastAsia"/>
                      <w:lang w:eastAsia="zh-CN"/>
                    </w:rPr>
                    <w:t xml:space="preserve">din care: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1.707,35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1.707,36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 xml:space="preserve">a) </w:t>
                  </w:r>
                  <w:r w:rsidRPr="001549B5">
                    <w:rPr>
                      <w:rFonts w:ascii="Calibri" w:hAnsi="Calibri" w:cs="Arial" w:hint="eastAsia"/>
                      <w:lang w:eastAsia="zh-CN"/>
                    </w:rPr>
                    <w:t xml:space="preserve">Avansuri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1.497,38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1.497,39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b)</w:t>
                  </w:r>
                  <w:r w:rsidRPr="001549B5">
                    <w:rPr>
                      <w:rFonts w:ascii="Calibri" w:hAnsi="Calibri" w:cs="Arial" w:hint="eastAsia"/>
                      <w:lang w:eastAsia="zh-CN"/>
                    </w:rPr>
                    <w:t>Rambursari</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209,97</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209,97</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r w:rsidRPr="001549B5">
                    <w:rPr>
                      <w:rFonts w:ascii="Calibri" w:hAnsi="Calibri" w:cs="Arial"/>
                      <w:b/>
                      <w:bCs/>
                      <w:lang w:val="ro-RO" w:eastAsia="zh-CN"/>
                    </w:rPr>
                    <w:t>Sume primite în CFM 2014-2020</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r w:rsidRPr="002E0E4B">
                    <w:rPr>
                      <w:rFonts w:ascii="Calibri" w:hAnsi="Calibri" w:cs="Arial"/>
                      <w:b/>
                      <w:bCs/>
                      <w:sz w:val="20"/>
                      <w:szCs w:val="20"/>
                      <w:lang w:val="ro-RO" w:eastAsia="zh-CN"/>
                    </w:rPr>
                    <w:t>milioane euro</w:t>
                  </w:r>
                </w:p>
              </w:tc>
            </w:tr>
            <w:tr w:rsidR="0056747E" w:rsidRPr="001549B5" w:rsidTr="001E0D47">
              <w:trPr>
                <w:trHeight w:val="1096"/>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val="ro-RO" w:eastAsia="zh-CN"/>
                    </w:rPr>
                  </w:pPr>
                  <w:r w:rsidRPr="001549B5">
                    <w:rPr>
                      <w:rFonts w:ascii="Calibri" w:hAnsi="Calibri" w:cs="Arial" w:hint="eastAsia"/>
                      <w:lang w:eastAsia="zh-CN"/>
                    </w:rPr>
                    <w:t>Denumire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2014- 2017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 xml:space="preserve">Realizat 2018 </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 xml:space="preserve"> 2014-2018</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r>
            <w:tr w:rsidR="0056747E" w:rsidRPr="001549B5" w:rsidTr="001E0D47">
              <w:trPr>
                <w:trHeight w:val="435"/>
              </w:trPr>
              <w:tc>
                <w:tcPr>
                  <w:tcW w:w="5728" w:type="dxa"/>
                  <w:tcBorders>
                    <w:top w:val="nil"/>
                    <w:left w:val="single" w:sz="4" w:space="0" w:color="auto"/>
                    <w:bottom w:val="single" w:sz="4" w:space="0" w:color="auto"/>
                    <w:right w:val="single" w:sz="4" w:space="0" w:color="auto"/>
                  </w:tcBorders>
                  <w:shd w:val="clear" w:color="CCCCFF" w:fill="C0C0C0"/>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I. SUME PRIMITE DE LA BUGETUL UE </w:t>
                  </w:r>
                  <w:r w:rsidRPr="003964D3">
                    <w:rPr>
                      <w:rFonts w:ascii="Calibri" w:hAnsi="Calibri" w:cs="Arial" w:hint="eastAsia"/>
                      <w:lang w:val="fr-FR" w:eastAsia="zh-CN"/>
                    </w:rPr>
                    <w:t>(A+B+C+D)</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8.619,81</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4.437,87</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13.057,68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 xml:space="preserve">i) </w:t>
                  </w:r>
                  <w:r w:rsidRPr="001549B5">
                    <w:rPr>
                      <w:rFonts w:ascii="Calibri" w:hAnsi="Calibri" w:cs="Arial" w:hint="eastAsia"/>
                      <w:lang w:eastAsia="zh-CN"/>
                    </w:rPr>
                    <w:t xml:space="preserve">Avansuri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1.867,35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69,81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1.937,16</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ii)</w:t>
                  </w:r>
                  <w:r w:rsidRPr="001549B5">
                    <w:rPr>
                      <w:rFonts w:ascii="Calibri" w:hAnsi="Calibri" w:cs="Arial" w:hint="eastAsia"/>
                      <w:lang w:eastAsia="zh-CN"/>
                    </w:rPr>
                    <w:t>Rambursari (inclusiv FEGA)</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6.752,46</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4.368,06</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11.120,52</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A. Fonduri structurale si de coeziune (FSC), </w:t>
                  </w:r>
                  <w:r w:rsidRPr="003964D3">
                    <w:rPr>
                      <w:rFonts w:ascii="Calibri" w:hAnsi="Calibri" w:cs="Arial" w:hint="eastAsia"/>
                      <w:lang w:val="fr-FR" w:eastAsia="zh-CN"/>
                    </w:rPr>
                    <w:t>din care:</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2.655,35</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1.469,11</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4.124,46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a)</w:t>
                  </w:r>
                  <w:r w:rsidRPr="001549B5">
                    <w:rPr>
                      <w:rFonts w:ascii="Calibri" w:hAnsi="Calibri" w:cs="Arial" w:hint="eastAsia"/>
                      <w:lang w:eastAsia="zh-CN"/>
                    </w:rPr>
                    <w:t xml:space="preserve"> Avansuri din FSC</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1.511,00</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31,08</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1.542,07</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b)</w:t>
                  </w:r>
                  <w:r w:rsidRPr="001549B5">
                    <w:rPr>
                      <w:rFonts w:ascii="Calibri" w:hAnsi="Calibri" w:cs="Arial" w:hint="eastAsia"/>
                      <w:lang w:eastAsia="zh-CN"/>
                    </w:rPr>
                    <w:t xml:space="preserve"> Rambursari din FSC</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1.144,36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1.438,03</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2.582,39</w:t>
                  </w:r>
                </w:p>
              </w:tc>
            </w:tr>
            <w:tr w:rsidR="0056747E" w:rsidRPr="001549B5" w:rsidTr="001E0D47">
              <w:trPr>
                <w:trHeight w:val="61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B. Fonduri pentru dezvoltare rurala si pescuit (FEADR+FEPAM), </w:t>
                  </w:r>
                  <w:r w:rsidRPr="003964D3">
                    <w:rPr>
                      <w:rFonts w:ascii="Calibri" w:hAnsi="Calibri" w:cs="Arial" w:hint="eastAsia"/>
                      <w:lang w:val="fr-FR" w:eastAsia="zh-CN"/>
                    </w:rPr>
                    <w:t>din care:</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2.379,53</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1.026,06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3.405,59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a)</w:t>
                  </w:r>
                  <w:r w:rsidRPr="001549B5">
                    <w:rPr>
                      <w:rFonts w:ascii="Calibri" w:hAnsi="Calibri" w:cs="Arial" w:hint="eastAsia"/>
                      <w:lang w:eastAsia="zh-CN"/>
                    </w:rPr>
                    <w:t xml:space="preserve"> Avansuri (FEADR+FEPAM)</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335,61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0,20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335,81</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b)</w:t>
                  </w:r>
                  <w:r w:rsidRPr="001549B5">
                    <w:rPr>
                      <w:rFonts w:ascii="Calibri" w:hAnsi="Calibri" w:cs="Arial" w:hint="eastAsia"/>
                      <w:lang w:eastAsia="zh-CN"/>
                    </w:rPr>
                    <w:t xml:space="preserve"> Rambursari  (FEADR+FEPAM)</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2.043,92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1.025,86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3.069,79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C. Fondul European pentru Garantare Agricola (FEGA)</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3.013,10</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1.768,96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4.782,06</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 xml:space="preserve">D. Altele (post-aderare), </w:t>
                  </w:r>
                  <w:r w:rsidRPr="001549B5">
                    <w:rPr>
                      <w:rFonts w:ascii="Calibri" w:hAnsi="Calibri" w:cs="Arial" w:hint="eastAsia"/>
                      <w:lang w:eastAsia="zh-CN"/>
                    </w:rPr>
                    <w:t xml:space="preserve">din care: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571,83</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173,75</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745,57</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 xml:space="preserve">a) </w:t>
                  </w:r>
                  <w:r w:rsidRPr="001549B5">
                    <w:rPr>
                      <w:rFonts w:ascii="Calibri" w:hAnsi="Calibri" w:cs="Arial" w:hint="eastAsia"/>
                      <w:lang w:eastAsia="zh-CN"/>
                    </w:rPr>
                    <w:t xml:space="preserve">Avansuri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20,74</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38,53</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59,28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lang w:eastAsia="zh-CN"/>
                    </w:rPr>
                  </w:pPr>
                  <w:r w:rsidRPr="001549B5">
                    <w:rPr>
                      <w:rFonts w:ascii="Calibri" w:hAnsi="Calibri" w:cs="Arial" w:hint="eastAsia"/>
                      <w:b/>
                      <w:bCs/>
                      <w:i/>
                      <w:iCs/>
                      <w:lang w:eastAsia="zh-CN"/>
                    </w:rPr>
                    <w:t>b)</w:t>
                  </w:r>
                  <w:r w:rsidRPr="001549B5">
                    <w:rPr>
                      <w:rFonts w:ascii="Calibri" w:hAnsi="Calibri" w:cs="Arial" w:hint="eastAsia"/>
                      <w:lang w:eastAsia="zh-CN"/>
                    </w:rPr>
                    <w:t>Rambursari</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551,08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135,21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686,29</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r w:rsidRPr="001549B5">
                    <w:rPr>
                      <w:rFonts w:ascii="Calibri" w:hAnsi="Calibri" w:cs="Arial"/>
                      <w:b/>
                      <w:bCs/>
                      <w:lang w:val="ro-RO" w:eastAsia="zh-CN"/>
                    </w:rPr>
                    <w:t>Sume plătite în perioada 2007-2018</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2E0E4B" w:rsidRDefault="0056747E" w:rsidP="0056747E">
                  <w:pPr>
                    <w:widowControl w:val="0"/>
                    <w:tabs>
                      <w:tab w:val="num" w:pos="709"/>
                    </w:tabs>
                    <w:suppressAutoHyphens/>
                    <w:jc w:val="both"/>
                    <w:rPr>
                      <w:rFonts w:ascii="Calibri" w:hAnsi="Calibri" w:cs="Arial"/>
                      <w:b/>
                      <w:bCs/>
                      <w:sz w:val="20"/>
                      <w:szCs w:val="20"/>
                      <w:lang w:val="ro-RO" w:eastAsia="zh-CN"/>
                    </w:rPr>
                  </w:pPr>
                  <w:r w:rsidRPr="002E0E4B">
                    <w:rPr>
                      <w:rFonts w:ascii="Calibri" w:hAnsi="Calibri" w:cs="Arial"/>
                      <w:b/>
                      <w:bCs/>
                      <w:sz w:val="20"/>
                      <w:szCs w:val="20"/>
                      <w:lang w:val="ro-RO" w:eastAsia="zh-CN"/>
                    </w:rPr>
                    <w:t>milioane euro</w:t>
                  </w:r>
                </w:p>
              </w:tc>
            </w:tr>
            <w:tr w:rsidR="0056747E" w:rsidRPr="001549B5" w:rsidTr="001E0D47">
              <w:trPr>
                <w:trHeight w:val="1204"/>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val="ro-RO" w:eastAsia="zh-CN"/>
                    </w:rPr>
                  </w:pPr>
                  <w:r w:rsidRPr="001549B5">
                    <w:rPr>
                      <w:rFonts w:ascii="Calibri" w:hAnsi="Calibri" w:cs="Arial" w:hint="eastAsia"/>
                      <w:lang w:eastAsia="zh-CN"/>
                    </w:rPr>
                    <w:t>Denumire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 xml:space="preserve">Realizat 2018 </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 xml:space="preserve"> 2007-2018</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II. SUME PLATITE CATRE BUGETUL UE</w:t>
                  </w:r>
                </w:p>
              </w:tc>
              <w:tc>
                <w:tcPr>
                  <w:tcW w:w="1311"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15.282,32</w:t>
                  </w:r>
                </w:p>
              </w:tc>
              <w:tc>
                <w:tcPr>
                  <w:tcW w:w="1394"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1.677,48</w:t>
                  </w:r>
                </w:p>
              </w:tc>
              <w:tc>
                <w:tcPr>
                  <w:tcW w:w="1396"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16.959,80</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bottom"/>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C. Contributia României la bugetul UE</w:t>
                  </w:r>
                </w:p>
              </w:tc>
              <w:tc>
                <w:tcPr>
                  <w:tcW w:w="1311"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14.905,36</w:t>
                  </w:r>
                </w:p>
              </w:tc>
              <w:tc>
                <w:tcPr>
                  <w:tcW w:w="1394"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1.640,15</w:t>
                  </w:r>
                </w:p>
              </w:tc>
              <w:tc>
                <w:tcPr>
                  <w:tcW w:w="1396"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16.545,50</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D. Alte contribuții</w:t>
                  </w:r>
                </w:p>
              </w:tc>
              <w:tc>
                <w:tcPr>
                  <w:tcW w:w="1311"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376,96</w:t>
                  </w:r>
                </w:p>
              </w:tc>
              <w:tc>
                <w:tcPr>
                  <w:tcW w:w="1394"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37,33</w:t>
                  </w:r>
                </w:p>
              </w:tc>
              <w:tc>
                <w:tcPr>
                  <w:tcW w:w="1396"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414,29</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674083" w:rsidRDefault="00674083" w:rsidP="0056747E">
                  <w:pPr>
                    <w:widowControl w:val="0"/>
                    <w:tabs>
                      <w:tab w:val="num" w:pos="709"/>
                    </w:tabs>
                    <w:suppressAutoHyphens/>
                    <w:jc w:val="both"/>
                    <w:rPr>
                      <w:rFonts w:ascii="Calibri" w:hAnsi="Calibri" w:cs="Arial"/>
                      <w:b/>
                      <w:bCs/>
                      <w:lang w:val="ro-RO" w:eastAsia="zh-CN"/>
                    </w:rPr>
                  </w:pPr>
                </w:p>
                <w:p w:rsidR="00674083" w:rsidRDefault="00674083" w:rsidP="0056747E">
                  <w:pPr>
                    <w:widowControl w:val="0"/>
                    <w:tabs>
                      <w:tab w:val="num" w:pos="709"/>
                    </w:tabs>
                    <w:suppressAutoHyphens/>
                    <w:jc w:val="both"/>
                    <w:rPr>
                      <w:rFonts w:ascii="Calibri" w:hAnsi="Calibri" w:cs="Arial"/>
                      <w:b/>
                      <w:bCs/>
                      <w:lang w:val="ro-RO" w:eastAsia="zh-CN"/>
                    </w:rPr>
                  </w:pPr>
                </w:p>
                <w:p w:rsidR="0056747E" w:rsidRPr="001549B5" w:rsidRDefault="0056747E" w:rsidP="0056747E">
                  <w:pPr>
                    <w:widowControl w:val="0"/>
                    <w:tabs>
                      <w:tab w:val="num" w:pos="709"/>
                    </w:tabs>
                    <w:suppressAutoHyphens/>
                    <w:jc w:val="both"/>
                    <w:rPr>
                      <w:rFonts w:ascii="Calibri" w:hAnsi="Calibri" w:cs="Arial"/>
                      <w:b/>
                      <w:bCs/>
                      <w:lang w:val="ro-RO" w:eastAsia="zh-CN"/>
                    </w:rPr>
                  </w:pPr>
                  <w:r w:rsidRPr="001549B5">
                    <w:rPr>
                      <w:rFonts w:ascii="Calibri" w:hAnsi="Calibri" w:cs="Arial"/>
                      <w:b/>
                      <w:bCs/>
                      <w:lang w:val="ro-RO" w:eastAsia="zh-CN"/>
                    </w:rPr>
                    <w:t>SOLD - CFM 2007-2013 + CFM 2014-2020</w:t>
                  </w:r>
                </w:p>
              </w:tc>
              <w:tc>
                <w:tcPr>
                  <w:tcW w:w="1311"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56747E" w:rsidRPr="002E0E4B" w:rsidRDefault="0056747E" w:rsidP="0056747E">
                  <w:pPr>
                    <w:widowControl w:val="0"/>
                    <w:tabs>
                      <w:tab w:val="num" w:pos="709"/>
                    </w:tabs>
                    <w:suppressAutoHyphens/>
                    <w:jc w:val="both"/>
                    <w:rPr>
                      <w:rFonts w:ascii="Calibri" w:hAnsi="Calibri" w:cs="Arial"/>
                      <w:b/>
                      <w:bCs/>
                      <w:sz w:val="20"/>
                      <w:szCs w:val="20"/>
                      <w:lang w:val="ro-RO" w:eastAsia="zh-CN"/>
                    </w:rPr>
                  </w:pPr>
                  <w:r w:rsidRPr="002E0E4B">
                    <w:rPr>
                      <w:rFonts w:ascii="Calibri" w:hAnsi="Calibri" w:cs="Arial"/>
                      <w:b/>
                      <w:bCs/>
                      <w:sz w:val="20"/>
                      <w:szCs w:val="20"/>
                      <w:lang w:val="ro-RO" w:eastAsia="zh-CN"/>
                    </w:rPr>
                    <w:t>milioane euro</w:t>
                  </w:r>
                </w:p>
              </w:tc>
            </w:tr>
            <w:tr w:rsidR="0056747E" w:rsidRPr="001549B5" w:rsidTr="001E0D47">
              <w:trPr>
                <w:trHeight w:val="1118"/>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val="ro-RO" w:eastAsia="zh-CN"/>
                    </w:rPr>
                  </w:pPr>
                  <w:r w:rsidRPr="001549B5">
                    <w:rPr>
                      <w:rFonts w:ascii="Calibri" w:hAnsi="Calibri" w:cs="Arial" w:hint="eastAsia"/>
                      <w:lang w:eastAsia="zh-CN"/>
                    </w:rPr>
                    <w:t>Denumire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 xml:space="preserve">Realizat 2018 </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Realizat</w:t>
                  </w:r>
                  <w:r w:rsidRPr="001549B5">
                    <w:rPr>
                      <w:rFonts w:ascii="Calibri" w:hAnsi="Calibri" w:cs="Arial" w:hint="eastAsia"/>
                      <w:lang w:eastAsia="zh-CN"/>
                    </w:rPr>
                    <w:br/>
                    <w:t xml:space="preserve"> 2007-2018</w:t>
                  </w:r>
                  <w:r w:rsidRPr="001549B5">
                    <w:rPr>
                      <w:rFonts w:ascii="Calibri" w:hAnsi="Calibri" w:cs="Arial" w:hint="eastAsia"/>
                      <w:lang w:eastAsia="zh-CN"/>
                    </w:rPr>
                    <w:br/>
                    <w:t xml:space="preserve">(execuţia la </w:t>
                  </w:r>
                  <w:r w:rsidRPr="001549B5">
                    <w:rPr>
                      <w:rFonts w:ascii="Calibri" w:hAnsi="Calibri" w:cs="Arial" w:hint="eastAsia"/>
                      <w:lang w:eastAsia="zh-CN"/>
                    </w:rPr>
                    <w:br/>
                    <w:t>31.12.2018)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 xml:space="preserve">I. SUME PRIMITE DE LA BUGETUL UE </w:t>
                  </w:r>
                  <w:r w:rsidRPr="003964D3">
                    <w:rPr>
                      <w:rFonts w:ascii="Calibri" w:hAnsi="Calibri" w:cs="Arial" w:hint="eastAsia"/>
                      <w:lang w:val="fr-FR" w:eastAsia="zh-CN"/>
                    </w:rPr>
                    <w:t>(A+B)</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45.685,92</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4.444,42</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50.130,34</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lang w:val="fr-FR" w:eastAsia="zh-CN"/>
                    </w:rPr>
                  </w:pPr>
                  <w:r w:rsidRPr="003964D3">
                    <w:rPr>
                      <w:rFonts w:ascii="Calibri" w:hAnsi="Calibri" w:cs="Arial" w:hint="eastAsia"/>
                      <w:lang w:val="fr-FR" w:eastAsia="zh-CN"/>
                    </w:rPr>
                    <w:t>A. SUME PRIMITE DE LA BUGETUL UE din CFM 2007-2013</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37.066,11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6,55</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37.072,66</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lang w:val="fr-FR" w:eastAsia="zh-CN"/>
                    </w:rPr>
                  </w:pPr>
                  <w:r w:rsidRPr="003964D3">
                    <w:rPr>
                      <w:rFonts w:ascii="Calibri" w:hAnsi="Calibri" w:cs="Arial" w:hint="eastAsia"/>
                      <w:lang w:val="fr-FR" w:eastAsia="zh-CN"/>
                    </w:rPr>
                    <w:t>B. SUME PRIMITE DE LA BUGETUL UE din CFM 2014-2020</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8.619,81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4.437,87</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lang w:eastAsia="zh-CN"/>
                    </w:rPr>
                  </w:pPr>
                  <w:r w:rsidRPr="001549B5">
                    <w:rPr>
                      <w:rFonts w:ascii="Calibri" w:hAnsi="Calibri" w:cs="Arial" w:hint="eastAsia"/>
                      <w:lang w:eastAsia="zh-CN"/>
                    </w:rPr>
                    <w:t>13.057,68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lang w:val="fr-FR" w:eastAsia="zh-CN"/>
                    </w:rPr>
                  </w:pPr>
                  <w:r w:rsidRPr="003964D3">
                    <w:rPr>
                      <w:rFonts w:ascii="Calibri" w:hAnsi="Calibri" w:cs="Arial" w:hint="eastAsia"/>
                      <w:b/>
                      <w:bCs/>
                      <w:lang w:val="fr-FR" w:eastAsia="zh-CN"/>
                    </w:rPr>
                    <w:t>II. SUME PLATITE CATRE BUGETUL UE</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15.282,32</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1.677,48</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16.959,80</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FFFF00"/>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III. SOLDUL FLUXURILOR = I - II</w:t>
                  </w:r>
                </w:p>
              </w:tc>
              <w:tc>
                <w:tcPr>
                  <w:tcW w:w="1311"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30.403,60</w:t>
                  </w:r>
                </w:p>
              </w:tc>
              <w:tc>
                <w:tcPr>
                  <w:tcW w:w="1394"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2.766,94</w:t>
                  </w:r>
                </w:p>
              </w:tc>
              <w:tc>
                <w:tcPr>
                  <w:tcW w:w="1396"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lang w:eastAsia="zh-CN"/>
                    </w:rPr>
                  </w:pPr>
                  <w:r w:rsidRPr="001549B5">
                    <w:rPr>
                      <w:rFonts w:ascii="Calibri" w:hAnsi="Calibri" w:cs="Arial" w:hint="eastAsia"/>
                      <w:b/>
                      <w:bCs/>
                      <w:lang w:eastAsia="zh-CN"/>
                    </w:rPr>
                    <w:t>33.170,54</w:t>
                  </w:r>
                </w:p>
              </w:tc>
            </w:tr>
            <w:tr w:rsidR="0056747E" w:rsidRPr="001549B5" w:rsidTr="001E0D47">
              <w:trPr>
                <w:trHeight w:val="342"/>
              </w:trPr>
              <w:tc>
                <w:tcPr>
                  <w:tcW w:w="5728"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r w:rsidRPr="001549B5">
                    <w:rPr>
                      <w:rFonts w:ascii="Calibri" w:hAnsi="Calibri" w:cs="Arial"/>
                      <w:lang w:val="ro-RO" w:eastAsia="zh-CN"/>
                    </w:rPr>
                    <w:t>*) Cadrul financiar multianual</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r>
          </w:tbl>
          <w:p w:rsidR="0056747E" w:rsidRPr="00902951" w:rsidRDefault="0056747E" w:rsidP="0056747E">
            <w:pPr>
              <w:widowControl w:val="0"/>
              <w:tabs>
                <w:tab w:val="num" w:pos="709"/>
              </w:tabs>
              <w:suppressAutoHyphens/>
              <w:jc w:val="both"/>
              <w:rPr>
                <w:rFonts w:ascii="Calibri" w:hAnsi="Calibri" w:cs="Arial"/>
                <w:lang w:val="ro-RO" w:eastAsia="zh-CN"/>
              </w:rPr>
            </w:pPr>
          </w:p>
          <w:p w:rsidR="00730519" w:rsidRDefault="00730519" w:rsidP="0028639D">
            <w:pPr>
              <w:jc w:val="both"/>
              <w:rPr>
                <w:rFonts w:ascii="Calibri" w:hAnsi="Calibri" w:cs="Arial"/>
                <w:b/>
                <w:bCs/>
                <w:lang w:val="ro-RO"/>
              </w:rPr>
            </w:pPr>
          </w:p>
          <w:p w:rsidR="0056747E" w:rsidRDefault="0056747E" w:rsidP="0028639D">
            <w:pPr>
              <w:jc w:val="both"/>
              <w:rPr>
                <w:rFonts w:ascii="Calibri" w:hAnsi="Calibri" w:cs="Arial"/>
                <w:b/>
                <w:bCs/>
                <w:lang w:val="ro-RO"/>
              </w:rPr>
            </w:pPr>
          </w:p>
          <w:p w:rsidR="00730519" w:rsidRDefault="00730519" w:rsidP="0028639D">
            <w:pPr>
              <w:jc w:val="both"/>
              <w:rPr>
                <w:rFonts w:ascii="Calibri" w:hAnsi="Calibri" w:cs="Arial"/>
                <w:b/>
                <w:bCs/>
                <w:lang w:val="ro-RO"/>
              </w:rPr>
            </w:pPr>
          </w:p>
          <w:p w:rsidR="00730519" w:rsidRDefault="00730519" w:rsidP="0028639D">
            <w:pPr>
              <w:jc w:val="both"/>
              <w:rPr>
                <w:rFonts w:ascii="Calibri" w:hAnsi="Calibri" w:cs="Arial"/>
                <w:b/>
                <w:bCs/>
                <w:lang w:val="ro-RO"/>
              </w:rPr>
            </w:pPr>
          </w:p>
          <w:p w:rsidR="00730519" w:rsidRDefault="00730519" w:rsidP="0028639D">
            <w:pPr>
              <w:jc w:val="both"/>
              <w:rPr>
                <w:rFonts w:ascii="Calibri" w:hAnsi="Calibri" w:cs="Arial"/>
                <w:b/>
                <w:bCs/>
                <w:lang w:val="ro-RO"/>
              </w:rPr>
            </w:pPr>
          </w:p>
          <w:p w:rsidR="00730519" w:rsidRDefault="00730519" w:rsidP="0028639D">
            <w:pPr>
              <w:jc w:val="both"/>
              <w:rPr>
                <w:rFonts w:ascii="Calibri" w:hAnsi="Calibri" w:cs="Arial"/>
                <w:b/>
                <w:bCs/>
                <w:lang w:val="ro-RO"/>
              </w:rPr>
            </w:pPr>
          </w:p>
          <w:p w:rsidR="00730519" w:rsidRDefault="00730519" w:rsidP="0028639D">
            <w:pPr>
              <w:jc w:val="both"/>
              <w:rPr>
                <w:rFonts w:ascii="Calibri" w:hAnsi="Calibri" w:cs="Arial"/>
                <w:b/>
                <w:bCs/>
                <w:lang w:val="ro-RO"/>
              </w:rPr>
            </w:pPr>
          </w:p>
          <w:p w:rsidR="00730519" w:rsidRPr="0012479C" w:rsidRDefault="00730519" w:rsidP="0028639D">
            <w:pPr>
              <w:jc w:val="both"/>
              <w:rPr>
                <w:rFonts w:ascii="Calibri" w:hAnsi="Calibri" w:cs="Arial"/>
                <w:b/>
                <w:bCs/>
                <w:lang w:val="ro-RO"/>
              </w:rPr>
            </w:pPr>
          </w:p>
        </w:tc>
      </w:tr>
    </w:tbl>
    <w:p w:rsidR="00BC79B1" w:rsidRPr="00902951" w:rsidRDefault="00BC79B1" w:rsidP="00D7373B">
      <w:pPr>
        <w:widowControl w:val="0"/>
        <w:tabs>
          <w:tab w:val="num" w:pos="709"/>
        </w:tabs>
        <w:suppressAutoHyphens/>
        <w:jc w:val="both"/>
        <w:rPr>
          <w:rFonts w:ascii="Calibri" w:hAnsi="Calibri" w:cs="Arial"/>
          <w:lang w:val="ro-RO" w:eastAsia="zh-CN"/>
        </w:rPr>
      </w:pPr>
    </w:p>
    <w:p w:rsidR="00410235" w:rsidRDefault="008B4C96" w:rsidP="001E03C9">
      <w:pPr>
        <w:shd w:val="clear" w:color="auto" w:fill="5B9BD5" w:themeFill="accent1"/>
        <w:ind w:firstLine="114"/>
        <w:rPr>
          <w:rFonts w:ascii="Calibri" w:hAnsi="Calibri" w:cs="Arial Narrow"/>
          <w:b/>
          <w:color w:val="000080"/>
          <w:lang w:val="ro-RO"/>
        </w:rPr>
      </w:pPr>
      <w:r>
        <w:rPr>
          <w:rFonts w:ascii="Calibri" w:hAnsi="Calibri" w:cs="Arial Narrow"/>
          <w:b/>
          <w:color w:val="000080"/>
        </w:rPr>
        <w:t>4.9</w:t>
      </w:r>
      <w:r w:rsidR="000276D3">
        <w:rPr>
          <w:rFonts w:ascii="Calibri" w:hAnsi="Calibri" w:cs="Arial Narrow"/>
          <w:b/>
          <w:color w:val="000080"/>
        </w:rPr>
        <w:t xml:space="preserve"> Datoria publică şi</w:t>
      </w:r>
      <w:r w:rsidR="00EE0A9F" w:rsidRPr="00EE0A9F">
        <w:rPr>
          <w:rFonts w:ascii="Calibri" w:hAnsi="Calibri" w:cs="Arial Narrow"/>
          <w:b/>
          <w:color w:val="000080"/>
        </w:rPr>
        <w:t xml:space="preserve"> finanțarea deficitulu</w:t>
      </w:r>
      <w:r w:rsidR="000276D3">
        <w:rPr>
          <w:rFonts w:ascii="Calibri" w:hAnsi="Calibri" w:cs="Arial Narrow"/>
          <w:b/>
          <w:color w:val="000080"/>
        </w:rPr>
        <w:t>i bugetar</w:t>
      </w:r>
      <w:r w:rsidR="00EE0A9F" w:rsidRPr="00EE0A9F">
        <w:rPr>
          <w:rFonts w:ascii="Calibri" w:hAnsi="Calibri" w:cs="Arial Narrow"/>
          <w:b/>
          <w:color w:val="000080"/>
          <w:vertAlign w:val="superscript"/>
        </w:rPr>
        <w:footnoteReference w:id="45"/>
      </w:r>
    </w:p>
    <w:p w:rsidR="00A27780" w:rsidRPr="00511C02" w:rsidRDefault="00A27780" w:rsidP="00A27780">
      <w:pPr>
        <w:widowControl w:val="0"/>
        <w:tabs>
          <w:tab w:val="left" w:pos="993"/>
        </w:tabs>
        <w:ind w:right="-108"/>
        <w:rPr>
          <w:rFonts w:ascii="Calibri" w:hAnsi="Calibri" w:cs="Arial"/>
          <w:b/>
          <w:i/>
          <w:color w:val="365F91"/>
          <w:lang w:val="ro-RO"/>
        </w:rPr>
      </w:pPr>
      <w:r w:rsidRPr="00511C02">
        <w:rPr>
          <w:rFonts w:ascii="Calibri" w:hAnsi="Calibri" w:cs="Arial"/>
          <w:b/>
          <w:i/>
          <w:color w:val="365F91"/>
          <w:lang w:val="ro-RO"/>
        </w:rPr>
        <w:t>Datoria guvernamentală (conform metodologiei UE)</w:t>
      </w:r>
    </w:p>
    <w:p w:rsidR="00A27780" w:rsidRPr="00EB1B33" w:rsidRDefault="00A27780" w:rsidP="00A27780">
      <w:pPr>
        <w:widowControl w:val="0"/>
        <w:tabs>
          <w:tab w:val="left" w:pos="993"/>
        </w:tabs>
        <w:ind w:left="171" w:right="-108"/>
        <w:rPr>
          <w:rFonts w:ascii="Arial" w:hAnsi="Arial" w:cs="Arial"/>
          <w:color w:val="000000"/>
          <w:sz w:val="16"/>
          <w:szCs w:val="16"/>
          <w:lang w:val="ro-RO"/>
        </w:rPr>
      </w:pPr>
    </w:p>
    <w:p w:rsidR="005343F1" w:rsidRPr="005343F1" w:rsidRDefault="00382E21" w:rsidP="00382E21">
      <w:pPr>
        <w:tabs>
          <w:tab w:val="left" w:pos="5160"/>
        </w:tabs>
        <w:jc w:val="both"/>
        <w:rPr>
          <w:rFonts w:ascii="Calibri" w:hAnsi="Calibri" w:cs="Arial"/>
          <w:color w:val="000000"/>
          <w:lang w:val="ro-RO"/>
        </w:rPr>
      </w:pPr>
      <w:r w:rsidRPr="003634C9">
        <w:rPr>
          <w:rFonts w:ascii="Calibri" w:hAnsi="Calibri" w:cs="Arial"/>
          <w:color w:val="000000"/>
          <w:lang w:val="ro-RO"/>
        </w:rPr>
        <w:t>Datoria guvernamentală, con</w:t>
      </w:r>
      <w:r>
        <w:rPr>
          <w:rFonts w:ascii="Calibri" w:hAnsi="Calibri" w:cs="Arial"/>
          <w:color w:val="000000"/>
          <w:lang w:val="ro-RO"/>
        </w:rPr>
        <w:t>f</w:t>
      </w:r>
      <w:r w:rsidRPr="003634C9">
        <w:rPr>
          <w:rFonts w:ascii="Calibri" w:hAnsi="Calibri" w:cs="Arial"/>
          <w:color w:val="000000"/>
          <w:lang w:val="ro-RO"/>
        </w:rPr>
        <w:t>orm metodologiei UE, s-a situat la sfârşitul</w:t>
      </w:r>
      <w:r w:rsidR="005343F1">
        <w:rPr>
          <w:rFonts w:ascii="Calibri" w:hAnsi="Calibri" w:cs="Arial"/>
          <w:color w:val="000000"/>
          <w:lang w:val="ro-RO"/>
        </w:rPr>
        <w:t xml:space="preserve"> anului 2018 la un nivel de 35,1</w:t>
      </w:r>
      <w:r w:rsidRPr="003634C9">
        <w:rPr>
          <w:rFonts w:ascii="Calibri" w:hAnsi="Calibri" w:cs="Arial"/>
          <w:color w:val="000000"/>
          <w:lang w:val="ro-RO"/>
        </w:rPr>
        <w:t>% din PIB</w:t>
      </w:r>
      <w:r w:rsidR="005343F1">
        <w:rPr>
          <w:rStyle w:val="FootnoteReference"/>
          <w:rFonts w:ascii="Calibri" w:hAnsi="Calibri" w:cs="Arial"/>
          <w:color w:val="000000"/>
          <w:lang w:val="ro-RO"/>
        </w:rPr>
        <w:footnoteReference w:id="46"/>
      </w:r>
      <w:r w:rsidRPr="003634C9">
        <w:rPr>
          <w:rFonts w:ascii="Calibri" w:hAnsi="Calibri" w:cs="Arial"/>
          <w:color w:val="000000"/>
          <w:lang w:val="ro-RO"/>
        </w:rPr>
        <w:t>, net inferior plafonului de 60% stabilit prin Tratatul de la Maastricht</w:t>
      </w:r>
      <w:r w:rsidR="005343F1">
        <w:rPr>
          <w:rFonts w:ascii="Calibri" w:hAnsi="Calibri" w:cs="Arial"/>
          <w:color w:val="000000"/>
          <w:lang w:val="ro-RO"/>
        </w:rPr>
        <w:t>, în timp ce nivelul datoriei guvernamentale nete (reprezentând datoria guvernamentală brută minus activele financiare lichide)</w:t>
      </w:r>
      <w:r w:rsidR="005343F1">
        <w:rPr>
          <w:rStyle w:val="FootnoteReference"/>
          <w:rFonts w:ascii="Calibri" w:hAnsi="Calibri" w:cs="Arial"/>
          <w:color w:val="000000"/>
          <w:lang w:val="ro-RO"/>
        </w:rPr>
        <w:footnoteReference w:id="47"/>
      </w:r>
      <w:r w:rsidR="005343F1">
        <w:rPr>
          <w:rFonts w:ascii="Calibri" w:hAnsi="Calibri" w:cs="Arial"/>
          <w:color w:val="000000"/>
          <w:lang w:val="ro-RO"/>
        </w:rPr>
        <w:t xml:space="preserve"> a reprezentat 26,8% din PIB. </w:t>
      </w:r>
      <w:r w:rsidRPr="003634C9">
        <w:rPr>
          <w:rFonts w:ascii="Calibri" w:hAnsi="Calibri" w:cs="Arial"/>
          <w:color w:val="000000"/>
          <w:lang w:val="ro-RO"/>
        </w:rPr>
        <w:t xml:space="preserve"> Din datoria guvernam</w:t>
      </w:r>
      <w:r w:rsidR="005343F1">
        <w:rPr>
          <w:rFonts w:ascii="Calibri" w:hAnsi="Calibri" w:cs="Arial"/>
          <w:color w:val="000000"/>
          <w:lang w:val="ro-RO"/>
        </w:rPr>
        <w:t xml:space="preserve">entală, la sfârşitul anului </w:t>
      </w:r>
      <w:r w:rsidR="005343F1" w:rsidRPr="005343F1">
        <w:rPr>
          <w:rFonts w:ascii="Calibri" w:hAnsi="Calibri" w:cs="Arial"/>
          <w:color w:val="000000"/>
          <w:lang w:val="ro-RO"/>
        </w:rPr>
        <w:t>2018</w:t>
      </w:r>
      <w:r w:rsidRPr="005343F1">
        <w:rPr>
          <w:rFonts w:ascii="Calibri" w:hAnsi="Calibri" w:cs="Arial"/>
          <w:color w:val="000000"/>
          <w:lang w:val="ro-RO"/>
        </w:rPr>
        <w:t>, da</w:t>
      </w:r>
      <w:r w:rsidR="005343F1" w:rsidRPr="005343F1">
        <w:rPr>
          <w:rFonts w:ascii="Calibri" w:hAnsi="Calibri" w:cs="Arial"/>
          <w:color w:val="000000"/>
          <w:lang w:val="ro-RO"/>
        </w:rPr>
        <w:t>toria internă a reprezentat 18,7</w:t>
      </w:r>
      <w:r w:rsidRPr="005343F1">
        <w:rPr>
          <w:rFonts w:ascii="Calibri" w:hAnsi="Calibri" w:cs="Arial"/>
          <w:color w:val="000000"/>
          <w:lang w:val="ro-RO"/>
        </w:rPr>
        <w:t>% din PIB, ia</w:t>
      </w:r>
      <w:r w:rsidR="005343F1" w:rsidRPr="005343F1">
        <w:rPr>
          <w:rFonts w:ascii="Calibri" w:hAnsi="Calibri" w:cs="Arial"/>
          <w:color w:val="000000"/>
          <w:lang w:val="ro-RO"/>
        </w:rPr>
        <w:t>r datoria externă a fost de 16,4</w:t>
      </w:r>
      <w:r w:rsidRPr="005343F1">
        <w:rPr>
          <w:rFonts w:ascii="Calibri" w:hAnsi="Calibri" w:cs="Arial"/>
          <w:color w:val="000000"/>
          <w:lang w:val="ro-RO"/>
        </w:rPr>
        <w:t xml:space="preserve">% din PIB. </w:t>
      </w:r>
    </w:p>
    <w:p w:rsidR="005343F1" w:rsidRDefault="005343F1" w:rsidP="005343F1">
      <w:pPr>
        <w:tabs>
          <w:tab w:val="left" w:pos="5160"/>
        </w:tabs>
        <w:jc w:val="both"/>
        <w:rPr>
          <w:rFonts w:ascii="Calibri" w:hAnsi="Calibri" w:cs="Arial"/>
          <w:color w:val="000000"/>
          <w:lang w:val="ro-RO"/>
        </w:rPr>
      </w:pPr>
      <w:r w:rsidRPr="005343F1">
        <w:rPr>
          <w:rFonts w:ascii="Calibri" w:hAnsi="Calibri" w:cs="Arial"/>
          <w:color w:val="000000"/>
          <w:lang w:val="ro-RO"/>
        </w:rPr>
        <w:t>Pe termen mediu (2019 – 2021) datoria guvernamentală brută se va situa sub 40,0% din PIB în timp ce datoria guvernamentală netă nu va depăşi 28,0% din PIB.</w:t>
      </w:r>
    </w:p>
    <w:p w:rsidR="005343F1" w:rsidRPr="00F515AF" w:rsidRDefault="005343F1" w:rsidP="005343F1">
      <w:pPr>
        <w:tabs>
          <w:tab w:val="left" w:pos="5160"/>
        </w:tabs>
        <w:jc w:val="both"/>
        <w:rPr>
          <w:rFonts w:ascii="Calibri" w:hAnsi="Calibri" w:cs="Arial"/>
          <w:color w:val="000000"/>
          <w:sz w:val="14"/>
          <w:lang w:val="ro-RO"/>
        </w:rPr>
      </w:pPr>
    </w:p>
    <w:p w:rsidR="00382E21" w:rsidRPr="003634C9" w:rsidRDefault="00382E21" w:rsidP="00382E21">
      <w:pPr>
        <w:tabs>
          <w:tab w:val="left" w:pos="5160"/>
        </w:tabs>
        <w:jc w:val="both"/>
        <w:rPr>
          <w:rFonts w:ascii="Calibri" w:hAnsi="Calibri" w:cs="Arial"/>
          <w:color w:val="000000"/>
          <w:lang w:val="ro-RO"/>
        </w:rPr>
      </w:pPr>
      <w:r w:rsidRPr="003634C9">
        <w:rPr>
          <w:rFonts w:ascii="Calibri" w:hAnsi="Calibri" w:cs="Arial"/>
          <w:color w:val="000000"/>
          <w:lang w:val="ro-RO"/>
        </w:rPr>
        <w:t xml:space="preserve">La prognoza nivelului datoriei guvernamentale în PIB s-a avut în vedere și datoria contractată în nume propriu de companiile reclasificate în sectorul administrație </w:t>
      </w:r>
      <w:r>
        <w:rPr>
          <w:rFonts w:ascii="Calibri" w:hAnsi="Calibri" w:cs="Arial"/>
          <w:color w:val="000000"/>
          <w:lang w:val="ro-RO"/>
        </w:rPr>
        <w:t>publică la sfârșitul lunii octombrie 2018</w:t>
      </w:r>
      <w:r w:rsidRPr="003634C9">
        <w:rPr>
          <w:rFonts w:ascii="Calibri" w:hAnsi="Calibri" w:cs="Arial"/>
          <w:color w:val="000000"/>
          <w:lang w:val="ro-RO"/>
        </w:rPr>
        <w:t xml:space="preserve"> de 0,1% în PIB, nivel care a fost extrapolat pe întreaga perioadă de analiză.</w:t>
      </w:r>
    </w:p>
    <w:p w:rsidR="00382E21" w:rsidRDefault="00382E21" w:rsidP="00382E21">
      <w:pPr>
        <w:widowControl w:val="0"/>
        <w:tabs>
          <w:tab w:val="left" w:pos="993"/>
        </w:tabs>
        <w:spacing w:line="276" w:lineRule="auto"/>
        <w:ind w:right="-108"/>
        <w:rPr>
          <w:rFonts w:ascii="Calibri" w:hAnsi="Calibri" w:cs="Arial Narrow"/>
          <w:b/>
          <w:color w:val="000080"/>
          <w:lang w:val="ro-RO"/>
        </w:rPr>
      </w:pPr>
    </w:p>
    <w:p w:rsidR="00C10AD3" w:rsidRDefault="00C10AD3" w:rsidP="00382E21">
      <w:pPr>
        <w:widowControl w:val="0"/>
        <w:tabs>
          <w:tab w:val="left" w:pos="993"/>
        </w:tabs>
        <w:spacing w:line="276" w:lineRule="auto"/>
        <w:ind w:right="-108"/>
        <w:rPr>
          <w:rFonts w:ascii="Calibri" w:hAnsi="Calibri" w:cs="Arial Narrow"/>
          <w:b/>
          <w:color w:val="000080"/>
          <w:lang w:val="ro-RO"/>
        </w:rPr>
      </w:pPr>
    </w:p>
    <w:p w:rsidR="005343F1" w:rsidRDefault="005343F1" w:rsidP="00382E21">
      <w:pPr>
        <w:widowControl w:val="0"/>
        <w:tabs>
          <w:tab w:val="left" w:pos="993"/>
        </w:tabs>
        <w:spacing w:line="276" w:lineRule="auto"/>
        <w:ind w:right="-108"/>
        <w:rPr>
          <w:rFonts w:ascii="Calibri" w:hAnsi="Calibri" w:cs="Arial Narrow"/>
          <w:b/>
          <w:color w:val="000080"/>
          <w:lang w:val="ro-RO"/>
        </w:rPr>
      </w:pPr>
    </w:p>
    <w:p w:rsidR="005343F1" w:rsidRDefault="005343F1" w:rsidP="00382E21">
      <w:pPr>
        <w:widowControl w:val="0"/>
        <w:tabs>
          <w:tab w:val="left" w:pos="993"/>
        </w:tabs>
        <w:spacing w:line="276" w:lineRule="auto"/>
        <w:ind w:right="-108"/>
        <w:rPr>
          <w:rFonts w:ascii="Calibri" w:hAnsi="Calibri" w:cs="Arial Narrow"/>
          <w:b/>
          <w:color w:val="000080"/>
          <w:lang w:val="ro-RO"/>
        </w:rPr>
      </w:pPr>
    </w:p>
    <w:p w:rsidR="005343F1" w:rsidRDefault="005343F1" w:rsidP="00382E21">
      <w:pPr>
        <w:widowControl w:val="0"/>
        <w:tabs>
          <w:tab w:val="left" w:pos="993"/>
        </w:tabs>
        <w:spacing w:line="276" w:lineRule="auto"/>
        <w:ind w:right="-108"/>
        <w:rPr>
          <w:rFonts w:ascii="Calibri" w:hAnsi="Calibri" w:cs="Arial Narrow"/>
          <w:b/>
          <w:color w:val="000080"/>
          <w:lang w:val="ro-RO"/>
        </w:rPr>
      </w:pPr>
    </w:p>
    <w:p w:rsidR="005343F1" w:rsidRDefault="005343F1" w:rsidP="00382E21">
      <w:pPr>
        <w:widowControl w:val="0"/>
        <w:tabs>
          <w:tab w:val="left" w:pos="993"/>
        </w:tabs>
        <w:spacing w:line="276" w:lineRule="auto"/>
        <w:ind w:right="-108"/>
        <w:rPr>
          <w:rFonts w:ascii="Calibri" w:hAnsi="Calibri" w:cs="Arial Narrow"/>
          <w:b/>
          <w:color w:val="000080"/>
          <w:lang w:val="ro-RO"/>
        </w:rPr>
      </w:pPr>
    </w:p>
    <w:p w:rsidR="00382E21" w:rsidRDefault="00382E21" w:rsidP="00382E21">
      <w:pPr>
        <w:tabs>
          <w:tab w:val="left" w:pos="5160"/>
        </w:tabs>
        <w:spacing w:line="276" w:lineRule="auto"/>
        <w:jc w:val="center"/>
        <w:rPr>
          <w:rFonts w:ascii="Arial Narrow" w:hAnsi="Arial Narrow" w:cs="Arial"/>
          <w:b/>
          <w:i/>
          <w:color w:val="365F91"/>
          <w:sz w:val="22"/>
          <w:lang w:val="ro-RO"/>
        </w:rPr>
      </w:pPr>
      <w:r w:rsidRPr="003D75FF">
        <w:rPr>
          <w:rFonts w:ascii="Arial Narrow" w:hAnsi="Arial Narrow" w:cs="Arial"/>
          <w:b/>
          <w:i/>
          <w:color w:val="365F91"/>
          <w:sz w:val="22"/>
          <w:lang w:val="ro-RO"/>
        </w:rPr>
        <w:t>Datoria guvernamentala conform metodologiei UE (%PIB)</w:t>
      </w:r>
    </w:p>
    <w:p w:rsidR="005343F1" w:rsidRPr="003D75FF" w:rsidRDefault="005343F1" w:rsidP="00382E21">
      <w:pPr>
        <w:tabs>
          <w:tab w:val="left" w:pos="5160"/>
        </w:tabs>
        <w:spacing w:line="276" w:lineRule="auto"/>
        <w:jc w:val="center"/>
        <w:rPr>
          <w:rFonts w:ascii="Arial Narrow" w:hAnsi="Arial Narrow" w:cs="Arial"/>
          <w:b/>
          <w:i/>
          <w:color w:val="365F91"/>
          <w:sz w:val="22"/>
          <w:lang w:val="ro-RO"/>
        </w:rPr>
      </w:pPr>
    </w:p>
    <w:p w:rsidR="00382E21" w:rsidRDefault="005343F1" w:rsidP="00382E21">
      <w:pPr>
        <w:widowControl w:val="0"/>
        <w:tabs>
          <w:tab w:val="left" w:pos="993"/>
        </w:tabs>
        <w:spacing w:line="276" w:lineRule="auto"/>
        <w:ind w:right="-108"/>
        <w:jc w:val="center"/>
        <w:rPr>
          <w:rFonts w:ascii="Calibri" w:hAnsi="Calibri" w:cs="Arial Narrow"/>
          <w:b/>
          <w:color w:val="000080"/>
          <w:lang w:val="ro-RO"/>
        </w:rPr>
      </w:pPr>
      <w:r>
        <w:rPr>
          <w:noProof/>
          <w:lang w:val="ro-RO" w:eastAsia="ro-RO"/>
        </w:rPr>
        <w:drawing>
          <wp:inline distT="0" distB="0" distL="0" distR="0" wp14:anchorId="64F374D0" wp14:editId="6AD53C6E">
            <wp:extent cx="6246495" cy="2319020"/>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82E21" w:rsidRPr="0092449F" w:rsidRDefault="00C10AD3" w:rsidP="00382E21">
      <w:pPr>
        <w:tabs>
          <w:tab w:val="left" w:pos="5160"/>
        </w:tabs>
        <w:spacing w:line="276" w:lineRule="auto"/>
        <w:rPr>
          <w:rFonts w:ascii="Arial Narrow" w:hAnsi="Arial Narrow" w:cs="Arial"/>
          <w:i/>
          <w:noProof/>
          <w:color w:val="365F91"/>
          <w:sz w:val="14"/>
          <w:szCs w:val="16"/>
          <w:lang w:val="ro-RO" w:eastAsia="ro-RO"/>
        </w:rPr>
      </w:pPr>
      <w:r>
        <w:rPr>
          <w:rFonts w:ascii="Arial Narrow" w:hAnsi="Arial Narrow" w:cs="Arial"/>
          <w:i/>
          <w:noProof/>
          <w:color w:val="365F91"/>
          <w:sz w:val="14"/>
          <w:szCs w:val="16"/>
          <w:lang w:val="ro-RO" w:eastAsia="ro-RO"/>
        </w:rPr>
        <w:t xml:space="preserve">   </w:t>
      </w:r>
      <w:r w:rsidR="005343F1">
        <w:rPr>
          <w:rFonts w:ascii="Arial Narrow" w:hAnsi="Arial Narrow" w:cs="Arial"/>
          <w:i/>
          <w:noProof/>
          <w:color w:val="365F91"/>
          <w:sz w:val="14"/>
          <w:szCs w:val="16"/>
          <w:lang w:val="ro-RO" w:eastAsia="ro-RO"/>
        </w:rPr>
        <w:t xml:space="preserve">       </w:t>
      </w:r>
      <w:r>
        <w:rPr>
          <w:rFonts w:ascii="Arial Narrow" w:hAnsi="Arial Narrow" w:cs="Arial"/>
          <w:i/>
          <w:noProof/>
          <w:color w:val="365F91"/>
          <w:sz w:val="14"/>
          <w:szCs w:val="16"/>
          <w:lang w:val="ro-RO" w:eastAsia="ro-RO"/>
        </w:rPr>
        <w:t xml:space="preserve"> </w:t>
      </w:r>
      <w:r w:rsidR="00382E21" w:rsidRPr="0092449F">
        <w:rPr>
          <w:rFonts w:ascii="Arial Narrow" w:hAnsi="Arial Narrow" w:cs="Arial"/>
          <w:i/>
          <w:noProof/>
          <w:color w:val="365F91"/>
          <w:sz w:val="14"/>
          <w:szCs w:val="16"/>
          <w:lang w:val="ro-RO" w:eastAsia="ro-RO"/>
        </w:rPr>
        <w:t>Sursa: MFP</w:t>
      </w:r>
    </w:p>
    <w:p w:rsidR="0034570F" w:rsidRDefault="0034570F" w:rsidP="00382E21">
      <w:pPr>
        <w:jc w:val="both"/>
        <w:rPr>
          <w:rFonts w:ascii="Calibri" w:hAnsi="Calibri" w:cs="Arial"/>
          <w:iCs/>
          <w:color w:val="000000"/>
          <w:lang w:val="ro-RO"/>
        </w:rPr>
      </w:pPr>
    </w:p>
    <w:p w:rsidR="00382E21" w:rsidRDefault="00382E21" w:rsidP="00382E21">
      <w:pPr>
        <w:jc w:val="both"/>
        <w:rPr>
          <w:rFonts w:ascii="Calibri" w:hAnsi="Calibri" w:cs="Arial"/>
          <w:iCs/>
          <w:color w:val="000000"/>
          <w:lang w:val="ro-RO"/>
        </w:rPr>
      </w:pPr>
      <w:r w:rsidRPr="003634C9">
        <w:rPr>
          <w:rFonts w:ascii="Calibri" w:hAnsi="Calibri" w:cs="Arial"/>
          <w:iCs/>
          <w:color w:val="000000"/>
          <w:lang w:val="ro-RO"/>
        </w:rPr>
        <w:t xml:space="preserve">Perspectiva de creştere moderată  a datoriei guvernamentale pe termen mediu şi de menţinere la </w:t>
      </w:r>
      <w:r>
        <w:rPr>
          <w:rFonts w:ascii="Calibri" w:hAnsi="Calibri" w:cs="Arial"/>
          <w:iCs/>
          <w:color w:val="000000"/>
          <w:lang w:val="ro-RO"/>
        </w:rPr>
        <w:t>un nivel stabil și sustenabil</w:t>
      </w:r>
      <w:r w:rsidRPr="003634C9">
        <w:rPr>
          <w:rFonts w:ascii="Calibri" w:hAnsi="Calibri" w:cs="Arial"/>
          <w:iCs/>
          <w:color w:val="000000"/>
          <w:lang w:val="ro-RO"/>
        </w:rPr>
        <w:t xml:space="preserve"> se datorează creşterii economice şi unor deficite bugetare calculate conform metodologiei UE de până la 3,0 % din PIB, în perioada 2019-2021.</w:t>
      </w:r>
    </w:p>
    <w:p w:rsidR="00382E21" w:rsidRPr="007A7583" w:rsidRDefault="00382E21" w:rsidP="00382E21">
      <w:pPr>
        <w:jc w:val="both"/>
        <w:rPr>
          <w:rFonts w:ascii="Calibri" w:hAnsi="Calibri" w:cs="Arial"/>
          <w:iCs/>
          <w:color w:val="000000"/>
          <w:sz w:val="12"/>
          <w:lang w:val="ro-RO"/>
        </w:rPr>
      </w:pPr>
    </w:p>
    <w:p w:rsidR="00382E21" w:rsidRDefault="00382E21" w:rsidP="00382E21">
      <w:pPr>
        <w:jc w:val="both"/>
        <w:rPr>
          <w:rFonts w:ascii="Calibri" w:hAnsi="Calibri" w:cs="Arial"/>
          <w:iCs/>
          <w:color w:val="000000"/>
          <w:lang w:val="ro-RO"/>
        </w:rPr>
      </w:pPr>
      <w:r w:rsidRPr="003634C9">
        <w:rPr>
          <w:rFonts w:ascii="Calibri" w:hAnsi="Calibri" w:cs="Arial"/>
          <w:iCs/>
          <w:color w:val="000000"/>
          <w:lang w:val="ro-RO"/>
        </w:rPr>
        <w:t>Factorii care vor determina nivelul datoriei publice conform metodologiei UE, pe termen mediu sunt prezentati în tabelul de mai jos:</w:t>
      </w:r>
    </w:p>
    <w:p w:rsidR="00BF68B8" w:rsidRDefault="00BF68B8" w:rsidP="00382E21">
      <w:pPr>
        <w:jc w:val="both"/>
        <w:rPr>
          <w:rFonts w:ascii="Calibri" w:hAnsi="Calibri" w:cs="Arial"/>
          <w:iCs/>
          <w:color w:val="000000"/>
          <w:lang w:val="ro-RO"/>
        </w:rPr>
      </w:pPr>
    </w:p>
    <w:p w:rsidR="00382E21" w:rsidRPr="003634C9" w:rsidRDefault="00382E21" w:rsidP="00382E21">
      <w:pPr>
        <w:jc w:val="both"/>
        <w:rPr>
          <w:rFonts w:ascii="Calibri" w:hAnsi="Calibri" w:cs="Arial"/>
          <w:iCs/>
          <w:color w:val="000000"/>
          <w:lang w:val="ro-RO"/>
        </w:rPr>
      </w:pPr>
    </w:p>
    <w:tbl>
      <w:tblPr>
        <w:tblW w:w="9230" w:type="dxa"/>
        <w:jc w:val="center"/>
        <w:tblBorders>
          <w:top w:val="single" w:sz="2" w:space="0" w:color="365F91"/>
          <w:bottom w:val="single" w:sz="2" w:space="0" w:color="365F91"/>
          <w:insideH w:val="single" w:sz="2" w:space="0" w:color="365F91"/>
        </w:tblBorders>
        <w:tblLayout w:type="fixed"/>
        <w:tblLook w:val="0000" w:firstRow="0" w:lastRow="0" w:firstColumn="0" w:lastColumn="0" w:noHBand="0" w:noVBand="0"/>
      </w:tblPr>
      <w:tblGrid>
        <w:gridCol w:w="3828"/>
        <w:gridCol w:w="856"/>
        <w:gridCol w:w="856"/>
        <w:gridCol w:w="855"/>
        <w:gridCol w:w="992"/>
        <w:gridCol w:w="851"/>
        <w:gridCol w:w="992"/>
      </w:tblGrid>
      <w:tr w:rsidR="00382E21" w:rsidRPr="003D75FF" w:rsidTr="00382E21">
        <w:trPr>
          <w:trHeight w:val="784"/>
          <w:jc w:val="center"/>
        </w:trPr>
        <w:tc>
          <w:tcPr>
            <w:tcW w:w="3828"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lang w:val="ro-RO" w:eastAsia="ro-RO"/>
              </w:rPr>
            </w:pPr>
            <w:r w:rsidRPr="003D75FF">
              <w:rPr>
                <w:rFonts w:ascii="Calibri" w:hAnsi="Calibri" w:cs="Calibri"/>
                <w:b/>
                <w:color w:val="FFFFFF" w:themeColor="background1"/>
                <w:sz w:val="20"/>
                <w:lang w:val="ro-RO" w:eastAsia="ro-RO"/>
              </w:rPr>
              <w:t>% DIN PIB</w:t>
            </w:r>
          </w:p>
        </w:tc>
        <w:tc>
          <w:tcPr>
            <w:tcW w:w="856"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lang w:val="ro-RO" w:eastAsia="ro-RO"/>
              </w:rPr>
            </w:pPr>
            <w:r w:rsidRPr="003D75FF">
              <w:rPr>
                <w:rFonts w:ascii="Calibri" w:hAnsi="Calibri" w:cs="Calibri"/>
                <w:b/>
                <w:color w:val="FFFFFF" w:themeColor="background1"/>
                <w:sz w:val="20"/>
                <w:lang w:val="ro-RO" w:eastAsia="ro-RO"/>
              </w:rPr>
              <w:t>CODUL SEC</w:t>
            </w:r>
          </w:p>
        </w:tc>
        <w:tc>
          <w:tcPr>
            <w:tcW w:w="856"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lang w:val="ro-RO" w:eastAsia="ro-RO"/>
              </w:rPr>
            </w:pPr>
            <w:r w:rsidRPr="003D75FF">
              <w:rPr>
                <w:rFonts w:ascii="Calibri" w:hAnsi="Calibri" w:cs="Calibri"/>
                <w:b/>
                <w:color w:val="FFFFFF" w:themeColor="background1"/>
                <w:sz w:val="20"/>
                <w:lang w:val="ro-RO" w:eastAsia="ro-RO"/>
              </w:rPr>
              <w:t>2017</w:t>
            </w:r>
          </w:p>
        </w:tc>
        <w:tc>
          <w:tcPr>
            <w:tcW w:w="855" w:type="dxa"/>
            <w:shd w:val="clear" w:color="auto" w:fill="365F91"/>
            <w:vAlign w:val="center"/>
          </w:tcPr>
          <w:p w:rsidR="00382E21" w:rsidRPr="003D75FF" w:rsidRDefault="00382E21" w:rsidP="00382E21">
            <w:pPr>
              <w:widowControl w:val="0"/>
              <w:spacing w:after="120" w:line="276" w:lineRule="auto"/>
              <w:ind w:right="-113"/>
              <w:jc w:val="center"/>
              <w:rPr>
                <w:rFonts w:ascii="Calibri" w:hAnsi="Calibri" w:cs="Calibri"/>
                <w:b/>
                <w:color w:val="FFFFFF" w:themeColor="background1"/>
                <w:sz w:val="20"/>
                <w:lang w:val="ro-RO" w:eastAsia="ro-RO"/>
              </w:rPr>
            </w:pPr>
            <w:r w:rsidRPr="003D75FF">
              <w:rPr>
                <w:rFonts w:ascii="Calibri" w:hAnsi="Calibri" w:cs="Calibri"/>
                <w:b/>
                <w:color w:val="FFFFFF" w:themeColor="background1"/>
                <w:sz w:val="20"/>
                <w:lang w:val="ro-RO" w:eastAsia="ro-RO"/>
              </w:rPr>
              <w:t>2018  est.</w:t>
            </w:r>
          </w:p>
        </w:tc>
        <w:tc>
          <w:tcPr>
            <w:tcW w:w="992"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lang w:val="ro-RO" w:eastAsia="ro-RO"/>
              </w:rPr>
            </w:pPr>
            <w:r w:rsidRPr="003D75FF">
              <w:rPr>
                <w:rFonts w:ascii="Calibri" w:hAnsi="Calibri" w:cs="Calibri"/>
                <w:b/>
                <w:color w:val="FFFFFF" w:themeColor="background1"/>
                <w:sz w:val="20"/>
                <w:lang w:val="ro-RO" w:eastAsia="ro-RO"/>
              </w:rPr>
              <w:t>2019 prog.</w:t>
            </w:r>
          </w:p>
        </w:tc>
        <w:tc>
          <w:tcPr>
            <w:tcW w:w="851" w:type="dxa"/>
            <w:shd w:val="clear" w:color="auto" w:fill="365F91"/>
            <w:vAlign w:val="center"/>
          </w:tcPr>
          <w:p w:rsidR="00382E21" w:rsidRPr="003D75FF" w:rsidRDefault="00382E21" w:rsidP="00382E21">
            <w:pPr>
              <w:widowControl w:val="0"/>
              <w:spacing w:after="120" w:line="276" w:lineRule="auto"/>
              <w:jc w:val="center"/>
              <w:rPr>
                <w:rFonts w:ascii="Calibri" w:hAnsi="Calibri"/>
                <w:color w:val="FFFFFF" w:themeColor="background1"/>
                <w:sz w:val="20"/>
                <w:lang w:val="ro-RO"/>
              </w:rPr>
            </w:pPr>
            <w:r w:rsidRPr="003D75FF">
              <w:rPr>
                <w:rFonts w:ascii="Calibri" w:hAnsi="Calibri" w:cs="Calibri"/>
                <w:b/>
                <w:color w:val="FFFFFF" w:themeColor="background1"/>
                <w:sz w:val="20"/>
                <w:lang w:val="ro-RO" w:eastAsia="ro-RO"/>
              </w:rPr>
              <w:t>2020 prog.</w:t>
            </w:r>
          </w:p>
        </w:tc>
        <w:tc>
          <w:tcPr>
            <w:tcW w:w="992" w:type="dxa"/>
            <w:shd w:val="clear" w:color="auto" w:fill="365F91"/>
            <w:vAlign w:val="center"/>
          </w:tcPr>
          <w:p w:rsidR="00382E21" w:rsidRPr="003D75FF" w:rsidRDefault="00382E21" w:rsidP="00382E21">
            <w:pPr>
              <w:widowControl w:val="0"/>
              <w:spacing w:after="120" w:line="276" w:lineRule="auto"/>
              <w:jc w:val="center"/>
              <w:rPr>
                <w:rFonts w:ascii="Calibri" w:hAnsi="Calibri"/>
                <w:color w:val="FFFFFF" w:themeColor="background1"/>
                <w:sz w:val="20"/>
                <w:lang w:val="ro-RO"/>
              </w:rPr>
            </w:pPr>
            <w:r w:rsidRPr="003D75FF">
              <w:rPr>
                <w:rFonts w:ascii="Calibri" w:hAnsi="Calibri" w:cs="Calibri"/>
                <w:b/>
                <w:color w:val="FFFFFF" w:themeColor="background1"/>
                <w:sz w:val="20"/>
                <w:lang w:val="ro-RO" w:eastAsia="ro-RO"/>
              </w:rPr>
              <w:t>2021 prog.</w:t>
            </w:r>
          </w:p>
        </w:tc>
      </w:tr>
      <w:tr w:rsidR="00382E21" w:rsidRPr="003D75FF" w:rsidTr="00382E21">
        <w:trPr>
          <w:trHeight w:val="361"/>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1. Datoria guvernamentală brută</w:t>
            </w:r>
          </w:p>
        </w:tc>
        <w:tc>
          <w:tcPr>
            <w:tcW w:w="856" w:type="dxa"/>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35,</w:t>
            </w:r>
            <w:r w:rsidR="00BF68B8">
              <w:rPr>
                <w:rFonts w:ascii="Calibri" w:hAnsi="Calibri" w:cs="Arial"/>
                <w:color w:val="365F91"/>
                <w:sz w:val="20"/>
                <w:szCs w:val="20"/>
                <w:lang w:val="ro-RO"/>
              </w:rPr>
              <w:t>2</w:t>
            </w:r>
          </w:p>
        </w:tc>
        <w:tc>
          <w:tcPr>
            <w:tcW w:w="855" w:type="dxa"/>
            <w:shd w:val="clear" w:color="auto" w:fill="auto"/>
            <w:vAlign w:val="center"/>
          </w:tcPr>
          <w:p w:rsidR="00382E21" w:rsidRPr="003D75FF" w:rsidRDefault="005343F1" w:rsidP="00382E21">
            <w:pPr>
              <w:jc w:val="center"/>
              <w:rPr>
                <w:rFonts w:ascii="Calibri" w:hAnsi="Calibri" w:cs="Arial"/>
                <w:color w:val="365F91"/>
                <w:sz w:val="20"/>
                <w:szCs w:val="20"/>
                <w:lang w:val="ro-RO"/>
              </w:rPr>
            </w:pPr>
            <w:r>
              <w:rPr>
                <w:rFonts w:ascii="Calibri" w:hAnsi="Calibri" w:cs="Arial"/>
                <w:color w:val="365F91"/>
                <w:sz w:val="20"/>
                <w:szCs w:val="20"/>
                <w:lang w:val="ro-RO"/>
              </w:rPr>
              <w:t>35</w:t>
            </w:r>
            <w:r w:rsidR="00382E21" w:rsidRPr="003D75FF">
              <w:rPr>
                <w:rFonts w:ascii="Calibri" w:hAnsi="Calibri" w:cs="Arial"/>
                <w:color w:val="365F91"/>
                <w:sz w:val="20"/>
                <w:szCs w:val="20"/>
                <w:lang w:val="ro-RO"/>
              </w:rPr>
              <w:t>,</w:t>
            </w:r>
            <w:r>
              <w:rPr>
                <w:rFonts w:ascii="Calibri" w:hAnsi="Calibri" w:cs="Arial"/>
                <w:color w:val="365F91"/>
                <w:sz w:val="20"/>
                <w:szCs w:val="20"/>
                <w:lang w:val="ro-RO"/>
              </w:rPr>
              <w:t>1</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lang w:val="ro-RO"/>
              </w:rPr>
            </w:pPr>
            <w:r>
              <w:rPr>
                <w:rFonts w:ascii="Calibri" w:hAnsi="Calibri" w:cs="Arial"/>
                <w:color w:val="365F91"/>
                <w:sz w:val="20"/>
                <w:szCs w:val="20"/>
                <w:lang w:val="ro-RO"/>
              </w:rPr>
              <w:t>35</w:t>
            </w:r>
            <w:r w:rsidR="005B6EAA">
              <w:rPr>
                <w:rFonts w:ascii="Calibri" w:hAnsi="Calibri" w:cs="Arial"/>
                <w:color w:val="365F91"/>
                <w:sz w:val="20"/>
                <w:szCs w:val="20"/>
                <w:lang w:val="ro-RO"/>
              </w:rPr>
              <w:t>,</w:t>
            </w:r>
            <w:r>
              <w:rPr>
                <w:rFonts w:ascii="Calibri" w:hAnsi="Calibri" w:cs="Arial"/>
                <w:color w:val="365F91"/>
                <w:sz w:val="20"/>
                <w:szCs w:val="20"/>
                <w:lang w:val="ro-RO"/>
              </w:rPr>
              <w:t>5</w:t>
            </w:r>
          </w:p>
        </w:tc>
        <w:tc>
          <w:tcPr>
            <w:tcW w:w="851" w:type="dxa"/>
            <w:shd w:val="clear" w:color="auto" w:fill="auto"/>
            <w:vAlign w:val="center"/>
          </w:tcPr>
          <w:p w:rsidR="00382E21" w:rsidRPr="003D75FF" w:rsidRDefault="0034570F" w:rsidP="00382E21">
            <w:pPr>
              <w:jc w:val="center"/>
              <w:rPr>
                <w:rFonts w:ascii="Calibri" w:hAnsi="Calibri" w:cs="Arial"/>
                <w:color w:val="365F91"/>
                <w:sz w:val="20"/>
                <w:szCs w:val="20"/>
                <w:lang w:val="ro-RO"/>
              </w:rPr>
            </w:pPr>
            <w:r>
              <w:rPr>
                <w:rFonts w:ascii="Calibri" w:hAnsi="Calibri" w:cs="Arial"/>
                <w:color w:val="365F91"/>
                <w:sz w:val="20"/>
                <w:szCs w:val="20"/>
                <w:lang w:val="ro-RO"/>
              </w:rPr>
              <w:t>35</w:t>
            </w:r>
            <w:r w:rsidR="005B6EAA">
              <w:rPr>
                <w:rFonts w:ascii="Calibri" w:hAnsi="Calibri" w:cs="Arial"/>
                <w:color w:val="365F91"/>
                <w:sz w:val="20"/>
                <w:szCs w:val="20"/>
                <w:lang w:val="ro-RO"/>
              </w:rPr>
              <w:t>,</w:t>
            </w:r>
            <w:r>
              <w:rPr>
                <w:rFonts w:ascii="Calibri" w:hAnsi="Calibri" w:cs="Arial"/>
                <w:color w:val="365F91"/>
                <w:sz w:val="20"/>
                <w:szCs w:val="20"/>
                <w:lang w:val="ro-RO"/>
              </w:rPr>
              <w:t>4</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lang w:val="ro-RO" w:eastAsia="ro-RO"/>
              </w:rPr>
            </w:pPr>
            <w:r>
              <w:rPr>
                <w:rFonts w:ascii="Calibri" w:hAnsi="Calibri" w:cs="Arial"/>
                <w:color w:val="365F91"/>
                <w:sz w:val="20"/>
                <w:szCs w:val="20"/>
                <w:lang w:val="ro-RO"/>
              </w:rPr>
              <w:t>35</w:t>
            </w:r>
            <w:r w:rsidR="00382E21" w:rsidRPr="003D75FF">
              <w:rPr>
                <w:rFonts w:ascii="Calibri" w:hAnsi="Calibri" w:cs="Arial"/>
                <w:color w:val="365F91"/>
                <w:sz w:val="20"/>
                <w:szCs w:val="20"/>
                <w:lang w:val="ro-RO"/>
              </w:rPr>
              <w:t>,</w:t>
            </w:r>
            <w:r>
              <w:rPr>
                <w:rFonts w:ascii="Calibri" w:hAnsi="Calibri" w:cs="Arial"/>
                <w:color w:val="365F91"/>
                <w:sz w:val="20"/>
                <w:szCs w:val="20"/>
                <w:lang w:val="ro-RO"/>
              </w:rPr>
              <w:t>2</w:t>
            </w:r>
          </w:p>
        </w:tc>
      </w:tr>
      <w:tr w:rsidR="00382E21" w:rsidRPr="003D75FF" w:rsidTr="00382E21">
        <w:trPr>
          <w:trHeight w:val="284"/>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2.Modificarea datoriei guvernamentale</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-2,</w:t>
            </w:r>
            <w:r w:rsidR="00E65434">
              <w:rPr>
                <w:rFonts w:ascii="Calibri" w:hAnsi="Calibri" w:cs="Arial"/>
                <w:color w:val="365F91"/>
                <w:sz w:val="20"/>
                <w:szCs w:val="20"/>
                <w:lang w:val="ro-RO"/>
              </w:rPr>
              <w:t>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Pr>
                <w:rFonts w:ascii="Calibri" w:hAnsi="Calibri" w:cs="Arial"/>
                <w:color w:val="365F91"/>
                <w:sz w:val="20"/>
                <w:szCs w:val="20"/>
                <w:lang w:val="ro-RO"/>
              </w:rPr>
              <w:t>-</w:t>
            </w:r>
            <w:r w:rsidRPr="003D75FF">
              <w:rPr>
                <w:rFonts w:ascii="Calibri" w:hAnsi="Calibri" w:cs="Arial"/>
                <w:color w:val="365F91"/>
                <w:sz w:val="20"/>
                <w:szCs w:val="20"/>
                <w:lang w:val="ro-RO"/>
              </w:rPr>
              <w:t>0,</w:t>
            </w:r>
            <w:r w:rsidR="00B22B26">
              <w:rPr>
                <w:rFonts w:ascii="Calibri" w:hAnsi="Calibri" w:cs="Arial"/>
                <w:color w:val="365F91"/>
                <w:sz w:val="20"/>
                <w:szCs w:val="20"/>
                <w:lang w:val="ro-RO"/>
              </w:rPr>
              <w:t>1</w:t>
            </w:r>
          </w:p>
        </w:tc>
        <w:tc>
          <w:tcPr>
            <w:tcW w:w="992" w:type="dxa"/>
            <w:shd w:val="clear" w:color="auto" w:fill="auto"/>
            <w:vAlign w:val="center"/>
          </w:tcPr>
          <w:p w:rsidR="00382E21" w:rsidRPr="003D75FF" w:rsidRDefault="00B22B26" w:rsidP="00382E21">
            <w:pPr>
              <w:jc w:val="center"/>
              <w:rPr>
                <w:rFonts w:ascii="Calibri" w:hAnsi="Calibri" w:cs="Arial"/>
                <w:color w:val="365F91"/>
                <w:sz w:val="20"/>
                <w:szCs w:val="20"/>
                <w:lang w:val="ro-RO"/>
              </w:rPr>
            </w:pPr>
            <w:r>
              <w:rPr>
                <w:rFonts w:ascii="Calibri" w:hAnsi="Calibri" w:cs="Arial"/>
                <w:color w:val="365F91"/>
                <w:sz w:val="20"/>
                <w:szCs w:val="20"/>
                <w:lang w:val="ro-RO"/>
              </w:rPr>
              <w:t>0</w:t>
            </w:r>
            <w:r w:rsidR="00382E21" w:rsidRPr="003D75FF">
              <w:rPr>
                <w:rFonts w:ascii="Calibri" w:hAnsi="Calibri" w:cs="Arial"/>
                <w:color w:val="365F91"/>
                <w:sz w:val="20"/>
                <w:szCs w:val="20"/>
                <w:lang w:val="ro-RO"/>
              </w:rPr>
              <w:t>,</w:t>
            </w:r>
            <w:r>
              <w:rPr>
                <w:rFonts w:ascii="Calibri" w:hAnsi="Calibri" w:cs="Arial"/>
                <w:color w:val="365F91"/>
                <w:sz w:val="20"/>
                <w:szCs w:val="20"/>
                <w:lang w:val="ro-RO"/>
              </w:rPr>
              <w:t>4</w:t>
            </w:r>
          </w:p>
        </w:tc>
        <w:tc>
          <w:tcPr>
            <w:tcW w:w="851" w:type="dxa"/>
            <w:shd w:val="clear" w:color="auto" w:fill="auto"/>
            <w:vAlign w:val="center"/>
          </w:tcPr>
          <w:p w:rsidR="00382E21" w:rsidRPr="003D75FF" w:rsidRDefault="0034570F" w:rsidP="00382E21">
            <w:pPr>
              <w:jc w:val="center"/>
              <w:rPr>
                <w:rFonts w:ascii="Calibri" w:hAnsi="Calibri" w:cs="Arial"/>
                <w:color w:val="365F91"/>
                <w:sz w:val="20"/>
                <w:szCs w:val="20"/>
                <w:lang w:val="ro-RO"/>
              </w:rPr>
            </w:pPr>
            <w:r>
              <w:rPr>
                <w:rFonts w:ascii="Calibri" w:hAnsi="Calibri" w:cs="Arial"/>
                <w:color w:val="365F91"/>
                <w:sz w:val="20"/>
                <w:szCs w:val="20"/>
                <w:lang w:val="ro-RO"/>
              </w:rPr>
              <w:t>-0</w:t>
            </w:r>
            <w:r w:rsidR="00382E21" w:rsidRPr="003D75FF">
              <w:rPr>
                <w:rFonts w:ascii="Calibri" w:hAnsi="Calibri" w:cs="Arial"/>
                <w:color w:val="365F91"/>
                <w:sz w:val="20"/>
                <w:szCs w:val="20"/>
                <w:lang w:val="ro-RO"/>
              </w:rPr>
              <w:t>,</w:t>
            </w:r>
            <w:r>
              <w:rPr>
                <w:rFonts w:ascii="Calibri" w:hAnsi="Calibri" w:cs="Arial"/>
                <w:color w:val="365F91"/>
                <w:sz w:val="20"/>
                <w:szCs w:val="20"/>
                <w:lang w:val="ro-RO"/>
              </w:rPr>
              <w:t>1</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-0,</w:t>
            </w:r>
            <w:r w:rsidR="0034570F">
              <w:rPr>
                <w:rFonts w:ascii="Calibri" w:hAnsi="Calibri" w:cs="Arial"/>
                <w:color w:val="365F91"/>
                <w:sz w:val="20"/>
                <w:szCs w:val="20"/>
                <w:lang w:val="ro-RO"/>
              </w:rPr>
              <w:t>2</w:t>
            </w:r>
          </w:p>
        </w:tc>
      </w:tr>
      <w:tr w:rsidR="00382E21" w:rsidRPr="00AC4302" w:rsidTr="00382E21">
        <w:trPr>
          <w:trHeight w:val="360"/>
          <w:jc w:val="center"/>
        </w:trPr>
        <w:tc>
          <w:tcPr>
            <w:tcW w:w="9230" w:type="dxa"/>
            <w:gridSpan w:val="7"/>
            <w:shd w:val="clear" w:color="auto" w:fill="auto"/>
            <w:vAlign w:val="center"/>
          </w:tcPr>
          <w:p w:rsidR="00382E21" w:rsidRPr="003D75FF" w:rsidRDefault="00382E21" w:rsidP="00382E21">
            <w:pPr>
              <w:rPr>
                <w:rFonts w:ascii="Calibri" w:hAnsi="Calibri"/>
                <w:color w:val="365F91"/>
                <w:sz w:val="20"/>
                <w:szCs w:val="20"/>
                <w:lang w:val="ro-RO"/>
              </w:rPr>
            </w:pPr>
            <w:r w:rsidRPr="003D75FF">
              <w:rPr>
                <w:rFonts w:ascii="Calibri" w:hAnsi="Calibri" w:cs="Calibri"/>
                <w:color w:val="365F91"/>
                <w:sz w:val="20"/>
                <w:szCs w:val="20"/>
                <w:lang w:val="ro-RO" w:eastAsia="ro-RO"/>
              </w:rPr>
              <w:t>Contribuția la modificarea datoriei brute</w:t>
            </w:r>
          </w:p>
        </w:tc>
      </w:tr>
      <w:tr w:rsidR="00382E21" w:rsidRPr="003D75FF" w:rsidTr="00382E21">
        <w:trPr>
          <w:trHeight w:val="296"/>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3. Balanța primară</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-1,</w:t>
            </w:r>
            <w:r w:rsidR="00E65434">
              <w:rPr>
                <w:rFonts w:ascii="Calibri" w:hAnsi="Calibri" w:cs="Arial"/>
                <w:color w:val="365F91"/>
                <w:sz w:val="20"/>
                <w:szCs w:val="20"/>
                <w:lang w:val="ro-RO"/>
              </w:rPr>
              <w:t>6</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-1,</w:t>
            </w:r>
            <w:r w:rsidR="00E65434">
              <w:rPr>
                <w:rFonts w:ascii="Calibri" w:hAnsi="Calibri" w:cs="Arial"/>
                <w:color w:val="365F91"/>
                <w:sz w:val="20"/>
                <w:szCs w:val="20"/>
                <w:lang w:val="ro-RO"/>
              </w:rPr>
              <w:t>5</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-1,</w:t>
            </w:r>
            <w:r w:rsidR="00D11DDE">
              <w:rPr>
                <w:rFonts w:ascii="Calibri" w:hAnsi="Calibri" w:cs="Arial"/>
                <w:color w:val="365F91"/>
                <w:sz w:val="20"/>
                <w:szCs w:val="20"/>
                <w:lang w:val="ro-RO"/>
              </w:rPr>
              <w:t>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Pr>
                <w:rFonts w:ascii="Calibri" w:hAnsi="Calibri" w:cs="Arial"/>
                <w:color w:val="365F91"/>
                <w:sz w:val="20"/>
                <w:szCs w:val="20"/>
                <w:lang w:val="ro-RO"/>
              </w:rPr>
              <w:t>-1</w:t>
            </w:r>
            <w:r w:rsidRPr="003D75FF">
              <w:rPr>
                <w:rFonts w:ascii="Calibri" w:hAnsi="Calibri" w:cs="Arial"/>
                <w:color w:val="365F91"/>
                <w:sz w:val="20"/>
                <w:szCs w:val="20"/>
                <w:lang w:val="ro-RO"/>
              </w:rPr>
              <w:t>,</w:t>
            </w:r>
            <w:r w:rsidR="0034570F">
              <w:rPr>
                <w:rFonts w:ascii="Calibri" w:hAnsi="Calibri" w:cs="Arial"/>
                <w:color w:val="365F91"/>
                <w:sz w:val="20"/>
                <w:szCs w:val="20"/>
                <w:lang w:val="ro-RO"/>
              </w:rPr>
              <w:t>3</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lang w:val="ro-RO" w:eastAsia="ro-RO"/>
              </w:rPr>
            </w:pPr>
            <w:r>
              <w:rPr>
                <w:rFonts w:ascii="Calibri" w:hAnsi="Calibri" w:cs="Arial"/>
                <w:color w:val="365F91"/>
                <w:sz w:val="20"/>
                <w:szCs w:val="20"/>
                <w:lang w:val="ro-RO"/>
              </w:rPr>
              <w:t>-1</w:t>
            </w:r>
            <w:r w:rsidR="00382E21" w:rsidRPr="003D75FF">
              <w:rPr>
                <w:rFonts w:ascii="Calibri" w:hAnsi="Calibri" w:cs="Arial"/>
                <w:color w:val="365F91"/>
                <w:sz w:val="20"/>
                <w:szCs w:val="20"/>
                <w:lang w:val="ro-RO"/>
              </w:rPr>
              <w:t>,</w:t>
            </w:r>
            <w:r>
              <w:rPr>
                <w:rFonts w:ascii="Calibri" w:hAnsi="Calibri" w:cs="Arial"/>
                <w:color w:val="365F91"/>
                <w:sz w:val="20"/>
                <w:szCs w:val="20"/>
                <w:lang w:val="ro-RO"/>
              </w:rPr>
              <w:t>1</w:t>
            </w:r>
          </w:p>
        </w:tc>
      </w:tr>
      <w:tr w:rsidR="00382E21" w:rsidRPr="003D75FF" w:rsidTr="00382E21">
        <w:trPr>
          <w:trHeight w:val="336"/>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4. Dobânda</w:t>
            </w:r>
          </w:p>
        </w:tc>
        <w:tc>
          <w:tcPr>
            <w:tcW w:w="856" w:type="dxa"/>
            <w:shd w:val="clear" w:color="auto" w:fill="auto"/>
            <w:vAlign w:val="center"/>
          </w:tcPr>
          <w:p w:rsidR="00382E21" w:rsidRPr="003D75FF" w:rsidRDefault="00382E21" w:rsidP="00382E21">
            <w:pPr>
              <w:widowControl w:val="0"/>
              <w:shd w:val="clear" w:color="auto" w:fill="FFFFFF"/>
              <w:jc w:val="center"/>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EDP D.41</w:t>
            </w: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1,4</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1,</w:t>
            </w:r>
            <w:r>
              <w:rPr>
                <w:rFonts w:ascii="Calibri" w:hAnsi="Calibri" w:cs="Arial"/>
                <w:color w:val="365F91"/>
                <w:sz w:val="20"/>
                <w:szCs w:val="20"/>
                <w:lang w:val="ro-RO"/>
              </w:rPr>
              <w:t>5</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1,</w:t>
            </w:r>
            <w:r w:rsidR="00D11DDE">
              <w:rPr>
                <w:rFonts w:ascii="Calibri" w:hAnsi="Calibri" w:cs="Arial"/>
                <w:color w:val="365F91"/>
                <w:sz w:val="20"/>
                <w:szCs w:val="20"/>
                <w:lang w:val="ro-RO"/>
              </w:rPr>
              <w:t>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1,</w:t>
            </w:r>
            <w:r>
              <w:rPr>
                <w:rFonts w:ascii="Calibri" w:hAnsi="Calibri" w:cs="Arial"/>
                <w:color w:val="365F91"/>
                <w:sz w:val="20"/>
                <w:szCs w:val="20"/>
                <w:lang w:val="ro-RO"/>
              </w:rPr>
              <w:t>4</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1,</w:t>
            </w:r>
            <w:r w:rsidR="00D11DDE">
              <w:rPr>
                <w:rFonts w:ascii="Calibri" w:hAnsi="Calibri" w:cs="Arial"/>
                <w:color w:val="365F91"/>
                <w:sz w:val="20"/>
                <w:szCs w:val="20"/>
                <w:lang w:val="ro-RO"/>
              </w:rPr>
              <w:t>3</w:t>
            </w:r>
          </w:p>
        </w:tc>
      </w:tr>
      <w:tr w:rsidR="00382E21" w:rsidRPr="003D75FF" w:rsidTr="00382E21">
        <w:trPr>
          <w:trHeight w:val="329"/>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5. Ajustări stoc-flux</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-5,1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-3,</w:t>
            </w:r>
            <w:r w:rsidR="00B22B26">
              <w:rPr>
                <w:rFonts w:ascii="Calibri" w:hAnsi="Calibri" w:cs="Arial"/>
                <w:color w:val="365F91"/>
                <w:sz w:val="20"/>
                <w:szCs w:val="20"/>
                <w:lang w:val="ro-RO"/>
              </w:rPr>
              <w:t>1</w:t>
            </w:r>
          </w:p>
        </w:tc>
        <w:tc>
          <w:tcPr>
            <w:tcW w:w="992" w:type="dxa"/>
            <w:shd w:val="clear" w:color="auto" w:fill="auto"/>
            <w:vAlign w:val="center"/>
          </w:tcPr>
          <w:p w:rsidR="00382E21" w:rsidRPr="003D75FF" w:rsidRDefault="00B22B26" w:rsidP="00382E21">
            <w:pPr>
              <w:jc w:val="center"/>
              <w:rPr>
                <w:rFonts w:ascii="Calibri" w:hAnsi="Calibri" w:cs="Arial"/>
                <w:color w:val="365F91"/>
                <w:sz w:val="20"/>
                <w:szCs w:val="20"/>
                <w:lang w:val="ro-RO"/>
              </w:rPr>
            </w:pPr>
            <w:r>
              <w:rPr>
                <w:rFonts w:ascii="Calibri" w:hAnsi="Calibri" w:cs="Arial"/>
                <w:color w:val="365F91"/>
                <w:sz w:val="20"/>
                <w:szCs w:val="20"/>
                <w:lang w:val="ro-RO"/>
              </w:rPr>
              <w:t>-2</w:t>
            </w:r>
            <w:r w:rsidR="00382E21" w:rsidRPr="003D75FF">
              <w:rPr>
                <w:rFonts w:ascii="Calibri" w:hAnsi="Calibri" w:cs="Arial"/>
                <w:color w:val="365F91"/>
                <w:sz w:val="20"/>
                <w:szCs w:val="20"/>
                <w:lang w:val="ro-RO"/>
              </w:rPr>
              <w:t>,</w:t>
            </w:r>
            <w:r>
              <w:rPr>
                <w:rFonts w:ascii="Calibri" w:hAnsi="Calibri" w:cs="Arial"/>
                <w:color w:val="365F91"/>
                <w:sz w:val="20"/>
                <w:szCs w:val="20"/>
                <w:lang w:val="ro-RO"/>
              </w:rPr>
              <w:t>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-2,</w:t>
            </w:r>
            <w:r w:rsidR="0034570F">
              <w:rPr>
                <w:rFonts w:ascii="Calibri" w:hAnsi="Calibri" w:cs="Arial"/>
                <w:color w:val="365F91"/>
                <w:sz w:val="20"/>
                <w:szCs w:val="20"/>
                <w:lang w:val="ro-RO"/>
              </w:rPr>
              <w:t>8</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-2,</w:t>
            </w:r>
            <w:r w:rsidR="00D11DDE">
              <w:rPr>
                <w:rFonts w:ascii="Calibri" w:hAnsi="Calibri" w:cs="Arial"/>
                <w:color w:val="365F91"/>
                <w:sz w:val="20"/>
                <w:szCs w:val="20"/>
                <w:lang w:val="ro-RO"/>
              </w:rPr>
              <w:t>6</w:t>
            </w:r>
          </w:p>
        </w:tc>
      </w:tr>
      <w:tr w:rsidR="00382E21" w:rsidRPr="003D75FF" w:rsidTr="00382E21">
        <w:trPr>
          <w:trHeight w:val="500"/>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i/>
                <w:color w:val="365F91"/>
                <w:sz w:val="20"/>
                <w:szCs w:val="20"/>
                <w:lang w:val="ro-RO" w:eastAsia="ro-RO"/>
              </w:rPr>
              <w:t>Din care:</w:t>
            </w:r>
          </w:p>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 Diferențe între dobânzi plătite și  accrual</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Calibri"/>
                <w:color w:val="365F91"/>
                <w:sz w:val="20"/>
                <w:szCs w:val="20"/>
                <w:lang w:val="ro-RO" w:eastAsia="ro-RO"/>
              </w:rPr>
            </w:pPr>
            <w:r w:rsidRPr="003D75FF">
              <w:rPr>
                <w:rFonts w:ascii="Calibri" w:hAnsi="Calibri" w:cs="Calibri"/>
                <w:color w:val="365F91"/>
                <w:sz w:val="20"/>
                <w:szCs w:val="20"/>
                <w:lang w:val="ro-RO"/>
              </w:rPr>
              <w:t>-0,1</w:t>
            </w:r>
          </w:p>
        </w:tc>
        <w:tc>
          <w:tcPr>
            <w:tcW w:w="855" w:type="dxa"/>
            <w:shd w:val="clear" w:color="auto" w:fill="auto"/>
            <w:vAlign w:val="center"/>
          </w:tcPr>
          <w:p w:rsidR="00382E21" w:rsidRPr="003D75FF" w:rsidRDefault="00382E21" w:rsidP="00382E21">
            <w:pPr>
              <w:jc w:val="center"/>
              <w:rPr>
                <w:rFonts w:ascii="Calibri" w:hAnsi="Calibri" w:cs="Calibri"/>
                <w:color w:val="365F91"/>
                <w:sz w:val="20"/>
                <w:szCs w:val="20"/>
                <w:lang w:val="ro-RO" w:eastAsia="ro-RO"/>
              </w:rPr>
            </w:pPr>
            <w:r w:rsidRPr="003D75FF">
              <w:rPr>
                <w:rFonts w:ascii="Calibri" w:hAnsi="Calibri" w:cs="Calibri"/>
                <w:color w:val="365F91"/>
                <w:sz w:val="20"/>
                <w:szCs w:val="20"/>
                <w:lang w:val="ro-RO"/>
              </w:rPr>
              <w:t>-0,1</w:t>
            </w:r>
          </w:p>
        </w:tc>
        <w:tc>
          <w:tcPr>
            <w:tcW w:w="992" w:type="dxa"/>
            <w:shd w:val="clear" w:color="auto" w:fill="auto"/>
            <w:vAlign w:val="center"/>
          </w:tcPr>
          <w:p w:rsidR="00382E21" w:rsidRPr="003D75FF" w:rsidRDefault="00382E21" w:rsidP="00382E21">
            <w:pPr>
              <w:jc w:val="center"/>
              <w:rPr>
                <w:rFonts w:ascii="Calibri" w:hAnsi="Calibri" w:cs="Calibri"/>
                <w:color w:val="365F91"/>
                <w:sz w:val="20"/>
                <w:szCs w:val="20"/>
                <w:lang w:val="ro-RO" w:eastAsia="ro-RO"/>
              </w:rPr>
            </w:pPr>
            <w:r w:rsidRPr="003D75FF">
              <w:rPr>
                <w:rFonts w:ascii="Calibri" w:hAnsi="Calibri" w:cs="Calibri"/>
                <w:color w:val="365F91"/>
                <w:sz w:val="20"/>
                <w:szCs w:val="20"/>
                <w:lang w:val="ro-RO"/>
              </w:rPr>
              <w:t>-0,1</w:t>
            </w:r>
          </w:p>
        </w:tc>
        <w:tc>
          <w:tcPr>
            <w:tcW w:w="851" w:type="dxa"/>
            <w:shd w:val="clear" w:color="auto" w:fill="auto"/>
            <w:vAlign w:val="center"/>
          </w:tcPr>
          <w:p w:rsidR="00382E21" w:rsidRPr="003D75FF" w:rsidRDefault="00382E21" w:rsidP="00382E21">
            <w:pPr>
              <w:jc w:val="center"/>
              <w:rPr>
                <w:rFonts w:ascii="Calibri" w:hAnsi="Calibri" w:cs="Calibri"/>
                <w:color w:val="365F91"/>
                <w:sz w:val="20"/>
                <w:szCs w:val="20"/>
                <w:lang w:val="ro-RO" w:eastAsia="ro-RO"/>
              </w:rPr>
            </w:pPr>
            <w:r w:rsidRPr="003D75FF">
              <w:rPr>
                <w:rFonts w:ascii="Calibri" w:hAnsi="Calibri" w:cs="Calibri"/>
                <w:color w:val="365F91"/>
                <w:sz w:val="20"/>
                <w:szCs w:val="20"/>
                <w:lang w:val="ro-RO"/>
              </w:rPr>
              <w:t>-0,1</w:t>
            </w:r>
          </w:p>
        </w:tc>
        <w:tc>
          <w:tcPr>
            <w:tcW w:w="992" w:type="dxa"/>
            <w:shd w:val="clear" w:color="auto" w:fill="auto"/>
            <w:vAlign w:val="center"/>
          </w:tcPr>
          <w:p w:rsidR="00382E21" w:rsidRPr="003D75FF" w:rsidRDefault="00382E21" w:rsidP="00382E21">
            <w:pPr>
              <w:jc w:val="center"/>
              <w:rPr>
                <w:rFonts w:ascii="Calibri" w:hAnsi="Calibri"/>
                <w:color w:val="365F91"/>
                <w:sz w:val="20"/>
                <w:szCs w:val="20"/>
                <w:lang w:val="ro-RO"/>
              </w:rPr>
            </w:pPr>
            <w:r w:rsidRPr="003D75FF">
              <w:rPr>
                <w:rFonts w:ascii="Calibri" w:hAnsi="Calibri"/>
                <w:color w:val="365F91"/>
                <w:sz w:val="20"/>
                <w:szCs w:val="20"/>
                <w:lang w:val="ro-RO"/>
              </w:rPr>
              <w:t>-0,1</w:t>
            </w:r>
          </w:p>
        </w:tc>
      </w:tr>
      <w:tr w:rsidR="00382E21" w:rsidRPr="003D75FF" w:rsidTr="00382E21">
        <w:trPr>
          <w:trHeight w:val="308"/>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 Acumularea netă de active financiare</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-0,6</w:t>
            </w:r>
          </w:p>
        </w:tc>
        <w:tc>
          <w:tcPr>
            <w:tcW w:w="855"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992"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851"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992"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0,0</w:t>
            </w:r>
          </w:p>
        </w:tc>
      </w:tr>
      <w:tr w:rsidR="00382E21" w:rsidRPr="003D75FF" w:rsidTr="00382E21">
        <w:trPr>
          <w:trHeight w:val="284"/>
          <w:jc w:val="center"/>
        </w:trPr>
        <w:tc>
          <w:tcPr>
            <w:tcW w:w="3828" w:type="dxa"/>
            <w:vMerge w:val="restart"/>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i/>
                <w:color w:val="365F91"/>
                <w:sz w:val="20"/>
                <w:szCs w:val="20"/>
                <w:lang w:val="ro-RO" w:eastAsia="ro-RO"/>
              </w:rPr>
              <w:t>din care:</w:t>
            </w:r>
          </w:p>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  din privatizare</w:t>
            </w:r>
          </w:p>
        </w:tc>
        <w:tc>
          <w:tcPr>
            <w:tcW w:w="856" w:type="dxa"/>
            <w:vMerge w:val="restart"/>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5"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992"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1"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992"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r>
      <w:tr w:rsidR="00382E21" w:rsidRPr="003D75FF" w:rsidTr="00382E21">
        <w:trPr>
          <w:trHeight w:val="279"/>
          <w:jc w:val="center"/>
        </w:trPr>
        <w:tc>
          <w:tcPr>
            <w:tcW w:w="3828" w:type="dxa"/>
            <w:vMerge/>
            <w:shd w:val="clear" w:color="auto" w:fill="auto"/>
            <w:vAlign w:val="center"/>
          </w:tcPr>
          <w:p w:rsidR="00382E21" w:rsidRPr="003D75FF" w:rsidRDefault="00382E21" w:rsidP="00382E21">
            <w:pPr>
              <w:widowControl w:val="0"/>
              <w:shd w:val="clear" w:color="auto" w:fill="FFFFFF"/>
              <w:snapToGrid w:val="0"/>
              <w:rPr>
                <w:rFonts w:ascii="Calibri" w:hAnsi="Calibri" w:cs="Calibri"/>
                <w:i/>
                <w:color w:val="365F91"/>
                <w:sz w:val="20"/>
                <w:szCs w:val="20"/>
                <w:lang w:val="ro-RO" w:eastAsia="ro-RO"/>
              </w:rPr>
            </w:pPr>
          </w:p>
        </w:tc>
        <w:tc>
          <w:tcPr>
            <w:tcW w:w="856" w:type="dxa"/>
            <w:vMerge/>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0,0</w:t>
            </w:r>
          </w:p>
        </w:tc>
        <w:tc>
          <w:tcPr>
            <w:tcW w:w="855"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992"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851"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0,0</w:t>
            </w:r>
          </w:p>
        </w:tc>
        <w:tc>
          <w:tcPr>
            <w:tcW w:w="992"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lang w:val="ro-RO" w:eastAsia="ro-RO"/>
              </w:rPr>
            </w:pPr>
            <w:r w:rsidRPr="003D75FF">
              <w:rPr>
                <w:rFonts w:ascii="Calibri" w:hAnsi="Calibri" w:cs="Arial"/>
                <w:color w:val="365F91"/>
                <w:sz w:val="20"/>
                <w:szCs w:val="20"/>
                <w:lang w:val="ro-RO"/>
              </w:rPr>
              <w:t>0,0</w:t>
            </w:r>
          </w:p>
        </w:tc>
      </w:tr>
      <w:tr w:rsidR="00382E21" w:rsidRPr="003D75FF" w:rsidTr="004F0474">
        <w:trPr>
          <w:trHeight w:val="361"/>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 Efecte ale evaluării și  altele</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-4,</w:t>
            </w:r>
            <w:r w:rsidR="00082D66">
              <w:rPr>
                <w:rFonts w:ascii="Calibri" w:hAnsi="Calibri" w:cs="Arial"/>
                <w:color w:val="365F91"/>
                <w:sz w:val="20"/>
                <w:szCs w:val="20"/>
                <w:lang w:val="ro-RO"/>
              </w:rPr>
              <w:t>4</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Pr>
                <w:rFonts w:ascii="Calibri" w:hAnsi="Calibri" w:cs="Arial"/>
                <w:color w:val="365F91"/>
                <w:sz w:val="20"/>
                <w:szCs w:val="20"/>
                <w:lang w:val="ro-RO"/>
              </w:rPr>
              <w:t>-3</w:t>
            </w:r>
            <w:r w:rsidRPr="003D75FF">
              <w:rPr>
                <w:rFonts w:ascii="Calibri" w:hAnsi="Calibri" w:cs="Arial"/>
                <w:color w:val="365F91"/>
                <w:sz w:val="20"/>
                <w:szCs w:val="20"/>
                <w:lang w:val="ro-RO"/>
              </w:rPr>
              <w:t>,</w:t>
            </w:r>
            <w:r w:rsidR="00A21DC3">
              <w:rPr>
                <w:rFonts w:ascii="Calibri" w:hAnsi="Calibri" w:cs="Arial"/>
                <w:color w:val="365F91"/>
                <w:sz w:val="20"/>
                <w:szCs w:val="20"/>
                <w:lang w:val="ro-RO"/>
              </w:rPr>
              <w:t>0</w:t>
            </w:r>
          </w:p>
        </w:tc>
        <w:tc>
          <w:tcPr>
            <w:tcW w:w="992" w:type="dxa"/>
            <w:shd w:val="clear" w:color="auto" w:fill="auto"/>
            <w:vAlign w:val="center"/>
          </w:tcPr>
          <w:p w:rsidR="00382E21" w:rsidRPr="003D75FF" w:rsidRDefault="00A21DC3" w:rsidP="00382E21">
            <w:pPr>
              <w:jc w:val="center"/>
              <w:rPr>
                <w:rFonts w:ascii="Calibri" w:hAnsi="Calibri" w:cs="Arial"/>
                <w:color w:val="365F91"/>
                <w:sz w:val="20"/>
                <w:szCs w:val="20"/>
                <w:lang w:val="ro-RO"/>
              </w:rPr>
            </w:pPr>
            <w:r>
              <w:rPr>
                <w:rFonts w:ascii="Calibri" w:hAnsi="Calibri" w:cs="Arial"/>
                <w:color w:val="365F91"/>
                <w:sz w:val="20"/>
                <w:szCs w:val="20"/>
                <w:lang w:val="ro-RO"/>
              </w:rPr>
              <w:t>-2</w:t>
            </w:r>
            <w:r w:rsidR="00382E21" w:rsidRPr="003D75FF">
              <w:rPr>
                <w:rFonts w:ascii="Calibri" w:hAnsi="Calibri" w:cs="Arial"/>
                <w:color w:val="365F91"/>
                <w:sz w:val="20"/>
                <w:szCs w:val="20"/>
                <w:lang w:val="ro-RO"/>
              </w:rPr>
              <w:t>,</w:t>
            </w:r>
            <w:r>
              <w:rPr>
                <w:rFonts w:ascii="Calibri" w:hAnsi="Calibri" w:cs="Arial"/>
                <w:color w:val="365F91"/>
                <w:sz w:val="20"/>
                <w:szCs w:val="20"/>
                <w:lang w:val="ro-RO"/>
              </w:rPr>
              <w:t>3</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-2,</w:t>
            </w:r>
            <w:r w:rsidR="0034570F">
              <w:rPr>
                <w:rFonts w:ascii="Calibri" w:hAnsi="Calibri" w:cs="Arial"/>
                <w:color w:val="365F91"/>
                <w:sz w:val="20"/>
                <w:szCs w:val="20"/>
                <w:lang w:val="ro-RO"/>
              </w:rPr>
              <w:t>7</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-2,</w:t>
            </w:r>
            <w:r w:rsidR="00D11DDE">
              <w:rPr>
                <w:rFonts w:ascii="Calibri" w:hAnsi="Calibri" w:cs="Arial"/>
                <w:color w:val="365F91"/>
                <w:sz w:val="20"/>
                <w:szCs w:val="20"/>
                <w:lang w:val="ro-RO"/>
              </w:rPr>
              <w:t>5</w:t>
            </w:r>
          </w:p>
        </w:tc>
      </w:tr>
      <w:tr w:rsidR="00382E21" w:rsidRPr="003D75FF" w:rsidTr="00382E21">
        <w:trPr>
          <w:trHeight w:val="373"/>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lang w:val="ro-RO" w:eastAsia="ro-RO"/>
              </w:rPr>
            </w:pPr>
            <w:r w:rsidRPr="003D75FF">
              <w:rPr>
                <w:rFonts w:ascii="Calibri" w:hAnsi="Calibri" w:cs="Calibri"/>
                <w:color w:val="365F91"/>
                <w:sz w:val="20"/>
                <w:szCs w:val="20"/>
                <w:lang w:val="ro-RO" w:eastAsia="ro-RO"/>
              </w:rPr>
              <w:t>p.m. rata dobânzii implicite asupra datoriei</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4,1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4,</w:t>
            </w:r>
            <w:r w:rsidR="00A475A8">
              <w:rPr>
                <w:rFonts w:ascii="Calibri" w:hAnsi="Calibri" w:cs="Arial"/>
                <w:color w:val="365F91"/>
                <w:sz w:val="20"/>
                <w:szCs w:val="20"/>
                <w:lang w:val="ro-RO"/>
              </w:rPr>
              <w:t>7</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sidRPr="003D75FF">
              <w:rPr>
                <w:rFonts w:ascii="Calibri" w:hAnsi="Calibri" w:cs="Arial"/>
                <w:color w:val="365F91"/>
                <w:sz w:val="20"/>
                <w:szCs w:val="20"/>
                <w:lang w:val="ro-RO"/>
              </w:rPr>
              <w:t>4,</w:t>
            </w:r>
            <w:r w:rsidR="00A21DC3">
              <w:rPr>
                <w:rFonts w:ascii="Calibri" w:hAnsi="Calibri" w:cs="Arial"/>
                <w:color w:val="365F91"/>
                <w:sz w:val="20"/>
                <w:szCs w:val="20"/>
                <w:lang w:val="ro-RO"/>
              </w:rPr>
              <w:t>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Pr>
                <w:rFonts w:ascii="Calibri" w:hAnsi="Calibri" w:cs="Arial"/>
                <w:color w:val="365F91"/>
                <w:sz w:val="20"/>
                <w:szCs w:val="20"/>
                <w:lang w:val="ro-RO"/>
              </w:rPr>
              <w:t>4</w:t>
            </w:r>
            <w:r w:rsidRPr="003D75FF">
              <w:rPr>
                <w:rFonts w:ascii="Calibri" w:hAnsi="Calibri" w:cs="Arial"/>
                <w:color w:val="365F91"/>
                <w:sz w:val="20"/>
                <w:szCs w:val="20"/>
                <w:lang w:val="ro-RO"/>
              </w:rPr>
              <w:t>,</w:t>
            </w:r>
            <w:r w:rsidR="0034570F">
              <w:rPr>
                <w:rFonts w:ascii="Calibri" w:hAnsi="Calibri" w:cs="Arial"/>
                <w:color w:val="365F91"/>
                <w:sz w:val="20"/>
                <w:szCs w:val="20"/>
                <w:lang w:val="ro-RO"/>
              </w:rPr>
              <w:t>2</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lang w:val="ro-RO"/>
              </w:rPr>
            </w:pPr>
            <w:r>
              <w:rPr>
                <w:rFonts w:ascii="Calibri" w:hAnsi="Calibri" w:cs="Arial"/>
                <w:color w:val="365F91"/>
                <w:sz w:val="20"/>
                <w:szCs w:val="20"/>
                <w:lang w:val="ro-RO"/>
              </w:rPr>
              <w:t>4</w:t>
            </w:r>
            <w:r w:rsidRPr="003D75FF">
              <w:rPr>
                <w:rFonts w:ascii="Calibri" w:hAnsi="Calibri" w:cs="Arial"/>
                <w:color w:val="365F91"/>
                <w:sz w:val="20"/>
                <w:szCs w:val="20"/>
                <w:lang w:val="ro-RO"/>
              </w:rPr>
              <w:t>,</w:t>
            </w:r>
            <w:r w:rsidR="0034570F">
              <w:rPr>
                <w:rFonts w:ascii="Calibri" w:hAnsi="Calibri" w:cs="Arial"/>
                <w:color w:val="365F91"/>
                <w:sz w:val="20"/>
                <w:szCs w:val="20"/>
                <w:lang w:val="ro-RO"/>
              </w:rPr>
              <w:t>0</w:t>
            </w:r>
          </w:p>
        </w:tc>
      </w:tr>
    </w:tbl>
    <w:p w:rsidR="00382E21" w:rsidRPr="00F84E49" w:rsidRDefault="00C10AD3" w:rsidP="00382E21">
      <w:pPr>
        <w:spacing w:line="276" w:lineRule="auto"/>
        <w:jc w:val="both"/>
        <w:rPr>
          <w:rFonts w:ascii="Calibri" w:hAnsi="Calibri" w:cs="Arial"/>
          <w:i/>
          <w:iCs/>
          <w:color w:val="365F91"/>
          <w:sz w:val="16"/>
          <w:szCs w:val="16"/>
          <w:lang w:val="ro-RO"/>
        </w:rPr>
      </w:pPr>
      <w:r>
        <w:rPr>
          <w:rFonts w:ascii="Calibri" w:hAnsi="Calibri" w:cs="Arial"/>
          <w:i/>
          <w:iCs/>
          <w:color w:val="365F91"/>
          <w:sz w:val="16"/>
          <w:szCs w:val="16"/>
          <w:lang w:val="ro-RO"/>
        </w:rPr>
        <w:t xml:space="preserve">         </w:t>
      </w:r>
      <w:r w:rsidR="00382E21" w:rsidRPr="00F84E49">
        <w:rPr>
          <w:rFonts w:ascii="Calibri" w:hAnsi="Calibri" w:cs="Arial"/>
          <w:i/>
          <w:iCs/>
          <w:color w:val="365F91"/>
          <w:sz w:val="16"/>
          <w:szCs w:val="16"/>
          <w:lang w:val="ro-RO"/>
        </w:rPr>
        <w:t>Sursa : MFP</w:t>
      </w:r>
    </w:p>
    <w:p w:rsidR="00382E21" w:rsidRPr="003D75FF" w:rsidRDefault="00382E21" w:rsidP="00382E21">
      <w:pPr>
        <w:widowControl w:val="0"/>
        <w:tabs>
          <w:tab w:val="left" w:pos="993"/>
        </w:tabs>
        <w:spacing w:line="276" w:lineRule="auto"/>
        <w:ind w:right="-108"/>
        <w:rPr>
          <w:rFonts w:ascii="Calibri" w:hAnsi="Calibri" w:cs="Arial Narrow"/>
          <w:b/>
          <w:color w:val="000080"/>
          <w:sz w:val="6"/>
          <w:lang w:val="ro-RO"/>
        </w:rPr>
      </w:pPr>
    </w:p>
    <w:p w:rsidR="007E1C2F" w:rsidRDefault="007E1C2F" w:rsidP="00382E21">
      <w:pPr>
        <w:spacing w:line="276" w:lineRule="auto"/>
        <w:ind w:right="291"/>
        <w:rPr>
          <w:rFonts w:ascii="Calibri" w:hAnsi="Calibri" w:cs="Arial"/>
          <w:b/>
          <w:i/>
          <w:color w:val="365F91"/>
          <w:lang w:val="ro-RO"/>
        </w:rPr>
      </w:pPr>
    </w:p>
    <w:p w:rsidR="007E1C2F" w:rsidRDefault="007E1C2F" w:rsidP="00382E21">
      <w:pPr>
        <w:spacing w:line="276" w:lineRule="auto"/>
        <w:ind w:right="291"/>
        <w:rPr>
          <w:rFonts w:ascii="Calibri" w:hAnsi="Calibri" w:cs="Arial"/>
          <w:b/>
          <w:i/>
          <w:color w:val="365F91"/>
          <w:lang w:val="ro-RO"/>
        </w:rPr>
      </w:pPr>
    </w:p>
    <w:p w:rsidR="00C10AD3" w:rsidRDefault="00C10AD3" w:rsidP="00382E21">
      <w:pPr>
        <w:spacing w:line="276" w:lineRule="auto"/>
        <w:ind w:right="291"/>
        <w:rPr>
          <w:rFonts w:ascii="Calibri" w:hAnsi="Calibri" w:cs="Arial"/>
          <w:b/>
          <w:i/>
          <w:color w:val="365F91"/>
          <w:lang w:val="ro-RO"/>
        </w:rPr>
      </w:pPr>
    </w:p>
    <w:p w:rsidR="00C10AD3" w:rsidRDefault="00C10AD3" w:rsidP="00382E21">
      <w:pPr>
        <w:spacing w:line="276" w:lineRule="auto"/>
        <w:ind w:right="291"/>
        <w:rPr>
          <w:rFonts w:ascii="Calibri" w:hAnsi="Calibri" w:cs="Arial"/>
          <w:b/>
          <w:i/>
          <w:color w:val="365F91"/>
          <w:lang w:val="ro-RO"/>
        </w:rPr>
      </w:pPr>
    </w:p>
    <w:p w:rsidR="00A21DC3" w:rsidRDefault="00A21DC3" w:rsidP="00382E21">
      <w:pPr>
        <w:spacing w:line="276" w:lineRule="auto"/>
        <w:ind w:right="291"/>
        <w:rPr>
          <w:rFonts w:ascii="Calibri" w:hAnsi="Calibri" w:cs="Arial"/>
          <w:b/>
          <w:i/>
          <w:color w:val="365F91"/>
          <w:lang w:val="ro-RO"/>
        </w:rPr>
      </w:pPr>
    </w:p>
    <w:p w:rsidR="00382E21" w:rsidRPr="00C5757D" w:rsidRDefault="00382E21" w:rsidP="00382E21">
      <w:pPr>
        <w:spacing w:line="276" w:lineRule="auto"/>
        <w:ind w:right="291"/>
        <w:rPr>
          <w:rFonts w:ascii="Calibri" w:hAnsi="Calibri" w:cs="Arial"/>
          <w:color w:val="365F91"/>
          <w:lang w:val="ro-RO"/>
        </w:rPr>
      </w:pPr>
      <w:r w:rsidRPr="00C5757D">
        <w:rPr>
          <w:rFonts w:ascii="Calibri" w:hAnsi="Calibri" w:cs="Arial"/>
          <w:b/>
          <w:i/>
          <w:color w:val="365F91"/>
          <w:lang w:val="ro-RO"/>
        </w:rPr>
        <w:t>Finanţarea deficitului bugetar</w:t>
      </w:r>
    </w:p>
    <w:p w:rsidR="00382E21" w:rsidRPr="00FA39BE" w:rsidRDefault="00382E21" w:rsidP="00382E21">
      <w:pPr>
        <w:autoSpaceDE w:val="0"/>
        <w:autoSpaceDN w:val="0"/>
        <w:adjustRightInd w:val="0"/>
        <w:jc w:val="both"/>
        <w:rPr>
          <w:rFonts w:ascii="Calibri" w:hAnsi="Calibri" w:cs="Arial"/>
          <w:iCs/>
          <w:color w:val="000000"/>
          <w:sz w:val="10"/>
          <w:lang w:val="ro-RO"/>
        </w:rPr>
      </w:pPr>
    </w:p>
    <w:p w:rsidR="00382E21" w:rsidRDefault="00382E21" w:rsidP="00382E21">
      <w:pPr>
        <w:autoSpaceDE w:val="0"/>
        <w:autoSpaceDN w:val="0"/>
        <w:adjustRightInd w:val="0"/>
        <w:jc w:val="both"/>
        <w:rPr>
          <w:rFonts w:ascii="Calibri" w:hAnsi="Calibri" w:cs="Arial"/>
          <w:iCs/>
          <w:color w:val="000000"/>
          <w:lang w:val="ro-RO"/>
        </w:rPr>
      </w:pPr>
      <w:r w:rsidRPr="00C43E2D">
        <w:rPr>
          <w:rFonts w:ascii="Calibri" w:hAnsi="Calibri" w:cs="Arial"/>
          <w:iCs/>
          <w:color w:val="000000"/>
          <w:lang w:val="ro-RO"/>
        </w:rPr>
        <w:t>În anul 2018, în vederea îndeplinirii obiectivului de dezvoltare a pietei titlurilor de stat, finanțarea deficitului bugetar s-a realizat în principal din surse interne prin emisiuni de titluri de stat și în completare din surse externe.</w:t>
      </w:r>
    </w:p>
    <w:p w:rsidR="00382E21" w:rsidRPr="00FA39BE" w:rsidRDefault="00382E21" w:rsidP="00382E21">
      <w:pPr>
        <w:autoSpaceDE w:val="0"/>
        <w:autoSpaceDN w:val="0"/>
        <w:adjustRightInd w:val="0"/>
        <w:jc w:val="both"/>
        <w:rPr>
          <w:rFonts w:ascii="Calibri" w:hAnsi="Calibri" w:cs="Arial"/>
          <w:iCs/>
          <w:color w:val="000000"/>
          <w:sz w:val="12"/>
          <w:lang w:val="ro-RO"/>
        </w:rPr>
      </w:pPr>
    </w:p>
    <w:p w:rsidR="00382E21" w:rsidRDefault="00382E21" w:rsidP="00382E21">
      <w:pPr>
        <w:autoSpaceDE w:val="0"/>
        <w:autoSpaceDN w:val="0"/>
        <w:adjustRightInd w:val="0"/>
        <w:jc w:val="both"/>
        <w:rPr>
          <w:rFonts w:ascii="Calibri" w:hAnsi="Calibri" w:cs="Arial"/>
          <w:iCs/>
          <w:color w:val="000000"/>
          <w:lang w:val="ro-RO"/>
        </w:rPr>
      </w:pPr>
      <w:r>
        <w:rPr>
          <w:rFonts w:ascii="Calibri" w:hAnsi="Calibri" w:cs="Arial"/>
          <w:iCs/>
          <w:color w:val="000000"/>
          <w:lang w:val="ro-RO"/>
        </w:rPr>
        <w:t>În cursul anului 2018</w:t>
      </w:r>
      <w:r w:rsidRPr="00C43E2D">
        <w:rPr>
          <w:rFonts w:ascii="Calibri" w:hAnsi="Calibri" w:cs="Arial"/>
          <w:iCs/>
          <w:color w:val="000000"/>
          <w:lang w:val="ro-RO"/>
        </w:rPr>
        <w:t xml:space="preserve"> au fost emise titluri de stat denominate în lei și euro pe piața internă în valoare totală de  4</w:t>
      </w:r>
      <w:r>
        <w:rPr>
          <w:rFonts w:ascii="Calibri" w:hAnsi="Calibri" w:cs="Arial"/>
          <w:iCs/>
          <w:color w:val="000000"/>
          <w:lang w:val="ro-RO"/>
        </w:rPr>
        <w:t>7</w:t>
      </w:r>
      <w:r w:rsidRPr="00C43E2D">
        <w:rPr>
          <w:rFonts w:ascii="Calibri" w:hAnsi="Calibri" w:cs="Arial"/>
          <w:iCs/>
          <w:color w:val="000000"/>
          <w:lang w:val="ro-RO"/>
        </w:rPr>
        <w:t>,</w:t>
      </w:r>
      <w:r>
        <w:rPr>
          <w:rFonts w:ascii="Calibri" w:hAnsi="Calibri" w:cs="Arial"/>
          <w:iCs/>
          <w:color w:val="000000"/>
          <w:lang w:val="ro-RO"/>
        </w:rPr>
        <w:t>9</w:t>
      </w:r>
      <w:r w:rsidRPr="00C43E2D">
        <w:rPr>
          <w:rFonts w:ascii="Calibri" w:hAnsi="Calibri" w:cs="Arial"/>
          <w:iCs/>
          <w:color w:val="000000"/>
          <w:lang w:val="ro-RO"/>
        </w:rPr>
        <w:t xml:space="preserve"> mld. lei </w:t>
      </w:r>
      <w:r w:rsidRPr="00C43E2D">
        <w:rPr>
          <w:rFonts w:ascii="Calibri" w:hAnsi="Calibri" w:cs="Arial"/>
          <w:iCs/>
          <w:color w:val="000000"/>
          <w:vertAlign w:val="superscript"/>
          <w:lang w:val="ro-RO"/>
        </w:rPr>
        <w:footnoteReference w:id="48"/>
      </w:r>
      <w:r w:rsidRPr="00C43E2D">
        <w:rPr>
          <w:rFonts w:ascii="Calibri" w:hAnsi="Calibri" w:cs="Arial"/>
          <w:iCs/>
          <w:color w:val="000000"/>
          <w:lang w:val="ro-RO"/>
        </w:rPr>
        <w:t>. Pe piața internă au fost lansate primele emisiuni pentru populație prin intermediul rețelei de trezorerii și oficii poștale cu maturități de 3 și 5 ani ce au acumulat subscrieri în sumă de 1,2 mld lei</w:t>
      </w:r>
      <w:r w:rsidRPr="000128D3">
        <w:rPr>
          <w:rFonts w:asciiTheme="minorHAnsi" w:hAnsiTheme="minorHAnsi" w:cs="Arial"/>
          <w:iCs/>
          <w:color w:val="000000"/>
          <w:lang w:val="ro-RO"/>
        </w:rPr>
        <w:t xml:space="preserve">. </w:t>
      </w:r>
      <w:r w:rsidR="000128D3" w:rsidRPr="000128D3">
        <w:rPr>
          <w:rFonts w:asciiTheme="minorHAnsi" w:hAnsiTheme="minorHAnsi" w:cs="Arial"/>
          <w:color w:val="000000"/>
          <w:lang w:val="ro-RO" w:eastAsia="en-GB"/>
        </w:rPr>
        <w:t>La finalul lunii noiembrie 2018 a fost lansată cea de-a treia emisiunie a programului cu maturitate de 2 ani, cumulând subscrieri de 855 mil lei, cu încadrare în plafonul anual indicativ stabilit pentru anul 2018 la 4 mld. lei.</w:t>
      </w:r>
      <w:r w:rsidR="000128D3" w:rsidRPr="000128D3">
        <w:rPr>
          <w:rFonts w:asciiTheme="minorHAnsi" w:hAnsiTheme="minorHAnsi" w:cs="Arial"/>
          <w:iCs/>
          <w:color w:val="000000"/>
          <w:lang w:val="ro-RO"/>
        </w:rPr>
        <w:t>Pe piața internă, evoluțiile de pe piața titlurilor de stat, în principal cele pe termen scurt, au reflectat influența exercitată de deciziile și acțiunile BNR (rata de politică monetară a crescut de trei ori în ianuarie, februarie și mai de la 1,75% la 2,5%) și de anticipațiile instituțiilor de credit privind continuarea ajustării conduitei politicii monetare, cărora li s-au adăugat cele din mediul extern, caracterizat de evolutii mixte ale randamentelor titlurilor de stat pe termen lung, atât în economiile dezvoltate, cât și în plan regional.</w:t>
      </w:r>
    </w:p>
    <w:p w:rsidR="00382E21" w:rsidRDefault="00382E21" w:rsidP="00382E21">
      <w:pPr>
        <w:autoSpaceDE w:val="0"/>
        <w:autoSpaceDN w:val="0"/>
        <w:adjustRightInd w:val="0"/>
        <w:jc w:val="both"/>
        <w:rPr>
          <w:rFonts w:ascii="Calibri" w:hAnsi="Calibri" w:cs="Arial"/>
          <w:iCs/>
          <w:color w:val="000000"/>
          <w:lang w:val="ro-RO"/>
        </w:rPr>
      </w:pPr>
    </w:p>
    <w:p w:rsidR="00382E21" w:rsidRDefault="00382E21" w:rsidP="00382E21">
      <w:pPr>
        <w:ind w:left="709"/>
        <w:jc w:val="center"/>
        <w:rPr>
          <w:rFonts w:ascii="Calibri" w:hAnsi="Calibri" w:cs="Arial"/>
          <w:b/>
          <w:color w:val="365F91"/>
          <w:lang w:val="ro-RO"/>
        </w:rPr>
      </w:pPr>
      <w:r w:rsidRPr="00C5757D">
        <w:rPr>
          <w:rFonts w:ascii="Calibri" w:hAnsi="Calibri" w:cs="Arial"/>
          <w:b/>
          <w:color w:val="365F91"/>
          <w:lang w:val="ro-RO"/>
        </w:rPr>
        <w:t>Evoluția randamentelor titlurilor de stat pe pe piaţa secundară internă, per</w:t>
      </w:r>
      <w:r>
        <w:rPr>
          <w:rFonts w:ascii="Calibri" w:hAnsi="Calibri" w:cs="Arial"/>
          <w:b/>
          <w:color w:val="365F91"/>
          <w:lang w:val="ro-RO"/>
        </w:rPr>
        <w:t>ioada decembrie 2016 – 31 decembrie</w:t>
      </w:r>
      <w:r w:rsidRPr="00C5757D">
        <w:rPr>
          <w:rFonts w:ascii="Calibri" w:hAnsi="Calibri" w:cs="Arial"/>
          <w:b/>
          <w:color w:val="365F91"/>
          <w:lang w:val="ro-RO"/>
        </w:rPr>
        <w:t xml:space="preserve"> 2018</w:t>
      </w:r>
    </w:p>
    <w:p w:rsidR="007E1C2F" w:rsidRDefault="007E1C2F" w:rsidP="00382E21">
      <w:pPr>
        <w:ind w:left="709"/>
        <w:jc w:val="center"/>
        <w:rPr>
          <w:rFonts w:ascii="Calibri" w:hAnsi="Calibri" w:cs="Arial"/>
          <w:b/>
          <w:color w:val="365F91"/>
          <w:lang w:val="ro-RO"/>
        </w:rPr>
      </w:pPr>
      <w:r>
        <w:rPr>
          <w:noProof/>
          <w:lang w:val="ro-RO" w:eastAsia="ro-RO"/>
        </w:rPr>
        <w:drawing>
          <wp:inline distT="0" distB="0" distL="0" distR="0">
            <wp:extent cx="5604734" cy="2293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4840" cy="2297756"/>
                    </a:xfrm>
                    <a:prstGeom prst="rect">
                      <a:avLst/>
                    </a:prstGeom>
                    <a:noFill/>
                    <a:ln>
                      <a:noFill/>
                    </a:ln>
                  </pic:spPr>
                </pic:pic>
              </a:graphicData>
            </a:graphic>
          </wp:inline>
        </w:drawing>
      </w:r>
    </w:p>
    <w:p w:rsidR="00382E21" w:rsidRPr="00C5757D" w:rsidRDefault="00C10AD3" w:rsidP="00382E21">
      <w:pPr>
        <w:rPr>
          <w:rFonts w:ascii="Arial Narrow" w:hAnsi="Arial Narrow" w:cs="Arial"/>
          <w:i/>
          <w:color w:val="365F91"/>
          <w:sz w:val="16"/>
          <w:szCs w:val="16"/>
          <w:lang w:val="ro-RO"/>
        </w:rPr>
      </w:pPr>
      <w:r>
        <w:rPr>
          <w:rFonts w:ascii="Arial Narrow" w:hAnsi="Arial Narrow" w:cs="Arial"/>
          <w:i/>
          <w:color w:val="365F91"/>
          <w:sz w:val="18"/>
          <w:szCs w:val="16"/>
          <w:lang w:val="ro-RO"/>
        </w:rPr>
        <w:t xml:space="preserve">                     </w:t>
      </w:r>
      <w:r w:rsidR="00382E21" w:rsidRPr="007E1C2F">
        <w:rPr>
          <w:rFonts w:ascii="Arial Narrow" w:hAnsi="Arial Narrow" w:cs="Arial"/>
          <w:i/>
          <w:color w:val="365F91"/>
          <w:sz w:val="18"/>
          <w:szCs w:val="16"/>
          <w:lang w:val="ro-RO"/>
        </w:rPr>
        <w:t>Sursa: MFP</w:t>
      </w:r>
    </w:p>
    <w:p w:rsidR="00620EA1" w:rsidRPr="00620EA1" w:rsidRDefault="00620EA1" w:rsidP="00620EA1">
      <w:pPr>
        <w:jc w:val="both"/>
        <w:rPr>
          <w:rFonts w:asciiTheme="minorHAnsi" w:hAnsiTheme="minorHAnsi" w:cs="Arial"/>
          <w:lang w:val="ro-RO"/>
        </w:rPr>
      </w:pPr>
      <w:r w:rsidRPr="00620EA1">
        <w:rPr>
          <w:rFonts w:asciiTheme="minorHAnsi" w:hAnsiTheme="minorHAnsi" w:cs="Arial"/>
          <w:lang w:val="ro-RO"/>
        </w:rPr>
        <w:t>În anul 2018 finanțarea de pe piața externă a fost realizată prin emisiuni de euroobligațiuni, astfel:</w:t>
      </w:r>
    </w:p>
    <w:p w:rsidR="00620EA1" w:rsidRPr="00620EA1" w:rsidRDefault="00620EA1" w:rsidP="00620EA1">
      <w:pPr>
        <w:widowControl w:val="0"/>
        <w:jc w:val="both"/>
        <w:rPr>
          <w:rFonts w:asciiTheme="minorHAnsi" w:eastAsia="Calibri" w:hAnsiTheme="minorHAnsi" w:cs="Arial"/>
          <w:color w:val="0070C0"/>
          <w:lang w:val="ro-RO"/>
        </w:rPr>
      </w:pPr>
    </w:p>
    <w:p w:rsidR="00620EA1" w:rsidRPr="00620EA1" w:rsidRDefault="00620EA1" w:rsidP="00620EA1">
      <w:pPr>
        <w:widowControl w:val="0"/>
        <w:numPr>
          <w:ilvl w:val="0"/>
          <w:numId w:val="72"/>
        </w:numPr>
        <w:suppressAutoHyphens/>
        <w:jc w:val="both"/>
        <w:rPr>
          <w:rFonts w:asciiTheme="minorHAnsi" w:eastAsia="Calibri" w:hAnsiTheme="minorHAnsi" w:cs="Arial"/>
          <w:lang w:val="ro-RO"/>
        </w:rPr>
      </w:pPr>
      <w:r w:rsidRPr="00620EA1">
        <w:rPr>
          <w:rFonts w:asciiTheme="minorHAnsi" w:eastAsia="Calibri" w:hAnsiTheme="minorHAnsi" w:cs="Arial"/>
          <w:lang w:val="ro-RO"/>
        </w:rPr>
        <w:t>în luna  februarie 2018 a fost realizată prima emisiune, în două tranșe, denominate în Euro, cu maturități de 12 și 20 de ani, cupon de 2,50% și respectiv 3,375%, cu o valoare totală de 2 miliarde Euro, din care 0,75 miliarde Euro pentru tranșa de 12 ani și 1,25 miliarde Euro pentru tranșa de 20 ani</w:t>
      </w:r>
    </w:p>
    <w:p w:rsidR="00620EA1" w:rsidRPr="00620EA1" w:rsidRDefault="00620EA1" w:rsidP="00620EA1">
      <w:pPr>
        <w:widowControl w:val="0"/>
        <w:numPr>
          <w:ilvl w:val="0"/>
          <w:numId w:val="72"/>
        </w:numPr>
        <w:suppressAutoHyphens/>
        <w:jc w:val="both"/>
        <w:rPr>
          <w:rFonts w:asciiTheme="minorHAnsi" w:eastAsia="Calibri" w:hAnsiTheme="minorHAnsi" w:cs="Arial"/>
          <w:lang w:val="ro-RO"/>
        </w:rPr>
      </w:pPr>
      <w:r w:rsidRPr="00620EA1">
        <w:rPr>
          <w:rFonts w:asciiTheme="minorHAnsi" w:eastAsia="Calibri" w:hAnsiTheme="minorHAnsi" w:cs="Arial"/>
          <w:lang w:val="ro-RO"/>
        </w:rPr>
        <w:t>în luna iunie 2018 a fost lansată o emisiune nouă în USD cu maturitate de 30 de ani și cupon de 5,125%, în valoare de 1,2 mld. USD, împreună cu o tranzacțiede răscumpărare anticipată parțială a unor obligațiuni existente în USD cu scadență 2022, cupon 6,75% pentru suma de 231,11 mil. USD.</w:t>
      </w:r>
    </w:p>
    <w:p w:rsidR="00382E21" w:rsidRPr="00620EA1" w:rsidRDefault="00620EA1" w:rsidP="00620EA1">
      <w:pPr>
        <w:widowControl w:val="0"/>
        <w:numPr>
          <w:ilvl w:val="0"/>
          <w:numId w:val="72"/>
        </w:numPr>
        <w:suppressAutoHyphens/>
        <w:jc w:val="both"/>
        <w:rPr>
          <w:rFonts w:asciiTheme="minorHAnsi" w:hAnsiTheme="minorHAnsi" w:cs="Arial Narrow"/>
          <w:color w:val="000000" w:themeColor="text1"/>
          <w:lang w:val="ro-RO"/>
        </w:rPr>
      </w:pPr>
      <w:r w:rsidRPr="00620EA1">
        <w:rPr>
          <w:rFonts w:asciiTheme="minorHAnsi" w:eastAsia="Calibri" w:hAnsiTheme="minorHAnsi" w:cs="Arial"/>
          <w:lang w:val="ro-RO"/>
        </w:rPr>
        <w:t>la începutul lunii octombrie s-a atras suma de 1,75 miliarde euro printr-o emisiune de euroobligațiuni în euro în două serii, din care 1,15 miliarde euro cu maturitatea de 10 ani lung, cupon 2,875% (randament 3,029%) și 600 milioane euro cu maturitatea de 20 ani lung, cupon 4,125% (randament de 4,234%). Randamentele realizate indică o primă de emisiune de aprox. 10 puncte de bază pentru ambele tranșe, un rezultat remarcabil având în vedere volatilitatea din cursul zilei și incertitudinele politice din Italia care au afectat sentimentul investitorilor.</w:t>
      </w:r>
    </w:p>
    <w:p w:rsidR="00382E21" w:rsidRDefault="00382E21" w:rsidP="00382E21">
      <w:pPr>
        <w:widowControl w:val="0"/>
        <w:tabs>
          <w:tab w:val="num" w:pos="709"/>
        </w:tabs>
        <w:suppressAutoHyphens/>
        <w:jc w:val="both"/>
        <w:rPr>
          <w:rFonts w:ascii="Calibri" w:hAnsi="Calibri" w:cs="Arial Narrow"/>
          <w:b/>
          <w:color w:val="000080"/>
          <w:sz w:val="10"/>
          <w:lang w:val="ro-RO"/>
        </w:rPr>
      </w:pPr>
    </w:p>
    <w:p w:rsidR="00382E21" w:rsidRDefault="00382E21" w:rsidP="00382E21">
      <w:pPr>
        <w:ind w:left="567" w:right="481"/>
        <w:jc w:val="center"/>
        <w:rPr>
          <w:rFonts w:ascii="Calibri" w:hAnsi="Calibri" w:cs="Arial"/>
          <w:b/>
          <w:color w:val="365F91"/>
          <w:lang w:val="ro-RO"/>
        </w:rPr>
      </w:pPr>
      <w:r w:rsidRPr="00C5757D">
        <w:rPr>
          <w:rFonts w:ascii="Calibri" w:hAnsi="Calibri" w:cs="Arial"/>
          <w:b/>
          <w:color w:val="365F91"/>
          <w:lang w:val="ro-RO"/>
        </w:rPr>
        <w:t>Evoluția randamentelor titlurilor de stat pe pe piaţa secundară externă, per</w:t>
      </w:r>
      <w:r>
        <w:rPr>
          <w:rFonts w:ascii="Calibri" w:hAnsi="Calibri" w:cs="Arial"/>
          <w:b/>
          <w:color w:val="365F91"/>
          <w:lang w:val="ro-RO"/>
        </w:rPr>
        <w:t>ioada decembrie 2016 – 31 decembrie</w:t>
      </w:r>
      <w:r w:rsidRPr="00C5757D">
        <w:rPr>
          <w:rFonts w:ascii="Calibri" w:hAnsi="Calibri" w:cs="Arial"/>
          <w:b/>
          <w:color w:val="365F91"/>
          <w:lang w:val="ro-RO"/>
        </w:rPr>
        <w:t xml:space="preserve"> 2018</w:t>
      </w:r>
    </w:p>
    <w:p w:rsidR="00382E21" w:rsidRDefault="007E1C2F" w:rsidP="00382E21">
      <w:pPr>
        <w:ind w:left="567" w:right="481"/>
        <w:jc w:val="center"/>
        <w:rPr>
          <w:rFonts w:ascii="Calibri" w:hAnsi="Calibri" w:cs="Arial"/>
          <w:b/>
          <w:color w:val="365F91"/>
          <w:lang w:val="ro-RO"/>
        </w:rPr>
      </w:pPr>
      <w:r>
        <w:rPr>
          <w:noProof/>
          <w:lang w:val="ro-RO" w:eastAsia="ro-RO"/>
        </w:rPr>
        <w:drawing>
          <wp:inline distT="0" distB="0" distL="0" distR="0">
            <wp:extent cx="5905949" cy="235573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5489" cy="2375492"/>
                    </a:xfrm>
                    <a:prstGeom prst="rect">
                      <a:avLst/>
                    </a:prstGeom>
                    <a:noFill/>
                    <a:ln>
                      <a:noFill/>
                    </a:ln>
                  </pic:spPr>
                </pic:pic>
              </a:graphicData>
            </a:graphic>
          </wp:inline>
        </w:drawing>
      </w:r>
    </w:p>
    <w:p w:rsidR="00382E21" w:rsidRPr="00C5757D" w:rsidRDefault="00C10AD3" w:rsidP="00382E21">
      <w:pPr>
        <w:autoSpaceDE w:val="0"/>
        <w:autoSpaceDN w:val="0"/>
        <w:adjustRightInd w:val="0"/>
        <w:rPr>
          <w:rFonts w:ascii="Helv" w:hAnsi="Helv" w:cs="Helv"/>
          <w:i/>
          <w:color w:val="365F91"/>
          <w:sz w:val="20"/>
          <w:szCs w:val="20"/>
          <w:lang w:val="ro-RO" w:eastAsia="ro-RO"/>
        </w:rPr>
      </w:pPr>
      <w:r>
        <w:rPr>
          <w:rFonts w:ascii="Arial" w:hAnsi="Arial" w:cs="Arial"/>
          <w:i/>
          <w:color w:val="365F91"/>
          <w:sz w:val="16"/>
          <w:szCs w:val="16"/>
          <w:lang w:val="ro-RO"/>
        </w:rPr>
        <w:t xml:space="preserve">            </w:t>
      </w:r>
      <w:r w:rsidR="00382E21" w:rsidRPr="00C5757D">
        <w:rPr>
          <w:rFonts w:ascii="Arial" w:hAnsi="Arial" w:cs="Arial"/>
          <w:i/>
          <w:color w:val="365F91"/>
          <w:sz w:val="16"/>
          <w:szCs w:val="16"/>
          <w:lang w:val="ro-RO"/>
        </w:rPr>
        <w:t>Sursa: MFP</w:t>
      </w:r>
    </w:p>
    <w:p w:rsidR="00382E21" w:rsidRPr="00E1201B" w:rsidRDefault="00382E21" w:rsidP="00382E21">
      <w:pPr>
        <w:widowControl w:val="0"/>
        <w:jc w:val="both"/>
        <w:rPr>
          <w:rFonts w:ascii="Calibri" w:eastAsia="Calibri" w:hAnsi="Calibri" w:cs="Arial"/>
          <w:sz w:val="14"/>
          <w:lang w:val="ro-RO"/>
        </w:rPr>
      </w:pPr>
    </w:p>
    <w:p w:rsidR="007E1C2F" w:rsidRDefault="007E1C2F" w:rsidP="002A6AFF">
      <w:pPr>
        <w:widowControl w:val="0"/>
        <w:spacing w:after="120"/>
        <w:jc w:val="both"/>
        <w:rPr>
          <w:rFonts w:asciiTheme="minorHAnsi" w:eastAsia="Calibri" w:hAnsiTheme="minorHAnsi" w:cs="Arial"/>
          <w:lang w:val="ro-RO"/>
        </w:rPr>
      </w:pPr>
    </w:p>
    <w:p w:rsidR="002A6AFF" w:rsidRPr="002A6AFF" w:rsidRDefault="002A6AFF" w:rsidP="002A6AFF">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 xml:space="preserve">În anul 2019, similar anului 2018, </w:t>
      </w:r>
      <w:r w:rsidRPr="002A6AFF">
        <w:rPr>
          <w:rFonts w:asciiTheme="minorHAnsi" w:hAnsiTheme="minorHAnsi" w:cs="Arial"/>
          <w:lang w:val="ro-RO"/>
        </w:rPr>
        <w:t xml:space="preserve">în vederea îndeplinirii obiectivului de dezvoltare a pietei titlurilor de stat, </w:t>
      </w:r>
      <w:r w:rsidRPr="002A6AFF">
        <w:rPr>
          <w:rFonts w:asciiTheme="minorHAnsi" w:eastAsia="Calibri" w:hAnsiTheme="minorHAnsi" w:cs="Arial"/>
          <w:lang w:val="ro-RO"/>
        </w:rPr>
        <w:t xml:space="preserve">finanţarea deficitului bugetului de stat şi refinanţarea datoriei publice guvernamentale se va realiza în principal din surse interne și în completare  din surse externe. MFP va continua să mențină o abordare flexibilă în realizarea procesului de finanțare, urmărind asigurarea caracterului predictibil și transparent al ofertei de titluri de stat, tocmai pentru a putea reacționa prompt și adecvat la potențialele modificări în tendințele pieței și comportamentului investitorilor. </w:t>
      </w:r>
    </w:p>
    <w:p w:rsidR="002A6AFF" w:rsidRPr="002A6AFF" w:rsidRDefault="002A6AFF" w:rsidP="00F269EB">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Strategia de finanţare din surse interne are în vedere, în principal, emisiuni de titluri de stat denominate în lei, calibrate la cererea existenta în piaţă. Pentru a reduce costurile de finanţare şi pentru a promova o mai bună funcţionare a pieţei secundare, MFP intenţionează să continue politica de construire a unor serii de obligaţiuni de stat de tip benchmark lichide de-a lungul întregii curbe de randament, concomitent cu o politică transparentă de emitere a titlurilor de stat, urmărind atingerea unor volume pe emisiune în valoare echivalentă de aproximativ 2,5 miliarde Euro, cu informarea în prealabil a pieţei în ceea ce priveşte volumele, frecvenţa lansării/redeschiderii anumitor categorii de maturităţi. MFP poate redeschide periodic emisiunile de titluri de stat denominate în euro pe piața internă în contextul unei cereri importante pentru astfel de instrumente venită din partea investitorilor locali în lipsa unor instrumente alternative, coroborate cu posibile decizii ale BNR de modificare a rezervelor minime obligatorii în valuta, fiind astfel create premisele unui raport maturitate/cost avantajos pentru aceste instrumente de datorie publică.</w:t>
      </w:r>
    </w:p>
    <w:p w:rsidR="002A6AFF" w:rsidRPr="002A6AFF" w:rsidRDefault="002A6AFF" w:rsidP="00F269EB">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 xml:space="preserve">De asemenea, în funcție de finalizarea cadrului procedural şi operaţional privind operațiunile pe piața secundară la nivelul BNR, se are în vedere utilizarea operaţiunilor de tipul răscumpărărilor anticipate sau preschimbărilor de titluri de stat, în scopul facilitării procesului de refinanţare a seriilor cu volume acumulate mari, care devin scadente, și accelerării procesului de creare a unor serii de titluri de stat de tip benchmark lichide. În mod similar, se intenţionează utilizarea operaţiunilor de tip reverse repo pentru un management eficient al lichidităţilor, în baza unei consultări în prealabil cu BNR, în vederea coordonării politicilor de finanţare şi de administrare a lichidităţilorcu cele monetare. </w:t>
      </w:r>
    </w:p>
    <w:p w:rsidR="002A6AFF" w:rsidRPr="002A6AFF" w:rsidRDefault="002A6AFF" w:rsidP="00F269EB">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 xml:space="preserve">În scopul creşterii accesibilităţii persoanelor fizice la cumpărarea titlurilor de stat se are în vedere continuarea emisiunilor de titluri de stat pentru populație prin Programul Tezaur, în limita unui plafon anual, atât prin unitățile operative ale Trezoreriei Statului, cât și prin oficiile poștale ale Companiei Naționale Poșta Română și instituțiile de credit, precum și flexibilizarea acestuia prin introducerea posibilității de răscumpărare anticipată și a transferului de proprietate între persoanele fizice. </w:t>
      </w:r>
    </w:p>
    <w:p w:rsidR="002A6AFF" w:rsidRPr="002A6AFF" w:rsidRDefault="002A6AFF" w:rsidP="00F269EB">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 xml:space="preserve">În ceea ce priveşte sursele de finanţare externă, MFP intenţionează să-și menţină prezenţa pe pieţele internaţionale de capital, în principal prin emisiuni de obligaţiuni denominate în euro. MFP va păstra  flexibilitatea în ceea ce priveşte momentul accesării pieţelor internaţionale şi volumul emisiunilor externe, ţinând cont de costurile asociate, de considerentele de risc. Emisiunile denominate în dolari/alte valute pe pieţele externe vor fi avute în vedere numai ca alternativă de finanţare și dacă oferă condiții de cost/maturitate avantajoase, în situația în care accesul la anumite segmente de maturitate pe piaţa europeană devine limitat urmare a producerii unor evoluții/evenimente externe nefavorabile. </w:t>
      </w:r>
    </w:p>
    <w:p w:rsidR="002A6AFF" w:rsidRPr="002A6AFF" w:rsidRDefault="002A6AFF" w:rsidP="00F269EB">
      <w:pPr>
        <w:widowControl w:val="0"/>
        <w:spacing w:after="120"/>
        <w:jc w:val="both"/>
        <w:rPr>
          <w:rFonts w:asciiTheme="minorHAnsi" w:eastAsia="Calibri" w:hAnsiTheme="minorHAnsi" w:cs="Arial"/>
          <w:lang w:val="ro-RO"/>
        </w:rPr>
      </w:pPr>
      <w:r w:rsidRPr="002A6AFF">
        <w:rPr>
          <w:rFonts w:asciiTheme="minorHAnsi" w:eastAsia="Calibri" w:hAnsiTheme="minorHAnsi" w:cs="Arial"/>
          <w:lang w:val="ro-RO"/>
        </w:rPr>
        <w:t>Totodată, pe termen mediu, MFP intenţionează să continue parteneriatul cu instituţiile financiare internaţionale pentru a beneficia de avantajele financiare aferente produselor acestora in limitarea costurilor și extinderea maturității portofoliului de datorie prin condiţiile de cost şi maturitate oferite, cum ar fi împrumuturile BIRD de politici de dezvoltare (tip DPL şi/sau alte instrumente similare), precum și celelalte împrumuturi contractate de la IFI-uri în scopul finanţării deficitului bugetar şi refinanţării datoriei publice guvernamentale, disponibilizarea sumelor având la bază realizarea unor măsuri şi/sau alte acţiuni necesare în domeniul reformelor sectoriale.</w:t>
      </w:r>
    </w:p>
    <w:p w:rsidR="002A6AFF" w:rsidRPr="002A6AFF" w:rsidRDefault="002A6AFF" w:rsidP="00F269EB">
      <w:pPr>
        <w:widowControl w:val="0"/>
        <w:spacing w:after="120"/>
        <w:jc w:val="both"/>
        <w:rPr>
          <w:rFonts w:asciiTheme="minorHAnsi" w:eastAsia="Calibri" w:hAnsiTheme="minorHAnsi" w:cs="Arial"/>
          <w:color w:val="0070C0"/>
          <w:lang w:val="ro-RO"/>
        </w:rPr>
      </w:pPr>
      <w:r w:rsidRPr="002A6AFF">
        <w:rPr>
          <w:rFonts w:asciiTheme="minorHAnsi" w:eastAsia="Calibri" w:hAnsiTheme="minorHAnsi" w:cs="Arial"/>
          <w:lang w:val="ro-RO"/>
        </w:rPr>
        <w:t>Sursele necesare refinanţării datoriei publice guvernamentale se vor asigura de pe pieţele pe care s-au emis aceste datorii, precum şi din rezerva financiară în valută la dispoziţia Trezoreriei Statului. Pentru îmbunătăţirea managementului datoriei publice şi evitarea presiunilor sezoniere în asigurarea surselor de finanţare a deficitului bugetar şide refinanţare a datoriei publice guvernamentale, se are în vedere menţinerea rezervei financiare (buffer) în valută la dispoziția Trezoreriei Statului, la un nivel confortabil, astfel încât să fie diminuate riscurile aferente perioadelor caracterizate de o volatilitate ridicată pe piețele financiare. Pe termen mediu, nivelul acestui buffer va fi în continuare consolidat astfel încât să acopere 4 luni din necesarul brut de finantare.</w:t>
      </w:r>
    </w:p>
    <w:p w:rsidR="00382E21" w:rsidRPr="002A6AFF" w:rsidRDefault="002A6AFF" w:rsidP="002A6AFF">
      <w:pPr>
        <w:widowControl w:val="0"/>
        <w:jc w:val="both"/>
        <w:rPr>
          <w:rFonts w:asciiTheme="minorHAnsi" w:eastAsia="Calibri" w:hAnsiTheme="minorHAnsi" w:cs="Arial"/>
          <w:color w:val="000000" w:themeColor="text1"/>
          <w:lang w:val="ro-RO"/>
        </w:rPr>
      </w:pPr>
      <w:r w:rsidRPr="002A6AFF">
        <w:rPr>
          <w:rFonts w:asciiTheme="minorHAnsi" w:eastAsia="Calibri" w:hAnsiTheme="minorHAnsi" w:cs="Arial"/>
          <w:color w:val="000000"/>
          <w:lang w:val="ro-RO"/>
        </w:rPr>
        <w:t>În vederea utilizării instrumentelor financiare derivate (swap valutar și swap pe rată de dobândă), pentru crearea cadrului legal, procedural și tehnic Ministerul Finanțelor Publice, prin Direcția Generală de Trezorerie și Datorie Publică a beneficiat de asistentă tehnică din partea Trezoreriei Băncii Mondiale, până în luna iunie 2018, în cadrul proiectului cu tema “Dezvoltarea capacității de administrare a datoriei publice guvernamentale prin utilizarea instrumentelor financiare derivate” cod SIPOCA 10.  Proiectul a fost finanțat  din Fondul Social European în cadrul Programului Operațional Capacitate Administrativă 2014-2020. Urmare finalizării proiectului, pe baza rapoartelor furnizate de Banca Mondială, a fost completată Ordonanța de urgență a Guvernului nr.  64/2007 privind datoria publica cu Ordonanța Guvernului nr.14/2018, de modificare și completare a OUG 64/2007, prin introducerea unor definiții și concepte noi în vederea utilizării instrumentelor financiare derivate și autorizarea MFP pentru astfel de tranzacții.</w:t>
      </w:r>
    </w:p>
    <w:p w:rsidR="003C772A" w:rsidRDefault="003C772A" w:rsidP="003C772A">
      <w:pPr>
        <w:widowControl w:val="0"/>
        <w:jc w:val="both"/>
        <w:rPr>
          <w:rFonts w:ascii="Calibri" w:eastAsia="Calibri" w:hAnsi="Calibri" w:cs="Arial"/>
          <w:color w:val="000000" w:themeColor="text1"/>
          <w:lang w:val="ro-RO"/>
        </w:rPr>
      </w:pPr>
    </w:p>
    <w:p w:rsidR="00382E21" w:rsidRDefault="00382E21" w:rsidP="003C772A">
      <w:pPr>
        <w:widowControl w:val="0"/>
        <w:jc w:val="both"/>
        <w:rPr>
          <w:rFonts w:ascii="Calibri" w:eastAsia="Calibri" w:hAnsi="Calibri" w:cs="Arial"/>
          <w:color w:val="000000" w:themeColor="text1"/>
          <w:lang w:val="ro-RO"/>
        </w:rPr>
      </w:pPr>
    </w:p>
    <w:p w:rsidR="00382E21" w:rsidRDefault="00382E21" w:rsidP="003C772A">
      <w:pPr>
        <w:widowControl w:val="0"/>
        <w:jc w:val="both"/>
        <w:rPr>
          <w:rFonts w:ascii="Calibri" w:eastAsia="Calibri" w:hAnsi="Calibri" w:cs="Arial"/>
          <w:color w:val="000000" w:themeColor="text1"/>
          <w:lang w:val="ro-RO"/>
        </w:rPr>
      </w:pPr>
    </w:p>
    <w:p w:rsidR="00C10AD3" w:rsidRDefault="00C10AD3" w:rsidP="003C772A">
      <w:pPr>
        <w:widowControl w:val="0"/>
        <w:jc w:val="both"/>
        <w:rPr>
          <w:rFonts w:ascii="Calibri" w:eastAsia="Calibri" w:hAnsi="Calibri" w:cs="Arial"/>
          <w:color w:val="000000" w:themeColor="text1"/>
          <w:lang w:val="ro-RO"/>
        </w:rPr>
      </w:pPr>
    </w:p>
    <w:p w:rsidR="00C10AD3" w:rsidRDefault="00C10AD3" w:rsidP="003C772A">
      <w:pPr>
        <w:widowControl w:val="0"/>
        <w:jc w:val="both"/>
        <w:rPr>
          <w:rFonts w:ascii="Calibri" w:eastAsia="Calibri" w:hAnsi="Calibri" w:cs="Arial"/>
          <w:color w:val="000000" w:themeColor="text1"/>
          <w:lang w:val="ro-RO"/>
        </w:rPr>
      </w:pPr>
    </w:p>
    <w:p w:rsidR="00C10AD3" w:rsidRDefault="00C10AD3" w:rsidP="003C772A">
      <w:pPr>
        <w:widowControl w:val="0"/>
        <w:jc w:val="both"/>
        <w:rPr>
          <w:rFonts w:ascii="Calibri" w:eastAsia="Calibri" w:hAnsi="Calibri" w:cs="Arial"/>
          <w:color w:val="000000" w:themeColor="text1"/>
          <w:lang w:val="ro-RO"/>
        </w:rPr>
      </w:pPr>
    </w:p>
    <w:p w:rsidR="00C10AD3" w:rsidRDefault="00C10AD3" w:rsidP="003C772A">
      <w:pPr>
        <w:widowControl w:val="0"/>
        <w:jc w:val="both"/>
        <w:rPr>
          <w:rFonts w:ascii="Calibri" w:eastAsia="Calibri" w:hAnsi="Calibri" w:cs="Arial"/>
          <w:color w:val="000000" w:themeColor="text1"/>
          <w:lang w:val="ro-RO"/>
        </w:rPr>
      </w:pPr>
    </w:p>
    <w:p w:rsidR="00C10AD3" w:rsidRDefault="00C10AD3" w:rsidP="003C772A">
      <w:pPr>
        <w:widowControl w:val="0"/>
        <w:jc w:val="both"/>
        <w:rPr>
          <w:rFonts w:ascii="Calibri" w:eastAsia="Calibri" w:hAnsi="Calibri" w:cs="Arial"/>
          <w:color w:val="000000" w:themeColor="text1"/>
          <w:lang w:val="ro-RO"/>
        </w:rPr>
      </w:pPr>
    </w:p>
    <w:p w:rsidR="00ED3798" w:rsidRDefault="00ED3798" w:rsidP="00ED3798">
      <w:pPr>
        <w:tabs>
          <w:tab w:val="right" w:pos="9747"/>
        </w:tabs>
        <w:rPr>
          <w:rFonts w:ascii="Calibri" w:hAnsi="Calibri" w:cs="Arial Narrow"/>
          <w:b/>
          <w:color w:val="000080"/>
          <w:lang w:val="ro-RO"/>
        </w:rPr>
      </w:pPr>
    </w:p>
    <w:p w:rsidR="00A552C2" w:rsidRPr="00C86702" w:rsidRDefault="00936410" w:rsidP="00215ADF">
      <w:pPr>
        <w:shd w:val="clear" w:color="auto" w:fill="99CCFF"/>
        <w:tabs>
          <w:tab w:val="right" w:pos="9747"/>
        </w:tabs>
        <w:rPr>
          <w:rFonts w:ascii="Calibri" w:hAnsi="Calibri" w:cs="Arial Narrow"/>
          <w:b/>
          <w:color w:val="000080"/>
          <w:lang w:val="ro-RO"/>
        </w:rPr>
      </w:pPr>
      <w:r w:rsidRPr="00C86702">
        <w:rPr>
          <w:rFonts w:ascii="Calibri" w:hAnsi="Calibri" w:cs="Arial Narrow"/>
          <w:b/>
          <w:color w:val="000080"/>
          <w:lang w:val="ro-RO"/>
        </w:rPr>
        <w:t>4</w:t>
      </w:r>
      <w:r w:rsidR="00A552C2" w:rsidRPr="00C86702">
        <w:rPr>
          <w:rFonts w:ascii="Calibri" w:hAnsi="Calibri" w:cs="Arial Narrow"/>
          <w:b/>
          <w:color w:val="000080"/>
          <w:lang w:val="ro-RO"/>
        </w:rPr>
        <w:t>.</w:t>
      </w:r>
      <w:r w:rsidR="008B4C96">
        <w:rPr>
          <w:rFonts w:ascii="Calibri" w:hAnsi="Calibri" w:cs="Arial Narrow"/>
          <w:b/>
          <w:color w:val="000080"/>
          <w:lang w:val="ro-RO"/>
        </w:rPr>
        <w:t>10</w:t>
      </w:r>
      <w:r w:rsidR="00A552C2" w:rsidRPr="00C86702">
        <w:rPr>
          <w:rFonts w:ascii="Calibri" w:hAnsi="Calibri" w:cs="Arial Narrow"/>
          <w:b/>
          <w:color w:val="000080"/>
          <w:lang w:val="ro-RO"/>
        </w:rPr>
        <w:t xml:space="preserve"> Plafoane privind principalii indicator</w:t>
      </w:r>
      <w:r w:rsidR="00065705">
        <w:rPr>
          <w:rFonts w:ascii="Calibri" w:hAnsi="Calibri" w:cs="Arial Narrow"/>
          <w:b/>
          <w:color w:val="000080"/>
          <w:lang w:val="ro-RO"/>
        </w:rPr>
        <w:t>i bugetari în perioada 2019-2021</w:t>
      </w:r>
      <w:r w:rsidR="00A552C2" w:rsidRPr="00C86702">
        <w:rPr>
          <w:rFonts w:ascii="Calibri" w:hAnsi="Calibri" w:cs="Arial Narrow"/>
          <w:b/>
          <w:color w:val="000080"/>
          <w:lang w:val="ro-RO"/>
        </w:rPr>
        <w:tab/>
      </w:r>
    </w:p>
    <w:p w:rsidR="00EB30C6" w:rsidRPr="00C86702" w:rsidRDefault="00EB30C6" w:rsidP="00EB30C6">
      <w:pPr>
        <w:ind w:left="570"/>
        <w:rPr>
          <w:rFonts w:ascii="Calibri" w:hAnsi="Calibri"/>
          <w:sz w:val="8"/>
          <w:szCs w:val="8"/>
          <w:lang w:val="ro-RO"/>
        </w:rPr>
      </w:pPr>
    </w:p>
    <w:p w:rsidR="00491BC8" w:rsidRPr="00C86702" w:rsidRDefault="00C92B2A" w:rsidP="008E1BD2">
      <w:pPr>
        <w:spacing w:after="120"/>
        <w:jc w:val="both"/>
        <w:rPr>
          <w:rFonts w:ascii="Calibri" w:hAnsi="Calibri"/>
          <w:lang w:val="ro-RO"/>
        </w:rPr>
      </w:pPr>
      <w:r w:rsidRPr="00C86702">
        <w:rPr>
          <w:rFonts w:ascii="Calibri" w:hAnsi="Calibri"/>
          <w:lang w:val="ro-RO"/>
        </w:rPr>
        <w:t>În tabelele de mai jos sunt prezentate limite pentru anumiţi indicatori bugetari ce vor face obiectul adoptării de</w:t>
      </w:r>
      <w:r w:rsidR="00CC1D7F" w:rsidRPr="00C86702">
        <w:rPr>
          <w:rFonts w:ascii="Calibri" w:hAnsi="Calibri"/>
          <w:lang w:val="ro-RO"/>
        </w:rPr>
        <w:t xml:space="preserve"> către Parlament potrivit art.26</w:t>
      </w:r>
      <w:r w:rsidRPr="00C86702">
        <w:rPr>
          <w:rFonts w:ascii="Calibri" w:hAnsi="Calibri"/>
          <w:lang w:val="ro-RO"/>
        </w:rPr>
        <w:t xml:space="preserve"> din Legea responsabilităţii fiscal-bugetare</w:t>
      </w:r>
      <w:r w:rsidR="00F57FF9" w:rsidRPr="00C86702">
        <w:rPr>
          <w:rFonts w:ascii="Calibri" w:hAnsi="Calibri"/>
          <w:lang w:val="ro-RO"/>
        </w:rPr>
        <w:t>,</w:t>
      </w:r>
      <w:r w:rsidR="00CC1D7F" w:rsidRPr="00C86702">
        <w:rPr>
          <w:rFonts w:ascii="Calibri" w:hAnsi="Calibri"/>
          <w:lang w:val="ro-RO"/>
        </w:rPr>
        <w:t xml:space="preserve"> nr.69/2010, republicată.</w:t>
      </w:r>
    </w:p>
    <w:p w:rsidR="005129D1" w:rsidRPr="00C86702" w:rsidRDefault="006042BF" w:rsidP="008E1BD2">
      <w:pPr>
        <w:spacing w:after="120"/>
        <w:jc w:val="center"/>
        <w:rPr>
          <w:lang w:val="ro-RO"/>
        </w:rPr>
      </w:pPr>
      <w:r w:rsidRPr="006042BF">
        <w:rPr>
          <w:noProof/>
          <w:lang w:val="ro-RO" w:eastAsia="ro-RO"/>
        </w:rPr>
        <w:drawing>
          <wp:inline distT="0" distB="0" distL="0" distR="0">
            <wp:extent cx="4747260" cy="4709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7260" cy="4709160"/>
                    </a:xfrm>
                    <a:prstGeom prst="rect">
                      <a:avLst/>
                    </a:prstGeom>
                    <a:noFill/>
                    <a:ln>
                      <a:noFill/>
                    </a:ln>
                  </pic:spPr>
                </pic:pic>
              </a:graphicData>
            </a:graphic>
          </wp:inline>
        </w:drawing>
      </w:r>
    </w:p>
    <w:p w:rsidR="00491BC8" w:rsidRDefault="00491BC8" w:rsidP="0028639D">
      <w:pPr>
        <w:spacing w:after="120"/>
        <w:jc w:val="both"/>
        <w:rPr>
          <w:rFonts w:asciiTheme="minorHAnsi" w:hAnsiTheme="minorHAnsi" w:cs="Arial"/>
          <w:color w:val="000000"/>
          <w:lang w:val="ro-RO"/>
        </w:rPr>
      </w:pPr>
    </w:p>
    <w:p w:rsidR="00113C28" w:rsidRPr="00113C28" w:rsidRDefault="00113C28" w:rsidP="00113C28">
      <w:pPr>
        <w:spacing w:after="120"/>
        <w:jc w:val="both"/>
        <w:rPr>
          <w:rFonts w:asciiTheme="minorHAnsi" w:hAnsiTheme="minorHAnsi" w:cs="Arial"/>
          <w:color w:val="000000"/>
          <w:lang w:val="ro-RO"/>
        </w:rPr>
      </w:pPr>
      <w:r w:rsidRPr="00113C28">
        <w:rPr>
          <w:rFonts w:asciiTheme="minorHAnsi" w:hAnsiTheme="minorHAnsi" w:cs="Arial"/>
          <w:color w:val="000000"/>
          <w:lang w:val="ro-RO"/>
        </w:rPr>
        <w:t>În vederea încadrării în ţintele de deficit bugetar pentru perioada 2019 -2021,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rsidR="00CA7407" w:rsidRPr="0028639D" w:rsidRDefault="00113C28" w:rsidP="00113C28">
      <w:pPr>
        <w:spacing w:after="120"/>
        <w:jc w:val="both"/>
        <w:rPr>
          <w:rFonts w:asciiTheme="minorHAnsi" w:hAnsiTheme="minorHAnsi" w:cs="Arial"/>
          <w:color w:val="000000"/>
          <w:lang w:val="ro-RO"/>
        </w:rPr>
      </w:pPr>
      <w:r w:rsidRPr="00113C28">
        <w:rPr>
          <w:rFonts w:asciiTheme="minorHAnsi" w:hAnsiTheme="minorHAnsi" w:cs="Arial"/>
          <w:color w:val="000000"/>
          <w:lang w:val="ro-RO"/>
        </w:rPr>
        <w:t>Având în vedere perspectiva de crestere a economiei naţionale estimam ca datoria guvernamentala conform metodologiei UE se va situa la un nivel stabil si sustenabil si drept urmare propunem plafoane de maxim 40,0% din PIB pentru perioada 2019 - 2021, in timp ce pentru diminuarea riscului bugetar rezultat din plăţile ce ar trebui efectuate de MFP şi UAT în contul garanţiilor emise în conformitate cu OUG nr.64/2007 privind datoria publică au fost propuse următoarele plafoane:</w:t>
      </w:r>
    </w:p>
    <w:p w:rsidR="00B2618E" w:rsidRPr="00755F59" w:rsidRDefault="00421DF8" w:rsidP="006E0AB3">
      <w:pPr>
        <w:jc w:val="center"/>
        <w:rPr>
          <w:rFonts w:ascii="Calibri" w:hAnsi="Calibri" w:cs="Arial"/>
          <w:color w:val="000000"/>
          <w:lang w:val="ro-RO"/>
        </w:rPr>
      </w:pPr>
      <w:r w:rsidRPr="00421DF8">
        <w:rPr>
          <w:noProof/>
          <w:lang w:val="ro-RO" w:eastAsia="ro-RO"/>
        </w:rPr>
        <w:drawing>
          <wp:inline distT="0" distB="0" distL="0" distR="0">
            <wp:extent cx="5417820" cy="2964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7820" cy="2964180"/>
                    </a:xfrm>
                    <a:prstGeom prst="rect">
                      <a:avLst/>
                    </a:prstGeom>
                    <a:noFill/>
                    <a:ln>
                      <a:noFill/>
                    </a:ln>
                  </pic:spPr>
                </pic:pic>
              </a:graphicData>
            </a:graphic>
          </wp:inline>
        </w:drawing>
      </w:r>
    </w:p>
    <w:p w:rsidR="00CC1D7F" w:rsidRDefault="00CC1D7F" w:rsidP="00755F59">
      <w:pPr>
        <w:spacing w:after="120"/>
        <w:jc w:val="both"/>
        <w:rPr>
          <w:rFonts w:ascii="Calibri" w:hAnsi="Calibri"/>
          <w:lang w:val="ro-RO"/>
        </w:rPr>
      </w:pPr>
      <w:r w:rsidRPr="00C86702">
        <w:rPr>
          <w:rFonts w:ascii="Calibri" w:hAnsi="Calibri" w:cs="Arial Narrow"/>
          <w:bCs/>
          <w:lang w:val="ro-RO"/>
        </w:rPr>
        <w:t xml:space="preserve">Plafoanele privind cheltuielile </w:t>
      </w:r>
      <w:r w:rsidR="00A4683E" w:rsidRPr="00C86702">
        <w:rPr>
          <w:rFonts w:ascii="Calibri" w:hAnsi="Calibri" w:cs="Arial Narrow"/>
          <w:bCs/>
          <w:lang w:val="ro-RO"/>
        </w:rPr>
        <w:t xml:space="preserve">totale şi cele de personal ale </w:t>
      </w:r>
      <w:r w:rsidRPr="00C86702">
        <w:rPr>
          <w:rFonts w:ascii="Calibri" w:hAnsi="Calibri" w:cs="Arial Narrow"/>
          <w:bCs/>
          <w:lang w:val="ro-RO"/>
        </w:rPr>
        <w:t>bugetului general consolidat exclusiv asistenţa financiară de la Uniunea Europeană şi alţi donatori, sunt prezentate în tabelul de mai jos.</w:t>
      </w:r>
    </w:p>
    <w:p w:rsidR="000B261C" w:rsidRPr="00C86702" w:rsidRDefault="000B261C" w:rsidP="00755F59">
      <w:pPr>
        <w:spacing w:after="120"/>
        <w:jc w:val="both"/>
        <w:rPr>
          <w:rFonts w:ascii="Calibri" w:hAnsi="Calibri"/>
          <w:lang w:val="ro-RO"/>
        </w:rPr>
      </w:pPr>
    </w:p>
    <w:p w:rsidR="000679BB" w:rsidRDefault="00421DF8" w:rsidP="006E0AB3">
      <w:pPr>
        <w:jc w:val="center"/>
        <w:rPr>
          <w:lang w:val="ro-RO"/>
        </w:rPr>
      </w:pPr>
      <w:r w:rsidRPr="00421DF8">
        <w:rPr>
          <w:noProof/>
          <w:lang w:val="ro-RO" w:eastAsia="ro-RO"/>
        </w:rPr>
        <w:drawing>
          <wp:inline distT="0" distB="0" distL="0" distR="0">
            <wp:extent cx="4931305" cy="53111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3873" cy="5324676"/>
                    </a:xfrm>
                    <a:prstGeom prst="rect">
                      <a:avLst/>
                    </a:prstGeom>
                    <a:noFill/>
                    <a:ln>
                      <a:noFill/>
                    </a:ln>
                  </pic:spPr>
                </pic:pic>
              </a:graphicData>
            </a:graphic>
          </wp:inline>
        </w:drawing>
      </w:r>
    </w:p>
    <w:p w:rsidR="00B76232" w:rsidRDefault="00B76232" w:rsidP="006E0AB3">
      <w:pPr>
        <w:jc w:val="center"/>
        <w:rPr>
          <w:lang w:val="ro-RO"/>
        </w:rPr>
      </w:pPr>
    </w:p>
    <w:tbl>
      <w:tblPr>
        <w:tblStyle w:val="TableGrid"/>
        <w:tblW w:w="0" w:type="auto"/>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ook w:val="04A0" w:firstRow="1" w:lastRow="0" w:firstColumn="1" w:lastColumn="0" w:noHBand="0" w:noVBand="1"/>
      </w:tblPr>
      <w:tblGrid>
        <w:gridCol w:w="9827"/>
      </w:tblGrid>
      <w:tr w:rsidR="008D03BA" w:rsidRPr="008D03BA" w:rsidTr="008D03BA">
        <w:tc>
          <w:tcPr>
            <w:tcW w:w="9827" w:type="dxa"/>
            <w:shd w:val="clear" w:color="auto" w:fill="365F91"/>
          </w:tcPr>
          <w:p w:rsidR="008D03BA" w:rsidRPr="008D03BA" w:rsidRDefault="008D03BA" w:rsidP="00491BC8">
            <w:pPr>
              <w:rPr>
                <w:b/>
                <w:sz w:val="10"/>
                <w:lang w:val="ro-RO"/>
              </w:rPr>
            </w:pPr>
          </w:p>
          <w:p w:rsidR="008D03BA" w:rsidRPr="008D03BA" w:rsidRDefault="008D03BA" w:rsidP="00491BC8">
            <w:pPr>
              <w:rPr>
                <w:rFonts w:ascii="Calibri" w:hAnsi="Calibri"/>
                <w:b/>
                <w:color w:val="FFFFFF" w:themeColor="background1"/>
                <w:lang w:val="ro-RO"/>
              </w:rPr>
            </w:pPr>
            <w:r w:rsidRPr="008D03BA">
              <w:rPr>
                <w:rFonts w:ascii="Calibri" w:hAnsi="Calibri"/>
                <w:b/>
                <w:color w:val="FFFFFF" w:themeColor="background1"/>
                <w:lang w:val="ro-RO"/>
              </w:rPr>
              <w:t>4.11 Potențiale riscuri fiscal-bugetare asociate Strategiei fiscal-bugetare 2019-2021</w:t>
            </w:r>
          </w:p>
          <w:p w:rsidR="008D03BA" w:rsidRPr="008D03BA" w:rsidRDefault="008D03BA" w:rsidP="00491BC8">
            <w:pPr>
              <w:rPr>
                <w:b/>
                <w:sz w:val="6"/>
                <w:lang w:val="ro-RO"/>
              </w:rPr>
            </w:pPr>
          </w:p>
        </w:tc>
      </w:tr>
    </w:tbl>
    <w:p w:rsidR="008D03BA" w:rsidRDefault="008D03BA" w:rsidP="00491BC8">
      <w:pPr>
        <w:rPr>
          <w:lang w:val="ro-RO"/>
        </w:rPr>
      </w:pPr>
    </w:p>
    <w:p w:rsidR="00F05408" w:rsidRPr="00F05408" w:rsidRDefault="00F05408" w:rsidP="00F05408">
      <w:pPr>
        <w:jc w:val="both"/>
        <w:rPr>
          <w:rFonts w:ascii="Calibri" w:hAnsi="Calibri"/>
          <w:lang w:val="ro-RO"/>
        </w:rPr>
      </w:pPr>
      <w:r w:rsidRPr="00F05408">
        <w:rPr>
          <w:rFonts w:ascii="Calibri" w:hAnsi="Calibri"/>
          <w:lang w:val="ro-RO"/>
        </w:rPr>
        <w:t xml:space="preserve">Estimările bugetare şi prognozele economice care stau la baza întocmirii </w:t>
      </w:r>
      <w:r w:rsidRPr="00F05408">
        <w:rPr>
          <w:rFonts w:ascii="Calibri" w:hAnsi="Calibri"/>
          <w:i/>
          <w:color w:val="365F91"/>
          <w:lang w:val="ro-RO"/>
        </w:rPr>
        <w:t>Strategiei fiscal-bugetare 2019-2021</w:t>
      </w:r>
      <w:r w:rsidRPr="00F05408">
        <w:rPr>
          <w:rFonts w:ascii="Calibri" w:hAnsi="Calibri"/>
          <w:lang w:val="ro-RO"/>
        </w:rPr>
        <w:t xml:space="preserve"> se pot abate de la nivelurile din </w:t>
      </w:r>
      <w:r w:rsidRPr="00F05408">
        <w:rPr>
          <w:rFonts w:ascii="Calibri" w:hAnsi="Calibri"/>
          <w:b/>
          <w:color w:val="365F91"/>
          <w:lang w:val="ro-RO"/>
        </w:rPr>
        <w:t>scenariul de bază</w:t>
      </w:r>
      <w:r w:rsidRPr="00F05408">
        <w:rPr>
          <w:rFonts w:ascii="Calibri" w:hAnsi="Calibri"/>
          <w:lang w:val="ro-RO"/>
        </w:rPr>
        <w:t>, ca urmare a posibilei materializări a numeroase riscuri ce ce pot apărea atât din surse externe cât și interne, cu implicații diferite pentru evoluția finanțelor publice.</w:t>
      </w:r>
    </w:p>
    <w:p w:rsidR="00F05408" w:rsidRPr="00F05408" w:rsidRDefault="00F05408" w:rsidP="00F05408">
      <w:pPr>
        <w:rPr>
          <w:rFonts w:ascii="Calibri" w:hAnsi="Calibri"/>
          <w:sz w:val="16"/>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F05408" w:rsidRPr="00F05408" w:rsidTr="00DF7226">
        <w:trPr>
          <w:trHeight w:val="510"/>
          <w:jc w:val="center"/>
        </w:trPr>
        <w:tc>
          <w:tcPr>
            <w:tcW w:w="9904" w:type="dxa"/>
            <w:shd w:val="clear" w:color="auto" w:fill="365F91"/>
            <w:vAlign w:val="center"/>
          </w:tcPr>
          <w:p w:rsidR="00F05408" w:rsidRPr="00F05408" w:rsidRDefault="00F05408" w:rsidP="00F05408">
            <w:pPr>
              <w:rPr>
                <w:rFonts w:ascii="Arial Narrow" w:hAnsi="Arial Narrow"/>
                <w:b/>
                <w:i/>
                <w:color w:val="FFFFFF"/>
                <w:lang w:val="ro-RO"/>
              </w:rPr>
            </w:pPr>
            <w:r w:rsidRPr="00F05408">
              <w:rPr>
                <w:rFonts w:ascii="Arial Narrow" w:hAnsi="Arial Narrow"/>
                <w:b/>
                <w:i/>
                <w:color w:val="FFFFFF"/>
                <w:lang w:val="ro-RO"/>
              </w:rPr>
              <w:t>Riscuri macroeconomice</w:t>
            </w:r>
          </w:p>
        </w:tc>
      </w:tr>
    </w:tbl>
    <w:p w:rsidR="00F05408" w:rsidRPr="00F05408" w:rsidRDefault="00F05408" w:rsidP="00F05408">
      <w:pPr>
        <w:rPr>
          <w:sz w:val="20"/>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F05408" w:rsidRPr="00AC4302" w:rsidTr="00DF7226">
        <w:trPr>
          <w:trHeight w:val="435"/>
          <w:jc w:val="center"/>
        </w:trPr>
        <w:tc>
          <w:tcPr>
            <w:tcW w:w="9904" w:type="dxa"/>
            <w:shd w:val="clear" w:color="auto" w:fill="4F81BD"/>
            <w:vAlign w:val="center"/>
          </w:tcPr>
          <w:p w:rsidR="00F05408" w:rsidRPr="00F05408" w:rsidRDefault="00F05408" w:rsidP="00F05408">
            <w:pPr>
              <w:rPr>
                <w:rFonts w:ascii="Arial Narrow" w:hAnsi="Arial Narrow"/>
                <w:b/>
                <w:i/>
                <w:color w:val="FFFFFF" w:themeColor="background1"/>
                <w:lang w:val="ro-RO"/>
              </w:rPr>
            </w:pPr>
            <w:r w:rsidRPr="00F05408">
              <w:rPr>
                <w:rFonts w:ascii="Arial Narrow" w:hAnsi="Arial Narrow"/>
                <w:b/>
                <w:i/>
                <w:color w:val="FFFFFF" w:themeColor="background1"/>
                <w:lang w:val="ro-RO"/>
              </w:rPr>
              <w:t>Riscuri asociate perspectivei economice pentru România</w:t>
            </w:r>
          </w:p>
        </w:tc>
      </w:tr>
    </w:tbl>
    <w:p w:rsidR="00F05408" w:rsidRPr="00F05408" w:rsidRDefault="00F05408" w:rsidP="00F05408">
      <w:pPr>
        <w:rPr>
          <w:sz w:val="10"/>
          <w:lang w:val="ro-RO"/>
        </w:rPr>
      </w:pP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 xml:space="preserve">Riscurile care pot afecta economia reală şi implicit obiectivul de creştere economică sunt în principal de </w:t>
      </w:r>
      <w:r w:rsidRPr="00F05408">
        <w:rPr>
          <w:rFonts w:ascii="Calibri" w:hAnsi="Calibri" w:cs="Calibri"/>
          <w:b/>
          <w:bCs/>
          <w:color w:val="365F91"/>
          <w:lang w:val="ro-RO"/>
        </w:rPr>
        <w:t>natură externă</w:t>
      </w:r>
      <w:r w:rsidRPr="00F05408">
        <w:rPr>
          <w:rFonts w:ascii="Calibri" w:hAnsi="Calibri" w:cs="Calibri"/>
          <w:lang w:val="ro-RO"/>
        </w:rPr>
        <w:t>. Economia românească, ca parte a economiei europene, depinde de contextul economic internaţional şi în special, de creşterea economică din principalele ţări partenere  din punct de vedere comercial</w:t>
      </w:r>
      <w:r w:rsidRPr="00F05408">
        <w:rPr>
          <w:rFonts w:ascii="Calibri" w:hAnsi="Calibri" w:cs="Calibri"/>
          <w:i/>
          <w:iCs/>
          <w:lang w:val="ro-RO"/>
        </w:rPr>
        <w:t>.</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 xml:space="preserve">Un prim risc pe termen mediu îl reprezintă condiţiile în care se realizează </w:t>
      </w:r>
      <w:r w:rsidRPr="00F05408">
        <w:rPr>
          <w:rFonts w:ascii="Calibri" w:hAnsi="Calibri" w:cs="Calibri"/>
          <w:b/>
          <w:bCs/>
          <w:color w:val="365F91"/>
          <w:lang w:val="ro-RO"/>
        </w:rPr>
        <w:t>ieşirea Marii Britanii din UE</w:t>
      </w:r>
      <w:r w:rsidRPr="00F05408">
        <w:rPr>
          <w:rFonts w:ascii="Calibri" w:hAnsi="Calibri" w:cs="Calibri"/>
          <w:lang w:val="ro-RO"/>
        </w:rPr>
        <w:t xml:space="preserve">. Prevederile proiectului de acord arată că din punct de vedere al schimbărilor comerciale nu există factori adverşi, cel puţin până în anul 2022. Astfel, estimările Comisiei Europene şi ale Comisiei Naţionale de Strategie şi Prognoză care indică un </w:t>
      </w:r>
      <w:r w:rsidRPr="00F05408">
        <w:rPr>
          <w:rFonts w:ascii="Calibri" w:hAnsi="Calibri" w:cs="Calibri"/>
          <w:b/>
          <w:color w:val="365F91"/>
          <w:lang w:val="ro-RO"/>
        </w:rPr>
        <w:t>impact moderat al Brexit</w:t>
      </w:r>
      <w:r w:rsidRPr="00F05408">
        <w:rPr>
          <w:rFonts w:ascii="Calibri" w:hAnsi="Calibri" w:cs="Calibri"/>
          <w:lang w:val="ro-RO"/>
        </w:rPr>
        <w:t>, apreciat până la maxim 0,2% din PIB pe ansamblul UE şi (mai redus în cazul României), s-ar putea dovedi în final chiar mai mici. Mai mult, protejarea drepturilor lucrătorilor români din Marea Britanie, conform proiectului de acord, va avea un efect pozitiv asupra contului curent al balanţei de plăţi.</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eastAsia="ko-KR"/>
        </w:rPr>
        <w:t>Pentru anii 2019 şi 2020, se aşteaptă</w:t>
      </w:r>
      <w:r w:rsidRPr="00F05408">
        <w:rPr>
          <w:rFonts w:ascii="Calibri" w:hAnsi="Calibri" w:cs="Calibri"/>
          <w:lang w:val="ro-RO"/>
        </w:rPr>
        <w:t xml:space="preserve"> o </w:t>
      </w:r>
      <w:r w:rsidRPr="00F05408">
        <w:rPr>
          <w:rFonts w:ascii="Calibri" w:hAnsi="Calibri" w:cs="Calibri"/>
          <w:b/>
          <w:bCs/>
          <w:color w:val="365F91"/>
          <w:lang w:val="ro-RO"/>
        </w:rPr>
        <w:t>creştere robustă  a economiei globale</w:t>
      </w:r>
      <w:r w:rsidRPr="00F05408">
        <w:rPr>
          <w:rFonts w:ascii="Calibri" w:hAnsi="Calibri" w:cs="Calibri"/>
          <w:lang w:val="ro-RO"/>
        </w:rPr>
        <w:t>, în uşoară încetinire faţă de anii 2017 şi 2018, respectiv de 3,7%  în fiecare an conform WEO publicat de FMI în octombrie 2018 şi de 3,5% anual în cazul Prognozei de toamnă a Comisiei Europene.</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 xml:space="preserve">Totuşi, riscurile negative la adresa contextului mondial sunt în creştere în contextul unei incertitudini ridicate cu privire la politicile economice şi comerciale ale Statelor Unite. O posibilă supraîncălzire a economiei americane ar putea declanşa o înăsprire mai rapidă a politicii monetare cu impact negativ asupra pieţelor emergente, determinat de migrarea fluxurilor de capital din aceste zone către SUA atrase de dobânzile mai mari. Având în vedere caracterul deschis al economiei UE, aceasta ar fi de asemenea, afectată. </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Deteriorarea contului curent al Statelor Unite ar putea escalada disputele comerciale, acest lucru afectând în principal China. La nivel mondial, de asemenea, ar putea avea loc o amplificare a incertitudinii, cu efect asupra încrederii investitorilor, investiţiilor şi creşterii economice.</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 xml:space="preserve">Pe </w:t>
      </w:r>
      <w:r w:rsidRPr="00F05408">
        <w:rPr>
          <w:rFonts w:ascii="Calibri" w:hAnsi="Calibri" w:cs="Calibri"/>
          <w:b/>
          <w:bCs/>
          <w:color w:val="365F91"/>
          <w:lang w:val="ro-RO"/>
        </w:rPr>
        <w:t>plan intern</w:t>
      </w:r>
      <w:r w:rsidRPr="00F05408">
        <w:rPr>
          <w:rFonts w:ascii="Calibri" w:hAnsi="Calibri" w:cs="Calibri"/>
          <w:lang w:val="ro-RO"/>
        </w:rPr>
        <w:t xml:space="preserve">, riscurile sunt în general </w:t>
      </w:r>
      <w:r w:rsidRPr="00F05408">
        <w:rPr>
          <w:rFonts w:ascii="Calibri" w:hAnsi="Calibri" w:cs="Calibri"/>
          <w:b/>
          <w:bCs/>
          <w:color w:val="365F91"/>
          <w:lang w:val="ro-RO"/>
        </w:rPr>
        <w:t>pozitive.</w:t>
      </w:r>
    </w:p>
    <w:p w:rsidR="00F05408" w:rsidRPr="00F05408" w:rsidRDefault="00F05408" w:rsidP="00F05408">
      <w:pPr>
        <w:keepNext/>
        <w:spacing w:before="120"/>
        <w:jc w:val="both"/>
        <w:rPr>
          <w:rFonts w:ascii="Calibri" w:hAnsi="Calibri" w:cs="Calibri"/>
          <w:lang w:val="ro-RO"/>
        </w:rPr>
      </w:pPr>
      <w:r w:rsidRPr="00F05408">
        <w:rPr>
          <w:rFonts w:ascii="Calibri" w:hAnsi="Calibri" w:cs="Calibri"/>
          <w:lang w:val="ro-RO"/>
        </w:rPr>
        <w:t xml:space="preserve">De asemenea, redresarea cererii pe piaţa imobiliară, pe segmentul locuinţelor, ar putea antrena o relansare a activităţii în construcţii. </w:t>
      </w:r>
    </w:p>
    <w:p w:rsidR="00F05408" w:rsidRPr="00F05408" w:rsidRDefault="00F05408" w:rsidP="00F05408">
      <w:pPr>
        <w:keepNext/>
        <w:jc w:val="both"/>
        <w:rPr>
          <w:rFonts w:ascii="Calibri" w:hAnsi="Calibri"/>
          <w:b/>
          <w:color w:val="365F91"/>
          <w:sz w:val="12"/>
          <w:lang w:val="ro-RO"/>
        </w:rPr>
      </w:pPr>
    </w:p>
    <w:p w:rsidR="00F05408" w:rsidRPr="00F05408" w:rsidRDefault="00F05408" w:rsidP="00E95B51">
      <w:pPr>
        <w:keepLines/>
        <w:jc w:val="both"/>
        <w:rPr>
          <w:rFonts w:ascii="Calibri" w:hAnsi="Calibri" w:cs="Arial"/>
          <w:lang w:val="ro-RO"/>
        </w:rPr>
      </w:pPr>
      <w:r w:rsidRPr="00F05408">
        <w:rPr>
          <w:rFonts w:ascii="Calibri" w:hAnsi="Calibri"/>
          <w:b/>
          <w:color w:val="365F91"/>
          <w:lang w:val="ro-RO"/>
        </w:rPr>
        <w:t>Riscurile interne asociate evoluţiei inflaţiei</w:t>
      </w:r>
      <w:r w:rsidRPr="00F05408">
        <w:rPr>
          <w:rFonts w:ascii="Calibri" w:hAnsi="Calibri" w:cs="Arial"/>
          <w:lang w:val="ro-RO"/>
        </w:rPr>
        <w:t xml:space="preserve">sunt date de apariţia unor condiţii meteorologice nefavorabile cu efect asupra </w:t>
      </w:r>
      <w:r w:rsidRPr="00F05408">
        <w:rPr>
          <w:rFonts w:ascii="Calibri" w:hAnsi="Calibri" w:cs="Arial"/>
          <w:b/>
          <w:color w:val="365F91"/>
          <w:lang w:val="ro-RO"/>
        </w:rPr>
        <w:t>preţurilor produselor agroalimentare</w:t>
      </w:r>
      <w:r w:rsidRPr="00F05408">
        <w:rPr>
          <w:rFonts w:ascii="Calibri" w:hAnsi="Calibri" w:cs="Arial"/>
          <w:lang w:val="ro-RO"/>
        </w:rPr>
        <w:t xml:space="preserve">, în contextul în care prognoza are în vedere ani agricoli normali şi de consecinţele pestei porcine africane. Totodată, evenimentele internaționale care amplifică tensiunile geopolitice ar putea conduce la o </w:t>
      </w:r>
      <w:r w:rsidRPr="00F05408">
        <w:rPr>
          <w:rFonts w:ascii="Calibri" w:hAnsi="Calibri" w:cs="Arial"/>
          <w:b/>
          <w:color w:val="365F91"/>
          <w:lang w:val="ro-RO"/>
        </w:rPr>
        <w:t>depreciere a cursului de schimb</w:t>
      </w:r>
      <w:r w:rsidRPr="00F05408">
        <w:rPr>
          <w:rFonts w:ascii="Calibri" w:hAnsi="Calibri" w:cs="Arial"/>
          <w:lang w:val="ro-RO"/>
        </w:rPr>
        <w:t xml:space="preserve">. Aceste riscuri pot conduce la rate ale inflației peste nivelul prognozat.  </w:t>
      </w:r>
    </w:p>
    <w:p w:rsidR="00F05408" w:rsidRPr="00F05408" w:rsidRDefault="00F05408" w:rsidP="00F05408">
      <w:pPr>
        <w:jc w:val="both"/>
        <w:rPr>
          <w:rFonts w:ascii="Calibri" w:hAnsi="Calibri"/>
          <w:lang w:val="ro-RO"/>
        </w:rPr>
      </w:pPr>
      <w:r w:rsidRPr="00F05408">
        <w:rPr>
          <w:rFonts w:ascii="Calibri" w:hAnsi="Calibri"/>
          <w:noProof/>
          <w:lang w:val="ro-RO" w:eastAsia="ro-RO"/>
        </w:rPr>
        <w:drawing>
          <wp:inline distT="0" distB="0" distL="0" distR="0">
            <wp:extent cx="6246495" cy="19831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tlu senzitivitate.jpg"/>
                    <pic:cNvPicPr/>
                  </pic:nvPicPr>
                  <pic:blipFill>
                    <a:blip r:embed="rId52">
                      <a:extLst>
                        <a:ext uri="{28A0092B-C50C-407E-A947-70E740481C1C}">
                          <a14:useLocalDpi xmlns:a14="http://schemas.microsoft.com/office/drawing/2010/main" val="0"/>
                        </a:ext>
                      </a:extLst>
                    </a:blip>
                    <a:stretch>
                      <a:fillRect/>
                    </a:stretch>
                  </pic:blipFill>
                  <pic:spPr>
                    <a:xfrm>
                      <a:off x="0" y="0"/>
                      <a:ext cx="6246495" cy="1983105"/>
                    </a:xfrm>
                    <a:prstGeom prst="rect">
                      <a:avLst/>
                    </a:prstGeom>
                  </pic:spPr>
                </pic:pic>
              </a:graphicData>
            </a:graphic>
          </wp:inline>
        </w:drawing>
      </w:r>
    </w:p>
    <w:p w:rsidR="00F05408" w:rsidRPr="00F05408" w:rsidRDefault="00F05408" w:rsidP="00F05408">
      <w:pPr>
        <w:jc w:val="both"/>
        <w:rPr>
          <w:rFonts w:ascii="Calibri" w:hAnsi="Calibri"/>
          <w:sz w:val="10"/>
          <w:lang w:val="ro-RO"/>
        </w:rPr>
      </w:pPr>
    </w:p>
    <w:p w:rsidR="00F05408" w:rsidRPr="00F05408" w:rsidRDefault="00F05408" w:rsidP="00F05408">
      <w:pPr>
        <w:keepNext/>
        <w:jc w:val="center"/>
        <w:outlineLvl w:val="3"/>
        <w:rPr>
          <w:rFonts w:ascii="Calibri" w:hAnsi="Calibri"/>
          <w:b/>
          <w:bCs/>
          <w:color w:val="365F91"/>
          <w:szCs w:val="20"/>
          <w:lang w:val="ro-RO"/>
        </w:rPr>
      </w:pPr>
      <w:bookmarkStart w:id="9" w:name="_Toc512340247"/>
      <w:bookmarkStart w:id="10" w:name="_Toc512586765"/>
      <w:r w:rsidRPr="00F05408">
        <w:rPr>
          <w:rFonts w:ascii="Calibri" w:hAnsi="Calibri"/>
          <w:b/>
          <w:bCs/>
          <w:color w:val="365F91"/>
          <w:szCs w:val="20"/>
          <w:lang w:val="ro-RO"/>
        </w:rPr>
        <w:t>Tabel  - Senzitivitatea proiecțiilor bugetare pentru diferite scenarii și ipoteze</w:t>
      </w:r>
      <w:bookmarkEnd w:id="9"/>
      <w:bookmarkEnd w:id="10"/>
    </w:p>
    <w:p w:rsidR="00F05408" w:rsidRPr="00F05408" w:rsidRDefault="00F05408" w:rsidP="00F05408">
      <w:pPr>
        <w:rPr>
          <w:sz w:val="12"/>
          <w:lang w:val="ro-RO"/>
        </w:rPr>
      </w:pPr>
    </w:p>
    <w:tbl>
      <w:tblPr>
        <w:tblStyle w:val="TableGrid"/>
        <w:tblW w:w="9639"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7"/>
        <w:gridCol w:w="2110"/>
        <w:gridCol w:w="2126"/>
        <w:gridCol w:w="1984"/>
      </w:tblGrid>
      <w:tr w:rsidR="00F05408" w:rsidRPr="00F05408" w:rsidTr="00F05408">
        <w:trPr>
          <w:trHeight w:val="795"/>
          <w:jc w:val="center"/>
        </w:trPr>
        <w:tc>
          <w:tcPr>
            <w:tcW w:w="3419" w:type="dxa"/>
            <w:gridSpan w:val="2"/>
            <w:tcBorders>
              <w:top w:val="single" w:sz="2" w:space="0" w:color="365F91"/>
              <w:bottom w:val="nil"/>
            </w:tcBorders>
            <w:shd w:val="clear" w:color="auto" w:fill="365F91"/>
          </w:tcPr>
          <w:p w:rsidR="00F05408" w:rsidRPr="00F05408" w:rsidRDefault="00F05408" w:rsidP="00F05408">
            <w:pPr>
              <w:jc w:val="center"/>
              <w:rPr>
                <w:rFonts w:ascii="Calibri" w:hAnsi="Calibri"/>
                <w:b/>
                <w:i/>
                <w:color w:val="FFFFFF" w:themeColor="background1"/>
                <w:sz w:val="22"/>
                <w:lang w:val="ro-RO"/>
              </w:rPr>
            </w:pPr>
            <w:r w:rsidRPr="00F05408">
              <w:rPr>
                <w:rFonts w:ascii="Calibri" w:hAnsi="Calibri"/>
                <w:b/>
                <w:i/>
                <w:color w:val="FFFFFF" w:themeColor="background1"/>
                <w:sz w:val="22"/>
                <w:lang w:val="ro-RO"/>
              </w:rPr>
              <w:t xml:space="preserve">Categoria de impozite și taxe </w:t>
            </w:r>
          </w:p>
        </w:tc>
        <w:tc>
          <w:tcPr>
            <w:tcW w:w="2110" w:type="dxa"/>
            <w:tcBorders>
              <w:top w:val="single" w:sz="2" w:space="0" w:color="365F91"/>
              <w:bottom w:val="nil"/>
            </w:tcBorders>
            <w:shd w:val="clear" w:color="auto" w:fill="365F91"/>
          </w:tcPr>
          <w:p w:rsidR="00F05408" w:rsidRPr="00F05408" w:rsidRDefault="00F05408" w:rsidP="00F05408">
            <w:pPr>
              <w:jc w:val="center"/>
              <w:rPr>
                <w:rFonts w:ascii="Calibri" w:hAnsi="Calibri"/>
                <w:b/>
                <w:i/>
                <w:color w:val="FFFFFF" w:themeColor="background1"/>
                <w:sz w:val="22"/>
                <w:lang w:val="ro-RO"/>
              </w:rPr>
            </w:pPr>
            <w:r w:rsidRPr="00F05408">
              <w:rPr>
                <w:rFonts w:ascii="Calibri" w:hAnsi="Calibri"/>
                <w:b/>
                <w:i/>
                <w:color w:val="FFFFFF" w:themeColor="background1"/>
                <w:sz w:val="22"/>
                <w:lang w:val="ro-RO"/>
              </w:rPr>
              <w:t>Baza macroeconomică</w:t>
            </w:r>
          </w:p>
        </w:tc>
        <w:tc>
          <w:tcPr>
            <w:tcW w:w="2126" w:type="dxa"/>
            <w:tcBorders>
              <w:top w:val="single" w:sz="2" w:space="0" w:color="365F91"/>
              <w:bottom w:val="nil"/>
            </w:tcBorders>
            <w:shd w:val="clear" w:color="auto" w:fill="365F91"/>
          </w:tcPr>
          <w:p w:rsidR="00F05408" w:rsidRPr="00F05408" w:rsidRDefault="00F05408" w:rsidP="00F05408">
            <w:pPr>
              <w:jc w:val="center"/>
              <w:rPr>
                <w:rFonts w:ascii="Calibri" w:hAnsi="Calibri"/>
                <w:b/>
                <w:i/>
                <w:color w:val="FFFFFF" w:themeColor="background1"/>
                <w:sz w:val="22"/>
                <w:lang w:val="ro-RO"/>
              </w:rPr>
            </w:pPr>
            <w:r w:rsidRPr="00F05408">
              <w:rPr>
                <w:rFonts w:ascii="Calibri" w:hAnsi="Calibri"/>
                <w:b/>
                <w:i/>
                <w:color w:val="FFFFFF" w:themeColor="background1"/>
                <w:sz w:val="22"/>
                <w:lang w:val="ro-RO"/>
              </w:rPr>
              <w:t>Modificări ale bazei macroeconomice (puncte procentuale)</w:t>
            </w:r>
          </w:p>
        </w:tc>
        <w:tc>
          <w:tcPr>
            <w:tcW w:w="1984" w:type="dxa"/>
            <w:tcBorders>
              <w:top w:val="single" w:sz="2" w:space="0" w:color="365F91"/>
              <w:bottom w:val="nil"/>
            </w:tcBorders>
            <w:shd w:val="clear" w:color="auto" w:fill="365F91"/>
          </w:tcPr>
          <w:p w:rsidR="00F05408" w:rsidRPr="00F05408" w:rsidRDefault="00F05408" w:rsidP="00F05408">
            <w:pPr>
              <w:jc w:val="center"/>
              <w:rPr>
                <w:rFonts w:ascii="Calibri" w:hAnsi="Calibri"/>
                <w:b/>
                <w:i/>
                <w:color w:val="FFFFFF" w:themeColor="background1"/>
                <w:sz w:val="22"/>
                <w:lang w:val="ro-RO"/>
              </w:rPr>
            </w:pPr>
            <w:r w:rsidRPr="00F05408">
              <w:rPr>
                <w:rFonts w:ascii="Calibri" w:hAnsi="Calibri"/>
                <w:b/>
                <w:i/>
                <w:color w:val="FFFFFF" w:themeColor="background1"/>
                <w:sz w:val="22"/>
                <w:lang w:val="ro-RO"/>
              </w:rPr>
              <w:t>Modificări ale veniturilor (% din PIB) 2018</w:t>
            </w:r>
          </w:p>
        </w:tc>
      </w:tr>
      <w:tr w:rsidR="00F05408" w:rsidRPr="00F05408" w:rsidTr="00F05408">
        <w:trPr>
          <w:jc w:val="center"/>
        </w:trPr>
        <w:tc>
          <w:tcPr>
            <w:tcW w:w="3402" w:type="dxa"/>
            <w:vMerge w:val="restart"/>
            <w:tcBorders>
              <w:top w:val="nil"/>
              <w:bottom w:val="single" w:sz="2" w:space="0" w:color="365F91"/>
            </w:tcBorders>
            <w:vAlign w:val="center"/>
          </w:tcPr>
          <w:p w:rsidR="00F05408" w:rsidRPr="00F05408" w:rsidRDefault="00F05408" w:rsidP="00F05408">
            <w:pPr>
              <w:numPr>
                <w:ilvl w:val="0"/>
                <w:numId w:val="37"/>
              </w:numPr>
              <w:ind w:left="318" w:hanging="318"/>
              <w:rPr>
                <w:rFonts w:ascii="Calibri" w:eastAsia="Calibri" w:hAnsi="Calibri"/>
                <w:color w:val="365F91"/>
                <w:sz w:val="20"/>
                <w:lang w:val="ro-RO"/>
              </w:rPr>
            </w:pPr>
            <w:r w:rsidRPr="00F05408">
              <w:rPr>
                <w:rFonts w:ascii="Calibri" w:eastAsia="Calibri" w:hAnsi="Calibri"/>
                <w:color w:val="365F91"/>
                <w:sz w:val="20"/>
                <w:lang w:val="ro-RO"/>
              </w:rPr>
              <w:t xml:space="preserve">Impozitul pe venit </w:t>
            </w:r>
          </w:p>
        </w:tc>
        <w:tc>
          <w:tcPr>
            <w:tcW w:w="2127" w:type="dxa"/>
            <w:gridSpan w:val="2"/>
            <w:tcBorders>
              <w:top w:val="nil"/>
              <w:bottom w:val="single" w:sz="2" w:space="0" w:color="365F91"/>
            </w:tcBorders>
            <w:vAlign w:val="center"/>
          </w:tcPr>
          <w:p w:rsidR="00F05408" w:rsidRPr="00F05408" w:rsidRDefault="00F05408" w:rsidP="00F05408">
            <w:pPr>
              <w:rPr>
                <w:rFonts w:ascii="Calibri" w:hAnsi="Calibri"/>
                <w:color w:val="365F91"/>
                <w:sz w:val="20"/>
                <w:lang w:val="ro-RO"/>
              </w:rPr>
            </w:pPr>
            <w:r w:rsidRPr="00F05408">
              <w:rPr>
                <w:rFonts w:ascii="Calibri" w:hAnsi="Calibri"/>
                <w:color w:val="365F91"/>
                <w:sz w:val="20"/>
                <w:lang w:val="ro-RO"/>
              </w:rPr>
              <w:t>Salariul mediu brut</w:t>
            </w:r>
          </w:p>
        </w:tc>
        <w:tc>
          <w:tcPr>
            <w:tcW w:w="2126" w:type="dxa"/>
            <w:tcBorders>
              <w:top w:val="nil"/>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nil"/>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-0,034</w:t>
            </w:r>
          </w:p>
        </w:tc>
      </w:tr>
      <w:tr w:rsidR="00F05408" w:rsidRPr="00F05408" w:rsidTr="00F05408">
        <w:trPr>
          <w:jc w:val="center"/>
        </w:trPr>
        <w:tc>
          <w:tcPr>
            <w:tcW w:w="3402" w:type="dxa"/>
            <w:vMerge/>
            <w:tcBorders>
              <w:top w:val="single" w:sz="2" w:space="0" w:color="365F91"/>
              <w:bottom w:val="single" w:sz="2" w:space="0" w:color="365F91"/>
            </w:tcBorders>
            <w:vAlign w:val="center"/>
          </w:tcPr>
          <w:p w:rsidR="00F05408" w:rsidRPr="00F05408" w:rsidRDefault="00F05408" w:rsidP="00F05408">
            <w:pPr>
              <w:numPr>
                <w:ilvl w:val="0"/>
                <w:numId w:val="36"/>
              </w:numPr>
              <w:ind w:left="318" w:hanging="318"/>
              <w:jc w:val="center"/>
              <w:rPr>
                <w:rFonts w:ascii="Calibri" w:eastAsia="Calibri" w:hAnsi="Calibri"/>
                <w:color w:val="365F91"/>
                <w:sz w:val="20"/>
                <w:lang w:val="ro-RO"/>
              </w:rPr>
            </w:pPr>
          </w:p>
        </w:tc>
        <w:tc>
          <w:tcPr>
            <w:tcW w:w="2127" w:type="dxa"/>
            <w:gridSpan w:val="2"/>
            <w:tcBorders>
              <w:top w:val="single" w:sz="2" w:space="0" w:color="365F91"/>
              <w:bottom w:val="single" w:sz="2" w:space="0" w:color="365F91"/>
            </w:tcBorders>
            <w:vAlign w:val="center"/>
          </w:tcPr>
          <w:p w:rsidR="00F05408" w:rsidRPr="00F05408" w:rsidRDefault="00F05408" w:rsidP="00F05408">
            <w:pPr>
              <w:rPr>
                <w:rFonts w:ascii="Calibri" w:hAnsi="Calibri"/>
                <w:color w:val="365F91"/>
                <w:sz w:val="20"/>
                <w:lang w:val="ro-RO"/>
              </w:rPr>
            </w:pPr>
            <w:r w:rsidRPr="00F05408">
              <w:rPr>
                <w:rFonts w:ascii="Calibri" w:hAnsi="Calibri"/>
                <w:color w:val="365F91"/>
                <w:sz w:val="20"/>
                <w:lang w:val="ro-RO"/>
              </w:rPr>
              <w:t>Nivelul de angajare</w:t>
            </w:r>
          </w:p>
        </w:tc>
        <w:tc>
          <w:tcPr>
            <w:tcW w:w="2126"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-0,029</w:t>
            </w:r>
          </w:p>
        </w:tc>
      </w:tr>
      <w:tr w:rsidR="00F05408" w:rsidRPr="00F05408" w:rsidTr="00F05408">
        <w:trPr>
          <w:trHeight w:val="399"/>
          <w:jc w:val="center"/>
        </w:trPr>
        <w:tc>
          <w:tcPr>
            <w:tcW w:w="3402" w:type="dxa"/>
            <w:vMerge w:val="restart"/>
            <w:tcBorders>
              <w:top w:val="single" w:sz="2" w:space="0" w:color="365F91"/>
              <w:bottom w:val="single" w:sz="2" w:space="0" w:color="365F91"/>
            </w:tcBorders>
            <w:vAlign w:val="center"/>
          </w:tcPr>
          <w:p w:rsidR="00F05408" w:rsidRPr="00F05408" w:rsidRDefault="00F05408" w:rsidP="00F05408">
            <w:pPr>
              <w:ind w:left="318" w:right="393" w:hanging="318"/>
              <w:rPr>
                <w:rFonts w:ascii="Calibri" w:hAnsi="Calibri"/>
                <w:color w:val="365F91"/>
                <w:sz w:val="20"/>
                <w:lang w:val="ro-RO"/>
              </w:rPr>
            </w:pPr>
            <w:r w:rsidRPr="00F05408">
              <w:rPr>
                <w:rFonts w:ascii="Calibri" w:hAnsi="Calibri"/>
                <w:color w:val="365F91"/>
                <w:sz w:val="20"/>
                <w:lang w:val="ro-RO"/>
              </w:rPr>
              <w:t>2.   Contribuțiile la asigurări sociale</w:t>
            </w:r>
          </w:p>
        </w:tc>
        <w:tc>
          <w:tcPr>
            <w:tcW w:w="2127" w:type="dxa"/>
            <w:gridSpan w:val="2"/>
            <w:tcBorders>
              <w:top w:val="single" w:sz="2" w:space="0" w:color="365F91"/>
              <w:bottom w:val="single" w:sz="2" w:space="0" w:color="365F91"/>
            </w:tcBorders>
            <w:vAlign w:val="center"/>
          </w:tcPr>
          <w:p w:rsidR="00F05408" w:rsidRPr="00F05408" w:rsidRDefault="00F05408" w:rsidP="00F05408">
            <w:pPr>
              <w:ind w:left="-915" w:right="-82" w:firstLine="915"/>
              <w:rPr>
                <w:rFonts w:ascii="Calibri" w:hAnsi="Calibri"/>
                <w:color w:val="365F91"/>
                <w:sz w:val="20"/>
                <w:lang w:val="ro-RO"/>
              </w:rPr>
            </w:pPr>
            <w:r w:rsidRPr="00F05408">
              <w:rPr>
                <w:rFonts w:ascii="Calibri" w:hAnsi="Calibri"/>
                <w:color w:val="365F91"/>
                <w:sz w:val="20"/>
                <w:lang w:val="ro-RO"/>
              </w:rPr>
              <w:t>Salariul mediu brut</w:t>
            </w:r>
          </w:p>
        </w:tc>
        <w:tc>
          <w:tcPr>
            <w:tcW w:w="2126"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rPr>
            </w:pPr>
            <w:r w:rsidRPr="00F05408">
              <w:rPr>
                <w:rFonts w:ascii="Calibri" w:hAnsi="Calibri"/>
                <w:color w:val="365F91"/>
                <w:sz w:val="20"/>
              </w:rPr>
              <w:t>-0,081</w:t>
            </w:r>
          </w:p>
        </w:tc>
      </w:tr>
      <w:tr w:rsidR="00F05408" w:rsidRPr="00F05408" w:rsidTr="00F05408">
        <w:trPr>
          <w:trHeight w:val="159"/>
          <w:jc w:val="center"/>
        </w:trPr>
        <w:tc>
          <w:tcPr>
            <w:tcW w:w="3402" w:type="dxa"/>
            <w:vMerge/>
            <w:tcBorders>
              <w:top w:val="single" w:sz="2" w:space="0" w:color="365F91"/>
              <w:bottom w:val="single" w:sz="2" w:space="0" w:color="365F91"/>
            </w:tcBorders>
            <w:vAlign w:val="center"/>
          </w:tcPr>
          <w:p w:rsidR="00F05408" w:rsidRPr="00F05408" w:rsidRDefault="00F05408" w:rsidP="00F05408">
            <w:pPr>
              <w:numPr>
                <w:ilvl w:val="0"/>
                <w:numId w:val="36"/>
              </w:numPr>
              <w:ind w:left="318" w:right="393" w:hanging="318"/>
              <w:jc w:val="center"/>
              <w:rPr>
                <w:rFonts w:ascii="Calibri" w:eastAsia="Calibri" w:hAnsi="Calibri"/>
                <w:color w:val="365F91"/>
                <w:sz w:val="20"/>
                <w:lang w:val="ro-RO"/>
              </w:rPr>
            </w:pPr>
          </w:p>
        </w:tc>
        <w:tc>
          <w:tcPr>
            <w:tcW w:w="2127" w:type="dxa"/>
            <w:gridSpan w:val="2"/>
            <w:tcBorders>
              <w:top w:val="single" w:sz="2" w:space="0" w:color="365F91"/>
              <w:bottom w:val="single" w:sz="2" w:space="0" w:color="365F91"/>
            </w:tcBorders>
            <w:vAlign w:val="center"/>
          </w:tcPr>
          <w:p w:rsidR="00F05408" w:rsidRPr="00F05408" w:rsidRDefault="00F05408" w:rsidP="00F05408">
            <w:pPr>
              <w:rPr>
                <w:rFonts w:ascii="Calibri" w:hAnsi="Calibri"/>
                <w:color w:val="365F91"/>
                <w:sz w:val="20"/>
                <w:lang w:val="ro-RO"/>
              </w:rPr>
            </w:pPr>
            <w:r w:rsidRPr="00F05408">
              <w:rPr>
                <w:rFonts w:ascii="Calibri" w:hAnsi="Calibri"/>
                <w:color w:val="365F91"/>
                <w:sz w:val="20"/>
                <w:lang w:val="ro-RO"/>
              </w:rPr>
              <w:t>Nivelul de angajare</w:t>
            </w:r>
          </w:p>
        </w:tc>
        <w:tc>
          <w:tcPr>
            <w:tcW w:w="2126"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single" w:sz="2" w:space="0" w:color="365F91"/>
              <w:bottom w:val="single" w:sz="2" w:space="0" w:color="365F91"/>
            </w:tcBorders>
            <w:vAlign w:val="center"/>
          </w:tcPr>
          <w:p w:rsidR="00F05408" w:rsidRPr="00F05408" w:rsidRDefault="00F05408" w:rsidP="00F05408">
            <w:pPr>
              <w:ind w:right="182"/>
              <w:jc w:val="center"/>
              <w:rPr>
                <w:rFonts w:ascii="Calibri" w:hAnsi="Calibri"/>
                <w:color w:val="365F91"/>
                <w:sz w:val="20"/>
                <w:lang w:val="ro-RO"/>
              </w:rPr>
            </w:pPr>
            <w:r w:rsidRPr="00F05408">
              <w:rPr>
                <w:rFonts w:ascii="Calibri" w:hAnsi="Calibri"/>
                <w:color w:val="365F91"/>
                <w:sz w:val="20"/>
                <w:lang w:val="ro-RO"/>
              </w:rPr>
              <w:t xml:space="preserve">    -0,083</w:t>
            </w:r>
          </w:p>
        </w:tc>
      </w:tr>
      <w:tr w:rsidR="00F05408" w:rsidRPr="00F05408" w:rsidTr="00F05408">
        <w:trPr>
          <w:jc w:val="center"/>
        </w:trPr>
        <w:tc>
          <w:tcPr>
            <w:tcW w:w="3402" w:type="dxa"/>
            <w:tcBorders>
              <w:top w:val="single" w:sz="2" w:space="0" w:color="365F91"/>
              <w:bottom w:val="single" w:sz="2" w:space="0" w:color="365F91"/>
            </w:tcBorders>
            <w:vAlign w:val="center"/>
          </w:tcPr>
          <w:p w:rsidR="00F05408" w:rsidRPr="00F05408" w:rsidRDefault="00F05408" w:rsidP="00F05408">
            <w:pPr>
              <w:spacing w:line="276" w:lineRule="auto"/>
              <w:ind w:left="318" w:hanging="318"/>
              <w:contextualSpacing/>
              <w:rPr>
                <w:rFonts w:ascii="Calibri" w:eastAsia="Calibri" w:hAnsi="Calibri"/>
                <w:color w:val="365F91"/>
                <w:sz w:val="20"/>
                <w:lang w:val="ro-RO"/>
              </w:rPr>
            </w:pPr>
            <w:r w:rsidRPr="00F05408">
              <w:rPr>
                <w:rFonts w:ascii="Calibri" w:eastAsia="Calibri" w:hAnsi="Calibri"/>
                <w:color w:val="365F91"/>
                <w:sz w:val="20"/>
                <w:lang w:val="ro-RO"/>
              </w:rPr>
              <w:t>3.   Impozitul pe profit</w:t>
            </w:r>
          </w:p>
        </w:tc>
        <w:tc>
          <w:tcPr>
            <w:tcW w:w="2127" w:type="dxa"/>
            <w:gridSpan w:val="2"/>
            <w:tcBorders>
              <w:top w:val="single" w:sz="2" w:space="0" w:color="365F91"/>
              <w:bottom w:val="single" w:sz="2" w:space="0" w:color="365F91"/>
            </w:tcBorders>
            <w:vAlign w:val="center"/>
          </w:tcPr>
          <w:p w:rsidR="00F05408" w:rsidRPr="00F05408" w:rsidRDefault="00F05408" w:rsidP="00F05408">
            <w:pPr>
              <w:rPr>
                <w:rFonts w:ascii="Calibri" w:hAnsi="Calibri"/>
                <w:color w:val="365F91"/>
                <w:sz w:val="20"/>
                <w:lang w:val="ro-RO"/>
              </w:rPr>
            </w:pPr>
            <w:r w:rsidRPr="00F05408">
              <w:rPr>
                <w:rFonts w:ascii="Calibri" w:hAnsi="Calibri"/>
                <w:color w:val="365F91"/>
                <w:sz w:val="20"/>
                <w:lang w:val="ro-RO"/>
              </w:rPr>
              <w:t>PIB</w:t>
            </w:r>
          </w:p>
        </w:tc>
        <w:tc>
          <w:tcPr>
            <w:tcW w:w="2126"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-0,022</w:t>
            </w:r>
          </w:p>
        </w:tc>
      </w:tr>
      <w:tr w:rsidR="00F05408" w:rsidRPr="00F05408" w:rsidTr="00F05408">
        <w:trPr>
          <w:jc w:val="center"/>
        </w:trPr>
        <w:tc>
          <w:tcPr>
            <w:tcW w:w="3402" w:type="dxa"/>
            <w:tcBorders>
              <w:top w:val="single" w:sz="2" w:space="0" w:color="365F91"/>
              <w:bottom w:val="single" w:sz="2" w:space="0" w:color="365F91"/>
            </w:tcBorders>
            <w:vAlign w:val="center"/>
          </w:tcPr>
          <w:p w:rsidR="00F05408" w:rsidRPr="00F05408" w:rsidRDefault="00F05408" w:rsidP="00F05408">
            <w:pPr>
              <w:spacing w:line="276" w:lineRule="auto"/>
              <w:ind w:left="318" w:hanging="318"/>
              <w:contextualSpacing/>
              <w:rPr>
                <w:rFonts w:ascii="Calibri" w:eastAsia="Calibri" w:hAnsi="Calibri"/>
                <w:color w:val="365F91"/>
                <w:sz w:val="20"/>
                <w:lang w:val="ro-RO"/>
              </w:rPr>
            </w:pPr>
            <w:r w:rsidRPr="00F05408">
              <w:rPr>
                <w:rFonts w:ascii="Calibri" w:eastAsia="Calibri" w:hAnsi="Calibri"/>
                <w:color w:val="365F91"/>
                <w:sz w:val="20"/>
                <w:lang w:val="ro-RO"/>
              </w:rPr>
              <w:t>4.  Taxa pe valoarea adăugată</w:t>
            </w:r>
          </w:p>
        </w:tc>
        <w:tc>
          <w:tcPr>
            <w:tcW w:w="2127" w:type="dxa"/>
            <w:gridSpan w:val="2"/>
            <w:tcBorders>
              <w:top w:val="single" w:sz="2" w:space="0" w:color="365F91"/>
              <w:bottom w:val="single" w:sz="2" w:space="0" w:color="365F91"/>
            </w:tcBorders>
            <w:vAlign w:val="center"/>
          </w:tcPr>
          <w:p w:rsidR="00F05408" w:rsidRPr="00F05408" w:rsidRDefault="00F05408" w:rsidP="00F05408">
            <w:pPr>
              <w:rPr>
                <w:rFonts w:ascii="Calibri" w:hAnsi="Calibri"/>
                <w:color w:val="365F91"/>
                <w:sz w:val="20"/>
                <w:lang w:val="ro-RO"/>
              </w:rPr>
            </w:pPr>
            <w:r w:rsidRPr="00F05408">
              <w:rPr>
                <w:rFonts w:ascii="Calibri" w:hAnsi="Calibri"/>
                <w:color w:val="365F91"/>
                <w:sz w:val="20"/>
                <w:lang w:val="ro-RO"/>
              </w:rPr>
              <w:t>PIB</w:t>
            </w:r>
          </w:p>
        </w:tc>
        <w:tc>
          <w:tcPr>
            <w:tcW w:w="2126"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Redus cu 1 pp</w:t>
            </w:r>
          </w:p>
        </w:tc>
        <w:tc>
          <w:tcPr>
            <w:tcW w:w="1984" w:type="dxa"/>
            <w:tcBorders>
              <w:top w:val="single" w:sz="2" w:space="0" w:color="365F91"/>
              <w:bottom w:val="single" w:sz="2" w:space="0" w:color="365F91"/>
            </w:tcBorders>
            <w:vAlign w:val="center"/>
          </w:tcPr>
          <w:p w:rsidR="00F05408" w:rsidRPr="00F05408" w:rsidRDefault="00F05408" w:rsidP="00F05408">
            <w:pPr>
              <w:jc w:val="center"/>
              <w:rPr>
                <w:rFonts w:ascii="Calibri" w:hAnsi="Calibri"/>
                <w:color w:val="365F91"/>
                <w:sz w:val="20"/>
                <w:lang w:val="ro-RO"/>
              </w:rPr>
            </w:pPr>
            <w:r w:rsidRPr="00F05408">
              <w:rPr>
                <w:rFonts w:ascii="Calibri" w:hAnsi="Calibri"/>
                <w:color w:val="365F91"/>
                <w:sz w:val="20"/>
                <w:lang w:val="ro-RO"/>
              </w:rPr>
              <w:t>-0,096</w:t>
            </w:r>
          </w:p>
        </w:tc>
      </w:tr>
    </w:tbl>
    <w:p w:rsidR="00F05408" w:rsidRPr="00F05408" w:rsidRDefault="00F05408" w:rsidP="00F05408">
      <w:pPr>
        <w:rPr>
          <w:rFonts w:asciiTheme="minorHAnsi" w:hAnsiTheme="minorHAnsi" w:cs="Calibri"/>
          <w:i/>
          <w:color w:val="365F91"/>
          <w:sz w:val="18"/>
          <w:szCs w:val="20"/>
          <w:lang w:val="ro-RO"/>
        </w:rPr>
      </w:pPr>
      <w:r w:rsidRPr="00F05408">
        <w:rPr>
          <w:rFonts w:asciiTheme="minorHAnsi" w:hAnsiTheme="minorHAnsi" w:cs="Calibri"/>
          <w:i/>
          <w:color w:val="365F91"/>
          <w:sz w:val="18"/>
          <w:szCs w:val="20"/>
          <w:lang w:val="ro-RO"/>
        </w:rPr>
        <w:t xml:space="preserve">     Sursa: MFP</w:t>
      </w:r>
    </w:p>
    <w:p w:rsidR="00F05408" w:rsidRPr="00F05408" w:rsidRDefault="00F05408" w:rsidP="00F05408">
      <w:pPr>
        <w:rPr>
          <w:sz w:val="12"/>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F05408" w:rsidRPr="00F05408" w:rsidTr="00F05408">
        <w:trPr>
          <w:trHeight w:val="567"/>
        </w:trPr>
        <w:tc>
          <w:tcPr>
            <w:tcW w:w="9831" w:type="dxa"/>
            <w:shd w:val="clear" w:color="auto" w:fill="DBE5F1"/>
          </w:tcPr>
          <w:p w:rsidR="00F05408" w:rsidRPr="00F05408" w:rsidRDefault="00F05408" w:rsidP="00F05408">
            <w:pPr>
              <w:rPr>
                <w:rFonts w:ascii="Arial Narrow" w:hAnsi="Arial Narrow"/>
                <w:b/>
                <w:i/>
                <w:sz w:val="10"/>
                <w:lang w:val="ro-RO"/>
              </w:rPr>
            </w:pPr>
          </w:p>
          <w:p w:rsidR="00F05408" w:rsidRPr="00F05408" w:rsidRDefault="00F05408" w:rsidP="00F05408">
            <w:pPr>
              <w:rPr>
                <w:rFonts w:ascii="Arial Narrow" w:hAnsi="Arial Narrow"/>
                <w:b/>
                <w:i/>
                <w:color w:val="365F91"/>
                <w:lang w:val="ro-RO"/>
              </w:rPr>
            </w:pPr>
            <w:r w:rsidRPr="00F05408">
              <w:rPr>
                <w:rFonts w:ascii="Arial Narrow" w:hAnsi="Arial Narrow"/>
                <w:b/>
                <w:i/>
                <w:color w:val="365F91"/>
                <w:lang w:val="ro-RO"/>
              </w:rPr>
              <w:t xml:space="preserve"> Senzitivitatea datoriei guvernamentale brute și a plăților de dobândă față de modificările unor variabile macroeconomice</w:t>
            </w:r>
          </w:p>
          <w:p w:rsidR="00F05408" w:rsidRPr="00F05408" w:rsidRDefault="00F05408" w:rsidP="00F05408">
            <w:pPr>
              <w:rPr>
                <w:rFonts w:ascii="Arial Narrow" w:hAnsi="Arial Narrow"/>
                <w:b/>
                <w:i/>
                <w:sz w:val="8"/>
                <w:lang w:val="ro-RO"/>
              </w:rPr>
            </w:pPr>
          </w:p>
        </w:tc>
      </w:tr>
    </w:tbl>
    <w:p w:rsidR="00F05408" w:rsidRPr="00A560AE" w:rsidRDefault="00F05408" w:rsidP="00F05408">
      <w:pPr>
        <w:rPr>
          <w:sz w:val="8"/>
          <w:lang w:val="ro-RO"/>
        </w:rPr>
      </w:pPr>
    </w:p>
    <w:p w:rsidR="00F05408" w:rsidRPr="00F05408" w:rsidRDefault="00F05408" w:rsidP="00F05408">
      <w:pPr>
        <w:widowControl w:val="0"/>
        <w:jc w:val="both"/>
        <w:rPr>
          <w:rFonts w:ascii="Calibri" w:hAnsi="Calibri" w:cs="Arial"/>
          <w:lang w:val="ro-RO"/>
        </w:rPr>
      </w:pPr>
      <w:r w:rsidRPr="00F05408">
        <w:rPr>
          <w:rFonts w:ascii="Calibri" w:eastAsia="Calibri" w:hAnsi="Calibri" w:cs="Arial"/>
          <w:lang w:val="ro-RO"/>
        </w:rPr>
        <w:t>Analizele de sensitivitate asupra portofoliului datoriei publice guvernamentale</w:t>
      </w:r>
      <w:r w:rsidRPr="00F05408">
        <w:rPr>
          <w:rFonts w:ascii="Calibri" w:eastAsia="Calibri" w:hAnsi="Calibri" w:cs="Arial"/>
          <w:vertAlign w:val="superscript"/>
          <w:lang w:val="ro-RO"/>
        </w:rPr>
        <w:footnoteReference w:id="49"/>
      </w:r>
      <w:r w:rsidRPr="00F05408">
        <w:rPr>
          <w:rFonts w:ascii="Calibri" w:eastAsia="Calibri" w:hAnsi="Calibri" w:cs="Arial"/>
          <w:lang w:val="ro-RO"/>
        </w:rPr>
        <w:t xml:space="preserve"> au în vedere următorii factori:</w:t>
      </w:r>
    </w:p>
    <w:p w:rsidR="00F05408" w:rsidRPr="00F05408" w:rsidRDefault="00F05408" w:rsidP="00F05408">
      <w:pPr>
        <w:widowControl w:val="0"/>
        <w:jc w:val="both"/>
        <w:rPr>
          <w:rFonts w:ascii="Calibri" w:hAnsi="Calibri" w:cs="Arial"/>
          <w:lang w:val="ro-RO"/>
        </w:rPr>
      </w:pPr>
      <w:r w:rsidRPr="00F05408">
        <w:rPr>
          <w:rFonts w:ascii="Calibri" w:hAnsi="Calibri" w:cs="Arial"/>
          <w:lang w:val="ro-RO"/>
        </w:rPr>
        <w:t>1) influenţa creşterii economice, a deprecierii monedei naţionale, precum şi a derapajului fiscal  asupra soldului datoriei guvernamentale, şi</w:t>
      </w:r>
    </w:p>
    <w:p w:rsidR="00F05408" w:rsidRDefault="00F05408" w:rsidP="00F05408">
      <w:pPr>
        <w:widowControl w:val="0"/>
        <w:jc w:val="both"/>
        <w:rPr>
          <w:rFonts w:ascii="Calibri" w:hAnsi="Calibri" w:cs="Arial"/>
          <w:lang w:val="ro-RO"/>
        </w:rPr>
      </w:pPr>
      <w:r w:rsidRPr="00F05408">
        <w:rPr>
          <w:rFonts w:ascii="Calibri" w:hAnsi="Calibri" w:cs="Arial"/>
          <w:lang w:val="ro-RO"/>
        </w:rPr>
        <w:t>2) influenţa deprecierii monedei naţionale şi a modificării ratelor de dobândă asupra plăţilor de dobânzi conform metodologiei UE (SEC2010).</w:t>
      </w:r>
    </w:p>
    <w:p w:rsidR="005D4F92" w:rsidRPr="00A560AE" w:rsidRDefault="005D4F92" w:rsidP="00F05408">
      <w:pPr>
        <w:widowControl w:val="0"/>
        <w:jc w:val="both"/>
        <w:rPr>
          <w:rFonts w:ascii="Calibri" w:hAnsi="Calibri" w:cs="Arial"/>
          <w:sz w:val="2"/>
          <w:szCs w:val="16"/>
          <w:lang w:val="ro-RO"/>
        </w:rPr>
      </w:pPr>
    </w:p>
    <w:p w:rsidR="00A832C1" w:rsidRPr="00C5502B" w:rsidRDefault="005D4F92" w:rsidP="00A832C1">
      <w:pPr>
        <w:pStyle w:val="Caption"/>
        <w:suppressAutoHyphens/>
        <w:spacing w:after="120" w:line="276" w:lineRule="auto"/>
        <w:ind w:left="360"/>
        <w:rPr>
          <w:rFonts w:ascii="Calibri" w:hAnsi="Calibri" w:cs="Calibri"/>
          <w:color w:val="365F91"/>
          <w:sz w:val="24"/>
          <w:szCs w:val="24"/>
          <w:lang w:val="ro-RO"/>
        </w:rPr>
      </w:pPr>
      <w:r w:rsidRPr="00C5502B">
        <w:rPr>
          <w:rFonts w:ascii="Calibri" w:hAnsi="Calibri" w:cs="Calibri"/>
          <w:color w:val="365F91"/>
          <w:sz w:val="24"/>
          <w:szCs w:val="24"/>
          <w:lang w:val="ro-RO"/>
        </w:rPr>
        <w:t>1)</w:t>
      </w:r>
      <w:r w:rsidR="00A832C1" w:rsidRPr="00C5502B">
        <w:rPr>
          <w:rFonts w:ascii="Calibri" w:hAnsi="Calibri" w:cs="Calibri"/>
          <w:color w:val="365F91"/>
          <w:sz w:val="24"/>
          <w:szCs w:val="24"/>
          <w:lang w:val="ro-RO"/>
        </w:rPr>
        <w:t xml:space="preserve"> Factori de influență  asupra datoriei guvernamentale</w:t>
      </w:r>
    </w:p>
    <w:p w:rsidR="00F05408" w:rsidRPr="00F05408" w:rsidRDefault="00A560AE" w:rsidP="00DF7226">
      <w:pPr>
        <w:widowControl w:val="0"/>
        <w:jc w:val="center"/>
        <w:rPr>
          <w:rFonts w:ascii="Calibri" w:hAnsi="Calibri" w:cs="Arial"/>
          <w:lang w:val="ro-RO"/>
        </w:rPr>
      </w:pPr>
      <w:r>
        <w:rPr>
          <w:rFonts w:ascii="Calibri" w:hAnsi="Calibri" w:cs="Arial"/>
          <w:iCs/>
          <w:noProof/>
          <w:sz w:val="8"/>
          <w:lang w:val="ro-RO" w:eastAsia="ro-RO"/>
        </w:rPr>
        <w:drawing>
          <wp:inline distT="0" distB="0" distL="0" distR="0" wp14:anchorId="4F37DB2B" wp14:editId="2CDFD06C">
            <wp:extent cx="5257165" cy="258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053" cy="2586130"/>
                    </a:xfrm>
                    <a:prstGeom prst="rect">
                      <a:avLst/>
                    </a:prstGeom>
                    <a:noFill/>
                  </pic:spPr>
                </pic:pic>
              </a:graphicData>
            </a:graphic>
          </wp:inline>
        </w:drawing>
      </w:r>
    </w:p>
    <w:p w:rsidR="00F05408" w:rsidRPr="00DF7226" w:rsidRDefault="00A560AE" w:rsidP="00A832C1">
      <w:pPr>
        <w:widowControl w:val="0"/>
        <w:rPr>
          <w:rFonts w:ascii="Calibri" w:hAnsi="Calibri" w:cs="Arial"/>
          <w:i/>
          <w:iCs/>
          <w:color w:val="365F91"/>
          <w:lang w:val="ro-RO"/>
        </w:rPr>
      </w:pPr>
      <w:r>
        <w:rPr>
          <w:rFonts w:ascii="Calibri" w:hAnsi="Calibri" w:cs="Arial"/>
          <w:i/>
          <w:iCs/>
          <w:color w:val="365F91"/>
          <w:sz w:val="20"/>
          <w:szCs w:val="20"/>
          <w:lang w:val="ro-RO"/>
        </w:rPr>
        <w:t xml:space="preserve">                       </w:t>
      </w:r>
      <w:r w:rsidR="00A832C1" w:rsidRPr="00DF7226">
        <w:rPr>
          <w:rFonts w:ascii="Calibri" w:hAnsi="Calibri" w:cs="Arial"/>
          <w:i/>
          <w:iCs/>
          <w:color w:val="365F91"/>
          <w:sz w:val="20"/>
          <w:szCs w:val="20"/>
          <w:lang w:val="ro-RO"/>
        </w:rPr>
        <w:t>Sursa:MFP</w:t>
      </w:r>
    </w:p>
    <w:p w:rsidR="00F05408" w:rsidRPr="00F05408" w:rsidRDefault="00F05408" w:rsidP="00F05408">
      <w:pPr>
        <w:widowControl w:val="0"/>
        <w:jc w:val="both"/>
        <w:rPr>
          <w:rFonts w:ascii="Calibri" w:hAnsi="Calibri" w:cs="Arial"/>
          <w:iCs/>
          <w:sz w:val="8"/>
          <w:lang w:val="ro-RO"/>
        </w:rPr>
      </w:pPr>
    </w:p>
    <w:p w:rsidR="005D4F92" w:rsidRPr="005D4F92" w:rsidRDefault="005D4F92" w:rsidP="005D4F92">
      <w:pPr>
        <w:widowControl w:val="0"/>
        <w:spacing w:after="120"/>
        <w:jc w:val="both"/>
        <w:rPr>
          <w:rFonts w:asciiTheme="minorHAnsi" w:hAnsiTheme="minorHAnsi" w:cs="Arial"/>
          <w:color w:val="000000"/>
          <w:lang w:val="ro-RO"/>
        </w:rPr>
      </w:pPr>
      <w:r w:rsidRPr="005D4F92">
        <w:rPr>
          <w:rFonts w:asciiTheme="minorHAnsi" w:hAnsiTheme="minorHAnsi" w:cs="Arial"/>
          <w:iCs/>
          <w:color w:val="000000"/>
          <w:lang w:val="ro-RO"/>
        </w:rPr>
        <w:t xml:space="preserve">În graficul de mai sus </w:t>
      </w:r>
      <w:r w:rsidRPr="005D4F92">
        <w:rPr>
          <w:rFonts w:asciiTheme="minorHAnsi" w:hAnsiTheme="minorHAnsi" w:cs="Arial"/>
          <w:color w:val="000000"/>
          <w:lang w:val="ro-RO"/>
        </w:rPr>
        <w:t xml:space="preserve"> se observă că influența unei scăderi economice cu 1% din PIB ar avea un impact negativ asupra nivelului de </w:t>
      </w:r>
      <w:r w:rsidR="00A560AE">
        <w:rPr>
          <w:rFonts w:asciiTheme="minorHAnsi" w:hAnsiTheme="minorHAnsi" w:cs="Arial"/>
          <w:color w:val="000000"/>
          <w:lang w:val="ro-RO"/>
        </w:rPr>
        <w:t>îndatorare,  de creștere cu 2,</w:t>
      </w:r>
      <w:r w:rsidR="004F0474">
        <w:rPr>
          <w:rFonts w:asciiTheme="minorHAnsi" w:hAnsiTheme="minorHAnsi" w:cs="Arial"/>
          <w:color w:val="000000"/>
          <w:lang w:val="ro-RO"/>
        </w:rPr>
        <w:t>5</w:t>
      </w:r>
      <w:r w:rsidRPr="005D4F92">
        <w:rPr>
          <w:rFonts w:asciiTheme="minorHAnsi" w:hAnsiTheme="minorHAnsi" w:cs="Arial"/>
          <w:color w:val="000000"/>
          <w:lang w:val="ro-RO"/>
        </w:rPr>
        <w:t>% din PIB în anul 2021, iar deprecierea monedei naționale cu 10% față de Euro</w:t>
      </w:r>
      <w:r w:rsidRPr="005D4F92">
        <w:rPr>
          <w:rStyle w:val="FootnoteReference"/>
          <w:rFonts w:asciiTheme="minorHAnsi" w:hAnsiTheme="minorHAnsi" w:cs="Arial"/>
          <w:color w:val="000000"/>
          <w:lang w:val="ro-RO"/>
        </w:rPr>
        <w:footnoteReference w:id="50"/>
      </w:r>
      <w:r w:rsidRPr="005D4F92">
        <w:rPr>
          <w:rFonts w:asciiTheme="minorHAnsi" w:hAnsiTheme="minorHAnsi" w:cs="Arial"/>
          <w:color w:val="000000"/>
          <w:lang w:val="ro-RO"/>
        </w:rPr>
        <w:t>, principala valută în care este denominată datoria guvernamentală în valut</w:t>
      </w:r>
      <w:r w:rsidR="004F0474">
        <w:rPr>
          <w:rFonts w:asciiTheme="minorHAnsi" w:hAnsiTheme="minorHAnsi" w:cs="Arial"/>
          <w:color w:val="000000"/>
          <w:lang w:val="ro-RO"/>
        </w:rPr>
        <w:t>ă, ar determina cresterea cu 1,6</w:t>
      </w:r>
      <w:r w:rsidRPr="005D4F92">
        <w:rPr>
          <w:rFonts w:asciiTheme="minorHAnsi" w:hAnsiTheme="minorHAnsi" w:cs="Arial"/>
          <w:color w:val="000000"/>
          <w:lang w:val="ro-RO"/>
        </w:rPr>
        <w:t>%  din PIB  în anul  2021. Un derapaj fiscal transpus într-un deficit în numerar de finanțat de 3,8%</w:t>
      </w:r>
      <w:r w:rsidRPr="005D4F92">
        <w:rPr>
          <w:rStyle w:val="FootnoteReference"/>
          <w:rFonts w:asciiTheme="minorHAnsi" w:eastAsia="Calibri" w:hAnsiTheme="minorHAnsi" w:cs="Arial"/>
          <w:color w:val="000000"/>
          <w:lang w:val="ro-RO"/>
        </w:rPr>
        <w:footnoteReference w:id="51"/>
      </w:r>
      <w:r w:rsidRPr="005D4F92">
        <w:rPr>
          <w:rFonts w:asciiTheme="minorHAnsi" w:hAnsiTheme="minorHAnsi" w:cs="Arial"/>
          <w:color w:val="000000"/>
          <w:lang w:val="ro-RO"/>
        </w:rPr>
        <w:t xml:space="preserve"> din PIB în perioada 2019 – 2021, ar conduce la o creștere a nivelului de îndatorare c</w:t>
      </w:r>
      <w:r w:rsidR="004F0474">
        <w:rPr>
          <w:rFonts w:asciiTheme="minorHAnsi" w:hAnsiTheme="minorHAnsi" w:cs="Arial"/>
          <w:color w:val="000000"/>
          <w:lang w:val="ro-RO"/>
        </w:rPr>
        <w:t>u până la 4,1</w:t>
      </w:r>
      <w:r w:rsidRPr="005D4F92">
        <w:rPr>
          <w:rFonts w:asciiTheme="minorHAnsi" w:hAnsiTheme="minorHAnsi" w:cs="Arial"/>
          <w:color w:val="000000"/>
          <w:lang w:val="ro-RO"/>
        </w:rPr>
        <w:t xml:space="preserve"> % din PIB în 2021, în timp ce influența combinată a acestor factori asupra ponderii datoriei guvernamentale în PIB determina  o c</w:t>
      </w:r>
      <w:r w:rsidR="004F0474">
        <w:rPr>
          <w:rFonts w:asciiTheme="minorHAnsi" w:hAnsiTheme="minorHAnsi" w:cs="Arial"/>
          <w:color w:val="000000"/>
          <w:lang w:val="ro-RO"/>
        </w:rPr>
        <w:t>reștere a acestui indicator cu 8,5</w:t>
      </w:r>
      <w:r w:rsidRPr="005D4F92">
        <w:rPr>
          <w:rFonts w:asciiTheme="minorHAnsi" w:hAnsiTheme="minorHAnsi" w:cs="Arial"/>
          <w:color w:val="000000"/>
          <w:lang w:val="ro-RO"/>
        </w:rPr>
        <w:t xml:space="preserve">% din PIB în anul 2021. </w:t>
      </w:r>
    </w:p>
    <w:p w:rsidR="00F05408" w:rsidRPr="00F05408" w:rsidRDefault="00F05408" w:rsidP="00F05408">
      <w:pPr>
        <w:widowControl w:val="0"/>
        <w:jc w:val="both"/>
        <w:rPr>
          <w:rFonts w:ascii="Calibri" w:hAnsi="Calibri" w:cs="Arial"/>
          <w:lang w:val="ro-RO"/>
        </w:rPr>
      </w:pPr>
    </w:p>
    <w:p w:rsidR="00033965" w:rsidRPr="00C5502B" w:rsidRDefault="00E95B51" w:rsidP="004074D5">
      <w:pPr>
        <w:pStyle w:val="Caption"/>
        <w:suppressAutoHyphens/>
        <w:spacing w:after="120" w:line="276" w:lineRule="auto"/>
        <w:ind w:left="360"/>
        <w:rPr>
          <w:rFonts w:ascii="Calibri" w:hAnsi="Calibri" w:cs="Calibri"/>
          <w:color w:val="365F91"/>
          <w:sz w:val="24"/>
          <w:szCs w:val="24"/>
          <w:lang w:val="ro-RO"/>
        </w:rPr>
      </w:pPr>
      <w:r w:rsidRPr="00C5502B">
        <w:rPr>
          <w:rFonts w:ascii="Calibri" w:hAnsi="Calibri" w:cs="Calibri"/>
          <w:color w:val="365F91"/>
          <w:sz w:val="24"/>
          <w:szCs w:val="24"/>
          <w:lang w:val="ro-RO"/>
        </w:rPr>
        <w:t xml:space="preserve">2) </w:t>
      </w:r>
      <w:r w:rsidR="00033965" w:rsidRPr="00C5502B">
        <w:rPr>
          <w:rFonts w:ascii="Calibri" w:hAnsi="Calibri" w:cs="Calibri"/>
          <w:color w:val="365F91"/>
          <w:sz w:val="24"/>
          <w:szCs w:val="24"/>
          <w:lang w:val="ro-RO"/>
        </w:rPr>
        <w:t>Factorii de influență  asupra plăților de dobândă</w:t>
      </w:r>
    </w:p>
    <w:p w:rsidR="00033965" w:rsidRPr="005677AB" w:rsidRDefault="00A560AE" w:rsidP="00A560AE">
      <w:pPr>
        <w:spacing w:after="120" w:line="276" w:lineRule="auto"/>
        <w:jc w:val="center"/>
        <w:rPr>
          <w:noProof/>
          <w:color w:val="4472C4"/>
          <w:sz w:val="20"/>
          <w:szCs w:val="20"/>
          <w:lang w:val="ro-RO" w:eastAsia="ro-RO"/>
        </w:rPr>
      </w:pPr>
      <w:r>
        <w:rPr>
          <w:noProof/>
          <w:color w:val="4472C4"/>
          <w:sz w:val="20"/>
          <w:szCs w:val="20"/>
          <w:lang w:val="ro-RO" w:eastAsia="ro-RO"/>
        </w:rPr>
        <w:drawing>
          <wp:inline distT="0" distB="0" distL="0" distR="0" wp14:anchorId="607EF1EA" wp14:editId="01139094">
            <wp:extent cx="5468620" cy="312737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8620" cy="3127375"/>
                    </a:xfrm>
                    <a:prstGeom prst="rect">
                      <a:avLst/>
                    </a:prstGeom>
                    <a:noFill/>
                  </pic:spPr>
                </pic:pic>
              </a:graphicData>
            </a:graphic>
          </wp:inline>
        </w:drawing>
      </w:r>
    </w:p>
    <w:p w:rsidR="00F05408" w:rsidRPr="00DF7226" w:rsidRDefault="00A560AE" w:rsidP="00E95B51">
      <w:pPr>
        <w:ind w:left="360"/>
        <w:rPr>
          <w:rFonts w:ascii="Arial Narrow" w:hAnsi="Arial Narrow" w:cs="Arial"/>
          <w:i/>
          <w:iCs/>
          <w:color w:val="365F91"/>
          <w:sz w:val="22"/>
          <w:lang w:val="ro-RO" w:eastAsia="ro-RO"/>
        </w:rPr>
      </w:pPr>
      <w:r>
        <w:rPr>
          <w:rFonts w:ascii="Arial Narrow" w:hAnsi="Arial Narrow" w:cs="Calibri"/>
          <w:i/>
          <w:iCs/>
          <w:color w:val="365F91"/>
          <w:sz w:val="18"/>
          <w:szCs w:val="20"/>
          <w:lang w:val="ro-RO" w:eastAsia="ro-RO"/>
        </w:rPr>
        <w:t xml:space="preserve">          </w:t>
      </w:r>
      <w:r w:rsidR="00033965" w:rsidRPr="00DF7226">
        <w:rPr>
          <w:rFonts w:ascii="Arial Narrow" w:hAnsi="Arial Narrow" w:cs="Calibri"/>
          <w:i/>
          <w:iCs/>
          <w:color w:val="365F91"/>
          <w:sz w:val="18"/>
          <w:szCs w:val="20"/>
          <w:lang w:val="ro-RO" w:eastAsia="ro-RO"/>
        </w:rPr>
        <w:t>Sursă: MFP</w:t>
      </w:r>
    </w:p>
    <w:p w:rsidR="00F05408" w:rsidRPr="00F05408" w:rsidRDefault="00F05408" w:rsidP="00F05408">
      <w:pPr>
        <w:jc w:val="both"/>
        <w:rPr>
          <w:rFonts w:ascii="Calibri" w:hAnsi="Calibri" w:cs="Arial"/>
          <w:iCs/>
          <w:lang w:val="ro-RO" w:eastAsia="ro-RO"/>
        </w:rPr>
      </w:pPr>
    </w:p>
    <w:p w:rsidR="009850A1" w:rsidRPr="009850A1" w:rsidRDefault="009850A1" w:rsidP="009850A1">
      <w:pPr>
        <w:spacing w:after="120"/>
        <w:jc w:val="both"/>
        <w:rPr>
          <w:rFonts w:asciiTheme="minorHAnsi" w:hAnsiTheme="minorHAnsi" w:cs="Arial"/>
          <w:color w:val="000000"/>
          <w:lang w:val="ro-RO" w:eastAsia="ro-RO"/>
        </w:rPr>
      </w:pPr>
      <w:r w:rsidRPr="009850A1">
        <w:rPr>
          <w:rFonts w:asciiTheme="minorHAnsi" w:hAnsiTheme="minorHAnsi" w:cs="Arial"/>
          <w:iCs/>
          <w:color w:val="000000"/>
          <w:lang w:val="ro-RO" w:eastAsia="ro-RO"/>
        </w:rPr>
        <w:t>În graficul de mai sus</w:t>
      </w:r>
      <w:r w:rsidRPr="009850A1">
        <w:rPr>
          <w:rFonts w:asciiTheme="minorHAnsi" w:hAnsiTheme="minorHAnsi" w:cs="Arial"/>
          <w:color w:val="000000"/>
          <w:lang w:val="ro-RO" w:eastAsia="ro-RO"/>
        </w:rPr>
        <w:t xml:space="preserve"> se observă că deprecierea monedei naționale față de Euro</w:t>
      </w:r>
      <w:r w:rsidRPr="009850A1">
        <w:rPr>
          <w:rStyle w:val="FootnoteCharacters"/>
          <w:rFonts w:asciiTheme="minorHAnsi" w:hAnsiTheme="minorHAnsi" w:cs="Arial"/>
          <w:color w:val="000000"/>
          <w:lang w:val="ro-RO" w:eastAsia="ro-RO"/>
        </w:rPr>
        <w:footnoteReference w:id="52"/>
      </w:r>
      <w:r w:rsidRPr="009850A1">
        <w:rPr>
          <w:rFonts w:asciiTheme="minorHAnsi" w:hAnsiTheme="minorHAnsi" w:cs="Arial"/>
          <w:color w:val="000000"/>
          <w:lang w:val="ro-RO" w:eastAsia="ro-RO"/>
        </w:rPr>
        <w:t xml:space="preserve"> ar avea un impact negativ scăzut asupra plăților de dobândă, în sensul creșterii ponderii acestora în PIB cu până la 0,05 % din PIB în anul 2021, în timp ce creșterea ratelor de dobândă cu 1% ar conduce la o creștere a ponderii plăților de dobândă în PIB cu până la 0,04% în anul 2021. Influența combinată a acestor factori asupra plăților de dobândă ar determina o creștere a acestor plăți  cu 0,09% din PIB în anul 2021.</w:t>
      </w:r>
    </w:p>
    <w:p w:rsidR="00F05408" w:rsidRPr="00F05408" w:rsidRDefault="00F05408" w:rsidP="00F05408">
      <w:pPr>
        <w:jc w:val="both"/>
        <w:rPr>
          <w:rFonts w:ascii="Arial" w:hAnsi="Arial" w:cs="Arial"/>
          <w:sz w:val="20"/>
          <w:szCs w:val="20"/>
          <w:lang w:val="ro-RO" w:eastAsia="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F05408" w:rsidRPr="00F05408" w:rsidTr="00DF7226">
        <w:trPr>
          <w:trHeight w:val="456"/>
          <w:jc w:val="center"/>
        </w:trPr>
        <w:tc>
          <w:tcPr>
            <w:tcW w:w="9831" w:type="dxa"/>
            <w:shd w:val="clear" w:color="auto" w:fill="DBE5F1"/>
            <w:vAlign w:val="center"/>
          </w:tcPr>
          <w:p w:rsidR="00F05408" w:rsidRPr="00F05408" w:rsidRDefault="00F05408" w:rsidP="00F05408">
            <w:pPr>
              <w:rPr>
                <w:rFonts w:ascii="Arial Narrow" w:hAnsi="Arial Narrow"/>
                <w:b/>
                <w:i/>
                <w:color w:val="365F91"/>
                <w:lang w:val="ro-RO"/>
              </w:rPr>
            </w:pPr>
            <w:r w:rsidRPr="00F05408">
              <w:rPr>
                <w:rFonts w:ascii="Arial Narrow" w:hAnsi="Arial Narrow"/>
                <w:b/>
                <w:i/>
                <w:color w:val="365F91"/>
                <w:lang w:val="ro-RO"/>
              </w:rPr>
              <w:t>Sustenabilitatea pe termen lung a finanțelor publice</w:t>
            </w:r>
          </w:p>
        </w:tc>
      </w:tr>
    </w:tbl>
    <w:p w:rsidR="00F05408" w:rsidRPr="00F05408" w:rsidRDefault="00F05408" w:rsidP="00F05408">
      <w:pPr>
        <w:rPr>
          <w:sz w:val="20"/>
          <w:lang w:val="ro-RO"/>
        </w:rPr>
      </w:pPr>
    </w:p>
    <w:p w:rsidR="00F05408" w:rsidRPr="00F05408" w:rsidRDefault="00F05408" w:rsidP="00F05408">
      <w:pPr>
        <w:widowControl w:val="0"/>
        <w:jc w:val="both"/>
        <w:rPr>
          <w:rFonts w:ascii="Calibri" w:hAnsi="Calibri" w:cs="Calibri"/>
          <w:lang w:val="ro-RO"/>
        </w:rPr>
      </w:pPr>
      <w:r w:rsidRPr="00F05408">
        <w:rPr>
          <w:rFonts w:ascii="Calibri" w:hAnsi="Calibri" w:cs="Calibri"/>
          <w:lang w:val="ro-RO"/>
        </w:rPr>
        <w:t>Viabilitatea finanțelor publice pentru statele membre ale Uniunii Europene este analizată o dată la trei ani, atât în cadrul Raportului de sustenabilitate fiscală, cât și în cadrul Raportului privind îmbătrânirea populației, care cuprinde proiecții economice și bugetare pentru cele 28 de state membre ale Uniunii Europene. Raportul privind sustenabilitatea fiscala din 2015  a evidențiat pentru România lipsa, pe termen scurt, a riscurilor la adresa sustenabilității, un nivel scăzut al acestora pe termen mediu și unul moderat pe orizontul de proiecție, respectiv al anului 2060.  Nivelul datoriei publice este prognozat a rămâne semnificativ sub valoarea de referință de 60% din PIB, însă ar putea fi avute în vedere măsuri de consolidare pentru a limita creșterea costurilor cu îmbătrânirea populației (în special cele cu pensiile).</w:t>
      </w:r>
    </w:p>
    <w:p w:rsidR="00F05408" w:rsidRPr="00F05408" w:rsidRDefault="00F05408" w:rsidP="00F05408">
      <w:pPr>
        <w:widowControl w:val="0"/>
        <w:jc w:val="both"/>
        <w:rPr>
          <w:rFonts w:ascii="Calibri" w:hAnsi="Calibri" w:cs="Calibri"/>
          <w:sz w:val="10"/>
          <w:lang w:val="ro-RO"/>
        </w:rPr>
      </w:pPr>
    </w:p>
    <w:p w:rsidR="00F05408" w:rsidRPr="00F05408" w:rsidRDefault="00F05408" w:rsidP="00F05408">
      <w:pPr>
        <w:widowControl w:val="0"/>
        <w:jc w:val="both"/>
        <w:rPr>
          <w:rFonts w:ascii="Calibri" w:hAnsi="Calibri" w:cs="Calibri"/>
          <w:lang w:val="ro-RO"/>
        </w:rPr>
      </w:pPr>
      <w:r w:rsidRPr="00F05408">
        <w:rPr>
          <w:rFonts w:ascii="Calibri" w:hAnsi="Calibri" w:cs="Calibri"/>
          <w:lang w:val="ro-RO"/>
        </w:rPr>
        <w:t xml:space="preserve">În ceea ce privește Raportul privind îmbătrânirea populației, proiecțiilor pentru noul exercițiu din 2018 estimează că ponderea cheltuielilor cu pensiile în PIB se va  menține până la finele perioadei de proiecție (anul 2070, începând cu actuala rundă de proiecții), sub media UE. Riscurile s-ar amplifica, dacă balanța structurală primară ar reveni la valorile înregistrate în perioada 1998-2012. </w:t>
      </w:r>
    </w:p>
    <w:p w:rsidR="00F05408" w:rsidRPr="00F05408" w:rsidRDefault="00F05408" w:rsidP="00F05408">
      <w:pPr>
        <w:widowControl w:val="0"/>
        <w:jc w:val="both"/>
        <w:rPr>
          <w:rFonts w:ascii="Calibri" w:hAnsi="Calibri" w:cs="Calibri"/>
          <w:sz w:val="16"/>
          <w:lang w:val="ro-RO"/>
        </w:rPr>
      </w:pPr>
    </w:p>
    <w:p w:rsidR="00F05408" w:rsidRPr="00F05408" w:rsidRDefault="00F05408" w:rsidP="00F05408">
      <w:pPr>
        <w:widowControl w:val="0"/>
        <w:jc w:val="both"/>
        <w:rPr>
          <w:rFonts w:ascii="Calibri" w:hAnsi="Calibri" w:cs="Calibri"/>
          <w:lang w:val="ro-RO"/>
        </w:rPr>
      </w:pPr>
      <w:r w:rsidRPr="00F05408">
        <w:rPr>
          <w:rFonts w:ascii="Calibri" w:hAnsi="Calibri" w:cs="Calibri"/>
          <w:lang w:val="ro-RO"/>
        </w:rPr>
        <w:t>Față de exercițiul 2015, în cadrul căruia 26 din cele 28 state membre au preconizat o variație totală a costurilor bugetare legate de îmbătrânirea populației în scădere comparativ cu exercițiul precedent (2012), actuala rundă de proiecție prezintă o pondere echilibrată, desigur și în contextul extinderii orizontului de prognoză cu 10 ani.  Efortul general în rândul statelor membre rămâne și mai departe în direcția ajustărilor și reformelor din sectoarele pensiilor, sănătății și asistenței sociale.</w:t>
      </w:r>
    </w:p>
    <w:p w:rsidR="00F05408" w:rsidRPr="00F05408" w:rsidRDefault="00F05408" w:rsidP="00F05408">
      <w:pPr>
        <w:widowControl w:val="0"/>
        <w:jc w:val="both"/>
        <w:rPr>
          <w:rFonts w:ascii="Calibri" w:hAnsi="Calibri" w:cs="Calibri"/>
          <w:sz w:val="14"/>
          <w:lang w:val="ro-RO"/>
        </w:rPr>
      </w:pPr>
    </w:p>
    <w:p w:rsidR="00F05408" w:rsidRPr="00F05408" w:rsidRDefault="00F05408" w:rsidP="00F05408">
      <w:pPr>
        <w:widowControl w:val="0"/>
        <w:jc w:val="both"/>
        <w:rPr>
          <w:rFonts w:ascii="Calibri" w:hAnsi="Calibri" w:cs="Calibri"/>
          <w:lang w:val="ro-RO"/>
        </w:rPr>
      </w:pPr>
      <w:r w:rsidRPr="00F05408">
        <w:rPr>
          <w:rFonts w:ascii="Calibri" w:hAnsi="Calibri" w:cs="Calibri"/>
          <w:lang w:val="ro-RO"/>
        </w:rPr>
        <w:t>Proiecția actualizată a creșterii cheltuielilor strict legate de îmbătrânirea populației, indică, pentru România, un spor de 2,2 pp din PIB pentru perioada 2016-2070 (față de 2,1 pp variație prognozată în cadrul exercițiului anterior pentru perioada 2013-2060). Media europeană fiind de 1,8 pp în ambele runde). Pe principalele componente de cheltuieli:</w:t>
      </w:r>
    </w:p>
    <w:p w:rsidR="00F05408" w:rsidRPr="00F05408" w:rsidRDefault="00F05408" w:rsidP="00F05408">
      <w:pPr>
        <w:widowControl w:val="0"/>
        <w:numPr>
          <w:ilvl w:val="0"/>
          <w:numId w:val="76"/>
        </w:numPr>
        <w:jc w:val="both"/>
        <w:rPr>
          <w:rFonts w:ascii="Calibri" w:eastAsia="Calibri" w:hAnsi="Calibri" w:cs="Calibri"/>
          <w:szCs w:val="22"/>
          <w:lang w:val="ro-RO"/>
        </w:rPr>
      </w:pPr>
      <w:r w:rsidRPr="00F05408">
        <w:rPr>
          <w:rFonts w:ascii="Calibri" w:eastAsia="Calibri" w:hAnsi="Calibri" w:cs="Calibri"/>
          <w:szCs w:val="22"/>
          <w:lang w:val="ro-RO"/>
        </w:rPr>
        <w:t>0,7 pp din PIB reprezintă majorarea cheltuielilor cu pensiile (media europeană fiind de -0,2 pp)</w:t>
      </w:r>
    </w:p>
    <w:p w:rsidR="00F05408" w:rsidRPr="00F05408" w:rsidRDefault="00F05408" w:rsidP="00F05408">
      <w:pPr>
        <w:widowControl w:val="0"/>
        <w:numPr>
          <w:ilvl w:val="0"/>
          <w:numId w:val="76"/>
        </w:numPr>
        <w:jc w:val="both"/>
        <w:rPr>
          <w:rFonts w:ascii="Calibri" w:eastAsia="Calibri" w:hAnsi="Calibri" w:cs="Calibri"/>
          <w:szCs w:val="22"/>
          <w:lang w:val="ro-RO"/>
        </w:rPr>
      </w:pPr>
      <w:r w:rsidRPr="00F05408">
        <w:rPr>
          <w:rFonts w:ascii="Calibri" w:eastAsia="Calibri" w:hAnsi="Calibri" w:cs="Calibri"/>
          <w:szCs w:val="22"/>
          <w:lang w:val="ro-RO"/>
        </w:rPr>
        <w:t>1,2 pp din PIB reprezintă creșterea cheltuielilor cu sănătatea și îngrijirile pe termen lung (media europeană 2,1 pp)</w:t>
      </w:r>
    </w:p>
    <w:p w:rsidR="00F05408" w:rsidRPr="00F05408" w:rsidRDefault="00F05408" w:rsidP="00F05408">
      <w:pPr>
        <w:widowControl w:val="0"/>
        <w:numPr>
          <w:ilvl w:val="0"/>
          <w:numId w:val="76"/>
        </w:numPr>
        <w:jc w:val="both"/>
        <w:rPr>
          <w:rFonts w:ascii="Calibri" w:eastAsia="Calibri" w:hAnsi="Calibri" w:cs="Calibri"/>
          <w:szCs w:val="22"/>
          <w:lang w:val="ro-RO"/>
        </w:rPr>
      </w:pPr>
      <w:r w:rsidRPr="00F05408">
        <w:rPr>
          <w:rFonts w:ascii="Calibri" w:eastAsia="Calibri" w:hAnsi="Calibri" w:cs="Calibri"/>
          <w:szCs w:val="22"/>
          <w:lang w:val="ro-RO"/>
        </w:rPr>
        <w:t>0,3 pp din PIB reprezintă creșterea cheltuielilor din învățământ (media europeană 0,0 pp).</w:t>
      </w:r>
    </w:p>
    <w:p w:rsidR="00F05408" w:rsidRPr="00F05408" w:rsidRDefault="00F05408" w:rsidP="00F05408">
      <w:pPr>
        <w:widowControl w:val="0"/>
        <w:ind w:firstLine="660"/>
        <w:jc w:val="both"/>
        <w:rPr>
          <w:rFonts w:ascii="Calibri" w:hAnsi="Calibri" w:cs="Calibri"/>
          <w:lang w:val="ro-RO"/>
        </w:rPr>
      </w:pPr>
      <w:r w:rsidRPr="00F05408">
        <w:rPr>
          <w:rFonts w:ascii="Calibri" w:hAnsi="Calibri" w:cs="Calibri"/>
          <w:lang w:val="ro-RO"/>
        </w:rPr>
        <w:t xml:space="preserve">Comparativ cu evoluțiile la nivel european, ritmul de majorare a cheltuielilor legate de îmbătrânirea populației este marcat în România de o răsturnare mai accentuată a piramidei vârstelor. </w:t>
      </w:r>
    </w:p>
    <w:p w:rsidR="00F05408" w:rsidRPr="00F05408" w:rsidRDefault="00F05408" w:rsidP="000E5C0F">
      <w:pPr>
        <w:widowControl w:val="0"/>
        <w:jc w:val="both"/>
        <w:rPr>
          <w:rFonts w:ascii="Calibri" w:hAnsi="Calibri" w:cs="Calibri"/>
          <w:sz w:val="14"/>
          <w:lang w:val="ro-RO"/>
        </w:rPr>
      </w:pPr>
    </w:p>
    <w:p w:rsidR="00F05408" w:rsidRPr="00F05408" w:rsidRDefault="00F05408" w:rsidP="00F05408">
      <w:pPr>
        <w:jc w:val="both"/>
        <w:rPr>
          <w:rFonts w:ascii="Calibri" w:hAnsi="Calibri" w:cs="Calibri"/>
          <w:sz w:val="12"/>
          <w:lang w:val="ro-RO"/>
        </w:rPr>
      </w:pPr>
    </w:p>
    <w:p w:rsidR="00F05408" w:rsidRPr="00F05408" w:rsidRDefault="00F05408" w:rsidP="00F05408">
      <w:pPr>
        <w:jc w:val="center"/>
        <w:rPr>
          <w:rFonts w:ascii="Calibri" w:hAnsi="Calibri" w:cs="Calibri"/>
          <w:lang w:val="ro-RO"/>
        </w:rPr>
      </w:pPr>
      <w:r w:rsidRPr="00F05408">
        <w:rPr>
          <w:rFonts w:ascii="Calibri" w:hAnsi="Calibri" w:cs="Calibri"/>
          <w:noProof/>
          <w:lang w:val="ro-RO" w:eastAsia="ro-RO"/>
        </w:rPr>
        <w:drawing>
          <wp:inline distT="0" distB="0" distL="0" distR="0">
            <wp:extent cx="5481089" cy="3022762"/>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RAMIDELE.jpg"/>
                    <pic:cNvPicPr/>
                  </pic:nvPicPr>
                  <pic:blipFill>
                    <a:blip r:embed="rId55">
                      <a:extLst>
                        <a:ext uri="{28A0092B-C50C-407E-A947-70E740481C1C}">
                          <a14:useLocalDpi xmlns:a14="http://schemas.microsoft.com/office/drawing/2010/main" val="0"/>
                        </a:ext>
                      </a:extLst>
                    </a:blip>
                    <a:stretch>
                      <a:fillRect/>
                    </a:stretch>
                  </pic:blipFill>
                  <pic:spPr>
                    <a:xfrm>
                      <a:off x="0" y="0"/>
                      <a:ext cx="5493212" cy="3029448"/>
                    </a:xfrm>
                    <a:prstGeom prst="rect">
                      <a:avLst/>
                    </a:prstGeom>
                  </pic:spPr>
                </pic:pic>
              </a:graphicData>
            </a:graphic>
          </wp:inline>
        </w:drawing>
      </w:r>
    </w:p>
    <w:p w:rsidR="00F05408" w:rsidRPr="00F05408" w:rsidRDefault="00F05408" w:rsidP="00F05408">
      <w:pPr>
        <w:jc w:val="both"/>
        <w:rPr>
          <w:rFonts w:ascii="Calibri" w:hAnsi="Calibri" w:cs="Calibri"/>
          <w:lang w:val="ro-RO"/>
        </w:rPr>
      </w:pPr>
      <w:r w:rsidRPr="00F05408">
        <w:rPr>
          <w:rFonts w:ascii="Calibri" w:hAnsi="Calibri" w:cs="Calibri"/>
          <w:lang w:val="ro-RO"/>
        </w:rPr>
        <w:t>Schimbările demografice vor modifica structura populației României. Amploarea și viteza de îmbătrânire a populației depind de tendințele viitoare în ceea ce privește speranța de viață, fertilitatea și migrația.</w:t>
      </w:r>
    </w:p>
    <w:p w:rsidR="00F05408" w:rsidRPr="00F05408" w:rsidRDefault="00F05408" w:rsidP="00F05408">
      <w:pPr>
        <w:jc w:val="both"/>
        <w:rPr>
          <w:rFonts w:ascii="Calibri" w:hAnsi="Calibri" w:cs="Calibri"/>
          <w:sz w:val="12"/>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Procesul de îmbătrânire rapidă va modifica raportul dintre populația la vârsta de pensionare și populația activă, ceea ce va aduce schimbări majore în structura pe vârste și implicații negative pe piața forței de muncă. Raportul dintre persoanele în vârstă de peste 65 de ani și cele în vârstă de muncă (15-64 de ani) crește semnificativ, ceea ce înseamnă că în perspectiva următorilor ani sistemul public de pensii va avea resurse mult diminuate în raport cu cheltuielile.</w:t>
      </w:r>
    </w:p>
    <w:p w:rsidR="00F05408" w:rsidRPr="00F05408" w:rsidRDefault="00F05408" w:rsidP="00F05408">
      <w:pPr>
        <w:jc w:val="both"/>
        <w:rPr>
          <w:rFonts w:ascii="Calibri" w:hAnsi="Calibri" w:cs="Calibri"/>
          <w:sz w:val="12"/>
          <w:lang w:val="ro-RO"/>
        </w:rPr>
      </w:pPr>
    </w:p>
    <w:p w:rsidR="00F05408" w:rsidRPr="00F05408" w:rsidRDefault="00F05408" w:rsidP="00F05408">
      <w:pPr>
        <w:keepNext/>
        <w:jc w:val="center"/>
        <w:outlineLvl w:val="3"/>
        <w:rPr>
          <w:rFonts w:ascii="Calibri" w:hAnsi="Calibri"/>
          <w:bCs/>
          <w:color w:val="365F91"/>
          <w:szCs w:val="20"/>
          <w:lang w:val="ro-RO"/>
        </w:rPr>
      </w:pPr>
      <w:bookmarkStart w:id="11" w:name="_Toc418068963"/>
      <w:bookmarkStart w:id="12" w:name="_Toc512586758"/>
      <w:r w:rsidRPr="00F05408">
        <w:rPr>
          <w:rFonts w:ascii="Calibri" w:hAnsi="Calibri"/>
          <w:b/>
          <w:bCs/>
          <w:color w:val="365F91"/>
          <w:szCs w:val="20"/>
          <w:lang w:val="ro-RO"/>
        </w:rPr>
        <w:t>Grafic  Evoluția populației</w:t>
      </w:r>
      <w:bookmarkEnd w:id="11"/>
      <w:bookmarkEnd w:id="12"/>
    </w:p>
    <w:p w:rsidR="00F05408" w:rsidRPr="00F05408" w:rsidRDefault="00F05408" w:rsidP="00F05408">
      <w:pPr>
        <w:jc w:val="center"/>
        <w:rPr>
          <w:sz w:val="20"/>
          <w:szCs w:val="20"/>
          <w:lang w:val="ro-RO"/>
        </w:rPr>
      </w:pPr>
      <w:r w:rsidRPr="00F05408">
        <w:rPr>
          <w:rFonts w:asciiTheme="minorHAnsi" w:hAnsiTheme="minorHAnsi"/>
          <w:noProof/>
          <w:sz w:val="16"/>
          <w:szCs w:val="16"/>
          <w:lang w:val="ro-RO" w:eastAsia="ro-RO"/>
        </w:rPr>
        <w:drawing>
          <wp:inline distT="0" distB="0" distL="0" distR="0">
            <wp:extent cx="5133975" cy="2546430"/>
            <wp:effectExtent l="0" t="0" r="0" b="635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05408" w:rsidRPr="00F05408" w:rsidRDefault="00F05408" w:rsidP="00F05408">
      <w:pPr>
        <w:jc w:val="both"/>
        <w:rPr>
          <w:rFonts w:asciiTheme="minorHAnsi" w:hAnsiTheme="minorHAnsi"/>
          <w:i/>
          <w:color w:val="365F91"/>
          <w:sz w:val="18"/>
          <w:szCs w:val="20"/>
          <w:lang w:val="ro-RO"/>
        </w:rPr>
      </w:pPr>
      <w:r w:rsidRPr="001F3A7D">
        <w:rPr>
          <w:rFonts w:asciiTheme="minorHAnsi" w:hAnsiTheme="minorHAnsi"/>
          <w:i/>
          <w:color w:val="365F91"/>
          <w:sz w:val="18"/>
          <w:szCs w:val="20"/>
          <w:lang w:val="ro-RO"/>
        </w:rPr>
        <w:t>S</w:t>
      </w:r>
      <w:r w:rsidRPr="00F05408">
        <w:rPr>
          <w:rFonts w:asciiTheme="minorHAnsi" w:hAnsiTheme="minorHAnsi"/>
          <w:i/>
          <w:color w:val="365F91"/>
          <w:sz w:val="18"/>
          <w:szCs w:val="20"/>
          <w:lang w:val="ro-RO"/>
        </w:rPr>
        <w:t>ursa</w:t>
      </w:r>
      <w:r w:rsidRPr="001F3A7D">
        <w:rPr>
          <w:rFonts w:asciiTheme="minorHAnsi" w:hAnsiTheme="minorHAnsi"/>
          <w:i/>
          <w:color w:val="365F91"/>
          <w:sz w:val="18"/>
          <w:szCs w:val="20"/>
          <w:lang w:val="ro-RO"/>
        </w:rPr>
        <w:t>: Eurostat- EUROPOP 2016</w:t>
      </w:r>
    </w:p>
    <w:p w:rsidR="00F05408" w:rsidRPr="00F05408" w:rsidRDefault="00F05408" w:rsidP="00F05408">
      <w:pPr>
        <w:jc w:val="both"/>
        <w:rPr>
          <w:sz w:val="20"/>
          <w:szCs w:val="20"/>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Compoziția pe vârste a populației va fi profund afectată în perioada 2016-2070: ponderea populației în vârstă de muncă (15-64 ani) va înregistra o scădere semnificativă de 11,8 puncte procentuale în perioada intervalului de prognoză în timp ce ponderea populației cu vârsta peste 65 de ani va crește în acest interval cu 11,6 puncte procentuale.</w:t>
      </w:r>
    </w:p>
    <w:p w:rsidR="00F05408" w:rsidRPr="00F05408" w:rsidRDefault="00F05408" w:rsidP="00F05408">
      <w:pPr>
        <w:jc w:val="both"/>
        <w:rPr>
          <w:rFonts w:ascii="Calibri" w:hAnsi="Calibri" w:cs="Calibri"/>
          <w:sz w:val="12"/>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Procesul de îmbătrânire a populației este și o consecință a nivelului scăzut al fertilității: în anul 2015 rata de fertilitate a fost de 1,58 copii per femeie, situându-se sub nivelul optim de reproducere, aceasta urmând, conform estimărilor Eurostat, să crească la 1,89 în anul 2070.</w:t>
      </w:r>
    </w:p>
    <w:p w:rsidR="00F05408" w:rsidRPr="00F05408" w:rsidRDefault="00F05408" w:rsidP="00F05408">
      <w:pPr>
        <w:jc w:val="both"/>
        <w:rPr>
          <w:rFonts w:ascii="Calibri" w:hAnsi="Calibri" w:cs="Calibri"/>
          <w:sz w:val="12"/>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Rezultatele previziunii demografice oferite de Eurostat pentru România</w:t>
      </w:r>
      <w:r w:rsidRPr="00F05408">
        <w:rPr>
          <w:rFonts w:ascii="Calibri" w:eastAsia="Calibri" w:hAnsi="Calibri" w:cs="Calibri"/>
          <w:vertAlign w:val="superscript"/>
          <w:lang w:val="ro-RO"/>
        </w:rPr>
        <w:footnoteReference w:id="53"/>
      </w:r>
      <w:r w:rsidRPr="00F05408">
        <w:rPr>
          <w:rFonts w:ascii="Calibri" w:hAnsi="Calibri" w:cs="Calibri"/>
          <w:lang w:val="ro-RO"/>
        </w:rPr>
        <w:t>, indică o scădere semnificativă a populației, cu 4,7 milioane persoane mai puțin în 2070 comparativ cu anul 2016. Deși populația tânără este în scădere ca urmare a numărului tot mai redus al femeilor aflate la vârsta de fertilitate, există totuși o serie de semnale pozitive din creșterea ratei fertilității.</w:t>
      </w:r>
    </w:p>
    <w:p w:rsidR="00F05408" w:rsidRPr="00F05408" w:rsidRDefault="00F05408" w:rsidP="00F05408">
      <w:pPr>
        <w:jc w:val="both"/>
        <w:rPr>
          <w:rFonts w:ascii="Calibri" w:hAnsi="Calibri" w:cs="Calibri"/>
          <w:sz w:val="10"/>
          <w:lang w:val="ro-RO"/>
        </w:rPr>
      </w:pPr>
    </w:p>
    <w:p w:rsidR="00F05408" w:rsidRPr="00F05408" w:rsidRDefault="00F05408" w:rsidP="00F05408">
      <w:pPr>
        <w:keepNext/>
        <w:jc w:val="center"/>
        <w:outlineLvl w:val="3"/>
        <w:rPr>
          <w:rFonts w:ascii="Calibri" w:hAnsi="Calibri"/>
          <w:bCs/>
          <w:i/>
          <w:color w:val="365F91"/>
          <w:szCs w:val="20"/>
          <w:lang w:val="ro-RO"/>
        </w:rPr>
      </w:pPr>
      <w:bookmarkStart w:id="13" w:name="_Toc418068107"/>
      <w:bookmarkStart w:id="14" w:name="_Toc512340248"/>
      <w:bookmarkStart w:id="15" w:name="_Toc512586766"/>
      <w:r w:rsidRPr="00F05408">
        <w:rPr>
          <w:rFonts w:ascii="Calibri" w:hAnsi="Calibri"/>
          <w:b/>
          <w:bCs/>
          <w:color w:val="365F91"/>
          <w:szCs w:val="20"/>
          <w:lang w:val="ro-RO"/>
        </w:rPr>
        <w:t>Tabel  -  Indicatori demografici</w:t>
      </w:r>
      <w:bookmarkEnd w:id="13"/>
      <w:bookmarkEnd w:id="14"/>
      <w:bookmarkEnd w:id="15"/>
    </w:p>
    <w:tbl>
      <w:tblPr>
        <w:tblW w:w="0" w:type="auto"/>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3220"/>
        <w:gridCol w:w="1142"/>
        <w:gridCol w:w="1032"/>
        <w:gridCol w:w="1064"/>
        <w:gridCol w:w="1039"/>
        <w:gridCol w:w="8"/>
        <w:gridCol w:w="1048"/>
        <w:gridCol w:w="1052"/>
      </w:tblGrid>
      <w:tr w:rsidR="00F05408" w:rsidRPr="00F05408" w:rsidTr="00F05408">
        <w:trPr>
          <w:trHeight w:val="449"/>
          <w:jc w:val="center"/>
        </w:trPr>
        <w:tc>
          <w:tcPr>
            <w:tcW w:w="3220" w:type="dxa"/>
            <w:shd w:val="clear" w:color="auto" w:fill="365F91"/>
            <w:vAlign w:val="center"/>
          </w:tcPr>
          <w:p w:rsidR="00F05408" w:rsidRPr="00F05408" w:rsidRDefault="00F05408" w:rsidP="00F05408">
            <w:pPr>
              <w:jc w:val="center"/>
              <w:rPr>
                <w:rFonts w:ascii="Calibri" w:hAnsi="Calibri"/>
                <w:i/>
                <w:color w:val="FFFFFF" w:themeColor="background1"/>
                <w:sz w:val="22"/>
                <w:lang w:val="ro-RO"/>
              </w:rPr>
            </w:pPr>
          </w:p>
        </w:tc>
        <w:tc>
          <w:tcPr>
            <w:tcW w:w="1142"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16" w:name="_Toc418006741"/>
            <w:r w:rsidRPr="00F05408">
              <w:rPr>
                <w:rFonts w:ascii="Calibri" w:hAnsi="Calibri" w:cs="Calibri"/>
                <w:b/>
                <w:bCs/>
                <w:i/>
                <w:color w:val="FFFFFF" w:themeColor="background1"/>
                <w:sz w:val="22"/>
                <w:lang w:val="ro-RO"/>
              </w:rPr>
              <w:t>2013</w:t>
            </w:r>
            <w:bookmarkEnd w:id="16"/>
          </w:p>
        </w:tc>
        <w:tc>
          <w:tcPr>
            <w:tcW w:w="1032"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17" w:name="_Toc418006742"/>
            <w:r w:rsidRPr="00F05408">
              <w:rPr>
                <w:rFonts w:ascii="Calibri" w:hAnsi="Calibri" w:cs="Calibri"/>
                <w:b/>
                <w:bCs/>
                <w:i/>
                <w:color w:val="FFFFFF" w:themeColor="background1"/>
                <w:sz w:val="22"/>
                <w:lang w:val="ro-RO"/>
              </w:rPr>
              <w:t>2020</w:t>
            </w:r>
            <w:bookmarkEnd w:id="17"/>
          </w:p>
        </w:tc>
        <w:tc>
          <w:tcPr>
            <w:tcW w:w="1064"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18" w:name="_Toc418006743"/>
            <w:r w:rsidRPr="00F05408">
              <w:rPr>
                <w:rFonts w:ascii="Calibri" w:hAnsi="Calibri" w:cs="Calibri"/>
                <w:b/>
                <w:bCs/>
                <w:i/>
                <w:color w:val="FFFFFF" w:themeColor="background1"/>
                <w:sz w:val="22"/>
                <w:lang w:val="ro-RO"/>
              </w:rPr>
              <w:t>2030</w:t>
            </w:r>
            <w:bookmarkEnd w:id="18"/>
          </w:p>
        </w:tc>
        <w:tc>
          <w:tcPr>
            <w:tcW w:w="1039"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19" w:name="_Toc418006744"/>
            <w:r w:rsidRPr="00F05408">
              <w:rPr>
                <w:rFonts w:ascii="Calibri" w:hAnsi="Calibri" w:cs="Calibri"/>
                <w:b/>
                <w:bCs/>
                <w:i/>
                <w:color w:val="FFFFFF" w:themeColor="background1"/>
                <w:sz w:val="22"/>
                <w:lang w:val="ro-RO"/>
              </w:rPr>
              <w:t>2040</w:t>
            </w:r>
            <w:bookmarkEnd w:id="19"/>
          </w:p>
        </w:tc>
        <w:tc>
          <w:tcPr>
            <w:tcW w:w="1056" w:type="dxa"/>
            <w:gridSpan w:val="2"/>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0" w:name="_Toc418006745"/>
            <w:r w:rsidRPr="00F05408">
              <w:rPr>
                <w:rFonts w:ascii="Calibri" w:hAnsi="Calibri" w:cs="Calibri"/>
                <w:b/>
                <w:bCs/>
                <w:i/>
                <w:color w:val="FFFFFF" w:themeColor="background1"/>
                <w:sz w:val="22"/>
                <w:lang w:val="ro-RO"/>
              </w:rPr>
              <w:t>2050</w:t>
            </w:r>
            <w:bookmarkEnd w:id="20"/>
          </w:p>
        </w:tc>
        <w:tc>
          <w:tcPr>
            <w:tcW w:w="1052"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1" w:name="_Toc418006746"/>
            <w:r w:rsidRPr="00F05408">
              <w:rPr>
                <w:rFonts w:ascii="Calibri" w:hAnsi="Calibri" w:cs="Calibri"/>
                <w:b/>
                <w:bCs/>
                <w:i/>
                <w:color w:val="FFFFFF" w:themeColor="background1"/>
                <w:sz w:val="22"/>
                <w:lang w:val="ro-RO"/>
              </w:rPr>
              <w:t>2060</w:t>
            </w:r>
            <w:bookmarkEnd w:id="21"/>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Rata de fertilitate</w:t>
            </w:r>
          </w:p>
        </w:tc>
        <w:tc>
          <w:tcPr>
            <w:tcW w:w="114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1,65</w:t>
            </w:r>
          </w:p>
        </w:tc>
        <w:tc>
          <w:tcPr>
            <w:tcW w:w="103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1,73</w:t>
            </w:r>
          </w:p>
        </w:tc>
        <w:tc>
          <w:tcPr>
            <w:tcW w:w="1064"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1,79</w:t>
            </w:r>
          </w:p>
        </w:tc>
        <w:tc>
          <w:tcPr>
            <w:tcW w:w="1039"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1,81</w:t>
            </w:r>
          </w:p>
        </w:tc>
        <w:tc>
          <w:tcPr>
            <w:tcW w:w="1056" w:type="dxa"/>
            <w:gridSpan w:val="2"/>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1,82</w:t>
            </w:r>
          </w:p>
        </w:tc>
        <w:tc>
          <w:tcPr>
            <w:tcW w:w="105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1,83</w:t>
            </w: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Populație - total mil.</w:t>
            </w:r>
          </w:p>
        </w:tc>
        <w:tc>
          <w:tcPr>
            <w:tcW w:w="114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20,02</w:t>
            </w:r>
          </w:p>
        </w:tc>
        <w:tc>
          <w:tcPr>
            <w:tcW w:w="103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19,69</w:t>
            </w:r>
          </w:p>
        </w:tc>
        <w:tc>
          <w:tcPr>
            <w:tcW w:w="1064"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19,00</w:t>
            </w:r>
          </w:p>
        </w:tc>
        <w:tc>
          <w:tcPr>
            <w:tcW w:w="1039"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18,46</w:t>
            </w:r>
          </w:p>
        </w:tc>
        <w:tc>
          <w:tcPr>
            <w:tcW w:w="1056" w:type="dxa"/>
            <w:gridSpan w:val="2"/>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17,97</w:t>
            </w:r>
          </w:p>
        </w:tc>
        <w:tc>
          <w:tcPr>
            <w:tcW w:w="105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17,44</w:t>
            </w: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din care:</w:t>
            </w:r>
          </w:p>
        </w:tc>
        <w:tc>
          <w:tcPr>
            <w:tcW w:w="1142" w:type="dxa"/>
          </w:tcPr>
          <w:p w:rsidR="00F05408" w:rsidRPr="00F05408" w:rsidRDefault="00F05408" w:rsidP="00F05408">
            <w:pPr>
              <w:jc w:val="center"/>
              <w:rPr>
                <w:rFonts w:ascii="Calibri" w:hAnsi="Calibri" w:cs="Calibri"/>
                <w:color w:val="365F91"/>
                <w:sz w:val="22"/>
                <w:lang w:val="ro-RO"/>
              </w:rPr>
            </w:pPr>
          </w:p>
        </w:tc>
        <w:tc>
          <w:tcPr>
            <w:tcW w:w="1032" w:type="dxa"/>
          </w:tcPr>
          <w:p w:rsidR="00F05408" w:rsidRPr="00F05408" w:rsidRDefault="00F05408" w:rsidP="00F05408">
            <w:pPr>
              <w:jc w:val="center"/>
              <w:rPr>
                <w:rFonts w:ascii="Calibri" w:hAnsi="Calibri" w:cs="Calibri"/>
                <w:color w:val="365F91"/>
                <w:sz w:val="22"/>
                <w:lang w:val="ro-RO"/>
              </w:rPr>
            </w:pPr>
          </w:p>
        </w:tc>
        <w:tc>
          <w:tcPr>
            <w:tcW w:w="1064" w:type="dxa"/>
          </w:tcPr>
          <w:p w:rsidR="00F05408" w:rsidRPr="00F05408" w:rsidRDefault="00F05408" w:rsidP="00F05408">
            <w:pPr>
              <w:jc w:val="center"/>
              <w:rPr>
                <w:rFonts w:ascii="Calibri" w:hAnsi="Calibri" w:cs="Calibri"/>
                <w:color w:val="365F91"/>
                <w:sz w:val="22"/>
                <w:lang w:val="ro-RO"/>
              </w:rPr>
            </w:pPr>
          </w:p>
        </w:tc>
        <w:tc>
          <w:tcPr>
            <w:tcW w:w="1039" w:type="dxa"/>
          </w:tcPr>
          <w:p w:rsidR="00F05408" w:rsidRPr="00F05408" w:rsidRDefault="00F05408" w:rsidP="00F05408">
            <w:pPr>
              <w:jc w:val="center"/>
              <w:rPr>
                <w:rFonts w:ascii="Calibri" w:hAnsi="Calibri" w:cs="Calibri"/>
                <w:color w:val="365F91"/>
                <w:sz w:val="22"/>
                <w:lang w:val="ro-RO"/>
              </w:rPr>
            </w:pPr>
          </w:p>
        </w:tc>
        <w:tc>
          <w:tcPr>
            <w:tcW w:w="1056" w:type="dxa"/>
            <w:gridSpan w:val="2"/>
          </w:tcPr>
          <w:p w:rsidR="00F05408" w:rsidRPr="00F05408" w:rsidRDefault="00F05408" w:rsidP="00F05408">
            <w:pPr>
              <w:jc w:val="center"/>
              <w:rPr>
                <w:rFonts w:ascii="Calibri" w:hAnsi="Calibri" w:cs="Calibri"/>
                <w:color w:val="365F91"/>
                <w:sz w:val="22"/>
                <w:lang w:val="ro-RO"/>
              </w:rPr>
            </w:pPr>
          </w:p>
        </w:tc>
        <w:tc>
          <w:tcPr>
            <w:tcW w:w="1052" w:type="dxa"/>
          </w:tcPr>
          <w:p w:rsidR="00F05408" w:rsidRPr="00F05408" w:rsidRDefault="00F05408" w:rsidP="00F05408">
            <w:pPr>
              <w:jc w:val="center"/>
              <w:rPr>
                <w:rFonts w:ascii="Calibri" w:hAnsi="Calibri" w:cs="Calibri"/>
                <w:color w:val="365F91"/>
                <w:sz w:val="22"/>
                <w:lang w:val="ro-RO"/>
              </w:rPr>
            </w:pP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Bărbați</w:t>
            </w:r>
          </w:p>
        </w:tc>
        <w:tc>
          <w:tcPr>
            <w:tcW w:w="114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9,76</w:t>
            </w:r>
          </w:p>
        </w:tc>
        <w:tc>
          <w:tcPr>
            <w:tcW w:w="103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9,59</w:t>
            </w:r>
          </w:p>
        </w:tc>
        <w:tc>
          <w:tcPr>
            <w:tcW w:w="1064"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9,26</w:t>
            </w:r>
          </w:p>
        </w:tc>
        <w:tc>
          <w:tcPr>
            <w:tcW w:w="1039"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9,02</w:t>
            </w:r>
          </w:p>
        </w:tc>
        <w:tc>
          <w:tcPr>
            <w:tcW w:w="1056" w:type="dxa"/>
            <w:gridSpan w:val="2"/>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8,81</w:t>
            </w:r>
          </w:p>
        </w:tc>
        <w:tc>
          <w:tcPr>
            <w:tcW w:w="105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8,57</w:t>
            </w: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Femei</w:t>
            </w:r>
          </w:p>
        </w:tc>
        <w:tc>
          <w:tcPr>
            <w:tcW w:w="114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10,26</w:t>
            </w:r>
          </w:p>
        </w:tc>
        <w:tc>
          <w:tcPr>
            <w:tcW w:w="103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10,10</w:t>
            </w:r>
          </w:p>
        </w:tc>
        <w:tc>
          <w:tcPr>
            <w:tcW w:w="1064"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9,74</w:t>
            </w:r>
          </w:p>
        </w:tc>
        <w:tc>
          <w:tcPr>
            <w:tcW w:w="1039"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9,44</w:t>
            </w:r>
          </w:p>
        </w:tc>
        <w:tc>
          <w:tcPr>
            <w:tcW w:w="1056" w:type="dxa"/>
            <w:gridSpan w:val="2"/>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9,16</w:t>
            </w:r>
          </w:p>
        </w:tc>
        <w:tc>
          <w:tcPr>
            <w:tcW w:w="1052" w:type="dxa"/>
            <w:vAlign w:val="bottom"/>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8,87</w:t>
            </w:r>
          </w:p>
        </w:tc>
      </w:tr>
      <w:tr w:rsidR="00F05408" w:rsidRPr="00AC4302"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Speranța de viață la naștere</w:t>
            </w:r>
          </w:p>
        </w:tc>
        <w:tc>
          <w:tcPr>
            <w:tcW w:w="1142" w:type="dxa"/>
          </w:tcPr>
          <w:p w:rsidR="00F05408" w:rsidRPr="00F05408" w:rsidRDefault="00F05408" w:rsidP="00F05408">
            <w:pPr>
              <w:jc w:val="center"/>
              <w:rPr>
                <w:rFonts w:ascii="Calibri" w:hAnsi="Calibri" w:cs="Calibri"/>
                <w:color w:val="365F91"/>
                <w:sz w:val="22"/>
                <w:lang w:val="ro-RO"/>
              </w:rPr>
            </w:pPr>
          </w:p>
        </w:tc>
        <w:tc>
          <w:tcPr>
            <w:tcW w:w="1032" w:type="dxa"/>
          </w:tcPr>
          <w:p w:rsidR="00F05408" w:rsidRPr="00F05408" w:rsidRDefault="00F05408" w:rsidP="00F05408">
            <w:pPr>
              <w:jc w:val="center"/>
              <w:rPr>
                <w:rFonts w:ascii="Calibri" w:hAnsi="Calibri" w:cs="Calibri"/>
                <w:color w:val="365F91"/>
                <w:sz w:val="22"/>
                <w:lang w:val="ro-RO"/>
              </w:rPr>
            </w:pPr>
          </w:p>
        </w:tc>
        <w:tc>
          <w:tcPr>
            <w:tcW w:w="1064" w:type="dxa"/>
          </w:tcPr>
          <w:p w:rsidR="00F05408" w:rsidRPr="00F05408" w:rsidRDefault="00F05408" w:rsidP="00F05408">
            <w:pPr>
              <w:jc w:val="center"/>
              <w:rPr>
                <w:rFonts w:ascii="Calibri" w:hAnsi="Calibri" w:cs="Calibri"/>
                <w:color w:val="365F91"/>
                <w:sz w:val="22"/>
                <w:lang w:val="ro-RO"/>
              </w:rPr>
            </w:pPr>
          </w:p>
        </w:tc>
        <w:tc>
          <w:tcPr>
            <w:tcW w:w="1047" w:type="dxa"/>
            <w:gridSpan w:val="2"/>
          </w:tcPr>
          <w:p w:rsidR="00F05408" w:rsidRPr="00F05408" w:rsidRDefault="00F05408" w:rsidP="00F05408">
            <w:pPr>
              <w:jc w:val="center"/>
              <w:rPr>
                <w:rFonts w:ascii="Calibri" w:hAnsi="Calibri" w:cs="Calibri"/>
                <w:color w:val="365F91"/>
                <w:sz w:val="22"/>
                <w:lang w:val="ro-RO"/>
              </w:rPr>
            </w:pPr>
          </w:p>
        </w:tc>
        <w:tc>
          <w:tcPr>
            <w:tcW w:w="1048" w:type="dxa"/>
          </w:tcPr>
          <w:p w:rsidR="00F05408" w:rsidRPr="00F05408" w:rsidRDefault="00F05408" w:rsidP="00F05408">
            <w:pPr>
              <w:jc w:val="center"/>
              <w:rPr>
                <w:rFonts w:ascii="Calibri" w:hAnsi="Calibri" w:cs="Calibri"/>
                <w:color w:val="365F91"/>
                <w:sz w:val="22"/>
                <w:lang w:val="ro-RO"/>
              </w:rPr>
            </w:pPr>
          </w:p>
        </w:tc>
        <w:tc>
          <w:tcPr>
            <w:tcW w:w="1052" w:type="dxa"/>
          </w:tcPr>
          <w:p w:rsidR="00F05408" w:rsidRPr="00F05408" w:rsidRDefault="00F05408" w:rsidP="00F05408">
            <w:pPr>
              <w:jc w:val="center"/>
              <w:rPr>
                <w:rFonts w:ascii="Calibri" w:hAnsi="Calibri" w:cs="Calibri"/>
                <w:color w:val="365F91"/>
                <w:sz w:val="22"/>
                <w:lang w:val="ro-RO"/>
              </w:rPr>
            </w:pP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Bărbați</w:t>
            </w:r>
          </w:p>
        </w:tc>
        <w:tc>
          <w:tcPr>
            <w:tcW w:w="114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70,8</w:t>
            </w:r>
          </w:p>
        </w:tc>
        <w:tc>
          <w:tcPr>
            <w:tcW w:w="103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72,8</w:t>
            </w:r>
          </w:p>
        </w:tc>
        <w:tc>
          <w:tcPr>
            <w:tcW w:w="1064"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75,4</w:t>
            </w:r>
          </w:p>
        </w:tc>
        <w:tc>
          <w:tcPr>
            <w:tcW w:w="1047" w:type="dxa"/>
            <w:gridSpan w:val="2"/>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77,8</w:t>
            </w:r>
          </w:p>
        </w:tc>
        <w:tc>
          <w:tcPr>
            <w:tcW w:w="1048"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80,0</w:t>
            </w:r>
          </w:p>
        </w:tc>
        <w:tc>
          <w:tcPr>
            <w:tcW w:w="105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82,0</w:t>
            </w: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Femei</w:t>
            </w:r>
          </w:p>
        </w:tc>
        <w:tc>
          <w:tcPr>
            <w:tcW w:w="114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77,9</w:t>
            </w:r>
          </w:p>
        </w:tc>
        <w:tc>
          <w:tcPr>
            <w:tcW w:w="103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79,5</w:t>
            </w:r>
          </w:p>
        </w:tc>
        <w:tc>
          <w:tcPr>
            <w:tcW w:w="1064"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81,6</w:t>
            </w:r>
          </w:p>
        </w:tc>
        <w:tc>
          <w:tcPr>
            <w:tcW w:w="1047" w:type="dxa"/>
            <w:gridSpan w:val="2"/>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83,5</w:t>
            </w:r>
          </w:p>
        </w:tc>
        <w:tc>
          <w:tcPr>
            <w:tcW w:w="1048"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85,1</w:t>
            </w:r>
          </w:p>
        </w:tc>
        <w:tc>
          <w:tcPr>
            <w:tcW w:w="105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86,7</w:t>
            </w:r>
          </w:p>
        </w:tc>
      </w:tr>
      <w:tr w:rsidR="00F05408" w:rsidRPr="00AC4302"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Speranța de viață la vârsta de 65 ani</w:t>
            </w:r>
          </w:p>
        </w:tc>
        <w:tc>
          <w:tcPr>
            <w:tcW w:w="1142" w:type="dxa"/>
          </w:tcPr>
          <w:p w:rsidR="00F05408" w:rsidRPr="00F05408" w:rsidRDefault="00F05408" w:rsidP="00F05408">
            <w:pPr>
              <w:rPr>
                <w:rFonts w:ascii="Calibri" w:hAnsi="Calibri" w:cs="Calibri"/>
                <w:color w:val="365F91"/>
                <w:sz w:val="22"/>
                <w:lang w:val="ro-RO"/>
              </w:rPr>
            </w:pPr>
          </w:p>
        </w:tc>
        <w:tc>
          <w:tcPr>
            <w:tcW w:w="1032" w:type="dxa"/>
          </w:tcPr>
          <w:p w:rsidR="00F05408" w:rsidRPr="00F05408" w:rsidRDefault="00F05408" w:rsidP="00F05408">
            <w:pPr>
              <w:rPr>
                <w:rFonts w:ascii="Calibri" w:hAnsi="Calibri" w:cs="Calibri"/>
                <w:color w:val="365F91"/>
                <w:sz w:val="22"/>
                <w:lang w:val="ro-RO"/>
              </w:rPr>
            </w:pPr>
          </w:p>
        </w:tc>
        <w:tc>
          <w:tcPr>
            <w:tcW w:w="1064" w:type="dxa"/>
          </w:tcPr>
          <w:p w:rsidR="00F05408" w:rsidRPr="00F05408" w:rsidRDefault="00F05408" w:rsidP="00F05408">
            <w:pPr>
              <w:rPr>
                <w:rFonts w:ascii="Calibri" w:hAnsi="Calibri" w:cs="Calibri"/>
                <w:color w:val="365F91"/>
                <w:sz w:val="22"/>
                <w:lang w:val="ro-RO"/>
              </w:rPr>
            </w:pPr>
          </w:p>
        </w:tc>
        <w:tc>
          <w:tcPr>
            <w:tcW w:w="1047" w:type="dxa"/>
            <w:gridSpan w:val="2"/>
          </w:tcPr>
          <w:p w:rsidR="00F05408" w:rsidRPr="00F05408" w:rsidRDefault="00F05408" w:rsidP="00F05408">
            <w:pPr>
              <w:rPr>
                <w:rFonts w:ascii="Calibri" w:hAnsi="Calibri" w:cs="Calibri"/>
                <w:color w:val="365F91"/>
                <w:sz w:val="22"/>
                <w:lang w:val="ro-RO"/>
              </w:rPr>
            </w:pPr>
          </w:p>
        </w:tc>
        <w:tc>
          <w:tcPr>
            <w:tcW w:w="1048" w:type="dxa"/>
          </w:tcPr>
          <w:p w:rsidR="00F05408" w:rsidRPr="00F05408" w:rsidRDefault="00F05408" w:rsidP="00F05408">
            <w:pPr>
              <w:rPr>
                <w:rFonts w:ascii="Calibri" w:hAnsi="Calibri" w:cs="Calibri"/>
                <w:color w:val="365F91"/>
                <w:sz w:val="22"/>
                <w:lang w:val="ro-RO"/>
              </w:rPr>
            </w:pPr>
          </w:p>
        </w:tc>
        <w:tc>
          <w:tcPr>
            <w:tcW w:w="1052" w:type="dxa"/>
          </w:tcPr>
          <w:p w:rsidR="00F05408" w:rsidRPr="00F05408" w:rsidRDefault="00F05408" w:rsidP="00F05408">
            <w:pPr>
              <w:rPr>
                <w:rFonts w:ascii="Calibri" w:hAnsi="Calibri" w:cs="Calibri"/>
                <w:color w:val="365F91"/>
                <w:sz w:val="22"/>
                <w:lang w:val="ro-RO"/>
              </w:rPr>
            </w:pP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Bărbați</w:t>
            </w:r>
          </w:p>
        </w:tc>
        <w:tc>
          <w:tcPr>
            <w:tcW w:w="114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14,5</w:t>
            </w:r>
          </w:p>
        </w:tc>
        <w:tc>
          <w:tcPr>
            <w:tcW w:w="103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15,5</w:t>
            </w:r>
          </w:p>
        </w:tc>
        <w:tc>
          <w:tcPr>
            <w:tcW w:w="1064"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16,9</w:t>
            </w:r>
          </w:p>
        </w:tc>
        <w:tc>
          <w:tcPr>
            <w:tcW w:w="1047" w:type="dxa"/>
            <w:gridSpan w:val="2"/>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18,3</w:t>
            </w:r>
          </w:p>
        </w:tc>
        <w:tc>
          <w:tcPr>
            <w:tcW w:w="1048"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19,6</w:t>
            </w:r>
          </w:p>
        </w:tc>
        <w:tc>
          <w:tcPr>
            <w:tcW w:w="105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20,8</w:t>
            </w:r>
          </w:p>
        </w:tc>
      </w:tr>
      <w:tr w:rsidR="00F05408" w:rsidRPr="00F05408" w:rsidTr="00F05408">
        <w:trPr>
          <w:jc w:val="center"/>
        </w:trPr>
        <w:tc>
          <w:tcPr>
            <w:tcW w:w="3220" w:type="dxa"/>
          </w:tcPr>
          <w:p w:rsidR="00F05408" w:rsidRPr="00F05408" w:rsidRDefault="00F05408" w:rsidP="00F05408">
            <w:pPr>
              <w:rPr>
                <w:rFonts w:ascii="Calibri" w:hAnsi="Calibri" w:cs="Calibri"/>
                <w:color w:val="365F91"/>
                <w:sz w:val="22"/>
                <w:lang w:val="ro-RO"/>
              </w:rPr>
            </w:pPr>
            <w:r w:rsidRPr="00F05408">
              <w:rPr>
                <w:rFonts w:ascii="Calibri" w:hAnsi="Calibri" w:cs="Calibri"/>
                <w:color w:val="365F91"/>
                <w:sz w:val="22"/>
                <w:lang w:val="ro-RO"/>
              </w:rPr>
              <w:t xml:space="preserve">           Femei</w:t>
            </w:r>
          </w:p>
        </w:tc>
        <w:tc>
          <w:tcPr>
            <w:tcW w:w="114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17,8</w:t>
            </w:r>
          </w:p>
        </w:tc>
        <w:tc>
          <w:tcPr>
            <w:tcW w:w="103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18,8</w:t>
            </w:r>
          </w:p>
        </w:tc>
        <w:tc>
          <w:tcPr>
            <w:tcW w:w="1064"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20,1</w:t>
            </w:r>
          </w:p>
        </w:tc>
        <w:tc>
          <w:tcPr>
            <w:tcW w:w="1047" w:type="dxa"/>
            <w:gridSpan w:val="2"/>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21,4</w:t>
            </w:r>
          </w:p>
        </w:tc>
        <w:tc>
          <w:tcPr>
            <w:tcW w:w="1048"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22,7</w:t>
            </w:r>
          </w:p>
        </w:tc>
        <w:tc>
          <w:tcPr>
            <w:tcW w:w="1052" w:type="dxa"/>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23,9</w:t>
            </w:r>
          </w:p>
        </w:tc>
      </w:tr>
    </w:tbl>
    <w:p w:rsidR="00F05408" w:rsidRPr="00F05408" w:rsidRDefault="00F05408" w:rsidP="00F05408">
      <w:pPr>
        <w:rPr>
          <w:rFonts w:asciiTheme="minorHAnsi" w:hAnsiTheme="minorHAnsi" w:cs="Calibri"/>
          <w:i/>
          <w:color w:val="365F91"/>
          <w:sz w:val="16"/>
          <w:szCs w:val="20"/>
          <w:lang w:val="ro-RO"/>
        </w:rPr>
      </w:pPr>
      <w:r w:rsidRPr="00F05408">
        <w:rPr>
          <w:rFonts w:asciiTheme="minorHAnsi" w:hAnsiTheme="minorHAnsi" w:cs="Calibri"/>
          <w:i/>
          <w:color w:val="365F91"/>
          <w:sz w:val="16"/>
          <w:szCs w:val="20"/>
          <w:lang w:val="ro-RO"/>
        </w:rPr>
        <w:t xml:space="preserve">  Sursa: Eurostat-EUROPOP 2013</w:t>
      </w:r>
    </w:p>
    <w:p w:rsidR="00F05408" w:rsidRPr="00F05408" w:rsidRDefault="00F05408" w:rsidP="00F05408">
      <w:pPr>
        <w:rPr>
          <w:rFonts w:ascii="Calibri" w:hAnsi="Calibri" w:cs="Calibri"/>
          <w:color w:val="FF0000"/>
          <w:sz w:val="16"/>
          <w:szCs w:val="18"/>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Conform estimărilor Eurostat (EUROPOP2016), în România, speranța de viață la naștere pentru bărbați este estimată să crească cu aproximativ 12 ani pe parcursul perioadei de proiecție, de la 71/2 în 2013 la 83/6 ani în 2070. Speranța de viață la naștere este estimată să crească cu 10 ani pentru femei, de la 78/5 ani în 2015 la 88/3 în 2070, ceea ce indică o ușoară convergență a speranței de viață între bărbați și femei. Speranța de viață la 65 de ani se prognozează a evolua astfel:</w:t>
      </w:r>
    </w:p>
    <w:p w:rsidR="00F05408" w:rsidRPr="00F05408" w:rsidRDefault="00F05408" w:rsidP="00023FA7">
      <w:pPr>
        <w:numPr>
          <w:ilvl w:val="0"/>
          <w:numId w:val="80"/>
        </w:numPr>
        <w:spacing w:line="276" w:lineRule="auto"/>
        <w:contextualSpacing/>
        <w:jc w:val="both"/>
        <w:rPr>
          <w:rFonts w:ascii="Calibri" w:eastAsia="Calibri" w:hAnsi="Calibri" w:cs="Calibri"/>
          <w:szCs w:val="22"/>
          <w:lang w:val="ro-RO"/>
        </w:rPr>
      </w:pPr>
      <w:r w:rsidRPr="00F05408">
        <w:rPr>
          <w:rFonts w:ascii="Calibri" w:eastAsia="Calibri" w:hAnsi="Calibri" w:cs="Calibri"/>
          <w:szCs w:val="22"/>
          <w:lang w:val="ro-RO"/>
        </w:rPr>
        <w:t>Bărbați  14/5 ani (2015) – 22/0 ani (2070)</w:t>
      </w:r>
    </w:p>
    <w:p w:rsidR="00F05408" w:rsidRPr="00F05408" w:rsidRDefault="00F05408" w:rsidP="00023FA7">
      <w:pPr>
        <w:numPr>
          <w:ilvl w:val="0"/>
          <w:numId w:val="80"/>
        </w:numPr>
        <w:spacing w:line="276" w:lineRule="auto"/>
        <w:contextualSpacing/>
        <w:jc w:val="both"/>
        <w:rPr>
          <w:rFonts w:ascii="Calibri" w:eastAsia="Calibri" w:hAnsi="Calibri" w:cs="Calibri"/>
          <w:szCs w:val="22"/>
          <w:lang w:val="ro-RO"/>
        </w:rPr>
      </w:pPr>
      <w:r w:rsidRPr="00F05408">
        <w:rPr>
          <w:rFonts w:ascii="Calibri" w:eastAsia="Calibri" w:hAnsi="Calibri" w:cs="Calibri"/>
          <w:szCs w:val="22"/>
          <w:lang w:val="ro-RO"/>
        </w:rPr>
        <w:t>Femei    17/9 ani (2015) – 25/1 ani (2070)</w:t>
      </w:r>
    </w:p>
    <w:p w:rsidR="00F05408" w:rsidRPr="00F05408" w:rsidRDefault="00F05408" w:rsidP="00F05408">
      <w:pPr>
        <w:jc w:val="both"/>
        <w:rPr>
          <w:rFonts w:ascii="Calibri" w:hAnsi="Calibri" w:cs="Calibri"/>
          <w:sz w:val="6"/>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Pe termen mediu și lung, evoluția sectorului de pensii este puternic influențată de perspectivele demografice date de evoluția ratei natalității și a speranței de viață și de procesul inevitabil de îmbătrânire a populației.</w:t>
      </w:r>
    </w:p>
    <w:p w:rsidR="00F05408" w:rsidRPr="00F05408" w:rsidRDefault="00F05408" w:rsidP="00F05408">
      <w:pPr>
        <w:keepNext/>
        <w:jc w:val="center"/>
        <w:outlineLvl w:val="3"/>
        <w:rPr>
          <w:rFonts w:ascii="Calibri" w:hAnsi="Calibri"/>
          <w:b/>
          <w:bCs/>
          <w:color w:val="365F91"/>
          <w:szCs w:val="20"/>
          <w:lang w:val="ro-RO"/>
        </w:rPr>
      </w:pPr>
      <w:bookmarkStart w:id="22" w:name="_Toc418068108"/>
      <w:bookmarkStart w:id="23" w:name="_Toc512340249"/>
      <w:bookmarkStart w:id="24" w:name="_Toc512586767"/>
      <w:r w:rsidRPr="00F05408">
        <w:rPr>
          <w:rFonts w:ascii="Calibri" w:hAnsi="Calibri"/>
          <w:b/>
          <w:bCs/>
          <w:color w:val="365F91"/>
          <w:szCs w:val="20"/>
          <w:lang w:val="ro-RO"/>
        </w:rPr>
        <w:t>Tabel  - Prognoza pe termen lung a cheltuielilor cu pensiile</w:t>
      </w:r>
      <w:bookmarkEnd w:id="22"/>
      <w:bookmarkEnd w:id="23"/>
      <w:bookmarkEnd w:id="24"/>
    </w:p>
    <w:p w:rsidR="00F05408" w:rsidRPr="00F05408" w:rsidRDefault="00F05408" w:rsidP="00F05408">
      <w:pPr>
        <w:rPr>
          <w:sz w:val="8"/>
          <w:lang w:val="ro-RO"/>
        </w:rPr>
      </w:pPr>
    </w:p>
    <w:tbl>
      <w:tblPr>
        <w:tblW w:w="9393"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gridCol w:w="916"/>
        <w:gridCol w:w="916"/>
      </w:tblGrid>
      <w:tr w:rsidR="00F05408" w:rsidRPr="00F05408" w:rsidTr="00F05408">
        <w:trPr>
          <w:trHeight w:val="475"/>
          <w:jc w:val="center"/>
        </w:trPr>
        <w:tc>
          <w:tcPr>
            <w:tcW w:w="2065" w:type="dxa"/>
            <w:shd w:val="clear" w:color="auto" w:fill="365F91"/>
            <w:vAlign w:val="center"/>
          </w:tcPr>
          <w:p w:rsidR="00F05408" w:rsidRPr="00F05408" w:rsidRDefault="00F05408" w:rsidP="00F05408">
            <w:pPr>
              <w:jc w:val="center"/>
              <w:rPr>
                <w:i/>
                <w:color w:val="FFFFFF" w:themeColor="background1"/>
                <w:sz w:val="22"/>
                <w:lang w:val="ro-RO"/>
              </w:rPr>
            </w:pPr>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5" w:name="_Toc418006747"/>
            <w:r w:rsidRPr="00F05408">
              <w:rPr>
                <w:rFonts w:ascii="Calibri" w:hAnsi="Calibri" w:cs="Calibri"/>
                <w:b/>
                <w:bCs/>
                <w:i/>
                <w:color w:val="FFFFFF" w:themeColor="background1"/>
                <w:sz w:val="22"/>
                <w:lang w:val="ro-RO"/>
              </w:rPr>
              <w:t>201</w:t>
            </w:r>
            <w:bookmarkEnd w:id="25"/>
            <w:r w:rsidRPr="00F05408">
              <w:rPr>
                <w:rFonts w:ascii="Calibri" w:hAnsi="Calibri" w:cs="Calibri"/>
                <w:b/>
                <w:bCs/>
                <w:i/>
                <w:color w:val="FFFFFF" w:themeColor="background1"/>
                <w:sz w:val="22"/>
                <w:lang w:val="ro-RO"/>
              </w:rPr>
              <w:t>6</w:t>
            </w:r>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6" w:name="_Toc418006748"/>
            <w:r w:rsidRPr="00F05408">
              <w:rPr>
                <w:rFonts w:ascii="Calibri" w:hAnsi="Calibri" w:cs="Calibri"/>
                <w:b/>
                <w:bCs/>
                <w:i/>
                <w:color w:val="FFFFFF" w:themeColor="background1"/>
                <w:sz w:val="22"/>
                <w:lang w:val="ro-RO"/>
              </w:rPr>
              <w:t>2017</w:t>
            </w:r>
            <w:bookmarkEnd w:id="26"/>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7" w:name="_Toc418006749"/>
            <w:r w:rsidRPr="00F05408">
              <w:rPr>
                <w:rFonts w:ascii="Calibri" w:hAnsi="Calibri" w:cs="Calibri"/>
                <w:b/>
                <w:bCs/>
                <w:i/>
                <w:color w:val="FFFFFF" w:themeColor="background1"/>
                <w:sz w:val="22"/>
                <w:lang w:val="ro-RO"/>
              </w:rPr>
              <w:t>2020</w:t>
            </w:r>
            <w:bookmarkEnd w:id="27"/>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8" w:name="_Toc418006750"/>
            <w:r w:rsidRPr="00F05408">
              <w:rPr>
                <w:rFonts w:ascii="Calibri" w:hAnsi="Calibri" w:cs="Calibri"/>
                <w:b/>
                <w:bCs/>
                <w:i/>
                <w:color w:val="FFFFFF" w:themeColor="background1"/>
                <w:sz w:val="22"/>
                <w:lang w:val="ro-RO"/>
              </w:rPr>
              <w:t>2030</w:t>
            </w:r>
            <w:bookmarkEnd w:id="28"/>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29" w:name="_Toc418006751"/>
            <w:r w:rsidRPr="00F05408">
              <w:rPr>
                <w:rFonts w:ascii="Calibri" w:hAnsi="Calibri" w:cs="Calibri"/>
                <w:b/>
                <w:bCs/>
                <w:i/>
                <w:color w:val="FFFFFF" w:themeColor="background1"/>
                <w:sz w:val="22"/>
                <w:lang w:val="ro-RO"/>
              </w:rPr>
              <w:t>2040</w:t>
            </w:r>
            <w:bookmarkEnd w:id="29"/>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30" w:name="_Toc418006752"/>
            <w:r w:rsidRPr="00F05408">
              <w:rPr>
                <w:rFonts w:ascii="Calibri" w:hAnsi="Calibri" w:cs="Calibri"/>
                <w:b/>
                <w:bCs/>
                <w:i/>
                <w:color w:val="FFFFFF" w:themeColor="background1"/>
                <w:sz w:val="22"/>
                <w:lang w:val="ro-RO"/>
              </w:rPr>
              <w:t>2050</w:t>
            </w:r>
            <w:bookmarkEnd w:id="30"/>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bookmarkStart w:id="31" w:name="_Toc418006753"/>
            <w:r w:rsidRPr="00F05408">
              <w:rPr>
                <w:rFonts w:ascii="Calibri" w:hAnsi="Calibri" w:cs="Calibri"/>
                <w:b/>
                <w:bCs/>
                <w:i/>
                <w:color w:val="FFFFFF" w:themeColor="background1"/>
                <w:sz w:val="22"/>
                <w:lang w:val="ro-RO"/>
              </w:rPr>
              <w:t>2060</w:t>
            </w:r>
            <w:bookmarkEnd w:id="31"/>
          </w:p>
        </w:tc>
        <w:tc>
          <w:tcPr>
            <w:tcW w:w="916" w:type="dxa"/>
            <w:shd w:val="clear" w:color="auto" w:fill="365F91"/>
            <w:vAlign w:val="center"/>
          </w:tcPr>
          <w:p w:rsidR="00F05408" w:rsidRPr="00F05408" w:rsidRDefault="00F05408" w:rsidP="00F05408">
            <w:pPr>
              <w:jc w:val="center"/>
              <w:rPr>
                <w:rFonts w:ascii="Calibri" w:hAnsi="Calibri" w:cs="Calibri"/>
                <w:b/>
                <w:bCs/>
                <w:i/>
                <w:color w:val="FFFFFF" w:themeColor="background1"/>
                <w:sz w:val="22"/>
                <w:lang w:val="ro-RO"/>
              </w:rPr>
            </w:pPr>
            <w:r w:rsidRPr="00F05408">
              <w:rPr>
                <w:rFonts w:ascii="Calibri" w:hAnsi="Calibri" w:cs="Calibri"/>
                <w:b/>
                <w:bCs/>
                <w:i/>
                <w:color w:val="FFFFFF" w:themeColor="background1"/>
                <w:sz w:val="22"/>
                <w:lang w:val="ro-RO"/>
              </w:rPr>
              <w:t>2070</w:t>
            </w:r>
          </w:p>
        </w:tc>
      </w:tr>
      <w:tr w:rsidR="00F05408" w:rsidRPr="00F05408" w:rsidTr="00F05408">
        <w:trPr>
          <w:trHeight w:val="302"/>
          <w:jc w:val="center"/>
        </w:trPr>
        <w:tc>
          <w:tcPr>
            <w:tcW w:w="2065"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Pilonul 1 de pensii</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8,0</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7,3</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7,3</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6,6</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7,7</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8,7</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8,9</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8,7</w:t>
            </w:r>
          </w:p>
        </w:tc>
      </w:tr>
      <w:tr w:rsidR="00F05408" w:rsidRPr="00F05408" w:rsidTr="00F05408">
        <w:trPr>
          <w:trHeight w:val="317"/>
          <w:jc w:val="center"/>
        </w:trPr>
        <w:tc>
          <w:tcPr>
            <w:tcW w:w="2065"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Pilonul 2 de pensii</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0,2</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0,5</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0,8</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1,0</w:t>
            </w:r>
          </w:p>
        </w:tc>
        <w:tc>
          <w:tcPr>
            <w:tcW w:w="916" w:type="dxa"/>
            <w:vAlign w:val="center"/>
          </w:tcPr>
          <w:p w:rsidR="00F05408" w:rsidRPr="00F05408" w:rsidRDefault="00F05408" w:rsidP="00F05408">
            <w:pPr>
              <w:jc w:val="center"/>
              <w:rPr>
                <w:rFonts w:ascii="Calibri" w:hAnsi="Calibri" w:cs="Calibri"/>
                <w:color w:val="365F91"/>
                <w:sz w:val="22"/>
                <w:lang w:val="ro-RO"/>
              </w:rPr>
            </w:pPr>
            <w:r w:rsidRPr="00F05408">
              <w:rPr>
                <w:rFonts w:ascii="Calibri" w:hAnsi="Calibri" w:cs="Calibri"/>
                <w:color w:val="365F91"/>
                <w:sz w:val="22"/>
                <w:lang w:val="ro-RO"/>
              </w:rPr>
              <w:t>1,1</w:t>
            </w:r>
          </w:p>
        </w:tc>
      </w:tr>
    </w:tbl>
    <w:p w:rsidR="00F05408" w:rsidRPr="00F05408" w:rsidRDefault="00F05408" w:rsidP="00F05408">
      <w:pPr>
        <w:rPr>
          <w:rFonts w:ascii="Calibri" w:hAnsi="Calibri" w:cs="Calibri"/>
          <w:i/>
          <w:color w:val="365F91"/>
          <w:sz w:val="20"/>
          <w:szCs w:val="20"/>
          <w:lang w:val="ro-RO"/>
        </w:rPr>
      </w:pPr>
      <w:r w:rsidRPr="00F05408">
        <w:rPr>
          <w:rFonts w:ascii="Calibri" w:hAnsi="Calibri" w:cs="Calibri"/>
          <w:i/>
          <w:color w:val="365F91"/>
          <w:sz w:val="20"/>
          <w:szCs w:val="20"/>
          <w:lang w:val="ro-RO"/>
        </w:rPr>
        <w:t xml:space="preserve">    Sursa: Comisia Națională de Strategie și Prognoză </w:t>
      </w:r>
    </w:p>
    <w:p w:rsidR="00F05408" w:rsidRPr="00F05408" w:rsidRDefault="00F05408" w:rsidP="00F05408">
      <w:pPr>
        <w:rPr>
          <w:rFonts w:ascii="Calibri" w:hAnsi="Calibri" w:cs="Calibri"/>
          <w:color w:val="FF0000"/>
          <w:sz w:val="14"/>
          <w:szCs w:val="20"/>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Rezultatele estimate prin modelul de pensii indică o creștere a ponderii cheltuielilor cu pensiile din pilonul 1, de la 8,0% din PIB în anul 2016 la circa 9,0% din PIB la mijlocul decadei 2050-60, urmată de o scădere treptată, către finele perioadei de prognoză, până la ponderile de la finalul anilor 2040 (8,7%).</w:t>
      </w:r>
    </w:p>
    <w:p w:rsidR="00F05408" w:rsidRPr="00F05408" w:rsidRDefault="00F05408" w:rsidP="00F05408">
      <w:pPr>
        <w:jc w:val="both"/>
        <w:rPr>
          <w:rFonts w:ascii="Calibri" w:hAnsi="Calibri" w:cs="Calibri"/>
          <w:sz w:val="8"/>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Pilonul 2 de pensii va avea o pondere din ce în ce mai semnificativă în totalul cheltuielilor cu pensiile,  cu atingerea unei ponderi de 1,1% din PIB la sfârșitul orizontului de prognoză.</w:t>
      </w:r>
    </w:p>
    <w:p w:rsidR="00F05408" w:rsidRPr="00F05408" w:rsidRDefault="00F05408" w:rsidP="00F05408">
      <w:pPr>
        <w:jc w:val="both"/>
        <w:rPr>
          <w:rFonts w:ascii="Calibri" w:hAnsi="Calibri" w:cs="Calibri"/>
          <w:lang w:val="ro-RO"/>
        </w:rPr>
      </w:pPr>
      <w:r w:rsidRPr="00F05408">
        <w:rPr>
          <w:rFonts w:ascii="Calibri" w:hAnsi="Calibri" w:cs="Calibri"/>
          <w:lang w:val="ro-RO"/>
        </w:rPr>
        <w:t>Proiecțiile incluse în Raportul privind îmbătrânirea populației, ediția 2018, ale căror rezultate sunt prezentate în acest capitol, au fost efectuate înaintea promovării măsurilor fiscale intrate în vigoare la începutul anului 2018 și fără a ține cont de propunerile de creștere a punctului de pensie conform noului proiect a Legii pensiilor.</w:t>
      </w:r>
    </w:p>
    <w:p w:rsidR="00F05408" w:rsidRPr="00F05408" w:rsidRDefault="00F05408" w:rsidP="00F05408">
      <w:pPr>
        <w:jc w:val="both"/>
        <w:rPr>
          <w:rFonts w:ascii="Calibri" w:hAnsi="Calibri" w:cs="Calibri"/>
          <w:sz w:val="8"/>
          <w:lang w:val="ro-RO"/>
        </w:rPr>
      </w:pPr>
    </w:p>
    <w:p w:rsidR="00F05408" w:rsidRPr="00F05408" w:rsidRDefault="00F05408" w:rsidP="00F05408">
      <w:pPr>
        <w:jc w:val="both"/>
        <w:rPr>
          <w:rFonts w:ascii="Calibri" w:hAnsi="Calibri" w:cs="Calibri"/>
          <w:lang w:val="ro-RO"/>
        </w:rPr>
      </w:pPr>
      <w:r w:rsidRPr="00F05408">
        <w:rPr>
          <w:rFonts w:ascii="Calibri" w:hAnsi="Calibri" w:cs="Calibri"/>
          <w:lang w:val="ro-RO"/>
        </w:rPr>
        <w:t>Analiza din perspectiva Raportului Comisiei Europene, privind Sustenabilitatea Fiscală, ediția 2015, confirmă absența unor riscuri semnificative pe termen scurt, în ciuda unor sensibilități legate de poziția investițională internațională netă, datoria publică și creditele neperformante. Cu toate acestea, pe termen mediu se prefigurează riscuri considerabile. Analiza de sustenabilitate a datoriei relevă o creștere a datoriei până la peste 60% din PIB la orizontul anului 2026, combinată cu riscurile scoase în evidență de testele de sensibilitate, în special de șocurile negative ce pot amenința balanța primară. Simularea unor șocuri simultane la adresa creșterii, ratei dobânzii și a balanței primare conduce la o pondere mai mare de 70% a datoriei publice în PIB, în anul 2020. Totuși, se apreciază că printr-o convergență către Obiectivul pe Termen Mediu în conformitate cu instrumentul preventiv al Pactului de Stabilitate și Creștere și urmând linia ajustării fiscale indicate de Comunicarea Comisiei privind flexibilitatea Pactului de Stabilitate și Creștere, datoria publică a României s-ar reduce la 35% din PIB în 2026.  Pe de altă parte, analiza indicatorului de decalaj al sustenabilității pe termen mediu atrage atenția asupra riscurilor determinate de poziția bugetară inițială nefavorabilă și, parțial, de către proiectatele cheltuieli publice legate de îmbătrânirea populației. În concluzie, Comisia Europeană consideră că riscurile României în privința sustenabilității sunt ridicate pe termen mediu. Pe termen lung, aceste riscuri sunt apreciate la nivel mediu și derivă în particular din poziția bugetară inițială nefavorabilă, fiind sporite de cheltuielile publice cu îmbătrânirea populației, mai ales cele legate de îngrijirea sănătății și îngrijirea pe termen lung.</w:t>
      </w:r>
    </w:p>
    <w:p w:rsidR="00F05408" w:rsidRDefault="00F05408" w:rsidP="00F05408">
      <w:pPr>
        <w:jc w:val="both"/>
        <w:rPr>
          <w:rFonts w:ascii="Calibri" w:hAnsi="Calibri" w:cs="Calibri"/>
          <w:lang w:val="ro-RO"/>
        </w:rPr>
      </w:pPr>
    </w:p>
    <w:p w:rsidR="00BC65E1" w:rsidRDefault="00BC65E1" w:rsidP="00F05408">
      <w:pPr>
        <w:jc w:val="both"/>
        <w:rPr>
          <w:rFonts w:ascii="Calibri" w:hAnsi="Calibri" w:cs="Calibri"/>
          <w:lang w:val="ro-RO"/>
        </w:rPr>
      </w:pPr>
    </w:p>
    <w:p w:rsidR="00BC65E1" w:rsidRDefault="00BC65E1" w:rsidP="00F05408">
      <w:pPr>
        <w:jc w:val="both"/>
        <w:rPr>
          <w:rFonts w:ascii="Calibri" w:hAnsi="Calibri" w:cs="Calibri"/>
          <w:lang w:val="ro-RO"/>
        </w:rPr>
      </w:pPr>
    </w:p>
    <w:tbl>
      <w:tblPr>
        <w:tblStyle w:val="TableGrid"/>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864DF0" w:rsidTr="00864DF0">
        <w:trPr>
          <w:trHeight w:val="415"/>
        </w:trPr>
        <w:tc>
          <w:tcPr>
            <w:tcW w:w="9923" w:type="dxa"/>
            <w:shd w:val="clear" w:color="auto" w:fill="365F91"/>
            <w:vAlign w:val="center"/>
          </w:tcPr>
          <w:p w:rsidR="00864DF0" w:rsidRDefault="00864DF0" w:rsidP="00864DF0">
            <w:pPr>
              <w:rPr>
                <w:rFonts w:ascii="Calibri" w:hAnsi="Calibri" w:cs="Calibri"/>
                <w:lang w:val="ro-RO"/>
              </w:rPr>
            </w:pPr>
            <w:r w:rsidRPr="00442715">
              <w:rPr>
                <w:rFonts w:ascii="Calibri" w:eastAsia="Calibri" w:hAnsi="Calibri" w:cs="Arial"/>
                <w:b/>
                <w:i/>
                <w:color w:val="FFFFFF"/>
                <w:lang w:val="ro-RO" w:eastAsia="ro-RO"/>
              </w:rPr>
              <w:t>Riscuri fiscal-bugetare specifice</w:t>
            </w:r>
          </w:p>
        </w:tc>
      </w:tr>
    </w:tbl>
    <w:p w:rsidR="00BC65E1" w:rsidRDefault="00BC65E1" w:rsidP="00F05408">
      <w:pPr>
        <w:jc w:val="both"/>
        <w:rPr>
          <w:rFonts w:ascii="Calibri" w:hAnsi="Calibri" w:cs="Calibri"/>
          <w:lang w:val="ro-RO"/>
        </w:rPr>
      </w:pPr>
    </w:p>
    <w:tbl>
      <w:tblPr>
        <w:tblStyle w:val="TableGrid"/>
        <w:tblW w:w="9920"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20"/>
      </w:tblGrid>
      <w:tr w:rsidR="00111047" w:rsidRPr="00AC4302" w:rsidTr="00342C05">
        <w:trPr>
          <w:trHeight w:val="707"/>
        </w:trPr>
        <w:tc>
          <w:tcPr>
            <w:tcW w:w="9920" w:type="dxa"/>
            <w:shd w:val="clear" w:color="auto" w:fill="4F81BD"/>
            <w:vAlign w:val="center"/>
          </w:tcPr>
          <w:p w:rsidR="00111047" w:rsidRDefault="00111047" w:rsidP="001B253C">
            <w:pPr>
              <w:rPr>
                <w:rFonts w:ascii="Calibri" w:hAnsi="Calibri" w:cs="Calibri"/>
                <w:lang w:val="ro-RO"/>
              </w:rPr>
            </w:pPr>
            <w:r>
              <w:rPr>
                <w:rFonts w:ascii="Calibri" w:hAnsi="Calibri" w:cs="Arial"/>
                <w:b/>
                <w:i/>
                <w:iCs/>
                <w:color w:val="FFFFFF"/>
                <w:lang w:val="ro-RO"/>
              </w:rPr>
              <w:t>Riscul bugetar rezultat din plățile ce ar putea fi efectuate de MFP în calitate de garant, pentru garanțiile emise de stat</w:t>
            </w:r>
          </w:p>
        </w:tc>
      </w:tr>
    </w:tbl>
    <w:p w:rsidR="00864D75" w:rsidRDefault="00864D75" w:rsidP="00DD2DE5">
      <w:pPr>
        <w:shd w:val="clear" w:color="auto" w:fill="FFFFFF" w:themeFill="background1"/>
        <w:spacing w:before="120"/>
        <w:jc w:val="both"/>
        <w:rPr>
          <w:rFonts w:asciiTheme="minorHAnsi" w:hAnsiTheme="minorHAnsi" w:cs="Arial"/>
          <w:color w:val="000000"/>
          <w:lang w:val="ro-RO"/>
        </w:rPr>
      </w:pPr>
      <w:r w:rsidRPr="00F6095D">
        <w:rPr>
          <w:rFonts w:asciiTheme="minorHAnsi" w:hAnsiTheme="minorHAnsi" w:cs="Arial"/>
          <w:color w:val="000000"/>
          <w:lang w:val="ro-RO"/>
        </w:rPr>
        <w:t>Soldul datoriei publice garantate de Guvern, prin MFP şi de către unităţile administrativ teritoriale, conform OUG 64/2007, privind datoria publică, se prezintă astfel:</w:t>
      </w:r>
    </w:p>
    <w:p w:rsidR="00B72521" w:rsidRDefault="00B72521" w:rsidP="00864D75">
      <w:pPr>
        <w:shd w:val="clear" w:color="auto" w:fill="FFFFFF" w:themeFill="background1"/>
        <w:jc w:val="both"/>
        <w:rPr>
          <w:rFonts w:asciiTheme="minorHAnsi" w:hAnsiTheme="minorHAnsi" w:cs="Arial"/>
          <w:color w:val="000000"/>
          <w:lang w:val="ro-RO"/>
        </w:rPr>
      </w:pPr>
    </w:p>
    <w:p w:rsidR="00B72521" w:rsidRPr="00111047" w:rsidRDefault="00B72521" w:rsidP="006F5FBF">
      <w:pPr>
        <w:shd w:val="clear" w:color="auto" w:fill="FFFFFF" w:themeFill="background1"/>
        <w:jc w:val="center"/>
        <w:rPr>
          <w:rFonts w:ascii="Calibri" w:hAnsi="Calibri" w:cs="Calibri"/>
          <w:b/>
          <w:color w:val="1F4E79" w:themeColor="accent1" w:themeShade="80"/>
          <w:szCs w:val="22"/>
          <w:lang w:val="ro-RO"/>
        </w:rPr>
      </w:pPr>
      <w:r w:rsidRPr="00111047">
        <w:rPr>
          <w:rFonts w:ascii="Calibri" w:hAnsi="Calibri" w:cs="Calibri"/>
          <w:b/>
          <w:color w:val="1F4E79" w:themeColor="accent1" w:themeShade="80"/>
          <w:szCs w:val="22"/>
          <w:lang w:val="ro-RO"/>
        </w:rPr>
        <w:t>Dimensiunea garanţiilor guvernamentale acordate conform legislaţiei naţionale</w:t>
      </w:r>
    </w:p>
    <w:tbl>
      <w:tblPr>
        <w:tblW w:w="8545" w:type="dxa"/>
        <w:jc w:val="center"/>
        <w:tblLayout w:type="fixed"/>
        <w:tblLook w:val="04A0" w:firstRow="1" w:lastRow="0" w:firstColumn="1" w:lastColumn="0" w:noHBand="0" w:noVBand="1"/>
      </w:tblPr>
      <w:tblGrid>
        <w:gridCol w:w="2038"/>
        <w:gridCol w:w="939"/>
        <w:gridCol w:w="1286"/>
        <w:gridCol w:w="1427"/>
        <w:gridCol w:w="1428"/>
        <w:gridCol w:w="1427"/>
      </w:tblGrid>
      <w:tr w:rsidR="002F054C" w:rsidRPr="005677AB" w:rsidTr="00111047">
        <w:trPr>
          <w:trHeight w:val="780"/>
          <w:jc w:val="center"/>
        </w:trPr>
        <w:tc>
          <w:tcPr>
            <w:tcW w:w="2038" w:type="dxa"/>
            <w:tcBorders>
              <w:top w:val="single" w:sz="8" w:space="0" w:color="auto"/>
              <w:left w:val="single" w:sz="8" w:space="0" w:color="auto"/>
              <w:bottom w:val="single" w:sz="2" w:space="0" w:color="365F91"/>
              <w:right w:val="dotted" w:sz="4" w:space="0" w:color="auto"/>
            </w:tcBorders>
            <w:shd w:val="clear" w:color="auto" w:fill="365F91"/>
            <w:noWrap/>
            <w:vAlign w:val="center"/>
            <w:hideMark/>
          </w:tcPr>
          <w:p w:rsidR="002F054C" w:rsidRPr="00111047" w:rsidRDefault="002F054C" w:rsidP="00F030D0">
            <w:pPr>
              <w:rPr>
                <w:rFonts w:ascii="Calibri" w:hAnsi="Calibri" w:cs="Arial"/>
                <w:b/>
                <w:bCs/>
                <w:sz w:val="22"/>
                <w:szCs w:val="22"/>
                <w:lang w:val="ro-RO" w:eastAsia="ro-RO"/>
              </w:rPr>
            </w:pPr>
            <w:r w:rsidRPr="00111047">
              <w:rPr>
                <w:rFonts w:ascii="Calibri" w:hAnsi="Calibri" w:cs="Arial"/>
                <w:b/>
                <w:bCs/>
                <w:sz w:val="22"/>
                <w:szCs w:val="22"/>
                <w:lang w:val="ro-RO" w:eastAsia="ro-RO"/>
              </w:rPr>
              <w:t> </w:t>
            </w:r>
          </w:p>
        </w:tc>
        <w:tc>
          <w:tcPr>
            <w:tcW w:w="939"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2F054C" w:rsidRPr="00111047" w:rsidRDefault="002F054C" w:rsidP="00F030D0">
            <w:pPr>
              <w:jc w:val="center"/>
              <w:rPr>
                <w:rFonts w:ascii="Calibri" w:hAnsi="Calibri" w:cs="Arial"/>
                <w:b/>
                <w:bCs/>
                <w:color w:val="FFFFFF" w:themeColor="background1"/>
                <w:sz w:val="22"/>
                <w:szCs w:val="22"/>
                <w:lang w:val="ro-RO" w:eastAsia="ro-RO"/>
              </w:rPr>
            </w:pPr>
            <w:r w:rsidRPr="00111047">
              <w:rPr>
                <w:rFonts w:ascii="Calibri" w:hAnsi="Calibri" w:cs="Arial"/>
                <w:b/>
                <w:bCs/>
                <w:color w:val="FFFFFF" w:themeColor="background1"/>
                <w:sz w:val="22"/>
                <w:szCs w:val="22"/>
                <w:lang w:val="ro-RO" w:eastAsia="ro-RO"/>
              </w:rPr>
              <w:t xml:space="preserve">2017 </w:t>
            </w:r>
          </w:p>
        </w:tc>
        <w:tc>
          <w:tcPr>
            <w:tcW w:w="1286"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2F054C" w:rsidRPr="00111047" w:rsidRDefault="002F054C" w:rsidP="00F030D0">
            <w:pPr>
              <w:jc w:val="center"/>
              <w:rPr>
                <w:rFonts w:ascii="Calibri" w:hAnsi="Calibri" w:cs="Arial"/>
                <w:b/>
                <w:bCs/>
                <w:color w:val="FFFFFF" w:themeColor="background1"/>
                <w:sz w:val="22"/>
                <w:szCs w:val="22"/>
                <w:lang w:val="ro-RO" w:eastAsia="ro-RO"/>
              </w:rPr>
            </w:pPr>
            <w:r w:rsidRPr="00111047">
              <w:rPr>
                <w:rFonts w:ascii="Calibri" w:hAnsi="Calibri" w:cs="Arial"/>
                <w:b/>
                <w:bCs/>
                <w:color w:val="FFFFFF" w:themeColor="background1"/>
                <w:sz w:val="22"/>
                <w:szCs w:val="22"/>
                <w:lang w:val="ro-RO" w:eastAsia="ro-RO"/>
              </w:rPr>
              <w:t>2018 est.</w:t>
            </w:r>
          </w:p>
        </w:tc>
        <w:tc>
          <w:tcPr>
            <w:tcW w:w="1427"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2F054C" w:rsidRPr="00111047" w:rsidRDefault="002F054C" w:rsidP="00F030D0">
            <w:pPr>
              <w:jc w:val="center"/>
              <w:rPr>
                <w:rFonts w:ascii="Calibri" w:hAnsi="Calibri" w:cs="Arial"/>
                <w:b/>
                <w:bCs/>
                <w:color w:val="FFFFFF" w:themeColor="background1"/>
                <w:sz w:val="22"/>
                <w:szCs w:val="22"/>
                <w:lang w:val="ro-RO" w:eastAsia="ro-RO"/>
              </w:rPr>
            </w:pPr>
            <w:r w:rsidRPr="00111047">
              <w:rPr>
                <w:rFonts w:ascii="Calibri" w:hAnsi="Calibri" w:cs="Arial"/>
                <w:b/>
                <w:bCs/>
                <w:color w:val="FFFFFF" w:themeColor="background1"/>
                <w:sz w:val="22"/>
                <w:szCs w:val="22"/>
                <w:lang w:val="ro-RO" w:eastAsia="ro-RO"/>
              </w:rPr>
              <w:t>2019 prog.</w:t>
            </w:r>
          </w:p>
        </w:tc>
        <w:tc>
          <w:tcPr>
            <w:tcW w:w="1428"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2F054C" w:rsidRPr="00111047" w:rsidRDefault="002F054C" w:rsidP="00F030D0">
            <w:pPr>
              <w:jc w:val="center"/>
              <w:rPr>
                <w:rFonts w:ascii="Calibri" w:hAnsi="Calibri" w:cs="Arial"/>
                <w:b/>
                <w:bCs/>
                <w:color w:val="FFFFFF" w:themeColor="background1"/>
                <w:sz w:val="22"/>
                <w:szCs w:val="22"/>
                <w:lang w:val="ro-RO" w:eastAsia="ro-RO"/>
              </w:rPr>
            </w:pPr>
            <w:r w:rsidRPr="00111047">
              <w:rPr>
                <w:rFonts w:ascii="Calibri" w:hAnsi="Calibri" w:cs="Arial"/>
                <w:b/>
                <w:bCs/>
                <w:color w:val="FFFFFF" w:themeColor="background1"/>
                <w:sz w:val="22"/>
                <w:szCs w:val="22"/>
                <w:lang w:val="ro-RO" w:eastAsia="ro-RO"/>
              </w:rPr>
              <w:t>2020 prog.</w:t>
            </w:r>
          </w:p>
        </w:tc>
        <w:tc>
          <w:tcPr>
            <w:tcW w:w="1427" w:type="dxa"/>
            <w:tcBorders>
              <w:top w:val="single" w:sz="8" w:space="0" w:color="auto"/>
              <w:left w:val="dotted" w:sz="4" w:space="0" w:color="auto"/>
              <w:bottom w:val="single" w:sz="2" w:space="0" w:color="365F91"/>
              <w:right w:val="single" w:sz="8" w:space="0" w:color="auto"/>
            </w:tcBorders>
            <w:shd w:val="clear" w:color="auto" w:fill="365F91"/>
            <w:noWrap/>
            <w:vAlign w:val="center"/>
            <w:hideMark/>
          </w:tcPr>
          <w:p w:rsidR="002F054C" w:rsidRPr="00111047" w:rsidRDefault="002F054C" w:rsidP="00F030D0">
            <w:pPr>
              <w:jc w:val="center"/>
              <w:rPr>
                <w:rFonts w:ascii="Calibri" w:hAnsi="Calibri" w:cs="Arial"/>
                <w:b/>
                <w:bCs/>
                <w:color w:val="FFFFFF" w:themeColor="background1"/>
                <w:sz w:val="22"/>
                <w:szCs w:val="22"/>
                <w:lang w:val="ro-RO" w:eastAsia="ro-RO"/>
              </w:rPr>
            </w:pPr>
            <w:r w:rsidRPr="00111047">
              <w:rPr>
                <w:rFonts w:ascii="Calibri" w:hAnsi="Calibri" w:cs="Arial"/>
                <w:b/>
                <w:bCs/>
                <w:color w:val="FFFFFF" w:themeColor="background1"/>
                <w:sz w:val="22"/>
                <w:szCs w:val="22"/>
                <w:lang w:val="ro-RO" w:eastAsia="ro-RO"/>
              </w:rPr>
              <w:t>2021 prog</w:t>
            </w:r>
            <w:r w:rsidR="00977C71" w:rsidRPr="00111047">
              <w:rPr>
                <w:rFonts w:ascii="Calibri" w:hAnsi="Calibri" w:cs="Arial"/>
                <w:b/>
                <w:bCs/>
                <w:color w:val="FFFFFF" w:themeColor="background1"/>
                <w:sz w:val="22"/>
                <w:szCs w:val="22"/>
                <w:lang w:val="ro-RO" w:eastAsia="ro-RO"/>
              </w:rPr>
              <w:t>.</w:t>
            </w:r>
          </w:p>
        </w:tc>
      </w:tr>
      <w:tr w:rsidR="00FB10F4" w:rsidRPr="00AC4302" w:rsidTr="00111047">
        <w:trPr>
          <w:trHeight w:val="579"/>
          <w:jc w:val="center"/>
        </w:trPr>
        <w:tc>
          <w:tcPr>
            <w:tcW w:w="8545" w:type="dxa"/>
            <w:gridSpan w:val="6"/>
            <w:tcBorders>
              <w:top w:val="single" w:sz="2" w:space="0" w:color="365F91"/>
              <w:bottom w:val="single" w:sz="2" w:space="0" w:color="365F91"/>
            </w:tcBorders>
            <w:shd w:val="clear" w:color="auto" w:fill="FFFFFF" w:themeFill="background1"/>
            <w:noWrap/>
            <w:vAlign w:val="center"/>
          </w:tcPr>
          <w:p w:rsidR="002F054C" w:rsidRPr="00111047" w:rsidRDefault="002F054C" w:rsidP="00F030D0">
            <w:pPr>
              <w:rPr>
                <w:rFonts w:ascii="Calibri" w:hAnsi="Calibri" w:cs="Arial"/>
                <w:b/>
                <w:bCs/>
                <w:color w:val="1F4E79" w:themeColor="accent1" w:themeShade="80"/>
                <w:sz w:val="22"/>
                <w:szCs w:val="22"/>
                <w:lang w:val="ro-RO" w:eastAsia="ro-RO"/>
              </w:rPr>
            </w:pPr>
            <w:r w:rsidRPr="00111047">
              <w:rPr>
                <w:rFonts w:ascii="Calibri" w:hAnsi="Calibri" w:cs="Arial"/>
                <w:b/>
                <w:color w:val="1F4E79" w:themeColor="accent1" w:themeShade="80"/>
                <w:sz w:val="22"/>
                <w:szCs w:val="22"/>
                <w:lang w:val="ro-RO" w:eastAsia="ro-RO"/>
              </w:rPr>
              <w:t>I.   Soldul datoriei publice garantate la sfarsit de perioada*)</w:t>
            </w:r>
          </w:p>
        </w:tc>
      </w:tr>
      <w:tr w:rsidR="00FB10F4" w:rsidRPr="00FB10F4" w:rsidTr="00111047">
        <w:trPr>
          <w:trHeight w:val="368"/>
          <w:jc w:val="center"/>
        </w:trPr>
        <w:tc>
          <w:tcPr>
            <w:tcW w:w="2038" w:type="dxa"/>
            <w:tcBorders>
              <w:top w:val="single" w:sz="2" w:space="0" w:color="365F91"/>
              <w:bottom w:val="single" w:sz="2" w:space="0" w:color="365F91"/>
            </w:tcBorders>
            <w:shd w:val="clear" w:color="auto" w:fill="auto"/>
            <w:noWrap/>
            <w:vAlign w:val="center"/>
            <w:hideMark/>
          </w:tcPr>
          <w:p w:rsidR="002F054C" w:rsidRPr="00111047" w:rsidRDefault="002F054C" w:rsidP="00F030D0">
            <w:pPr>
              <w:rPr>
                <w:rFonts w:ascii="Calibri" w:hAnsi="Calibri" w:cs="Arial"/>
                <w:b/>
                <w:color w:val="1F4E79" w:themeColor="accent1" w:themeShade="80"/>
                <w:sz w:val="22"/>
                <w:szCs w:val="22"/>
                <w:lang w:val="ro-RO" w:eastAsia="ro-RO"/>
              </w:rPr>
            </w:pPr>
            <w:r w:rsidRPr="00111047">
              <w:rPr>
                <w:rFonts w:ascii="Calibri" w:hAnsi="Calibri" w:cs="Arial"/>
                <w:b/>
                <w:color w:val="1F4E79" w:themeColor="accent1" w:themeShade="80"/>
                <w:sz w:val="22"/>
                <w:szCs w:val="22"/>
                <w:lang w:val="ro-RO" w:eastAsia="ro-RO"/>
              </w:rPr>
              <w:t xml:space="preserve">  - miliarde lei</w:t>
            </w:r>
          </w:p>
        </w:tc>
        <w:tc>
          <w:tcPr>
            <w:tcW w:w="939" w:type="dxa"/>
            <w:tcBorders>
              <w:top w:val="single" w:sz="2" w:space="0" w:color="365F91"/>
              <w:bottom w:val="single" w:sz="2" w:space="0" w:color="365F91"/>
            </w:tcBorders>
            <w:shd w:val="clear" w:color="000000" w:fill="FFFFFF"/>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18,1</w:t>
            </w:r>
          </w:p>
        </w:tc>
        <w:tc>
          <w:tcPr>
            <w:tcW w:w="1286"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eastAsia="ro-RO"/>
              </w:rPr>
            </w:pPr>
            <w:r w:rsidRPr="00111047">
              <w:rPr>
                <w:rFonts w:ascii="Calibri" w:hAnsi="Calibri" w:cs="Arial"/>
                <w:b/>
                <w:color w:val="1F4E79" w:themeColor="accent1" w:themeShade="80"/>
                <w:sz w:val="22"/>
                <w:szCs w:val="22"/>
                <w:lang w:val="ro-RO" w:eastAsia="ro-RO"/>
              </w:rPr>
              <w:t>19,0</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26,1</w:t>
            </w:r>
          </w:p>
        </w:tc>
        <w:tc>
          <w:tcPr>
            <w:tcW w:w="1428"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33,2</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40,3</w:t>
            </w:r>
          </w:p>
        </w:tc>
      </w:tr>
      <w:tr w:rsidR="00FB10F4" w:rsidRPr="00FB10F4" w:rsidTr="00111047">
        <w:trPr>
          <w:trHeight w:val="368"/>
          <w:jc w:val="center"/>
        </w:trPr>
        <w:tc>
          <w:tcPr>
            <w:tcW w:w="2038" w:type="dxa"/>
            <w:tcBorders>
              <w:top w:val="single" w:sz="2" w:space="0" w:color="365F91"/>
              <w:bottom w:val="single" w:sz="2" w:space="0" w:color="365F91"/>
            </w:tcBorders>
            <w:shd w:val="clear" w:color="auto" w:fill="auto"/>
            <w:noWrap/>
            <w:vAlign w:val="center"/>
            <w:hideMark/>
          </w:tcPr>
          <w:p w:rsidR="002F054C" w:rsidRPr="00111047" w:rsidRDefault="002F054C" w:rsidP="00F030D0">
            <w:pPr>
              <w:rPr>
                <w:rFonts w:ascii="Calibri" w:hAnsi="Calibri" w:cs="Arial"/>
                <w:b/>
                <w:color w:val="1F4E79" w:themeColor="accent1" w:themeShade="80"/>
                <w:sz w:val="22"/>
                <w:szCs w:val="22"/>
                <w:lang w:val="ro-RO" w:eastAsia="ro-RO"/>
              </w:rPr>
            </w:pPr>
            <w:r w:rsidRPr="00111047">
              <w:rPr>
                <w:rFonts w:ascii="Calibri" w:hAnsi="Calibri" w:cs="Arial"/>
                <w:b/>
                <w:color w:val="1F4E79" w:themeColor="accent1" w:themeShade="80"/>
                <w:sz w:val="22"/>
                <w:szCs w:val="22"/>
                <w:lang w:val="ro-RO" w:eastAsia="ro-RO"/>
              </w:rPr>
              <w:t xml:space="preserve">  - % din PIB</w:t>
            </w:r>
          </w:p>
        </w:tc>
        <w:tc>
          <w:tcPr>
            <w:tcW w:w="939" w:type="dxa"/>
            <w:tcBorders>
              <w:top w:val="single" w:sz="2" w:space="0" w:color="365F91"/>
              <w:bottom w:val="single" w:sz="2" w:space="0" w:color="365F91"/>
            </w:tcBorders>
            <w:shd w:val="clear" w:color="000000" w:fill="FFFFFF"/>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2,1%</w:t>
            </w:r>
          </w:p>
        </w:tc>
        <w:tc>
          <w:tcPr>
            <w:tcW w:w="1286"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eastAsia="ro-RO"/>
              </w:rPr>
            </w:pPr>
            <w:r w:rsidRPr="00111047">
              <w:rPr>
                <w:rFonts w:ascii="Calibri" w:hAnsi="Calibri" w:cs="Arial"/>
                <w:b/>
                <w:color w:val="1F4E79" w:themeColor="accent1" w:themeShade="80"/>
                <w:sz w:val="22"/>
                <w:szCs w:val="22"/>
                <w:lang w:val="ro-RO"/>
              </w:rPr>
              <w:t>2,0%</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2,5%</w:t>
            </w:r>
          </w:p>
        </w:tc>
        <w:tc>
          <w:tcPr>
            <w:tcW w:w="1428"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3,0%</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3,4%</w:t>
            </w:r>
          </w:p>
        </w:tc>
      </w:tr>
      <w:tr w:rsidR="00FB10F4" w:rsidRPr="00FB10F4" w:rsidTr="00111047">
        <w:trPr>
          <w:trHeight w:val="390"/>
          <w:jc w:val="center"/>
        </w:trPr>
        <w:tc>
          <w:tcPr>
            <w:tcW w:w="2038" w:type="dxa"/>
            <w:tcBorders>
              <w:top w:val="single" w:sz="2" w:space="0" w:color="365F91"/>
              <w:bottom w:val="single" w:sz="2" w:space="0" w:color="365F91"/>
            </w:tcBorders>
            <w:shd w:val="clear" w:color="auto" w:fill="auto"/>
            <w:noWrap/>
            <w:vAlign w:val="center"/>
            <w:hideMark/>
          </w:tcPr>
          <w:p w:rsidR="002F054C" w:rsidRPr="00111047" w:rsidRDefault="002F054C" w:rsidP="00F030D0">
            <w:pPr>
              <w:rPr>
                <w:rFonts w:ascii="Calibri" w:hAnsi="Calibri" w:cs="Arial"/>
                <w:b/>
                <w:color w:val="1F4E79" w:themeColor="accent1" w:themeShade="80"/>
                <w:sz w:val="22"/>
                <w:szCs w:val="22"/>
                <w:lang w:val="ro-RO" w:eastAsia="ro-RO"/>
              </w:rPr>
            </w:pPr>
            <w:r w:rsidRPr="00111047">
              <w:rPr>
                <w:rFonts w:ascii="Calibri" w:hAnsi="Calibri" w:cs="Arial"/>
                <w:b/>
                <w:color w:val="1F4E79" w:themeColor="accent1" w:themeShade="80"/>
                <w:sz w:val="22"/>
                <w:szCs w:val="22"/>
                <w:lang w:val="ro-RO" w:eastAsia="ro-RO"/>
              </w:rPr>
              <w:t>II. PIB (miliarde lei)</w:t>
            </w:r>
          </w:p>
        </w:tc>
        <w:tc>
          <w:tcPr>
            <w:tcW w:w="939" w:type="dxa"/>
            <w:tcBorders>
              <w:top w:val="single" w:sz="2" w:space="0" w:color="365F91"/>
              <w:bottom w:val="single" w:sz="2" w:space="0" w:color="365F91"/>
            </w:tcBorders>
            <w:shd w:val="clear" w:color="000000" w:fill="FFFFFF"/>
            <w:noWrap/>
            <w:vAlign w:val="center"/>
            <w:hideMark/>
          </w:tcPr>
          <w:p w:rsidR="002F054C" w:rsidRPr="00111047" w:rsidRDefault="002F054C" w:rsidP="00F030D0">
            <w:pPr>
              <w:jc w:val="center"/>
              <w:rPr>
                <w:rFonts w:ascii="Calibri" w:hAnsi="Calibri" w:cs="Arial"/>
                <w:b/>
                <w:color w:val="1F4E79" w:themeColor="accent1" w:themeShade="80"/>
                <w:sz w:val="22"/>
                <w:szCs w:val="22"/>
                <w:lang w:val="ro-RO"/>
              </w:rPr>
            </w:pPr>
            <w:r w:rsidRPr="00111047">
              <w:rPr>
                <w:rFonts w:ascii="Calibri" w:hAnsi="Calibri" w:cs="Arial"/>
                <w:b/>
                <w:color w:val="1F4E79" w:themeColor="accent1" w:themeShade="80"/>
                <w:sz w:val="22"/>
                <w:szCs w:val="22"/>
                <w:lang w:val="ro-RO"/>
              </w:rPr>
              <w:t>856,7</w:t>
            </w:r>
          </w:p>
        </w:tc>
        <w:tc>
          <w:tcPr>
            <w:tcW w:w="1286" w:type="dxa"/>
            <w:tcBorders>
              <w:top w:val="single" w:sz="2" w:space="0" w:color="365F91"/>
              <w:bottom w:val="single" w:sz="2" w:space="0" w:color="365F91"/>
            </w:tcBorders>
            <w:shd w:val="clear" w:color="auto" w:fill="auto"/>
            <w:noWrap/>
            <w:vAlign w:val="center"/>
            <w:hideMark/>
          </w:tcPr>
          <w:p w:rsidR="002F054C" w:rsidRPr="00111047" w:rsidRDefault="00A560AE" w:rsidP="00F030D0">
            <w:pPr>
              <w:jc w:val="center"/>
              <w:rPr>
                <w:rFonts w:ascii="Calibri" w:hAnsi="Calibri" w:cs="Arial"/>
                <w:b/>
                <w:color w:val="1F4E79" w:themeColor="accent1" w:themeShade="80"/>
                <w:sz w:val="22"/>
                <w:szCs w:val="22"/>
                <w:lang w:val="ro-RO" w:eastAsia="ro-RO"/>
              </w:rPr>
            </w:pPr>
            <w:r>
              <w:rPr>
                <w:rFonts w:ascii="Calibri" w:hAnsi="Calibri" w:cs="Arial"/>
                <w:b/>
                <w:color w:val="1F4E79" w:themeColor="accent1" w:themeShade="80"/>
                <w:sz w:val="22"/>
                <w:szCs w:val="22"/>
              </w:rPr>
              <w:t>940</w:t>
            </w:r>
            <w:r w:rsidR="002F054C" w:rsidRPr="00111047">
              <w:rPr>
                <w:rFonts w:ascii="Calibri" w:hAnsi="Calibri" w:cs="Arial"/>
                <w:b/>
                <w:color w:val="1F4E79" w:themeColor="accent1" w:themeShade="80"/>
                <w:sz w:val="22"/>
                <w:szCs w:val="22"/>
              </w:rPr>
              <w:t>,</w:t>
            </w:r>
            <w:r>
              <w:rPr>
                <w:rFonts w:ascii="Calibri" w:hAnsi="Calibri" w:cs="Arial"/>
                <w:b/>
                <w:color w:val="1F4E79" w:themeColor="accent1" w:themeShade="80"/>
                <w:sz w:val="22"/>
                <w:szCs w:val="22"/>
              </w:rPr>
              <w:t>5</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rPr>
            </w:pPr>
            <w:r w:rsidRPr="00111047">
              <w:rPr>
                <w:rFonts w:ascii="Calibri" w:hAnsi="Calibri" w:cs="Arial"/>
                <w:b/>
                <w:color w:val="1F4E79" w:themeColor="accent1" w:themeShade="80"/>
                <w:sz w:val="22"/>
                <w:szCs w:val="22"/>
              </w:rPr>
              <w:t>1.022,5</w:t>
            </w:r>
          </w:p>
        </w:tc>
        <w:tc>
          <w:tcPr>
            <w:tcW w:w="1428"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rPr>
            </w:pPr>
            <w:r w:rsidRPr="00111047">
              <w:rPr>
                <w:rFonts w:ascii="Calibri" w:hAnsi="Calibri" w:cs="Arial"/>
                <w:b/>
                <w:color w:val="1F4E79" w:themeColor="accent1" w:themeShade="80"/>
                <w:sz w:val="22"/>
                <w:szCs w:val="22"/>
              </w:rPr>
              <w:t>1.101,0</w:t>
            </w:r>
          </w:p>
        </w:tc>
        <w:tc>
          <w:tcPr>
            <w:tcW w:w="1427" w:type="dxa"/>
            <w:tcBorders>
              <w:top w:val="single" w:sz="2" w:space="0" w:color="365F91"/>
              <w:bottom w:val="single" w:sz="2" w:space="0" w:color="365F91"/>
            </w:tcBorders>
            <w:shd w:val="clear" w:color="auto" w:fill="auto"/>
            <w:noWrap/>
            <w:vAlign w:val="center"/>
            <w:hideMark/>
          </w:tcPr>
          <w:p w:rsidR="002F054C" w:rsidRPr="00111047" w:rsidRDefault="002F054C" w:rsidP="00F030D0">
            <w:pPr>
              <w:jc w:val="center"/>
              <w:rPr>
                <w:rFonts w:ascii="Calibri" w:hAnsi="Calibri" w:cs="Arial"/>
                <w:b/>
                <w:color w:val="1F4E79" w:themeColor="accent1" w:themeShade="80"/>
                <w:sz w:val="22"/>
                <w:szCs w:val="22"/>
              </w:rPr>
            </w:pPr>
            <w:r w:rsidRPr="00111047">
              <w:rPr>
                <w:rFonts w:ascii="Calibri" w:hAnsi="Calibri" w:cs="Arial"/>
                <w:b/>
                <w:color w:val="1F4E79" w:themeColor="accent1" w:themeShade="80"/>
                <w:sz w:val="22"/>
                <w:szCs w:val="22"/>
              </w:rPr>
              <w:t>1.178,6</w:t>
            </w:r>
          </w:p>
        </w:tc>
      </w:tr>
    </w:tbl>
    <w:p w:rsidR="002F054C" w:rsidRPr="00FB10F4" w:rsidRDefault="006F5FBF" w:rsidP="002F054C">
      <w:pPr>
        <w:jc w:val="both"/>
        <w:rPr>
          <w:rFonts w:ascii="Arial" w:hAnsi="Arial" w:cs="Arial"/>
          <w:b/>
          <w:color w:val="1F4E79" w:themeColor="accent1" w:themeShade="80"/>
          <w:sz w:val="16"/>
          <w:szCs w:val="16"/>
          <w:lang w:val="ro-RO"/>
        </w:rPr>
      </w:pPr>
      <w:r>
        <w:rPr>
          <w:rFonts w:ascii="Arial" w:hAnsi="Arial" w:cs="Arial"/>
          <w:b/>
          <w:color w:val="1F4E79" w:themeColor="accent1" w:themeShade="80"/>
          <w:sz w:val="16"/>
          <w:szCs w:val="16"/>
          <w:lang w:val="ro-RO"/>
        </w:rPr>
        <w:t xml:space="preserve">              </w:t>
      </w:r>
      <w:r w:rsidR="002F054C" w:rsidRPr="00FB10F4">
        <w:rPr>
          <w:rFonts w:ascii="Arial" w:hAnsi="Arial" w:cs="Arial"/>
          <w:b/>
          <w:color w:val="1F4E79" w:themeColor="accent1" w:themeShade="80"/>
          <w:sz w:val="16"/>
          <w:szCs w:val="16"/>
          <w:lang w:val="ro-RO"/>
        </w:rPr>
        <w:t>*) proiectia garantiilor a avut la baza valoarea estimata de MFP pentru emiterea de noi garantii</w:t>
      </w:r>
    </w:p>
    <w:p w:rsidR="002F054C" w:rsidRPr="00111047" w:rsidRDefault="006F5FBF" w:rsidP="002F054C">
      <w:pPr>
        <w:jc w:val="both"/>
        <w:rPr>
          <w:rFonts w:ascii="Arial" w:hAnsi="Arial" w:cs="Arial"/>
          <w:b/>
          <w:i/>
          <w:color w:val="1F4E79" w:themeColor="accent1" w:themeShade="80"/>
          <w:sz w:val="16"/>
          <w:szCs w:val="16"/>
          <w:lang w:val="ro-RO"/>
        </w:rPr>
      </w:pPr>
      <w:r>
        <w:rPr>
          <w:rFonts w:ascii="Arial" w:hAnsi="Arial" w:cs="Arial"/>
          <w:b/>
          <w:i/>
          <w:color w:val="1F4E79" w:themeColor="accent1" w:themeShade="80"/>
          <w:sz w:val="16"/>
          <w:szCs w:val="16"/>
          <w:lang w:val="ro-RO"/>
        </w:rPr>
        <w:t xml:space="preserve">              </w:t>
      </w:r>
      <w:r w:rsidR="002F054C" w:rsidRPr="00111047">
        <w:rPr>
          <w:rFonts w:ascii="Arial" w:hAnsi="Arial" w:cs="Arial"/>
          <w:b/>
          <w:i/>
          <w:color w:val="1F4E79" w:themeColor="accent1" w:themeShade="80"/>
          <w:sz w:val="16"/>
          <w:szCs w:val="16"/>
          <w:lang w:val="ro-RO"/>
        </w:rPr>
        <w:t>Sursă: MFP</w:t>
      </w:r>
    </w:p>
    <w:p w:rsidR="00F05408" w:rsidRPr="00F05408" w:rsidRDefault="00F05408" w:rsidP="00DD2DE5">
      <w:pPr>
        <w:rPr>
          <w:rFonts w:ascii="Calibri" w:hAnsi="Calibri" w:cs="Arial"/>
          <w:color w:val="000000"/>
          <w:lang w:val="ro-RO"/>
        </w:rPr>
      </w:pPr>
    </w:p>
    <w:p w:rsidR="00F05408" w:rsidRPr="00F05408" w:rsidRDefault="00F05408" w:rsidP="00F05408">
      <w:pPr>
        <w:jc w:val="both"/>
        <w:rPr>
          <w:rFonts w:ascii="Calibri" w:hAnsi="Calibri" w:cs="Arial"/>
          <w:i/>
          <w:color w:val="FF0000"/>
          <w:lang w:val="ro-RO"/>
        </w:rPr>
      </w:pPr>
      <w:r w:rsidRPr="00F05408">
        <w:rPr>
          <w:rFonts w:ascii="Calibri" w:hAnsi="Calibri" w:cs="Arial"/>
          <w:color w:val="000000"/>
          <w:lang w:val="ro-RO"/>
        </w:rPr>
        <w:t>Având în vedere stocul în descreştere al garanţiilor de stat emise în trecut pentru împrumuturile contractate de companii şi gradul foarte redus al plăţilor efectuate de MFP în calitate de Garant în contul garanţiilor emise în cadrul programelor guvernamentale, estimările privind plăţile ce urmează a se efectua din bugetul de stat în contul acestor garanţii se situează la un nivel de0,01 % din PIB în perioada 2019 - 2021</w:t>
      </w:r>
      <w:r w:rsidRPr="00F05408">
        <w:rPr>
          <w:rFonts w:ascii="Calibri" w:hAnsi="Calibri" w:cs="Arial"/>
          <w:color w:val="FF0000"/>
          <w:lang w:val="ro-RO"/>
        </w:rPr>
        <w:t xml:space="preserve">. </w:t>
      </w:r>
      <w:r w:rsidRPr="00F05408">
        <w:rPr>
          <w:rFonts w:ascii="Calibri" w:hAnsi="Calibri" w:cs="Arial"/>
          <w:color w:val="000000"/>
          <w:lang w:val="ro-RO"/>
        </w:rPr>
        <w:t xml:space="preserve">Ipotezele acestui scenariu au în vedere şi garanţiile de stat emise în cadrul </w:t>
      </w:r>
      <w:r w:rsidRPr="00F05408">
        <w:rPr>
          <w:rFonts w:ascii="Calibri" w:hAnsi="Calibri" w:cs="Arial"/>
          <w:i/>
          <w:color w:val="000000"/>
          <w:lang w:val="ro-RO"/>
        </w:rPr>
        <w:t>programelor guvernamentalede garanții, dintre care programul guvernamental  “Prima casă” este cel mai important.</w:t>
      </w:r>
    </w:p>
    <w:p w:rsidR="00F05408" w:rsidRPr="00F05408" w:rsidRDefault="00F05408" w:rsidP="00F05408">
      <w:pPr>
        <w:jc w:val="both"/>
        <w:rPr>
          <w:rFonts w:ascii="Calibri" w:hAnsi="Calibri" w:cs="Arial"/>
          <w:color w:val="FF0000"/>
          <w:sz w:val="18"/>
          <w:lang w:val="ro-RO"/>
        </w:rPr>
      </w:pPr>
    </w:p>
    <w:p w:rsidR="00F05408" w:rsidRPr="00F05408" w:rsidRDefault="00F05408" w:rsidP="00F05408">
      <w:pPr>
        <w:jc w:val="both"/>
        <w:rPr>
          <w:rFonts w:ascii="Arial" w:hAnsi="Arial" w:cs="Arial"/>
          <w:b/>
          <w:i/>
          <w:color w:val="000000"/>
          <w:sz w:val="10"/>
          <w:szCs w:val="20"/>
          <w:lang w:val="ro-RO"/>
        </w:rPr>
      </w:pPr>
    </w:p>
    <w:p w:rsidR="00F05408" w:rsidRPr="00F05408" w:rsidRDefault="00F05408" w:rsidP="00F05408">
      <w:pPr>
        <w:rPr>
          <w:rFonts w:ascii="Calibri" w:hAnsi="Calibri" w:cs="Arial"/>
          <w:b/>
          <w:color w:val="365F91"/>
          <w:lang w:val="ro-RO"/>
        </w:rPr>
      </w:pPr>
      <w:r w:rsidRPr="00F05408">
        <w:rPr>
          <w:rFonts w:ascii="Calibri" w:hAnsi="Calibri" w:cs="Arial"/>
          <w:b/>
          <w:color w:val="365F91"/>
          <w:lang w:val="ro-RO"/>
        </w:rPr>
        <w:t xml:space="preserve">       Plăţi MFP în calitate de garant pentru garanţiile emise de stat</w:t>
      </w:r>
    </w:p>
    <w:tbl>
      <w:tblPr>
        <w:tblW w:w="9072" w:type="dxa"/>
        <w:jc w:val="center"/>
        <w:tblLayout w:type="fixed"/>
        <w:tblLook w:val="04A0" w:firstRow="1" w:lastRow="0" w:firstColumn="1" w:lastColumn="0" w:noHBand="0" w:noVBand="1"/>
      </w:tblPr>
      <w:tblGrid>
        <w:gridCol w:w="2127"/>
        <w:gridCol w:w="1134"/>
        <w:gridCol w:w="1134"/>
        <w:gridCol w:w="1559"/>
        <w:gridCol w:w="1559"/>
        <w:gridCol w:w="1559"/>
      </w:tblGrid>
      <w:tr w:rsidR="00F05408" w:rsidRPr="00F05408" w:rsidTr="00F05408">
        <w:trPr>
          <w:trHeight w:val="540"/>
          <w:jc w:val="center"/>
        </w:trPr>
        <w:tc>
          <w:tcPr>
            <w:tcW w:w="2127" w:type="dxa"/>
            <w:tcBorders>
              <w:top w:val="single" w:sz="2" w:space="0" w:color="365F91"/>
              <w:bottom w:val="single" w:sz="2" w:space="0" w:color="365F91"/>
              <w:right w:val="nil"/>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p>
        </w:tc>
        <w:tc>
          <w:tcPr>
            <w:tcW w:w="1134" w:type="dxa"/>
            <w:tcBorders>
              <w:top w:val="single" w:sz="2" w:space="0" w:color="365F91"/>
              <w:left w:val="nil"/>
              <w:bottom w:val="single" w:sz="2" w:space="0" w:color="365F91"/>
              <w:right w:val="nil"/>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r w:rsidRPr="00F05408">
              <w:rPr>
                <w:rFonts w:ascii="Calibri" w:hAnsi="Calibri" w:cs="Arial"/>
                <w:b/>
                <w:bCs/>
                <w:i/>
                <w:color w:val="FFFFFF" w:themeColor="background1"/>
                <w:sz w:val="22"/>
                <w:lang w:val="ro-RO" w:eastAsia="ro-RO"/>
              </w:rPr>
              <w:t>2017</w:t>
            </w:r>
          </w:p>
        </w:tc>
        <w:tc>
          <w:tcPr>
            <w:tcW w:w="1134" w:type="dxa"/>
            <w:tcBorders>
              <w:top w:val="single" w:sz="2" w:space="0" w:color="365F91"/>
              <w:left w:val="nil"/>
              <w:bottom w:val="single" w:sz="2" w:space="0" w:color="365F91"/>
              <w:right w:val="nil"/>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r w:rsidRPr="00F05408">
              <w:rPr>
                <w:rFonts w:ascii="Calibri" w:hAnsi="Calibri" w:cs="Arial"/>
                <w:b/>
                <w:bCs/>
                <w:i/>
                <w:color w:val="FFFFFF" w:themeColor="background1"/>
                <w:sz w:val="22"/>
                <w:lang w:val="ro-RO" w:eastAsia="ro-RO"/>
              </w:rPr>
              <w:t>2018 est.</w:t>
            </w:r>
          </w:p>
        </w:tc>
        <w:tc>
          <w:tcPr>
            <w:tcW w:w="1559" w:type="dxa"/>
            <w:tcBorders>
              <w:top w:val="single" w:sz="2" w:space="0" w:color="365F91"/>
              <w:left w:val="nil"/>
              <w:bottom w:val="single" w:sz="2" w:space="0" w:color="365F91"/>
              <w:right w:val="nil"/>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r w:rsidRPr="00F05408">
              <w:rPr>
                <w:rFonts w:ascii="Calibri" w:hAnsi="Calibri" w:cs="Arial"/>
                <w:b/>
                <w:bCs/>
                <w:i/>
                <w:color w:val="FFFFFF" w:themeColor="background1"/>
                <w:sz w:val="22"/>
                <w:lang w:val="ro-RO" w:eastAsia="ro-RO"/>
              </w:rPr>
              <w:t>2019 prog.</w:t>
            </w:r>
          </w:p>
        </w:tc>
        <w:tc>
          <w:tcPr>
            <w:tcW w:w="1559" w:type="dxa"/>
            <w:tcBorders>
              <w:top w:val="single" w:sz="2" w:space="0" w:color="365F91"/>
              <w:left w:val="nil"/>
              <w:bottom w:val="single" w:sz="2" w:space="0" w:color="365F91"/>
              <w:right w:val="nil"/>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r w:rsidRPr="00F05408">
              <w:rPr>
                <w:rFonts w:ascii="Calibri" w:hAnsi="Calibri" w:cs="Arial"/>
                <w:b/>
                <w:bCs/>
                <w:i/>
                <w:color w:val="FFFFFF" w:themeColor="background1"/>
                <w:sz w:val="22"/>
                <w:lang w:val="ro-RO" w:eastAsia="ro-RO"/>
              </w:rPr>
              <w:t>2020 prog.</w:t>
            </w:r>
          </w:p>
        </w:tc>
        <w:tc>
          <w:tcPr>
            <w:tcW w:w="1559" w:type="dxa"/>
            <w:tcBorders>
              <w:top w:val="single" w:sz="2" w:space="0" w:color="365F91"/>
              <w:left w:val="nil"/>
              <w:bottom w:val="single" w:sz="2" w:space="0" w:color="365F91"/>
            </w:tcBorders>
            <w:shd w:val="clear" w:color="auto" w:fill="365F91"/>
            <w:noWrap/>
            <w:vAlign w:val="center"/>
            <w:hideMark/>
          </w:tcPr>
          <w:p w:rsidR="00F05408" w:rsidRPr="00F05408" w:rsidRDefault="00F05408" w:rsidP="00F05408">
            <w:pPr>
              <w:jc w:val="center"/>
              <w:rPr>
                <w:rFonts w:ascii="Calibri" w:hAnsi="Calibri" w:cs="Arial"/>
                <w:b/>
                <w:bCs/>
                <w:i/>
                <w:color w:val="FFFFFF" w:themeColor="background1"/>
                <w:sz w:val="22"/>
                <w:lang w:val="ro-RO" w:eastAsia="ro-RO"/>
              </w:rPr>
            </w:pPr>
            <w:r w:rsidRPr="00F05408">
              <w:rPr>
                <w:rFonts w:ascii="Calibri" w:hAnsi="Calibri" w:cs="Arial"/>
                <w:b/>
                <w:bCs/>
                <w:i/>
                <w:color w:val="FFFFFF" w:themeColor="background1"/>
                <w:sz w:val="22"/>
                <w:lang w:val="ro-RO" w:eastAsia="ro-RO"/>
              </w:rPr>
              <w:t>2021 prog.</w:t>
            </w:r>
          </w:p>
        </w:tc>
      </w:tr>
      <w:tr w:rsidR="00F05408" w:rsidRPr="00AC4302" w:rsidTr="00F05408">
        <w:trPr>
          <w:trHeight w:val="540"/>
          <w:jc w:val="center"/>
        </w:trPr>
        <w:tc>
          <w:tcPr>
            <w:tcW w:w="9072" w:type="dxa"/>
            <w:gridSpan w:val="6"/>
            <w:tcBorders>
              <w:top w:val="single" w:sz="2" w:space="0" w:color="365F91"/>
              <w:bottom w:val="single" w:sz="2" w:space="0" w:color="365F91"/>
            </w:tcBorders>
            <w:shd w:val="clear" w:color="auto" w:fill="auto"/>
            <w:noWrap/>
            <w:vAlign w:val="center"/>
          </w:tcPr>
          <w:p w:rsidR="00F05408" w:rsidRPr="00F05408" w:rsidRDefault="00F05408" w:rsidP="00F05408">
            <w:pPr>
              <w:rPr>
                <w:rFonts w:ascii="Calibri" w:hAnsi="Calibri" w:cs="Arial"/>
                <w:color w:val="365F91"/>
                <w:sz w:val="22"/>
                <w:lang w:val="ro-RO" w:eastAsia="ro-RO"/>
              </w:rPr>
            </w:pPr>
            <w:r w:rsidRPr="00F05408">
              <w:rPr>
                <w:rFonts w:ascii="Calibri" w:hAnsi="Calibri" w:cs="Arial"/>
                <w:color w:val="365F91"/>
                <w:sz w:val="22"/>
                <w:lang w:val="ro-RO" w:eastAsia="ro-RO"/>
              </w:rPr>
              <w:t xml:space="preserve">I.   </w:t>
            </w:r>
            <w:r w:rsidRPr="00F05408">
              <w:rPr>
                <w:rFonts w:ascii="Calibri" w:hAnsi="Calibri" w:cs="Arial"/>
                <w:i/>
                <w:color w:val="365F91"/>
                <w:sz w:val="22"/>
                <w:szCs w:val="22"/>
                <w:lang w:val="ro-RO" w:eastAsia="ro-RO"/>
              </w:rPr>
              <w:t>Plăți MFP în calitate de garant pentru garanțiile emise de stat *)</w:t>
            </w:r>
          </w:p>
        </w:tc>
      </w:tr>
      <w:tr w:rsidR="00F05408" w:rsidRPr="00F05408" w:rsidTr="00F05408">
        <w:trPr>
          <w:trHeight w:val="300"/>
          <w:jc w:val="center"/>
        </w:trPr>
        <w:tc>
          <w:tcPr>
            <w:tcW w:w="2127" w:type="dxa"/>
            <w:tcBorders>
              <w:top w:val="single" w:sz="2" w:space="0" w:color="365F91"/>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eastAsia="ro-RO"/>
              </w:rPr>
            </w:pPr>
            <w:r w:rsidRPr="00F05408">
              <w:rPr>
                <w:rFonts w:ascii="Calibri" w:hAnsi="Calibri" w:cs="Arial"/>
                <w:color w:val="365F91"/>
                <w:sz w:val="22"/>
                <w:lang w:val="ro-RO" w:eastAsia="ro-RO"/>
              </w:rPr>
              <w:t>- milioane lei</w:t>
            </w:r>
          </w:p>
        </w:tc>
        <w:tc>
          <w:tcPr>
            <w:tcW w:w="1134"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109,2</w:t>
            </w:r>
          </w:p>
        </w:tc>
        <w:tc>
          <w:tcPr>
            <w:tcW w:w="1134"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83,5</w:t>
            </w:r>
          </w:p>
        </w:tc>
        <w:tc>
          <w:tcPr>
            <w:tcW w:w="1559"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98,6</w:t>
            </w:r>
          </w:p>
        </w:tc>
        <w:tc>
          <w:tcPr>
            <w:tcW w:w="1559"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77,2</w:t>
            </w:r>
          </w:p>
        </w:tc>
        <w:tc>
          <w:tcPr>
            <w:tcW w:w="1559" w:type="dxa"/>
            <w:tcBorders>
              <w:top w:val="single" w:sz="2" w:space="0" w:color="365F91"/>
              <w:left w:val="nil"/>
              <w:bottom w:val="single" w:sz="2" w:space="0" w:color="365F91"/>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79,6</w:t>
            </w:r>
          </w:p>
        </w:tc>
      </w:tr>
      <w:tr w:rsidR="00F05408" w:rsidRPr="00F05408" w:rsidTr="00F05408">
        <w:trPr>
          <w:trHeight w:val="409"/>
          <w:jc w:val="center"/>
        </w:trPr>
        <w:tc>
          <w:tcPr>
            <w:tcW w:w="2127" w:type="dxa"/>
            <w:tcBorders>
              <w:top w:val="single" w:sz="2" w:space="0" w:color="365F91"/>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eastAsia="ro-RO"/>
              </w:rPr>
            </w:pPr>
            <w:r w:rsidRPr="00F05408">
              <w:rPr>
                <w:rFonts w:ascii="Calibri" w:hAnsi="Calibri" w:cs="Arial"/>
                <w:color w:val="365F91"/>
                <w:sz w:val="22"/>
                <w:lang w:val="ro-RO" w:eastAsia="ro-RO"/>
              </w:rPr>
              <w:t>- % din PIB</w:t>
            </w:r>
          </w:p>
        </w:tc>
        <w:tc>
          <w:tcPr>
            <w:tcW w:w="1134"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0,01%</w:t>
            </w:r>
          </w:p>
        </w:tc>
        <w:tc>
          <w:tcPr>
            <w:tcW w:w="1134"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0,01%</w:t>
            </w:r>
          </w:p>
        </w:tc>
        <w:tc>
          <w:tcPr>
            <w:tcW w:w="1559"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0,01%</w:t>
            </w:r>
          </w:p>
        </w:tc>
        <w:tc>
          <w:tcPr>
            <w:tcW w:w="1559" w:type="dxa"/>
            <w:tcBorders>
              <w:top w:val="single" w:sz="2" w:space="0" w:color="365F91"/>
              <w:left w:val="nil"/>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0,01%</w:t>
            </w:r>
          </w:p>
        </w:tc>
        <w:tc>
          <w:tcPr>
            <w:tcW w:w="1559" w:type="dxa"/>
            <w:tcBorders>
              <w:top w:val="single" w:sz="2" w:space="0" w:color="365F91"/>
              <w:left w:val="nil"/>
              <w:bottom w:val="single" w:sz="2" w:space="0" w:color="365F91"/>
            </w:tcBorders>
            <w:shd w:val="clear" w:color="auto" w:fill="auto"/>
            <w:noWrap/>
            <w:vAlign w:val="center"/>
            <w:hideMark/>
          </w:tcPr>
          <w:p w:rsidR="00F05408" w:rsidRPr="00F05408" w:rsidRDefault="00F05408" w:rsidP="00F05408">
            <w:pPr>
              <w:jc w:val="center"/>
              <w:rPr>
                <w:rFonts w:ascii="Calibri" w:hAnsi="Calibri" w:cs="Arial"/>
                <w:color w:val="365F91"/>
                <w:sz w:val="22"/>
                <w:lang w:val="ro-RO"/>
              </w:rPr>
            </w:pPr>
            <w:r w:rsidRPr="00F05408">
              <w:rPr>
                <w:rFonts w:ascii="Calibri" w:hAnsi="Calibri" w:cs="Arial"/>
                <w:color w:val="365F91"/>
                <w:sz w:val="22"/>
                <w:lang w:val="ro-RO"/>
              </w:rPr>
              <w:t>0,01%</w:t>
            </w:r>
          </w:p>
        </w:tc>
      </w:tr>
      <w:tr w:rsidR="00F05408" w:rsidRPr="00F05408" w:rsidTr="00F05408">
        <w:trPr>
          <w:trHeight w:val="375"/>
          <w:jc w:val="center"/>
        </w:trPr>
        <w:tc>
          <w:tcPr>
            <w:tcW w:w="2127" w:type="dxa"/>
            <w:tcBorders>
              <w:top w:val="single" w:sz="2" w:space="0" w:color="365F91"/>
              <w:bottom w:val="single" w:sz="2" w:space="0" w:color="365F91"/>
              <w:right w:val="nil"/>
            </w:tcBorders>
            <w:shd w:val="clear" w:color="auto" w:fill="auto"/>
            <w:noWrap/>
            <w:vAlign w:val="center"/>
            <w:hideMark/>
          </w:tcPr>
          <w:p w:rsidR="00F05408" w:rsidRPr="00F05408" w:rsidRDefault="00F05408" w:rsidP="00F05408">
            <w:pPr>
              <w:jc w:val="center"/>
              <w:rPr>
                <w:rFonts w:ascii="Calibri" w:hAnsi="Calibri" w:cs="Arial"/>
                <w:color w:val="365F91"/>
                <w:sz w:val="22"/>
                <w:lang w:val="ro-RO" w:eastAsia="ro-RO"/>
              </w:rPr>
            </w:pPr>
            <w:r w:rsidRPr="00F05408">
              <w:rPr>
                <w:rFonts w:ascii="Calibri" w:hAnsi="Calibri" w:cs="Arial"/>
                <w:color w:val="365F91"/>
                <w:sz w:val="22"/>
                <w:lang w:val="ro-RO" w:eastAsia="ro-RO"/>
              </w:rPr>
              <w:t>II. PIB (milioane lei)</w:t>
            </w:r>
          </w:p>
        </w:tc>
        <w:tc>
          <w:tcPr>
            <w:tcW w:w="1134" w:type="dxa"/>
            <w:tcBorders>
              <w:top w:val="single" w:sz="2" w:space="0" w:color="365F91"/>
              <w:left w:val="nil"/>
              <w:bottom w:val="single" w:sz="2" w:space="0" w:color="365F91"/>
              <w:right w:val="nil"/>
            </w:tcBorders>
            <w:shd w:val="clear" w:color="auto" w:fill="auto"/>
            <w:noWrap/>
            <w:vAlign w:val="center"/>
          </w:tcPr>
          <w:p w:rsidR="00F05408" w:rsidRPr="00F05408" w:rsidRDefault="0087132C" w:rsidP="00F05408">
            <w:pPr>
              <w:jc w:val="center"/>
              <w:rPr>
                <w:rFonts w:ascii="Calibri" w:hAnsi="Calibri"/>
                <w:color w:val="365F91"/>
                <w:sz w:val="22"/>
                <w:szCs w:val="22"/>
              </w:rPr>
            </w:pPr>
            <w:r>
              <w:rPr>
                <w:rFonts w:ascii="Calibri" w:hAnsi="Calibri"/>
                <w:color w:val="365F91"/>
                <w:sz w:val="22"/>
                <w:szCs w:val="22"/>
              </w:rPr>
              <w:t>856.70</w:t>
            </w:r>
            <w:r w:rsidR="00F05408" w:rsidRPr="00F05408">
              <w:rPr>
                <w:rFonts w:ascii="Calibri" w:hAnsi="Calibri"/>
                <w:color w:val="365F91"/>
                <w:sz w:val="22"/>
                <w:szCs w:val="22"/>
              </w:rPr>
              <w:t>0</w:t>
            </w:r>
          </w:p>
        </w:tc>
        <w:tc>
          <w:tcPr>
            <w:tcW w:w="1134" w:type="dxa"/>
            <w:tcBorders>
              <w:top w:val="single" w:sz="2" w:space="0" w:color="365F91"/>
              <w:left w:val="nil"/>
              <w:bottom w:val="single" w:sz="2" w:space="0" w:color="365F91"/>
              <w:right w:val="nil"/>
            </w:tcBorders>
            <w:shd w:val="clear" w:color="auto" w:fill="auto"/>
            <w:noWrap/>
            <w:vAlign w:val="center"/>
          </w:tcPr>
          <w:p w:rsidR="00F05408" w:rsidRPr="00F05408" w:rsidRDefault="00A560AE" w:rsidP="00F05408">
            <w:pPr>
              <w:jc w:val="center"/>
              <w:rPr>
                <w:rFonts w:ascii="Calibri" w:hAnsi="Calibri"/>
                <w:color w:val="365F91"/>
                <w:sz w:val="22"/>
                <w:szCs w:val="22"/>
              </w:rPr>
            </w:pPr>
            <w:r>
              <w:rPr>
                <w:rFonts w:ascii="Calibri" w:hAnsi="Calibri"/>
                <w:color w:val="365F91"/>
                <w:sz w:val="22"/>
                <w:szCs w:val="22"/>
              </w:rPr>
              <w:t>940.5</w:t>
            </w:r>
            <w:r w:rsidR="00F05408" w:rsidRPr="00F05408">
              <w:rPr>
                <w:rFonts w:ascii="Calibri" w:hAnsi="Calibri"/>
                <w:color w:val="365F91"/>
                <w:sz w:val="22"/>
                <w:szCs w:val="22"/>
              </w:rPr>
              <w:t>00</w:t>
            </w:r>
          </w:p>
        </w:tc>
        <w:tc>
          <w:tcPr>
            <w:tcW w:w="1559" w:type="dxa"/>
            <w:tcBorders>
              <w:top w:val="single" w:sz="2" w:space="0" w:color="365F91"/>
              <w:left w:val="nil"/>
              <w:bottom w:val="single" w:sz="2" w:space="0" w:color="365F91"/>
              <w:right w:val="nil"/>
            </w:tcBorders>
            <w:shd w:val="clear" w:color="auto" w:fill="auto"/>
            <w:noWrap/>
            <w:vAlign w:val="center"/>
          </w:tcPr>
          <w:p w:rsidR="00F05408" w:rsidRPr="00F05408" w:rsidRDefault="00F05408" w:rsidP="00F05408">
            <w:pPr>
              <w:jc w:val="center"/>
              <w:rPr>
                <w:rFonts w:ascii="Calibri" w:hAnsi="Calibri"/>
                <w:color w:val="365F91"/>
                <w:sz w:val="22"/>
                <w:szCs w:val="22"/>
              </w:rPr>
            </w:pPr>
            <w:r w:rsidRPr="00F05408">
              <w:rPr>
                <w:rFonts w:ascii="Calibri" w:hAnsi="Calibri"/>
                <w:color w:val="365F91"/>
                <w:sz w:val="22"/>
                <w:szCs w:val="22"/>
              </w:rPr>
              <w:t>1.022.500</w:t>
            </w:r>
          </w:p>
        </w:tc>
        <w:tc>
          <w:tcPr>
            <w:tcW w:w="1559" w:type="dxa"/>
            <w:tcBorders>
              <w:top w:val="single" w:sz="2" w:space="0" w:color="365F91"/>
              <w:left w:val="nil"/>
              <w:bottom w:val="single" w:sz="2" w:space="0" w:color="365F91"/>
              <w:right w:val="nil"/>
            </w:tcBorders>
            <w:shd w:val="clear" w:color="auto" w:fill="auto"/>
            <w:noWrap/>
            <w:vAlign w:val="center"/>
          </w:tcPr>
          <w:p w:rsidR="00F05408" w:rsidRPr="00F05408" w:rsidRDefault="00F05408" w:rsidP="00F05408">
            <w:pPr>
              <w:jc w:val="center"/>
              <w:rPr>
                <w:rFonts w:ascii="Calibri" w:hAnsi="Calibri"/>
                <w:color w:val="365F91"/>
                <w:sz w:val="22"/>
                <w:szCs w:val="22"/>
              </w:rPr>
            </w:pPr>
            <w:r w:rsidRPr="00F05408">
              <w:rPr>
                <w:rFonts w:ascii="Calibri" w:hAnsi="Calibri"/>
                <w:color w:val="365F91"/>
                <w:sz w:val="22"/>
                <w:szCs w:val="22"/>
              </w:rPr>
              <w:t>1.101.000</w:t>
            </w:r>
          </w:p>
        </w:tc>
        <w:tc>
          <w:tcPr>
            <w:tcW w:w="1559" w:type="dxa"/>
            <w:tcBorders>
              <w:top w:val="single" w:sz="2" w:space="0" w:color="365F91"/>
              <w:left w:val="nil"/>
              <w:bottom w:val="single" w:sz="2" w:space="0" w:color="365F91"/>
            </w:tcBorders>
            <w:shd w:val="clear" w:color="auto" w:fill="auto"/>
            <w:noWrap/>
            <w:vAlign w:val="center"/>
          </w:tcPr>
          <w:p w:rsidR="00F05408" w:rsidRPr="00F05408" w:rsidRDefault="00F05408" w:rsidP="00F05408">
            <w:pPr>
              <w:jc w:val="center"/>
              <w:rPr>
                <w:rFonts w:ascii="Calibri" w:hAnsi="Calibri"/>
                <w:color w:val="365F91"/>
                <w:sz w:val="22"/>
                <w:szCs w:val="22"/>
              </w:rPr>
            </w:pPr>
            <w:r w:rsidRPr="00F05408">
              <w:rPr>
                <w:rFonts w:ascii="Calibri" w:hAnsi="Calibri"/>
                <w:color w:val="365F91"/>
                <w:sz w:val="22"/>
                <w:szCs w:val="22"/>
              </w:rPr>
              <w:t>1.178.600</w:t>
            </w:r>
          </w:p>
        </w:tc>
      </w:tr>
      <w:tr w:rsidR="00F05408" w:rsidRPr="00F05408" w:rsidTr="00F05408">
        <w:trPr>
          <w:trHeight w:val="375"/>
          <w:jc w:val="center"/>
        </w:trPr>
        <w:tc>
          <w:tcPr>
            <w:tcW w:w="9072" w:type="dxa"/>
            <w:gridSpan w:val="6"/>
            <w:tcBorders>
              <w:top w:val="single" w:sz="2" w:space="0" w:color="365F91"/>
            </w:tcBorders>
            <w:shd w:val="clear" w:color="auto" w:fill="auto"/>
            <w:noWrap/>
            <w:vAlign w:val="center"/>
          </w:tcPr>
          <w:p w:rsidR="00F05408" w:rsidRPr="00F05408" w:rsidRDefault="00F05408" w:rsidP="00F05408">
            <w:pPr>
              <w:rPr>
                <w:rFonts w:ascii="Calibri" w:hAnsi="Calibri" w:cs="Arial"/>
                <w:i/>
                <w:color w:val="365F91"/>
                <w:sz w:val="20"/>
                <w:lang w:val="ro-RO" w:eastAsia="ro-RO"/>
              </w:rPr>
            </w:pPr>
            <w:r w:rsidRPr="00F05408">
              <w:rPr>
                <w:rFonts w:ascii="Calibri" w:hAnsi="Calibri" w:cs="Arial"/>
                <w:i/>
                <w:color w:val="365F91"/>
                <w:sz w:val="20"/>
                <w:lang w:val="ro-RO" w:eastAsia="ro-RO"/>
              </w:rPr>
              <w:t>Sursă: MFP</w:t>
            </w:r>
          </w:p>
        </w:tc>
      </w:tr>
    </w:tbl>
    <w:p w:rsidR="00F05408" w:rsidRPr="00F05408" w:rsidRDefault="006F5FBF" w:rsidP="00F05408">
      <w:pPr>
        <w:rPr>
          <w:rFonts w:ascii="Arial" w:hAnsi="Arial" w:cs="Arial"/>
          <w:i/>
          <w:color w:val="365F91"/>
          <w:sz w:val="28"/>
          <w:szCs w:val="28"/>
          <w:lang w:val="ro-RO"/>
        </w:rPr>
      </w:pPr>
      <w:r>
        <w:rPr>
          <w:rFonts w:ascii="Calibri" w:hAnsi="Calibri" w:cs="Arial"/>
          <w:bCs/>
          <w:i/>
          <w:color w:val="365F91"/>
          <w:sz w:val="16"/>
          <w:szCs w:val="16"/>
          <w:lang w:val="ro-RO"/>
        </w:rPr>
        <w:t xml:space="preserve">         </w:t>
      </w:r>
      <w:r w:rsidR="00F05408" w:rsidRPr="00F05408">
        <w:rPr>
          <w:rFonts w:ascii="Calibri" w:hAnsi="Calibri" w:cs="Arial"/>
          <w:bCs/>
          <w:i/>
          <w:color w:val="365F91"/>
          <w:sz w:val="16"/>
          <w:szCs w:val="16"/>
          <w:lang w:val="ro-RO"/>
        </w:rPr>
        <w:t>*) Include toate platile MFP in calitate de garant, inclusiv cele din fondul de risc</w:t>
      </w:r>
    </w:p>
    <w:p w:rsidR="00F05408" w:rsidRPr="00F05408" w:rsidRDefault="00F05408" w:rsidP="00F05408">
      <w:pPr>
        <w:rPr>
          <w:sz w:val="12"/>
          <w:lang w:val="ro-RO"/>
        </w:rPr>
      </w:pPr>
    </w:p>
    <w:p w:rsidR="00F05408" w:rsidRPr="00F05408" w:rsidRDefault="00F05408" w:rsidP="00F05408">
      <w:pPr>
        <w:rPr>
          <w:sz w:val="12"/>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05408" w:rsidRPr="00F05408" w:rsidTr="00F05408">
        <w:tc>
          <w:tcPr>
            <w:tcW w:w="9831" w:type="dxa"/>
            <w:shd w:val="clear" w:color="auto" w:fill="4F81BD"/>
          </w:tcPr>
          <w:p w:rsidR="00F05408" w:rsidRPr="00F05408" w:rsidRDefault="00F05408" w:rsidP="00F05408">
            <w:pPr>
              <w:rPr>
                <w:rFonts w:ascii="Calibri" w:hAnsi="Calibri"/>
                <w:b/>
                <w:i/>
                <w:color w:val="FFFFFF" w:themeColor="background1"/>
                <w:sz w:val="6"/>
                <w:lang w:val="ro-RO"/>
              </w:rPr>
            </w:pPr>
          </w:p>
          <w:p w:rsidR="00F05408" w:rsidRPr="00F05408" w:rsidRDefault="00F05408" w:rsidP="00F05408">
            <w:pPr>
              <w:rPr>
                <w:rFonts w:ascii="Calibri" w:hAnsi="Calibri"/>
                <w:b/>
                <w:i/>
                <w:color w:val="FFFFFF" w:themeColor="background1"/>
                <w:lang w:val="ro-RO"/>
              </w:rPr>
            </w:pPr>
            <w:r w:rsidRPr="00F05408">
              <w:rPr>
                <w:rFonts w:ascii="Calibri" w:hAnsi="Calibri"/>
                <w:b/>
                <w:i/>
                <w:color w:val="FFFFFF" w:themeColor="background1"/>
                <w:lang w:val="ro-RO"/>
              </w:rPr>
              <w:t>Riscuri aferente absorbției fondurilor europene nerambursabile</w:t>
            </w:r>
          </w:p>
          <w:p w:rsidR="00F05408" w:rsidRPr="00F05408" w:rsidRDefault="00F05408" w:rsidP="00F05408">
            <w:pPr>
              <w:rPr>
                <w:rFonts w:ascii="Calibri" w:hAnsi="Calibri"/>
                <w:b/>
                <w:i/>
                <w:color w:val="FFFFFF" w:themeColor="background1"/>
                <w:sz w:val="8"/>
                <w:lang w:val="ro-RO"/>
              </w:rPr>
            </w:pPr>
          </w:p>
        </w:tc>
      </w:tr>
    </w:tbl>
    <w:p w:rsidR="00F05408" w:rsidRPr="00F05408" w:rsidRDefault="00F05408" w:rsidP="00F05408">
      <w:pPr>
        <w:rPr>
          <w:lang w:val="ro-RO"/>
        </w:rPr>
      </w:pPr>
    </w:p>
    <w:p w:rsidR="00F05408" w:rsidRPr="00F05408" w:rsidRDefault="00F05408" w:rsidP="00F05408">
      <w:pPr>
        <w:jc w:val="both"/>
        <w:rPr>
          <w:rFonts w:ascii="Calibri" w:hAnsi="Calibri"/>
          <w:lang w:val="ro-RO"/>
        </w:rPr>
      </w:pPr>
      <w:r w:rsidRPr="00F05408">
        <w:rPr>
          <w:rFonts w:ascii="Calibri" w:hAnsi="Calibri"/>
          <w:lang w:val="ro-RO"/>
        </w:rPr>
        <w:t xml:space="preserve">Principalele riscuri care vizează absorbția fondurilor europene nerambursabile se referă la </w:t>
      </w:r>
      <w:r w:rsidRPr="00F05408">
        <w:rPr>
          <w:rFonts w:ascii="Calibri" w:hAnsi="Calibri"/>
          <w:b/>
          <w:color w:val="365F91"/>
          <w:lang w:val="ro-RO"/>
        </w:rPr>
        <w:t>capacitatea scăzută de absorbție</w:t>
      </w:r>
      <w:r w:rsidRPr="00F05408">
        <w:rPr>
          <w:rFonts w:ascii="Calibri" w:hAnsi="Calibri"/>
          <w:lang w:val="ro-RO"/>
        </w:rPr>
        <w:t xml:space="preserve">  și </w:t>
      </w:r>
      <w:r w:rsidRPr="00F05408">
        <w:rPr>
          <w:rFonts w:ascii="Calibri" w:hAnsi="Calibri"/>
          <w:b/>
          <w:color w:val="365F91"/>
          <w:lang w:val="ro-RO"/>
        </w:rPr>
        <w:t>riscul dezangajării fondurilor alocate României</w:t>
      </w:r>
      <w:r w:rsidRPr="00F05408">
        <w:rPr>
          <w:rFonts w:ascii="Calibri" w:hAnsi="Calibri"/>
          <w:lang w:val="ro-RO"/>
        </w:rPr>
        <w:t xml:space="preserve">. </w:t>
      </w:r>
    </w:p>
    <w:p w:rsidR="00F05408" w:rsidRPr="00F05408" w:rsidRDefault="00F05408" w:rsidP="00F05408">
      <w:pPr>
        <w:jc w:val="both"/>
        <w:rPr>
          <w:rFonts w:ascii="Calibri" w:hAnsi="Calibri"/>
          <w:sz w:val="16"/>
          <w:lang w:val="ro-RO"/>
        </w:rPr>
      </w:pPr>
    </w:p>
    <w:p w:rsidR="00F05408" w:rsidRPr="00F05408" w:rsidRDefault="00F05408" w:rsidP="00F05408">
      <w:pPr>
        <w:jc w:val="both"/>
        <w:rPr>
          <w:rFonts w:ascii="Calibri" w:hAnsi="Calibri" w:cs="Arial"/>
          <w:lang w:val="ro-RO" w:eastAsia="zh-CN"/>
        </w:rPr>
      </w:pPr>
      <w:r w:rsidRPr="00F05408">
        <w:rPr>
          <w:rFonts w:ascii="Calibri" w:hAnsi="Calibri"/>
          <w:lang w:val="ro-RO"/>
        </w:rPr>
        <w:t xml:space="preserve">Totodată, pot interveni </w:t>
      </w:r>
      <w:r w:rsidRPr="00F05408">
        <w:rPr>
          <w:rFonts w:ascii="Calibri" w:hAnsi="Calibri"/>
          <w:b/>
          <w:color w:val="365F91"/>
          <w:lang w:val="ro-RO"/>
        </w:rPr>
        <w:t>riscuri  de natură operațională</w:t>
      </w:r>
      <w:r w:rsidRPr="00F05408">
        <w:rPr>
          <w:rFonts w:ascii="Calibri" w:hAnsi="Calibri"/>
          <w:color w:val="365F91"/>
          <w:lang w:val="ro-RO"/>
        </w:rPr>
        <w:t>.</w:t>
      </w:r>
      <w:r w:rsidRPr="00F05408">
        <w:rPr>
          <w:rFonts w:ascii="Calibri" w:hAnsi="Calibri"/>
          <w:lang w:val="ro-RO"/>
        </w:rPr>
        <w:t xml:space="preserve"> Exemple de astfel de riscuri, care pot interveni în perioada 2018-2020, sunt redate mai jos și se referă la implementarea </w:t>
      </w:r>
      <w:r w:rsidRPr="00F05408">
        <w:rPr>
          <w:rFonts w:ascii="Calibri" w:hAnsi="Calibri" w:cs="Arial"/>
          <w:lang w:val="ro-RO" w:eastAsia="zh-CN"/>
        </w:rPr>
        <w:t>Programului Operațional de Pescuit și Afaceri Maritime (POPAM):</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lipsa disponibilităţilor financiare ale solicitanților/ beneficiarilor POPAM;</w:t>
      </w:r>
    </w:p>
    <w:p w:rsidR="00F05408" w:rsidRPr="00F05408" w:rsidRDefault="00F05408" w:rsidP="00F05408">
      <w:pPr>
        <w:numPr>
          <w:ilvl w:val="0"/>
          <w:numId w:val="7"/>
        </w:numPr>
        <w:jc w:val="both"/>
        <w:rPr>
          <w:rFonts w:ascii="Calibri" w:hAnsi="Calibri" w:cs="Calibri"/>
          <w:lang w:val="ro-RO"/>
        </w:rPr>
      </w:pPr>
      <w:r w:rsidRPr="00F05408">
        <w:rPr>
          <w:rFonts w:ascii="Calibri" w:hAnsi="Calibri" w:cs="Calibri"/>
          <w:lang w:val="ro-RO"/>
        </w:rPr>
        <w:t>beneficiarii privaţi, în speţă pescarii comerciali, nu au venituri suficiente pentru susţinerea unor astfel de investiţii (ei sunt limitaţi ca venituri la cota de pescuit alocată pe autorizaţia de pescuit), rata de cofinanţare fiind de 50%. Pentru a intensifica informarea acestora cu privire la măsurile ce au fost prevăzute în legislaţia naţională referitoare la plăţi, AM va proceda la elaborarea unei fişe de prezentare a facilităţilor privind plata la factură şi avansul de până la 50% din cuantumul sprijinului financiar nerambursabil şi distribuirea acesteia pescarilor prin inspectorii ANPA;</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inoperabilitatea pe perioade semnificative a sistemului electronic de transmitere a datelor utilizat de DGP-AMPOPAM;</w:t>
      </w:r>
    </w:p>
    <w:p w:rsidR="00F05408" w:rsidRPr="00F05408" w:rsidRDefault="00F05408" w:rsidP="00F05408">
      <w:pPr>
        <w:numPr>
          <w:ilvl w:val="0"/>
          <w:numId w:val="7"/>
        </w:numPr>
        <w:jc w:val="both"/>
        <w:rPr>
          <w:rFonts w:ascii="Calibri" w:hAnsi="Calibri" w:cs="Calibri"/>
          <w:lang w:val="ro-RO"/>
        </w:rPr>
      </w:pPr>
      <w:r w:rsidRPr="00F05408">
        <w:rPr>
          <w:rFonts w:ascii="Calibri" w:hAnsi="Calibri" w:cs="Calibri"/>
          <w:lang w:val="ro-RO"/>
        </w:rPr>
        <w:t>interesul scăzut al autorităţilor publice locale pentru infrastructura portuară de pescuit, datorită faptului că se poate finanţa numai modernizarea infrastructurii existente şi nu crearea de noi porturi de pescuit, locuri de debarcare sau centre de licitaţii deşi cuantumul sprijinului financiar pentru autorităţi publice este de 100%. În acest sens, AM a iniţiat discuţii cu autoritatea portuară din Constanţa şi cu organizaţiile de pescari pentru identificarea unei posibile locaţii;</w:t>
      </w:r>
    </w:p>
    <w:p w:rsidR="00F05408" w:rsidRPr="00F05408" w:rsidRDefault="00F05408" w:rsidP="00F05408">
      <w:pPr>
        <w:numPr>
          <w:ilvl w:val="0"/>
          <w:numId w:val="7"/>
        </w:numPr>
        <w:contextualSpacing/>
        <w:jc w:val="both"/>
        <w:rPr>
          <w:rFonts w:ascii="Calibri" w:eastAsia="Calibri" w:hAnsi="Calibri"/>
          <w:lang w:val="ro-RO"/>
        </w:rPr>
      </w:pPr>
      <w:r w:rsidRPr="00F05408">
        <w:rPr>
          <w:rFonts w:ascii="Calibri" w:eastAsia="Calibri" w:hAnsi="Calibri"/>
          <w:lang w:val="ro-RO"/>
        </w:rPr>
        <w:t>întârzieri semnificative la nivelul MDRAPFE în operaţionalizarea tuturor modulelor sistemului integrat de management SMIS2014+/MySMIS 2014;</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dificultăţi ale beneficiarilor în operarea datelor în MySMIS 2014;</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disfuncţionalităţi temporare ale sistemelor informatice MySMIS 2014, SMIS2014 ş.a.</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întârzierea/lipsa aprobării CE a modificării ţintelor/operaţiunilor sau realocărilor bugetare POPAM;</w:t>
      </w:r>
    </w:p>
    <w:p w:rsidR="00F05408" w:rsidRPr="00F05408" w:rsidRDefault="00F05408" w:rsidP="00F05408">
      <w:pPr>
        <w:numPr>
          <w:ilvl w:val="0"/>
          <w:numId w:val="7"/>
        </w:numPr>
        <w:jc w:val="both"/>
        <w:rPr>
          <w:rFonts w:ascii="Calibri" w:hAnsi="Calibri"/>
          <w:lang w:val="ro-RO"/>
        </w:rPr>
      </w:pPr>
      <w:r w:rsidRPr="00F05408">
        <w:rPr>
          <w:rFonts w:ascii="Calibri" w:hAnsi="Calibri"/>
          <w:lang w:val="ro-RO"/>
        </w:rPr>
        <w:t>modificări frecvente ale cadrului legislativ şi instituţional;</w:t>
      </w:r>
    </w:p>
    <w:p w:rsidR="00F05408" w:rsidRPr="00F05408" w:rsidRDefault="00F05408" w:rsidP="00F05408">
      <w:pPr>
        <w:numPr>
          <w:ilvl w:val="0"/>
          <w:numId w:val="7"/>
        </w:numPr>
        <w:contextualSpacing/>
        <w:jc w:val="both"/>
        <w:rPr>
          <w:rFonts w:ascii="Calibri" w:eastAsia="Calibri" w:hAnsi="Calibri"/>
          <w:szCs w:val="22"/>
          <w:lang w:val="ro-RO"/>
        </w:rPr>
      </w:pPr>
      <w:r w:rsidRPr="00F05408">
        <w:rPr>
          <w:rFonts w:ascii="Calibri" w:eastAsia="Calibri" w:hAnsi="Calibri"/>
          <w:szCs w:val="22"/>
          <w:lang w:val="ro-RO"/>
        </w:rPr>
        <w:t>birocraţia excesivă.</w:t>
      </w:r>
    </w:p>
    <w:p w:rsidR="00F05408" w:rsidRPr="00F05408" w:rsidRDefault="00F05408" w:rsidP="00F05408">
      <w:pPr>
        <w:jc w:val="both"/>
        <w:rPr>
          <w:rFonts w:ascii="Calibri" w:hAnsi="Calibri"/>
        </w:rPr>
      </w:pPr>
    </w:p>
    <w:p w:rsidR="00F05408" w:rsidRPr="00F05408" w:rsidRDefault="00F05408" w:rsidP="00F05408">
      <w:pPr>
        <w:rPr>
          <w:sz w:val="6"/>
          <w:lang w:val="ro-RO"/>
        </w:rPr>
      </w:pPr>
    </w:p>
    <w:p w:rsidR="00F05408" w:rsidRPr="00F05408" w:rsidRDefault="00F05408" w:rsidP="00F05408">
      <w:pPr>
        <w:spacing w:before="120" w:after="120"/>
        <w:jc w:val="both"/>
        <w:rPr>
          <w:rFonts w:ascii="Calibri" w:hAnsi="Calibri" w:cs="Arial"/>
          <w:b/>
          <w:color w:val="365F91"/>
          <w:lang w:val="ro-RO" w:eastAsia="zh-CN"/>
        </w:rPr>
      </w:pPr>
      <w:r w:rsidRPr="00F05408">
        <w:rPr>
          <w:rFonts w:ascii="Calibri" w:hAnsi="Calibri"/>
          <w:b/>
          <w:color w:val="365F91"/>
          <w:szCs w:val="20"/>
          <w:lang w:val="ro-RO"/>
        </w:rPr>
        <w:t>Măsuri implementate sau în curs de implementare</w:t>
      </w:r>
    </w:p>
    <w:p w:rsidR="00F05408" w:rsidRPr="00F05408" w:rsidRDefault="00F05408" w:rsidP="00F05408">
      <w:pPr>
        <w:suppressAutoHyphens/>
        <w:spacing w:before="120" w:after="120"/>
        <w:jc w:val="both"/>
        <w:rPr>
          <w:rFonts w:ascii="Calibri" w:hAnsi="Calibri" w:cs="Arial"/>
          <w:color w:val="0070C0"/>
          <w:lang w:val="ro-RO" w:eastAsia="zh-CN"/>
        </w:rPr>
      </w:pPr>
      <w:r w:rsidRPr="00F05408">
        <w:rPr>
          <w:rFonts w:ascii="Calibri" w:hAnsi="Calibri" w:cs="Arial"/>
          <w:lang w:val="ro-RO" w:eastAsia="zh-CN"/>
        </w:rPr>
        <w:t xml:space="preserve">Pentru a evita </w:t>
      </w:r>
      <w:r w:rsidRPr="00F05408">
        <w:rPr>
          <w:rFonts w:ascii="Calibri" w:hAnsi="Calibri" w:cs="Arial"/>
          <w:b/>
          <w:color w:val="365F91"/>
          <w:lang w:val="ro-RO" w:eastAsia="zh-CN"/>
        </w:rPr>
        <w:t>riscul dezangajării fondurilor alocate României</w:t>
      </w:r>
      <w:r w:rsidRPr="00F05408">
        <w:rPr>
          <w:rFonts w:ascii="Calibri" w:hAnsi="Calibri" w:cs="Arial"/>
          <w:color w:val="2E74B5" w:themeColor="accent1" w:themeShade="BF"/>
          <w:lang w:val="ro-RO" w:eastAsia="zh-CN"/>
        </w:rPr>
        <w:t xml:space="preserve"> - </w:t>
      </w:r>
      <w:r w:rsidRPr="00F05408">
        <w:rPr>
          <w:rFonts w:ascii="Calibri" w:hAnsi="Calibri" w:cs="Arial"/>
          <w:lang w:val="ro-RO" w:eastAsia="zh-CN"/>
        </w:rPr>
        <w:t xml:space="preserve">principalul risc ce vizează absorbția de fonduri europene -a fost luată </w:t>
      </w:r>
      <w:r w:rsidRPr="00F05408">
        <w:rPr>
          <w:rFonts w:ascii="Calibri" w:hAnsi="Calibri" w:cs="Arial"/>
          <w:b/>
          <w:color w:val="365F91"/>
          <w:lang w:val="ro-RO" w:eastAsia="zh-CN"/>
        </w:rPr>
        <w:t>măsura realocării de fonduri către sectoarele cu potenţial maxim de absorbţie atât în cadrul, cât și între programele operaţionale</w:t>
      </w:r>
      <w:r w:rsidRPr="00F05408">
        <w:rPr>
          <w:rFonts w:ascii="Calibri" w:hAnsi="Calibri" w:cs="Arial"/>
          <w:color w:val="365F91"/>
          <w:lang w:val="ro-RO" w:eastAsia="zh-CN"/>
        </w:rPr>
        <w:t>.</w:t>
      </w:r>
    </w:p>
    <w:p w:rsidR="00F05408" w:rsidRPr="00F05408" w:rsidRDefault="00F05408" w:rsidP="00F05408">
      <w:pPr>
        <w:suppressAutoHyphens/>
        <w:spacing w:before="120" w:after="120"/>
        <w:jc w:val="both"/>
        <w:rPr>
          <w:rFonts w:ascii="Calibri" w:hAnsi="Calibri" w:cs="Arial"/>
          <w:b/>
          <w:lang w:val="ro-RO" w:eastAsia="zh-CN"/>
        </w:rPr>
      </w:pPr>
      <w:r w:rsidRPr="00F05408">
        <w:rPr>
          <w:rFonts w:ascii="Calibri" w:hAnsi="Calibri" w:cs="Arial"/>
          <w:lang w:val="ro-RO" w:eastAsia="zh-CN"/>
        </w:rPr>
        <w:t xml:space="preserve">Astfel, au fost </w:t>
      </w:r>
      <w:r w:rsidRPr="00F05408">
        <w:rPr>
          <w:rFonts w:ascii="Calibri" w:hAnsi="Calibri" w:cs="Arial"/>
          <w:b/>
          <w:color w:val="365F91"/>
          <w:lang w:val="ro-RO" w:eastAsia="zh-CN"/>
        </w:rPr>
        <w:t>suplimentate alocările pentru Programul Operațional Regional (POR)</w:t>
      </w:r>
      <w:r w:rsidRPr="00F05408">
        <w:rPr>
          <w:rFonts w:ascii="Calibri" w:hAnsi="Calibri" w:cs="Arial"/>
          <w:lang w:val="ro-RO" w:eastAsia="zh-CN"/>
        </w:rPr>
        <w:t xml:space="preserve">, fiind </w:t>
      </w:r>
      <w:r w:rsidRPr="00F05408">
        <w:rPr>
          <w:rFonts w:ascii="Calibri" w:hAnsi="Calibri" w:cs="Arial"/>
          <w:b/>
          <w:color w:val="365F91"/>
          <w:lang w:val="ro-RO" w:eastAsia="zh-CN"/>
        </w:rPr>
        <w:t>susținute suplimentar cheltuielile pentru entitățile de transfer tehnologic, activități antreprenoriale și tranziția către o economie cu emisii reduse de dioxid de carbon, precum și cele pentru creșterea eficienței resurselor umane implicate în sistemul de sistemul de coordonare, gestiune și control al fondurilor ESI.</w:t>
      </w:r>
    </w:p>
    <w:p w:rsidR="00F05408" w:rsidRPr="00F05408" w:rsidRDefault="00F05408" w:rsidP="00F05408">
      <w:pPr>
        <w:suppressAutoHyphens/>
        <w:spacing w:before="120" w:after="120"/>
        <w:jc w:val="both"/>
        <w:rPr>
          <w:rFonts w:ascii="Calibri" w:hAnsi="Calibri" w:cs="Arial"/>
          <w:b/>
          <w:lang w:val="ro-RO" w:eastAsia="zh-CN"/>
        </w:rPr>
      </w:pPr>
      <w:r w:rsidRPr="00F05408">
        <w:rPr>
          <w:rFonts w:ascii="Calibri" w:hAnsi="Calibri" w:cs="Arial"/>
          <w:lang w:val="ro-RO" w:eastAsia="zh-CN"/>
        </w:rPr>
        <w:t xml:space="preserve">O altă măsură a fost implementarea instrumentelor financiare în cadrul Programului Operațional Competitivitate bazate pe </w:t>
      </w:r>
      <w:r w:rsidRPr="00F05408">
        <w:rPr>
          <w:rFonts w:ascii="Calibri" w:hAnsi="Calibri" w:cs="Arial"/>
          <w:b/>
          <w:color w:val="365F91"/>
          <w:lang w:val="ro-RO" w:eastAsia="zh-CN"/>
        </w:rPr>
        <w:t xml:space="preserve">creditare cu partajarea riscului și ainstrumentelor de capital de risc </w:t>
      </w:r>
      <w:r w:rsidRPr="00F05408">
        <w:rPr>
          <w:rFonts w:ascii="Calibri" w:hAnsi="Calibri" w:cs="Arial"/>
          <w:b/>
          <w:lang w:val="ro-RO" w:eastAsia="zh-CN"/>
        </w:rPr>
        <w:t>–</w:t>
      </w:r>
      <w:r w:rsidRPr="00F05408">
        <w:rPr>
          <w:rFonts w:ascii="Calibri" w:hAnsi="Calibri" w:cs="Arial"/>
          <w:lang w:val="ro-RO" w:eastAsia="zh-CN"/>
        </w:rPr>
        <w:t xml:space="preserve"> acceleratoare iar în cadrulProgramului Operațional Regional  a </w:t>
      </w:r>
      <w:r w:rsidRPr="00F05408">
        <w:rPr>
          <w:rFonts w:ascii="Calibri" w:hAnsi="Calibri" w:cs="Arial"/>
          <w:b/>
          <w:color w:val="365F91"/>
          <w:lang w:val="ro-RO" w:eastAsia="zh-CN"/>
        </w:rPr>
        <w:t>instrumentelor de garantare neplafonată și a instrumentului financiar de tip equity</w:t>
      </w:r>
      <w:r w:rsidRPr="00F05408">
        <w:rPr>
          <w:rFonts w:ascii="Calibri" w:hAnsi="Calibri" w:cs="Arial"/>
          <w:lang w:val="ro-RO" w:eastAsia="zh-CN"/>
        </w:rPr>
        <w:t>.</w:t>
      </w:r>
    </w:p>
    <w:p w:rsidR="00F05408" w:rsidRPr="00F05408" w:rsidRDefault="00F05408" w:rsidP="00F05408">
      <w:pPr>
        <w:suppressAutoHyphens/>
        <w:spacing w:before="120" w:after="120"/>
        <w:jc w:val="both"/>
        <w:rPr>
          <w:rFonts w:ascii="Calibri" w:hAnsi="Calibri" w:cs="Arial"/>
          <w:b/>
          <w:lang w:val="ro-RO" w:eastAsia="zh-CN"/>
        </w:rPr>
      </w:pPr>
      <w:r w:rsidRPr="00F05408">
        <w:rPr>
          <w:rFonts w:ascii="Calibri" w:hAnsi="Calibri" w:cs="Arial"/>
          <w:lang w:val="ro-RO" w:eastAsia="zh-CN"/>
        </w:rPr>
        <w:t xml:space="preserve">De asemenea, pentru </w:t>
      </w:r>
      <w:r w:rsidRPr="00F05408">
        <w:rPr>
          <w:rFonts w:ascii="Calibri" w:hAnsi="Calibri" w:cs="Arial"/>
          <w:b/>
          <w:color w:val="365F91"/>
          <w:lang w:val="ro-RO" w:eastAsia="zh-CN"/>
        </w:rPr>
        <w:t>creșterea capacității de absorbție</w:t>
      </w:r>
      <w:r w:rsidRPr="00F05408">
        <w:rPr>
          <w:rFonts w:ascii="Calibri" w:hAnsi="Calibri" w:cs="Arial"/>
          <w:lang w:val="ro-RO" w:eastAsia="zh-CN"/>
        </w:rPr>
        <w:t xml:space="preserve">la nivelul Programului Operațional de Pescuit și Afaceri Maritime (POPAM), printre celelalte  măsuri au fost </w:t>
      </w:r>
      <w:r w:rsidRPr="00F05408">
        <w:rPr>
          <w:rFonts w:ascii="Calibri" w:hAnsi="Calibri" w:cs="Arial"/>
          <w:b/>
          <w:color w:val="365F91"/>
          <w:lang w:val="ro-RO" w:eastAsia="zh-CN"/>
        </w:rPr>
        <w:t>prevăzute  evaluarea și gestionarea riscurilor și implementarea mecanismelor de control intern.</w:t>
      </w:r>
    </w:p>
    <w:p w:rsidR="00F05408" w:rsidRPr="00F05408" w:rsidRDefault="00F05408" w:rsidP="00F05408">
      <w:pPr>
        <w:suppressAutoHyphens/>
        <w:spacing w:before="120" w:after="120"/>
        <w:jc w:val="both"/>
        <w:rPr>
          <w:rFonts w:ascii="Calibri" w:hAnsi="Calibri" w:cs="Arial"/>
          <w:sz w:val="2"/>
          <w:highlight w:val="yellow"/>
          <w:lang w:val="ro-RO" w:eastAsia="zh-CN"/>
        </w:rPr>
      </w:pPr>
    </w:p>
    <w:p w:rsidR="00F05408" w:rsidRPr="00F05408" w:rsidRDefault="00F05408" w:rsidP="00F05408">
      <w:pPr>
        <w:keepNext/>
        <w:widowControl w:val="0"/>
        <w:spacing w:after="120"/>
        <w:jc w:val="both"/>
        <w:outlineLvl w:val="3"/>
        <w:rPr>
          <w:rFonts w:ascii="Calibri" w:hAnsi="Calibri"/>
          <w:b/>
          <w:color w:val="365F91"/>
          <w:szCs w:val="20"/>
          <w:lang w:val="ro-RO"/>
        </w:rPr>
      </w:pPr>
      <w:r w:rsidRPr="00F05408">
        <w:rPr>
          <w:rFonts w:ascii="Calibri" w:hAnsi="Calibri"/>
          <w:b/>
          <w:color w:val="365F91"/>
          <w:szCs w:val="20"/>
          <w:lang w:val="ro-RO"/>
        </w:rPr>
        <w:t xml:space="preserve">Măsuri planificate </w:t>
      </w:r>
    </w:p>
    <w:p w:rsidR="00F05408" w:rsidRPr="00F05408" w:rsidRDefault="00F05408" w:rsidP="00F05408">
      <w:pPr>
        <w:keepNext/>
        <w:widowControl w:val="0"/>
        <w:spacing w:after="120"/>
        <w:jc w:val="both"/>
        <w:outlineLvl w:val="3"/>
        <w:rPr>
          <w:rFonts w:ascii="Calibri" w:hAnsi="Calibri"/>
          <w:szCs w:val="20"/>
          <w:lang w:val="ro-RO"/>
        </w:rPr>
      </w:pPr>
      <w:r w:rsidRPr="00F05408">
        <w:rPr>
          <w:rFonts w:ascii="Calibri" w:hAnsi="Calibri"/>
          <w:szCs w:val="20"/>
          <w:lang w:val="ro-RO"/>
        </w:rPr>
        <w:t xml:space="preserve">Printre măsurile planificate pentru implementarea fondurilor ESI, </w:t>
      </w:r>
      <w:r w:rsidRPr="00F05408">
        <w:rPr>
          <w:rFonts w:ascii="Calibri" w:hAnsi="Calibri"/>
          <w:b/>
          <w:color w:val="365F91"/>
          <w:szCs w:val="20"/>
          <w:lang w:val="ro-RO"/>
        </w:rPr>
        <w:t>învederea reducerii sumelor aflate în risc de dezangajare</w:t>
      </w:r>
      <w:r w:rsidRPr="00F05408">
        <w:rPr>
          <w:rFonts w:ascii="Calibri" w:hAnsi="Calibri"/>
          <w:szCs w:val="20"/>
          <w:lang w:val="ro-RO"/>
        </w:rPr>
        <w:t>(Ordonanța de urgență nr. 43/2018 – măsuri privind reducerea riscului de dezangajare a fondurilor europene) sunt prevăzute:</w:t>
      </w:r>
    </w:p>
    <w:p w:rsidR="00F05408" w:rsidRPr="00F05408" w:rsidRDefault="00F05408" w:rsidP="00F05408">
      <w:pPr>
        <w:keepNext/>
        <w:widowControl w:val="0"/>
        <w:spacing w:after="120"/>
        <w:jc w:val="both"/>
        <w:outlineLvl w:val="3"/>
        <w:rPr>
          <w:rFonts w:ascii="Calibri" w:hAnsi="Calibri"/>
          <w:szCs w:val="20"/>
          <w:lang w:val="ro-RO"/>
        </w:rPr>
      </w:pPr>
      <w:r w:rsidRPr="00F05408">
        <w:rPr>
          <w:rFonts w:ascii="Calibri" w:hAnsi="Calibri"/>
          <w:szCs w:val="20"/>
          <w:lang w:val="ro-RO"/>
        </w:rPr>
        <w:t xml:space="preserve">-  includerea Programului operațional „Inițiativa pentru IMM-uri” (POIIMM) ca axă prioritară distinctă în cadrul POR, astfel încât </w:t>
      </w:r>
      <w:r w:rsidRPr="00F05408">
        <w:rPr>
          <w:rFonts w:ascii="Calibri" w:hAnsi="Calibri"/>
          <w:b/>
          <w:color w:val="365F91"/>
          <w:szCs w:val="20"/>
          <w:lang w:val="ro-RO"/>
        </w:rPr>
        <w:t>cheltuielile deja rambursate de către Comisia Europeană pentru POIIMM pot fi raportate drept cheltuieli realizate la nivelul POR</w:t>
      </w:r>
      <w:r w:rsidRPr="00F05408">
        <w:rPr>
          <w:rFonts w:ascii="Calibri" w:hAnsi="Calibri"/>
          <w:szCs w:val="20"/>
          <w:lang w:val="ro-RO"/>
        </w:rPr>
        <w:t>, ceea ce contribuie la reducerea sumelor aflate în risc de dezangajare;</w:t>
      </w:r>
    </w:p>
    <w:p w:rsidR="00F05408" w:rsidRPr="00F05408" w:rsidRDefault="00F05408" w:rsidP="00F05408">
      <w:pPr>
        <w:spacing w:before="120" w:after="120"/>
        <w:jc w:val="both"/>
        <w:rPr>
          <w:rFonts w:ascii="Calibri" w:hAnsi="Calibri" w:cs="Arial"/>
          <w:b/>
          <w:lang w:val="ro-RO" w:eastAsia="zh-CN"/>
        </w:rPr>
      </w:pPr>
      <w:r w:rsidRPr="00F05408">
        <w:rPr>
          <w:rFonts w:ascii="Calibri" w:hAnsi="Calibri"/>
          <w:szCs w:val="20"/>
          <w:lang w:val="ro-RO"/>
        </w:rPr>
        <w:t xml:space="preserve">- </w:t>
      </w:r>
      <w:r w:rsidRPr="00F05408">
        <w:rPr>
          <w:rFonts w:ascii="Calibri" w:hAnsi="Calibri" w:cs="Arial"/>
          <w:lang w:val="ro-RO" w:eastAsia="zh-CN"/>
        </w:rPr>
        <w:t xml:space="preserve">Analiza fiecărui program operațional şi </w:t>
      </w:r>
      <w:r w:rsidRPr="00F05408">
        <w:rPr>
          <w:rFonts w:ascii="Calibri" w:hAnsi="Calibri" w:cs="Arial"/>
          <w:b/>
          <w:color w:val="365F91"/>
          <w:lang w:val="ro-RO" w:eastAsia="zh-CN"/>
        </w:rPr>
        <w:t>realocarea de fonduri către sectoarele cu potenţial maxim de absorbţie,</w:t>
      </w:r>
      <w:r w:rsidRPr="00F05408">
        <w:rPr>
          <w:rFonts w:ascii="Calibri" w:hAnsi="Calibri" w:cs="Arial"/>
          <w:lang w:val="ro-RO" w:eastAsia="zh-CN"/>
        </w:rPr>
        <w:t xml:space="preserve">atât în interiorul cât și între programele operaţionale, pentru </w:t>
      </w:r>
      <w:r w:rsidRPr="00F05408">
        <w:rPr>
          <w:rFonts w:ascii="Calibri" w:hAnsi="Calibri" w:cs="Arial"/>
          <w:b/>
          <w:color w:val="365F91"/>
          <w:lang w:val="ro-RO" w:eastAsia="zh-CN"/>
        </w:rPr>
        <w:t>a evita riscul dezangajării fodurilor alocate Romaniei;</w:t>
      </w:r>
    </w:p>
    <w:p w:rsidR="00F05408" w:rsidRPr="00F05408" w:rsidRDefault="00F05408" w:rsidP="00F05408">
      <w:pPr>
        <w:spacing w:before="120" w:after="120"/>
        <w:jc w:val="both"/>
        <w:rPr>
          <w:rFonts w:ascii="Calibri" w:hAnsi="Calibri" w:cs="Arial"/>
          <w:lang w:val="ro-RO" w:eastAsia="zh-CN"/>
        </w:rPr>
      </w:pPr>
      <w:r w:rsidRPr="00F05408">
        <w:rPr>
          <w:rFonts w:ascii="Calibri" w:hAnsi="Calibri" w:cs="Arial"/>
          <w:lang w:val="ro-RO" w:eastAsia="zh-CN"/>
        </w:rPr>
        <w:t xml:space="preserve">- Inițierea unui proces de instruire a beneficiarilor, pe baza unui </w:t>
      </w:r>
      <w:r w:rsidRPr="00F05408">
        <w:rPr>
          <w:rFonts w:ascii="Calibri" w:hAnsi="Calibri" w:cs="Arial"/>
          <w:b/>
          <w:color w:val="365F91"/>
          <w:lang w:val="ro-RO" w:eastAsia="zh-CN"/>
        </w:rPr>
        <w:t>ghid privind principalele riscuri identificate în domeniul achiziţiilor publice,</w:t>
      </w:r>
      <w:r w:rsidRPr="00F05408">
        <w:rPr>
          <w:rFonts w:ascii="Calibri" w:hAnsi="Calibri" w:cs="Arial"/>
          <w:lang w:val="ro-RO" w:eastAsia="zh-CN"/>
        </w:rPr>
        <w:t>în vederea prevenirii greșelilor constatate în aplicarea procedurilor privind achiziţiile publice în cadrul proiectelor finanţate din instrumente structurale, precum și asigurarea unei practici unitare pe viitor;</w:t>
      </w:r>
    </w:p>
    <w:p w:rsidR="00F05408" w:rsidRPr="00F05408" w:rsidRDefault="00F05408" w:rsidP="00F05408">
      <w:pPr>
        <w:keepNext/>
        <w:jc w:val="both"/>
        <w:outlineLvl w:val="3"/>
        <w:rPr>
          <w:rFonts w:ascii="Calibri" w:eastAsia="Calibri" w:hAnsi="Calibri"/>
          <w:bCs/>
          <w:szCs w:val="20"/>
          <w:lang w:val="ro-RO"/>
        </w:rPr>
      </w:pPr>
      <w:r w:rsidRPr="00F05408">
        <w:rPr>
          <w:rFonts w:ascii="Calibri" w:eastAsia="Calibri" w:hAnsi="Calibri"/>
          <w:bCs/>
          <w:szCs w:val="20"/>
          <w:lang w:val="ro-RO"/>
        </w:rPr>
        <w:t xml:space="preserve">- Inițierea de Programe de cooperare aferente politicii de coeziune a UE, finanţate din FEDR în vederea </w:t>
      </w:r>
      <w:r w:rsidRPr="00F05408">
        <w:rPr>
          <w:rFonts w:ascii="Calibri" w:eastAsia="Calibri" w:hAnsi="Calibri"/>
          <w:b/>
          <w:bCs/>
          <w:color w:val="365F91"/>
          <w:szCs w:val="20"/>
          <w:lang w:val="ro-RO"/>
        </w:rPr>
        <w:t>îmbunătățirii prevenirii riscurilor și gestionării dezastrelor</w:t>
      </w:r>
      <w:r w:rsidRPr="00F05408">
        <w:rPr>
          <w:rFonts w:ascii="Calibri" w:eastAsia="Calibri" w:hAnsi="Calibri"/>
          <w:bCs/>
          <w:szCs w:val="20"/>
          <w:lang w:val="ro-RO"/>
        </w:rPr>
        <w:t>(Cooperare în domeniul prevenirii riscurilor și gestionării dezastrelor);</w:t>
      </w:r>
    </w:p>
    <w:p w:rsidR="00F05408" w:rsidRPr="00F05408" w:rsidRDefault="00F05408" w:rsidP="00F05408">
      <w:pPr>
        <w:keepNext/>
        <w:jc w:val="both"/>
        <w:outlineLvl w:val="3"/>
        <w:rPr>
          <w:rFonts w:ascii="Calibri" w:eastAsia="Calibri" w:hAnsi="Calibri"/>
          <w:bCs/>
          <w:sz w:val="14"/>
          <w:szCs w:val="20"/>
          <w:lang w:val="ro-RO"/>
        </w:rPr>
      </w:pPr>
    </w:p>
    <w:p w:rsidR="00F05408" w:rsidRPr="00F05408" w:rsidRDefault="00F05408" w:rsidP="00F05408">
      <w:pPr>
        <w:keepNext/>
        <w:contextualSpacing/>
        <w:jc w:val="both"/>
        <w:outlineLvl w:val="3"/>
        <w:rPr>
          <w:rFonts w:ascii="Calibri" w:eastAsia="Calibri" w:hAnsi="Calibri"/>
          <w:b/>
          <w:bCs/>
          <w:szCs w:val="20"/>
          <w:lang w:val="ro-RO"/>
        </w:rPr>
      </w:pPr>
      <w:r w:rsidRPr="00F05408">
        <w:rPr>
          <w:rFonts w:ascii="Calibri" w:eastAsia="Calibri" w:hAnsi="Calibri"/>
          <w:bCs/>
          <w:szCs w:val="20"/>
          <w:lang w:val="ro-RO"/>
        </w:rPr>
        <w:t xml:space="preserve">- Derularea Programului IPA de cooperare transfrontalieră România-Serbia 2014-2020, una din cele patru axe prioritare fiind </w:t>
      </w:r>
      <w:r w:rsidRPr="00F05408">
        <w:rPr>
          <w:rFonts w:ascii="Calibri" w:eastAsia="Calibri" w:hAnsi="Calibri"/>
          <w:b/>
          <w:bCs/>
          <w:color w:val="365F91"/>
          <w:szCs w:val="20"/>
          <w:lang w:val="ro-RO"/>
        </w:rPr>
        <w:t>protecția mediului și managementul riscurilor</w:t>
      </w:r>
      <w:r w:rsidRPr="00F05408">
        <w:rPr>
          <w:rFonts w:ascii="Calibri" w:eastAsia="Calibri" w:hAnsi="Calibri"/>
          <w:b/>
          <w:bCs/>
          <w:szCs w:val="20"/>
          <w:lang w:val="ro-RO"/>
        </w:rPr>
        <w:t>.</w:t>
      </w:r>
    </w:p>
    <w:p w:rsidR="00F05408" w:rsidRPr="00F05408" w:rsidRDefault="00F05408" w:rsidP="00F05408">
      <w:pPr>
        <w:jc w:val="both"/>
        <w:rPr>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05408" w:rsidRPr="00AC4302" w:rsidTr="00F05408">
        <w:trPr>
          <w:trHeight w:val="397"/>
        </w:trPr>
        <w:tc>
          <w:tcPr>
            <w:tcW w:w="9831" w:type="dxa"/>
            <w:shd w:val="clear" w:color="auto" w:fill="4F81BD"/>
            <w:vAlign w:val="center"/>
          </w:tcPr>
          <w:p w:rsidR="00F05408" w:rsidRPr="00F05408" w:rsidRDefault="00F05408" w:rsidP="00F05408">
            <w:pPr>
              <w:rPr>
                <w:rFonts w:ascii="Arial Narrow" w:hAnsi="Arial Narrow"/>
                <w:b/>
                <w:i/>
                <w:color w:val="FFFFFF" w:themeColor="background1"/>
                <w:lang w:val="ro-RO"/>
              </w:rPr>
            </w:pPr>
            <w:r w:rsidRPr="00F05408">
              <w:rPr>
                <w:rFonts w:ascii="Arial Narrow" w:hAnsi="Arial Narrow"/>
                <w:b/>
                <w:i/>
                <w:color w:val="FFFFFF" w:themeColor="background1"/>
                <w:lang w:val="ro-RO"/>
              </w:rPr>
              <w:t>Riscuri asociate sectorului companiilor de stat</w:t>
            </w:r>
          </w:p>
        </w:tc>
      </w:tr>
    </w:tbl>
    <w:p w:rsidR="00F05408" w:rsidRPr="00F05408" w:rsidRDefault="00F05408" w:rsidP="00F05408">
      <w:pPr>
        <w:autoSpaceDE w:val="0"/>
        <w:jc w:val="both"/>
        <w:rPr>
          <w:rFonts w:ascii="Calibri" w:hAnsi="Calibri" w:cs="Arial"/>
          <w:b/>
          <w:iCs/>
          <w:color w:val="000000"/>
          <w:sz w:val="18"/>
          <w:lang w:val="ro-RO"/>
        </w:rPr>
      </w:pPr>
    </w:p>
    <w:p w:rsidR="00601601" w:rsidRPr="00601601" w:rsidRDefault="00601601" w:rsidP="00601601">
      <w:pPr>
        <w:jc w:val="both"/>
        <w:rPr>
          <w:rFonts w:ascii="Calibri" w:hAnsi="Calibri" w:cs="Arial"/>
          <w:lang w:val="pt-PT"/>
        </w:rPr>
      </w:pPr>
      <w:r w:rsidRPr="00601601">
        <w:rPr>
          <w:rFonts w:ascii="Calibri" w:hAnsi="Calibri" w:cs="Arial"/>
          <w:lang w:val="pt-PT"/>
        </w:rPr>
        <w:t>Datele privind sectorul companiilor de stat au fost obţinute pe baza situaţiilor financiare pentru anul 2017 depuse p</w:t>
      </w:r>
      <w:r w:rsidRPr="00601601">
        <w:rPr>
          <w:rFonts w:ascii="Calibri" w:hAnsi="Calibri" w:cs="Arial"/>
          <w:lang w:val="ro-RO"/>
        </w:rPr>
        <w:t>ână la data de 11.01.2019</w:t>
      </w:r>
      <w:r w:rsidRPr="00601601">
        <w:rPr>
          <w:rFonts w:ascii="Calibri" w:hAnsi="Calibri" w:cs="Arial"/>
          <w:lang w:val="pt-PT"/>
        </w:rPr>
        <w:t xml:space="preserve"> la Ministerul Finanţelor Publice de întreprinderile publice de subordonare centrală și locală, furnizate de Centrul Național pentru Informații Financiare.</w:t>
      </w:r>
    </w:p>
    <w:p w:rsidR="00601601" w:rsidRPr="00601601" w:rsidRDefault="00601601" w:rsidP="00601601">
      <w:pPr>
        <w:jc w:val="both"/>
        <w:rPr>
          <w:rFonts w:ascii="Calibri" w:hAnsi="Calibri" w:cs="Arial"/>
          <w:sz w:val="14"/>
          <w:lang w:val="pt-PT"/>
        </w:rPr>
      </w:pPr>
    </w:p>
    <w:p w:rsidR="00601601" w:rsidRPr="00601601" w:rsidRDefault="00601601" w:rsidP="00601601">
      <w:pPr>
        <w:jc w:val="both"/>
        <w:rPr>
          <w:rFonts w:ascii="Calibri" w:hAnsi="Calibri" w:cs="Arial"/>
          <w:lang w:val="pt-PT"/>
        </w:rPr>
      </w:pPr>
      <w:r w:rsidRPr="00601601">
        <w:rPr>
          <w:rFonts w:ascii="Calibri" w:hAnsi="Calibri" w:cs="Arial"/>
          <w:lang w:val="pt-PT"/>
        </w:rPr>
        <w:t>Numărul înreprinderilor publice nefinanciare (operatori economici) care au depus situa</w:t>
      </w:r>
      <w:r w:rsidRPr="00601601">
        <w:rPr>
          <w:rFonts w:ascii="Calibri" w:hAnsi="Calibri" w:cs="Arial"/>
          <w:lang w:val="ro-RO"/>
        </w:rPr>
        <w:t xml:space="preserve">ții financiare </w:t>
      </w:r>
      <w:r w:rsidRPr="00601601">
        <w:rPr>
          <w:rFonts w:ascii="Calibri" w:hAnsi="Calibri" w:cs="Arial"/>
          <w:lang w:val="pt-PT"/>
        </w:rPr>
        <w:t>este de 1565.</w:t>
      </w:r>
    </w:p>
    <w:p w:rsidR="00601601" w:rsidRPr="00601601" w:rsidRDefault="00601601" w:rsidP="00601601">
      <w:pPr>
        <w:jc w:val="both"/>
        <w:rPr>
          <w:rFonts w:ascii="Calibri" w:hAnsi="Calibri" w:cs="Arial"/>
          <w:lang w:val="pt-PT"/>
        </w:rPr>
      </w:pPr>
      <w:r w:rsidRPr="00601601">
        <w:rPr>
          <w:rFonts w:ascii="Calibri" w:hAnsi="Calibri" w:cs="Arial"/>
          <w:lang w:val="pt-PT"/>
        </w:rPr>
        <w:t>Întreprindele publice au fost grupate astfel:</w:t>
      </w:r>
    </w:p>
    <w:p w:rsidR="00601601" w:rsidRPr="00601601" w:rsidRDefault="00601601" w:rsidP="00601601">
      <w:pPr>
        <w:numPr>
          <w:ilvl w:val="0"/>
          <w:numId w:val="74"/>
        </w:numPr>
        <w:jc w:val="both"/>
        <w:rPr>
          <w:rFonts w:ascii="Calibri" w:hAnsi="Calibri" w:cs="Arial"/>
          <w:lang w:val="ro-RO"/>
        </w:rPr>
      </w:pPr>
      <w:r w:rsidRPr="00601601">
        <w:rPr>
          <w:rFonts w:ascii="Calibri" w:hAnsi="Calibri" w:cs="Arial"/>
          <w:b/>
          <w:color w:val="1F4E79"/>
          <w:lang w:val="ro-RO"/>
        </w:rPr>
        <w:t>334</w:t>
      </w:r>
      <w:r w:rsidRPr="00601601">
        <w:rPr>
          <w:rFonts w:ascii="Calibri" w:hAnsi="Calibri" w:cs="Arial"/>
          <w:lang w:val="ro-RO"/>
        </w:rPr>
        <w:t xml:space="preserve"> întreprinderi publice de </w:t>
      </w:r>
      <w:r w:rsidRPr="00601601">
        <w:rPr>
          <w:rFonts w:ascii="Calibri" w:hAnsi="Calibri" w:cs="Arial"/>
          <w:b/>
          <w:i/>
          <w:color w:val="1F4E79"/>
          <w:lang w:val="ro-RO"/>
        </w:rPr>
        <w:t>subordonare centrală</w:t>
      </w:r>
      <w:r w:rsidRPr="00601601">
        <w:rPr>
          <w:rFonts w:ascii="Calibri" w:hAnsi="Calibri" w:cs="Arial"/>
          <w:lang w:val="ro-RO"/>
        </w:rPr>
        <w:t>. Dintre acestea:</w:t>
      </w:r>
    </w:p>
    <w:p w:rsidR="00601601" w:rsidRPr="00601601" w:rsidRDefault="00601601" w:rsidP="00601601">
      <w:pPr>
        <w:ind w:left="1843" w:hanging="425"/>
        <w:jc w:val="both"/>
        <w:rPr>
          <w:rFonts w:ascii="Calibri" w:hAnsi="Calibri" w:cs="Arial"/>
          <w:lang w:val="ro-RO"/>
        </w:rPr>
      </w:pPr>
      <w:r w:rsidRPr="00601601">
        <w:rPr>
          <w:rFonts w:ascii="Calibri" w:hAnsi="Calibri" w:cs="Arial"/>
          <w:lang w:val="ro-RO"/>
        </w:rPr>
        <w:t>*  220 întreprinderi publice au fost active</w:t>
      </w:r>
    </w:p>
    <w:p w:rsidR="00601601" w:rsidRPr="00601601" w:rsidRDefault="00601601" w:rsidP="00601601">
      <w:pPr>
        <w:ind w:left="1701" w:hanging="283"/>
        <w:jc w:val="both"/>
        <w:rPr>
          <w:rFonts w:ascii="Calibri" w:hAnsi="Calibri" w:cs="Arial"/>
          <w:lang w:val="ro-RO"/>
        </w:rPr>
      </w:pPr>
      <w:r w:rsidRPr="00601601">
        <w:rPr>
          <w:rFonts w:ascii="Calibri" w:hAnsi="Calibri" w:cs="Arial"/>
          <w:lang w:val="ro-RO"/>
        </w:rPr>
        <w:t xml:space="preserve">* 114 întreprinderi publice </w:t>
      </w:r>
      <w:r w:rsidRPr="00601601">
        <w:rPr>
          <w:rFonts w:ascii="Calibri" w:hAnsi="Calibri" w:cs="Arial"/>
          <w:i/>
          <w:lang w:val="ro-RO"/>
        </w:rPr>
        <w:t>aflate în diverse stadii de insolvenţă, faliment, reorganizare judiciară, dizolvare, conform Legii 85/2014, cu modificările și completările ulterioare</w:t>
      </w:r>
      <w:r w:rsidRPr="00601601">
        <w:rPr>
          <w:rFonts w:ascii="Calibri" w:hAnsi="Calibri" w:cs="Arial"/>
          <w:lang w:val="ro-RO"/>
        </w:rPr>
        <w:t xml:space="preserve">; </w:t>
      </w:r>
    </w:p>
    <w:p w:rsidR="00601601" w:rsidRPr="00601601" w:rsidRDefault="00601601" w:rsidP="00601601">
      <w:pPr>
        <w:numPr>
          <w:ilvl w:val="0"/>
          <w:numId w:val="73"/>
        </w:numPr>
        <w:jc w:val="both"/>
        <w:rPr>
          <w:rFonts w:ascii="Calibri" w:hAnsi="Calibri" w:cs="Arial"/>
          <w:lang w:val="ro-RO"/>
        </w:rPr>
      </w:pPr>
      <w:r w:rsidRPr="00601601">
        <w:rPr>
          <w:rFonts w:ascii="Calibri" w:hAnsi="Calibri" w:cs="Arial"/>
          <w:b/>
          <w:color w:val="1F4E79"/>
          <w:lang w:val="ro-RO"/>
        </w:rPr>
        <w:t>1231</w:t>
      </w:r>
      <w:r w:rsidRPr="00601601">
        <w:rPr>
          <w:rFonts w:ascii="Calibri" w:hAnsi="Calibri" w:cs="Arial"/>
          <w:lang w:val="ro-RO"/>
        </w:rPr>
        <w:t xml:space="preserve"> întreprinderi publice de </w:t>
      </w:r>
      <w:r w:rsidRPr="00601601">
        <w:rPr>
          <w:rFonts w:ascii="Calibri" w:hAnsi="Calibri" w:cs="Arial"/>
          <w:b/>
          <w:color w:val="1F4E79"/>
          <w:lang w:val="ro-RO"/>
        </w:rPr>
        <w:t>subordonare locală</w:t>
      </w:r>
      <w:r w:rsidRPr="00601601">
        <w:rPr>
          <w:rFonts w:ascii="Calibri" w:hAnsi="Calibri" w:cs="Arial"/>
          <w:lang w:val="ro-RO"/>
        </w:rPr>
        <w:t xml:space="preserve">. Dintre acestea: </w:t>
      </w:r>
    </w:p>
    <w:p w:rsidR="00601601" w:rsidRPr="00601601" w:rsidRDefault="00601601" w:rsidP="00601601">
      <w:pPr>
        <w:ind w:left="720" w:firstLine="720"/>
        <w:jc w:val="both"/>
        <w:rPr>
          <w:rFonts w:ascii="Calibri" w:hAnsi="Calibri" w:cs="Arial"/>
          <w:lang w:val="ro-RO"/>
        </w:rPr>
      </w:pPr>
      <w:r w:rsidRPr="00601601">
        <w:rPr>
          <w:rFonts w:ascii="Calibri" w:hAnsi="Calibri" w:cs="Arial"/>
          <w:lang w:val="ro-RO"/>
        </w:rPr>
        <w:t xml:space="preserve">*   1096 întreprinderi publice </w:t>
      </w:r>
      <w:r w:rsidRPr="00601601">
        <w:rPr>
          <w:rFonts w:ascii="Calibri" w:hAnsi="Calibri" w:cs="Arial"/>
          <w:i/>
          <w:lang w:val="ro-RO"/>
        </w:rPr>
        <w:t>au fost active</w:t>
      </w:r>
    </w:p>
    <w:p w:rsidR="00601601" w:rsidRPr="00601601" w:rsidRDefault="00601601" w:rsidP="00601601">
      <w:pPr>
        <w:ind w:left="1701" w:hanging="283"/>
        <w:jc w:val="both"/>
        <w:rPr>
          <w:rFonts w:ascii="Calibri" w:hAnsi="Calibri" w:cs="Arial"/>
          <w:lang w:val="ro-RO"/>
        </w:rPr>
      </w:pPr>
      <w:r w:rsidRPr="00601601">
        <w:rPr>
          <w:rFonts w:ascii="Calibri" w:hAnsi="Calibri" w:cs="Arial"/>
          <w:lang w:val="ro-RO"/>
        </w:rPr>
        <w:t xml:space="preserve">*  135 întreprinderi publice </w:t>
      </w:r>
      <w:r w:rsidRPr="00601601">
        <w:rPr>
          <w:rFonts w:ascii="Calibri" w:hAnsi="Calibri" w:cs="Arial"/>
          <w:i/>
          <w:lang w:val="ro-RO"/>
        </w:rPr>
        <w:t>aflate în diverse stadii de insolvenţă, faliment, reorganizare judiciară, dizolvare, conform Legii 85/2014, cu modificările și completările ulterioare</w:t>
      </w:r>
      <w:r w:rsidRPr="00601601">
        <w:rPr>
          <w:rFonts w:ascii="Calibri" w:hAnsi="Calibri" w:cs="Arial"/>
          <w:lang w:val="ro-RO"/>
        </w:rPr>
        <w:t xml:space="preserve">; </w:t>
      </w:r>
    </w:p>
    <w:p w:rsidR="00601601" w:rsidRPr="00601601" w:rsidRDefault="00601601" w:rsidP="00601601">
      <w:pPr>
        <w:jc w:val="both"/>
        <w:rPr>
          <w:rFonts w:ascii="Calibri" w:hAnsi="Calibri" w:cs="Arial"/>
          <w:b/>
          <w:i/>
          <w:color w:val="1F4E79"/>
          <w:lang w:val="ro-RO"/>
        </w:rPr>
      </w:pPr>
      <w:r w:rsidRPr="00601601">
        <w:rPr>
          <w:rFonts w:ascii="Calibri" w:hAnsi="Calibri" w:cs="Arial"/>
          <w:b/>
          <w:color w:val="1F4E79"/>
          <w:lang w:val="ro-RO"/>
        </w:rPr>
        <w:t xml:space="preserve">Principalii indicatori economico-financiari raportați </w:t>
      </w:r>
      <w:r w:rsidRPr="00601601">
        <w:rPr>
          <w:rFonts w:ascii="Calibri" w:hAnsi="Calibri" w:cs="Arial"/>
          <w:b/>
          <w:i/>
          <w:color w:val="1F4E79"/>
          <w:lang w:val="ro-RO"/>
        </w:rPr>
        <w:t xml:space="preserve">de </w:t>
      </w:r>
      <w:r w:rsidRPr="00601601">
        <w:rPr>
          <w:rFonts w:ascii="Calibri" w:hAnsi="Calibri" w:cs="Arial"/>
          <w:b/>
          <w:i/>
          <w:color w:val="1F4E79"/>
          <w:lang w:val="pt-PT"/>
        </w:rPr>
        <w:t xml:space="preserve">înreprinderile publice nefinanciare (operatori economici) </w:t>
      </w:r>
    </w:p>
    <w:p w:rsidR="00601601" w:rsidRPr="00601601" w:rsidRDefault="00601601" w:rsidP="00601601">
      <w:pPr>
        <w:jc w:val="both"/>
        <w:rPr>
          <w:rFonts w:ascii="Calibri" w:hAnsi="Calibri" w:cs="Arial"/>
          <w:lang w:val="pt-PT"/>
        </w:rPr>
      </w:pPr>
      <w:r w:rsidRPr="00601601">
        <w:rPr>
          <w:rFonts w:ascii="Calibri" w:hAnsi="Calibri" w:cs="Arial"/>
          <w:b/>
          <w:color w:val="1F4E79"/>
          <w:lang w:val="ro-RO"/>
        </w:rPr>
        <w:t>1. Capitalul propriu al întreprinderilor publice</w:t>
      </w:r>
      <w:r w:rsidRPr="00601601">
        <w:rPr>
          <w:rFonts w:ascii="Calibri" w:hAnsi="Calibri" w:cs="Arial"/>
          <w:lang w:val="ro-RO"/>
        </w:rPr>
        <w:t xml:space="preserve"> nefinanciare a fost în sumă totală de </w:t>
      </w:r>
      <w:r w:rsidRPr="00601601">
        <w:rPr>
          <w:rFonts w:ascii="Calibri" w:hAnsi="Calibri" w:cs="Arial"/>
          <w:b/>
          <w:color w:val="365F91"/>
          <w:lang w:val="ro-RO"/>
        </w:rPr>
        <w:t>60,96 mld. lei</w:t>
      </w:r>
      <w:r w:rsidRPr="00601601">
        <w:rPr>
          <w:rFonts w:ascii="Calibri" w:hAnsi="Calibri" w:cs="Arial"/>
          <w:lang w:val="ro-RO"/>
        </w:rPr>
        <w:t xml:space="preserve">şi reprezintă 7,10 % din Produsul Intern Brut (PIB.) din care capitalul propriu al întreprinderilor </w:t>
      </w:r>
      <w:r w:rsidRPr="00601601">
        <w:rPr>
          <w:rFonts w:ascii="Calibri" w:hAnsi="Calibri" w:cs="Arial"/>
          <w:i/>
          <w:lang w:val="ro-RO"/>
        </w:rPr>
        <w:t>de subordonare centrală</w:t>
      </w:r>
      <w:r w:rsidRPr="00601601">
        <w:rPr>
          <w:rFonts w:ascii="Calibri" w:hAnsi="Calibri" w:cs="Arial"/>
          <w:lang w:val="ro-RO"/>
        </w:rPr>
        <w:t xml:space="preserve"> a fost în sumă de </w:t>
      </w:r>
      <w:r w:rsidRPr="00601601">
        <w:rPr>
          <w:rFonts w:ascii="Calibri" w:hAnsi="Calibri" w:cs="Arial"/>
          <w:b/>
          <w:color w:val="365F91"/>
          <w:lang w:val="ro-RO"/>
        </w:rPr>
        <w:t>60,93 mld. lei</w:t>
      </w:r>
      <w:r w:rsidRPr="00601601">
        <w:rPr>
          <w:rFonts w:ascii="Calibri" w:hAnsi="Calibri" w:cs="Arial"/>
          <w:lang w:val="ro-RO"/>
        </w:rPr>
        <w:t xml:space="preserve">şi reprezintă  7,10 % din PIB iar capitalul propriu al întreprinderilor publice </w:t>
      </w:r>
      <w:r w:rsidRPr="00601601">
        <w:rPr>
          <w:rFonts w:ascii="Calibri" w:hAnsi="Calibri" w:cs="Arial"/>
          <w:i/>
          <w:lang w:val="ro-RO"/>
        </w:rPr>
        <w:t>de subordonare locală</w:t>
      </w:r>
      <w:r w:rsidRPr="00601601">
        <w:rPr>
          <w:rFonts w:ascii="Calibri" w:hAnsi="Calibri" w:cs="Arial"/>
          <w:lang w:val="ro-RO"/>
        </w:rPr>
        <w:t xml:space="preserve"> a fost în sumă de 0,03 mld. lei</w:t>
      </w:r>
      <w:r w:rsidRPr="00601601">
        <w:rPr>
          <w:rFonts w:ascii="Calibri" w:hAnsi="Calibri" w:cs="Arial"/>
          <w:lang w:val="pt-PT"/>
        </w:rPr>
        <w:t>;</w:t>
      </w:r>
    </w:p>
    <w:p w:rsidR="00601601" w:rsidRPr="00601601" w:rsidRDefault="00601601" w:rsidP="00601601">
      <w:pPr>
        <w:jc w:val="both"/>
        <w:rPr>
          <w:rFonts w:ascii="Calibri" w:hAnsi="Calibri" w:cs="Arial"/>
          <w:sz w:val="12"/>
          <w:lang w:val="pt-PT"/>
        </w:rPr>
      </w:pPr>
    </w:p>
    <w:p w:rsidR="00601601" w:rsidRPr="00601601" w:rsidRDefault="00601601" w:rsidP="00601601">
      <w:pPr>
        <w:jc w:val="both"/>
        <w:rPr>
          <w:rFonts w:ascii="Calibri" w:hAnsi="Calibri" w:cs="Arial"/>
          <w:lang w:val="ro-RO"/>
        </w:rPr>
      </w:pPr>
      <w:r w:rsidRPr="00601601">
        <w:rPr>
          <w:rFonts w:ascii="Calibri" w:hAnsi="Calibri" w:cs="Arial"/>
          <w:b/>
          <w:color w:val="1F4E79"/>
          <w:lang w:val="pt-PT"/>
        </w:rPr>
        <w:t xml:space="preserve">2. </w:t>
      </w:r>
      <w:r w:rsidRPr="00601601">
        <w:rPr>
          <w:rFonts w:ascii="Calibri" w:hAnsi="Calibri" w:cs="Arial"/>
          <w:b/>
          <w:color w:val="1F4E79"/>
          <w:lang w:val="ro-RO"/>
        </w:rPr>
        <w:t>Activele totale</w:t>
      </w:r>
      <w:r w:rsidRPr="00601601">
        <w:rPr>
          <w:rFonts w:ascii="Calibri" w:hAnsi="Calibri" w:cs="Arial"/>
          <w:lang w:val="ro-RO"/>
        </w:rPr>
        <w:t xml:space="preserve"> ale întreprinderilor publice nefinanciare au fost în sumă totală de </w:t>
      </w:r>
      <w:r w:rsidRPr="00601601">
        <w:rPr>
          <w:rFonts w:ascii="Calibri" w:hAnsi="Calibri" w:cs="Arial"/>
          <w:b/>
          <w:color w:val="365F91"/>
          <w:lang w:val="ro-RO"/>
        </w:rPr>
        <w:t>180,80 mld. lei</w:t>
      </w:r>
      <w:r w:rsidRPr="00601601">
        <w:rPr>
          <w:rFonts w:ascii="Calibri" w:hAnsi="Calibri" w:cs="Arial"/>
          <w:lang w:val="ro-RO"/>
        </w:rPr>
        <w:t xml:space="preserve">din care activele totale ale întreprinderilor publice de </w:t>
      </w:r>
      <w:r w:rsidRPr="00601601">
        <w:rPr>
          <w:rFonts w:ascii="Calibri" w:hAnsi="Calibri" w:cs="Arial"/>
          <w:i/>
          <w:lang w:val="ro-RO"/>
        </w:rPr>
        <w:t>subordonare centrală</w:t>
      </w:r>
      <w:r w:rsidRPr="00601601">
        <w:rPr>
          <w:rFonts w:ascii="Calibri" w:hAnsi="Calibri" w:cs="Arial"/>
          <w:lang w:val="ro-RO"/>
        </w:rPr>
        <w:t xml:space="preserve"> au fost în sumă de </w:t>
      </w:r>
      <w:r w:rsidRPr="00601601">
        <w:rPr>
          <w:rFonts w:ascii="Calibri" w:hAnsi="Calibri" w:cs="Arial"/>
          <w:b/>
          <w:color w:val="365F91"/>
          <w:lang w:val="ro-RO"/>
        </w:rPr>
        <w:t>148,83 mld. lei</w:t>
      </w:r>
      <w:r w:rsidRPr="00601601">
        <w:rPr>
          <w:rFonts w:ascii="Calibri" w:hAnsi="Calibri" w:cs="Arial"/>
          <w:lang w:val="ro-RO"/>
        </w:rPr>
        <w:t xml:space="preserve">, iar activele totale ale întreprinderilor publice de </w:t>
      </w:r>
      <w:r w:rsidRPr="00601601">
        <w:rPr>
          <w:rFonts w:ascii="Calibri" w:hAnsi="Calibri" w:cs="Arial"/>
          <w:i/>
          <w:lang w:val="ro-RO"/>
        </w:rPr>
        <w:t>subordonare locală</w:t>
      </w:r>
      <w:r w:rsidRPr="00601601">
        <w:rPr>
          <w:rFonts w:ascii="Calibri" w:hAnsi="Calibri" w:cs="Arial"/>
          <w:lang w:val="ro-RO"/>
        </w:rPr>
        <w:t xml:space="preserve"> au fost în sumă de </w:t>
      </w:r>
      <w:r w:rsidRPr="00601601">
        <w:rPr>
          <w:rFonts w:ascii="Calibri" w:hAnsi="Calibri" w:cs="Arial"/>
          <w:b/>
          <w:color w:val="365F91"/>
          <w:lang w:val="ro-RO"/>
        </w:rPr>
        <w:t>31,97 mld. lei</w:t>
      </w:r>
      <w:r w:rsidRPr="00601601">
        <w:rPr>
          <w:rFonts w:ascii="Calibri" w:hAnsi="Calibri" w:cs="Arial"/>
          <w:color w:val="365F91"/>
          <w:lang w:val="ro-RO"/>
        </w:rPr>
        <w:t>.</w:t>
      </w:r>
    </w:p>
    <w:p w:rsidR="00601601" w:rsidRPr="00601601" w:rsidRDefault="00601601" w:rsidP="00601601">
      <w:pPr>
        <w:jc w:val="both"/>
        <w:rPr>
          <w:rFonts w:ascii="Calibri" w:hAnsi="Calibri" w:cs="Arial"/>
          <w:sz w:val="12"/>
          <w:u w:val="single"/>
          <w:lang w:val="ro-RO"/>
        </w:rPr>
      </w:pPr>
    </w:p>
    <w:p w:rsidR="00601601" w:rsidRPr="00601601" w:rsidRDefault="00601601" w:rsidP="00601601">
      <w:pPr>
        <w:jc w:val="both"/>
        <w:rPr>
          <w:rFonts w:ascii="Calibri" w:hAnsi="Calibri" w:cs="Arial"/>
          <w:u w:val="single"/>
          <w:lang w:val="ro-RO"/>
        </w:rPr>
      </w:pPr>
      <w:r w:rsidRPr="00601601">
        <w:rPr>
          <w:rFonts w:ascii="Calibri" w:hAnsi="Calibri" w:cs="Arial"/>
          <w:b/>
          <w:color w:val="1F4E79"/>
          <w:lang w:val="ro-RO"/>
        </w:rPr>
        <w:t>3. Datoriile totale</w:t>
      </w:r>
      <w:r w:rsidRPr="00601601">
        <w:rPr>
          <w:rFonts w:ascii="Calibri" w:hAnsi="Calibri" w:cs="Arial"/>
          <w:lang w:val="ro-RO"/>
        </w:rPr>
        <w:t xml:space="preserve"> (sume ce trebuie plătite într-o perioadă de până la 1 an și peste 1 an) ale întreprinderilor publice nefinanciare au fost în sumă totală de </w:t>
      </w:r>
      <w:r w:rsidRPr="00601601">
        <w:rPr>
          <w:rFonts w:ascii="Calibri" w:hAnsi="Calibri" w:cs="Arial"/>
          <w:b/>
          <w:color w:val="1F4E79"/>
          <w:lang w:val="ro-RO"/>
        </w:rPr>
        <w:t>55,13 mld. lei</w:t>
      </w:r>
      <w:r w:rsidRPr="00601601">
        <w:rPr>
          <w:rFonts w:ascii="Calibri" w:hAnsi="Calibri" w:cs="Arial"/>
          <w:lang w:val="ro-RO"/>
        </w:rPr>
        <w:t xml:space="preserve"> din care datoriile totale ale întreprinderilor publice de </w:t>
      </w:r>
      <w:r w:rsidRPr="00601601">
        <w:rPr>
          <w:rFonts w:ascii="Calibri" w:hAnsi="Calibri" w:cs="Arial"/>
          <w:i/>
          <w:lang w:val="ro-RO"/>
        </w:rPr>
        <w:t>subordonare centrală</w:t>
      </w:r>
      <w:r w:rsidRPr="00601601">
        <w:rPr>
          <w:rFonts w:ascii="Calibri" w:hAnsi="Calibri" w:cs="Arial"/>
          <w:lang w:val="ro-RO"/>
        </w:rPr>
        <w:t xml:space="preserve"> au fost în  sumă  de  </w:t>
      </w:r>
      <w:r w:rsidRPr="00601601">
        <w:rPr>
          <w:rFonts w:ascii="Calibri" w:hAnsi="Calibri" w:cs="Arial"/>
          <w:b/>
          <w:color w:val="1F4E79"/>
          <w:lang w:val="ro-RO"/>
        </w:rPr>
        <w:t>39,43 mld. lei</w:t>
      </w:r>
      <w:r w:rsidRPr="00601601">
        <w:rPr>
          <w:rFonts w:ascii="Calibri" w:hAnsi="Calibri" w:cs="Arial"/>
          <w:lang w:val="ro-RO"/>
        </w:rPr>
        <w:t xml:space="preserve">iar datoriile totale ale întreprinderilor publice de </w:t>
      </w:r>
      <w:r w:rsidRPr="00601601">
        <w:rPr>
          <w:rFonts w:ascii="Calibri" w:hAnsi="Calibri" w:cs="Arial"/>
          <w:i/>
          <w:lang w:val="ro-RO"/>
        </w:rPr>
        <w:t>subordonare locală</w:t>
      </w:r>
      <w:r w:rsidRPr="00601601">
        <w:rPr>
          <w:rFonts w:ascii="Calibri" w:hAnsi="Calibri" w:cs="Arial"/>
          <w:lang w:val="ro-RO"/>
        </w:rPr>
        <w:t xml:space="preserve"> au fost în sumă de </w:t>
      </w:r>
      <w:r w:rsidRPr="00601601">
        <w:rPr>
          <w:rFonts w:ascii="Calibri" w:hAnsi="Calibri" w:cs="Arial"/>
          <w:b/>
          <w:color w:val="1F4E79"/>
          <w:lang w:val="ro-RO"/>
        </w:rPr>
        <w:t>15,70 mld. lei</w:t>
      </w:r>
      <w:r w:rsidRPr="00601601">
        <w:rPr>
          <w:rFonts w:ascii="Calibri" w:hAnsi="Calibri" w:cs="Arial"/>
          <w:b/>
          <w:lang w:val="ro-RO"/>
        </w:rPr>
        <w:t>.</w:t>
      </w:r>
    </w:p>
    <w:p w:rsidR="00601601" w:rsidRPr="00601601" w:rsidRDefault="00601601" w:rsidP="00601601">
      <w:pPr>
        <w:jc w:val="both"/>
        <w:rPr>
          <w:rFonts w:ascii="Calibri" w:hAnsi="Calibri" w:cs="Arial"/>
          <w:sz w:val="10"/>
          <w:lang w:val="ro-RO"/>
        </w:rPr>
      </w:pPr>
    </w:p>
    <w:p w:rsidR="00601601" w:rsidRPr="00601601" w:rsidRDefault="00601601" w:rsidP="00601601">
      <w:pPr>
        <w:jc w:val="both"/>
        <w:rPr>
          <w:rFonts w:ascii="Calibri" w:hAnsi="Calibri" w:cs="Arial"/>
          <w:lang w:val="ro-RO"/>
        </w:rPr>
      </w:pPr>
      <w:r w:rsidRPr="00601601">
        <w:rPr>
          <w:rFonts w:ascii="Calibri" w:hAnsi="Calibri" w:cs="Arial"/>
          <w:lang w:val="ro-RO"/>
        </w:rPr>
        <w:t>Din totalul datoriilor,</w:t>
      </w:r>
      <w:r w:rsidRPr="00601601">
        <w:rPr>
          <w:rFonts w:ascii="Calibri" w:hAnsi="Calibri" w:cs="Arial"/>
          <w:b/>
          <w:color w:val="1F4E79"/>
          <w:lang w:val="ro-RO"/>
        </w:rPr>
        <w:t>plăţile restante</w:t>
      </w:r>
      <w:r w:rsidRPr="00601601">
        <w:rPr>
          <w:rFonts w:ascii="Calibri" w:hAnsi="Calibri" w:cs="Arial"/>
          <w:lang w:val="ro-RO"/>
        </w:rPr>
        <w:t xml:space="preserve"> ale întreprinderilor publice nefinanciare au fost în sumă totală de </w:t>
      </w:r>
      <w:r w:rsidRPr="00601601">
        <w:rPr>
          <w:rFonts w:ascii="Calibri" w:hAnsi="Calibri" w:cs="Arial"/>
          <w:b/>
          <w:color w:val="1F4E79"/>
          <w:lang w:val="ro-RO"/>
        </w:rPr>
        <w:t>23,87 mld. lei</w:t>
      </w:r>
      <w:r w:rsidRPr="00601601">
        <w:rPr>
          <w:rFonts w:ascii="Calibri" w:hAnsi="Calibri" w:cs="Arial"/>
          <w:lang w:val="ro-RO"/>
        </w:rPr>
        <w:t xml:space="preserve"> şi reprezintă </w:t>
      </w:r>
      <w:r w:rsidRPr="00601601">
        <w:rPr>
          <w:rFonts w:ascii="Calibri" w:hAnsi="Calibri" w:cs="Arial"/>
          <w:b/>
          <w:color w:val="1F4E79"/>
          <w:lang w:val="ro-RO"/>
        </w:rPr>
        <w:t>2,78%</w:t>
      </w:r>
      <w:r w:rsidR="00222C11">
        <w:rPr>
          <w:rFonts w:ascii="Calibri" w:hAnsi="Calibri" w:cs="Arial"/>
          <w:b/>
          <w:color w:val="1F4E79"/>
          <w:lang w:val="ro-RO"/>
        </w:rPr>
        <w:t xml:space="preserve"> </w:t>
      </w:r>
      <w:r w:rsidRPr="00601601">
        <w:rPr>
          <w:rFonts w:ascii="Calibri" w:hAnsi="Calibri" w:cs="Arial"/>
          <w:b/>
          <w:color w:val="1F4E79"/>
          <w:lang w:val="ro-RO"/>
        </w:rPr>
        <w:t>din PIB</w:t>
      </w:r>
      <w:r w:rsidRPr="00601601">
        <w:rPr>
          <w:rFonts w:ascii="Calibri" w:hAnsi="Calibri" w:cs="Arial"/>
          <w:lang w:val="ro-RO"/>
        </w:rPr>
        <w:t xml:space="preserve">. Dintre acestea, plăţile restante ale întreprinderilor publice de </w:t>
      </w:r>
      <w:r w:rsidRPr="00601601">
        <w:rPr>
          <w:rFonts w:ascii="Calibri" w:hAnsi="Calibri" w:cs="Arial"/>
          <w:i/>
          <w:lang w:val="ro-RO"/>
        </w:rPr>
        <w:t>subordonare centrală</w:t>
      </w:r>
      <w:r w:rsidRPr="00601601">
        <w:rPr>
          <w:rFonts w:ascii="Calibri" w:hAnsi="Calibri" w:cs="Arial"/>
          <w:lang w:val="ro-RO"/>
        </w:rPr>
        <w:t xml:space="preserve"> au fost în sumă de </w:t>
      </w:r>
      <w:r w:rsidRPr="00601601">
        <w:rPr>
          <w:rFonts w:ascii="Calibri" w:hAnsi="Calibri" w:cs="Arial"/>
          <w:b/>
          <w:color w:val="1F4E79"/>
          <w:lang w:val="ro-RO"/>
        </w:rPr>
        <w:t>15,85 mld. lei</w:t>
      </w:r>
      <w:r w:rsidRPr="00601601">
        <w:rPr>
          <w:rFonts w:ascii="Calibri" w:hAnsi="Calibri" w:cs="Arial"/>
          <w:lang w:val="ro-RO"/>
        </w:rPr>
        <w:t xml:space="preserve"> şi reprezintă </w:t>
      </w:r>
      <w:r w:rsidRPr="00601601">
        <w:rPr>
          <w:rFonts w:ascii="Calibri" w:hAnsi="Calibri" w:cs="Arial"/>
          <w:color w:val="1F4E79"/>
          <w:lang w:val="ro-RO"/>
        </w:rPr>
        <w:t>1,84% din PIB</w:t>
      </w:r>
      <w:r w:rsidRPr="00601601">
        <w:rPr>
          <w:rFonts w:ascii="Calibri" w:hAnsi="Calibri" w:cs="Arial"/>
          <w:lang w:val="ro-RO"/>
        </w:rPr>
        <w:t xml:space="preserve"> iar plăţile restante ale întreprinderilor de </w:t>
      </w:r>
      <w:r w:rsidRPr="00601601">
        <w:rPr>
          <w:rFonts w:ascii="Calibri" w:hAnsi="Calibri" w:cs="Arial"/>
          <w:i/>
          <w:lang w:val="ro-RO"/>
        </w:rPr>
        <w:t>subordonare locală</w:t>
      </w:r>
      <w:r w:rsidRPr="00601601">
        <w:rPr>
          <w:rFonts w:ascii="Calibri" w:hAnsi="Calibri" w:cs="Arial"/>
          <w:lang w:val="ro-RO"/>
        </w:rPr>
        <w:t xml:space="preserve"> au fost în sumă de </w:t>
      </w:r>
      <w:r w:rsidRPr="00601601">
        <w:rPr>
          <w:rFonts w:ascii="Calibri" w:hAnsi="Calibri" w:cs="Arial"/>
          <w:b/>
          <w:color w:val="1F4E79"/>
          <w:lang w:val="ro-RO"/>
        </w:rPr>
        <w:t>8,02 mld. lei</w:t>
      </w:r>
      <w:r w:rsidRPr="00601601">
        <w:rPr>
          <w:rFonts w:ascii="Calibri" w:hAnsi="Calibri" w:cs="Arial"/>
          <w:lang w:val="ro-RO"/>
        </w:rPr>
        <w:t xml:space="preserve">şi reprezintă </w:t>
      </w:r>
      <w:r w:rsidRPr="00601601">
        <w:rPr>
          <w:rFonts w:ascii="Calibri" w:hAnsi="Calibri" w:cs="Arial"/>
          <w:b/>
          <w:color w:val="1F4E79"/>
          <w:lang w:val="ro-RO"/>
        </w:rPr>
        <w:t>0,93% din PIB</w:t>
      </w:r>
      <w:r w:rsidRPr="00601601">
        <w:rPr>
          <w:rFonts w:ascii="Calibri" w:hAnsi="Calibri" w:cs="Arial"/>
          <w:lang w:val="ro-RO"/>
        </w:rPr>
        <w:t>.</w:t>
      </w:r>
    </w:p>
    <w:p w:rsidR="00601601" w:rsidRPr="00601601" w:rsidRDefault="00601601" w:rsidP="00601601">
      <w:pPr>
        <w:jc w:val="both"/>
        <w:rPr>
          <w:rFonts w:ascii="Calibri" w:hAnsi="Calibri" w:cs="Arial"/>
          <w:sz w:val="10"/>
          <w:lang w:val="ro-RO"/>
        </w:rPr>
      </w:pPr>
    </w:p>
    <w:p w:rsidR="00601601" w:rsidRPr="00601601" w:rsidRDefault="00601601" w:rsidP="00601601">
      <w:pPr>
        <w:jc w:val="both"/>
        <w:rPr>
          <w:rFonts w:ascii="Calibri" w:hAnsi="Calibri" w:cs="Arial"/>
          <w:u w:val="single"/>
          <w:lang w:val="ro-RO"/>
        </w:rPr>
      </w:pPr>
      <w:r w:rsidRPr="00601601">
        <w:rPr>
          <w:rFonts w:ascii="Calibri" w:hAnsi="Calibri" w:cs="Arial"/>
          <w:lang w:val="ro-RO"/>
        </w:rPr>
        <w:t xml:space="preserve">Din totalul plăţilor restante ale întreprinderilor de </w:t>
      </w:r>
      <w:r w:rsidRPr="00601601">
        <w:rPr>
          <w:rFonts w:ascii="Calibri" w:hAnsi="Calibri" w:cs="Arial"/>
          <w:i/>
          <w:lang w:val="ro-RO"/>
        </w:rPr>
        <w:t>subordonare centrală,</w:t>
      </w:r>
      <w:r w:rsidRPr="00601601">
        <w:rPr>
          <w:rFonts w:ascii="Calibri" w:hAnsi="Calibri" w:cs="Arial"/>
          <w:lang w:val="ro-RO"/>
        </w:rPr>
        <w:t xml:space="preserve"> suma de </w:t>
      </w:r>
      <w:r w:rsidRPr="00601601">
        <w:rPr>
          <w:rFonts w:ascii="Calibri" w:hAnsi="Calibri" w:cs="Arial"/>
          <w:b/>
          <w:color w:val="1F4E79"/>
          <w:lang w:val="ro-RO"/>
        </w:rPr>
        <w:t>3,89 mld. lei</w:t>
      </w:r>
      <w:r w:rsidRPr="00601601">
        <w:rPr>
          <w:rFonts w:ascii="Calibri" w:hAnsi="Calibri" w:cs="Arial"/>
          <w:lang w:val="ro-RO"/>
        </w:rPr>
        <w:t xml:space="preserve">a fost înregistrată de 220 întreprinderi publice </w:t>
      </w:r>
      <w:r w:rsidRPr="00601601">
        <w:rPr>
          <w:rFonts w:ascii="Calibri" w:hAnsi="Calibri" w:cs="Arial"/>
          <w:i/>
          <w:lang w:val="ro-RO"/>
        </w:rPr>
        <w:t>active</w:t>
      </w:r>
      <w:r w:rsidRPr="00601601">
        <w:rPr>
          <w:rFonts w:ascii="Calibri" w:hAnsi="Calibri" w:cs="Arial"/>
          <w:lang w:val="ro-RO"/>
        </w:rPr>
        <w:t xml:space="preserve"> şi suma de </w:t>
      </w:r>
      <w:r w:rsidRPr="00601601">
        <w:rPr>
          <w:rFonts w:ascii="Calibri" w:hAnsi="Calibri" w:cs="Arial"/>
          <w:b/>
          <w:color w:val="1F4E79"/>
          <w:lang w:val="ro-RO"/>
        </w:rPr>
        <w:t>11,96 mld. lei</w:t>
      </w:r>
      <w:r w:rsidRPr="00601601">
        <w:rPr>
          <w:rFonts w:ascii="Calibri" w:hAnsi="Calibri" w:cs="Arial"/>
          <w:lang w:val="ro-RO"/>
        </w:rPr>
        <w:t xml:space="preserve">a fost înregistrată de 114 întreprinderi publice </w:t>
      </w:r>
      <w:r w:rsidRPr="00601601">
        <w:rPr>
          <w:rFonts w:ascii="Calibri" w:hAnsi="Calibri" w:cs="Arial"/>
          <w:i/>
          <w:lang w:val="ro-RO"/>
        </w:rPr>
        <w:t>aflate în diverse stadii de insolvenţă, faliment, reorganizare judiciară, dizolvare, conform Legii 85/2014</w:t>
      </w:r>
      <w:r w:rsidRPr="00601601">
        <w:rPr>
          <w:rFonts w:ascii="Calibri" w:hAnsi="Calibri" w:cs="Arial"/>
          <w:lang w:val="ro-RO"/>
        </w:rPr>
        <w:t>;</w:t>
      </w:r>
    </w:p>
    <w:p w:rsidR="00601601" w:rsidRPr="00601601" w:rsidRDefault="00601601" w:rsidP="00601601">
      <w:pPr>
        <w:jc w:val="both"/>
        <w:rPr>
          <w:rFonts w:ascii="Calibri" w:hAnsi="Calibri" w:cs="Arial"/>
          <w:sz w:val="12"/>
          <w:lang w:val="ro-RO"/>
        </w:rPr>
      </w:pPr>
    </w:p>
    <w:p w:rsidR="00601601" w:rsidRPr="00601601" w:rsidRDefault="00601601" w:rsidP="00601601">
      <w:pPr>
        <w:jc w:val="both"/>
        <w:rPr>
          <w:rFonts w:ascii="Calibri" w:hAnsi="Calibri" w:cs="Arial"/>
          <w:lang w:val="ro-RO"/>
        </w:rPr>
      </w:pPr>
      <w:r w:rsidRPr="00601601">
        <w:rPr>
          <w:rFonts w:ascii="Calibri" w:hAnsi="Calibri" w:cs="Arial"/>
          <w:lang w:val="ro-RO"/>
        </w:rPr>
        <w:t xml:space="preserve">Din totalul plăţilor restante ale întreprinderilor de </w:t>
      </w:r>
      <w:r w:rsidRPr="00601601">
        <w:rPr>
          <w:rFonts w:ascii="Calibri" w:hAnsi="Calibri" w:cs="Arial"/>
          <w:i/>
          <w:lang w:val="ro-RO"/>
        </w:rPr>
        <w:t>subordonare locală</w:t>
      </w:r>
      <w:r w:rsidRPr="00601601">
        <w:rPr>
          <w:rFonts w:ascii="Calibri" w:hAnsi="Calibri" w:cs="Arial"/>
          <w:lang w:val="ro-RO"/>
        </w:rPr>
        <w:t xml:space="preserve">, suma de </w:t>
      </w:r>
      <w:r w:rsidRPr="00601601">
        <w:rPr>
          <w:rFonts w:ascii="Calibri" w:hAnsi="Calibri" w:cs="Arial"/>
          <w:b/>
          <w:color w:val="365F91"/>
          <w:lang w:val="ro-RO"/>
        </w:rPr>
        <w:t xml:space="preserve">1,13 mld. lei </w:t>
      </w:r>
      <w:r w:rsidRPr="00601601">
        <w:rPr>
          <w:rFonts w:ascii="Calibri" w:hAnsi="Calibri" w:cs="Arial"/>
          <w:lang w:val="ro-RO"/>
        </w:rPr>
        <w:t xml:space="preserve">a fost înregistrată de 1096 întreprinderi publice </w:t>
      </w:r>
      <w:r w:rsidRPr="00601601">
        <w:rPr>
          <w:rFonts w:ascii="Calibri" w:hAnsi="Calibri" w:cs="Arial"/>
          <w:i/>
          <w:lang w:val="ro-RO"/>
        </w:rPr>
        <w:t>active</w:t>
      </w:r>
      <w:r w:rsidRPr="00601601">
        <w:rPr>
          <w:rFonts w:ascii="Calibri" w:hAnsi="Calibri" w:cs="Arial"/>
          <w:lang w:val="ro-RO"/>
        </w:rPr>
        <w:t xml:space="preserve">, suma de </w:t>
      </w:r>
      <w:r w:rsidRPr="00601601">
        <w:rPr>
          <w:rFonts w:ascii="Calibri" w:hAnsi="Calibri" w:cs="Arial"/>
          <w:b/>
          <w:color w:val="365F91"/>
          <w:lang w:val="ro-RO"/>
        </w:rPr>
        <w:t>6,89 mld. lei</w:t>
      </w:r>
      <w:r w:rsidRPr="00601601">
        <w:rPr>
          <w:rFonts w:ascii="Calibri" w:hAnsi="Calibri" w:cs="Arial"/>
          <w:lang w:val="ro-RO"/>
        </w:rPr>
        <w:t xml:space="preserve">a fost înregistrată de 135 întreprinderi publice </w:t>
      </w:r>
      <w:r w:rsidRPr="00601601">
        <w:rPr>
          <w:rFonts w:ascii="Calibri" w:hAnsi="Calibri" w:cs="Arial"/>
          <w:i/>
          <w:lang w:val="ro-RO"/>
        </w:rPr>
        <w:t>aflate în diverse stadii de insolvenţă, faliment, reorganizare judiciară, dizolvare, conform Legii 85/2014</w:t>
      </w:r>
      <w:r w:rsidRPr="00601601">
        <w:rPr>
          <w:rFonts w:ascii="Calibri" w:hAnsi="Calibri" w:cs="Arial"/>
          <w:lang w:val="ro-RO"/>
        </w:rPr>
        <w:t>.</w:t>
      </w:r>
    </w:p>
    <w:p w:rsidR="00601601" w:rsidRPr="00601601" w:rsidRDefault="00601601" w:rsidP="00601601">
      <w:pPr>
        <w:jc w:val="both"/>
        <w:rPr>
          <w:rFonts w:ascii="Calibri" w:hAnsi="Calibri" w:cs="Arial"/>
          <w:sz w:val="10"/>
          <w:lang w:val="ro-RO"/>
        </w:rPr>
      </w:pPr>
    </w:p>
    <w:p w:rsidR="00601601" w:rsidRPr="00601601" w:rsidRDefault="00601601" w:rsidP="00601601">
      <w:pPr>
        <w:jc w:val="both"/>
        <w:rPr>
          <w:rFonts w:ascii="Calibri" w:hAnsi="Calibri" w:cs="Arial"/>
          <w:b/>
          <w:lang w:val="ro-RO"/>
        </w:rPr>
      </w:pPr>
      <w:r w:rsidRPr="00601601">
        <w:rPr>
          <w:rFonts w:ascii="Calibri" w:hAnsi="Calibri" w:cs="Arial"/>
          <w:b/>
          <w:color w:val="1F4E79"/>
          <w:lang w:val="ro-RO"/>
        </w:rPr>
        <w:t>4. Gradul de îndatorare</w:t>
      </w:r>
      <w:r w:rsidRPr="00601601">
        <w:rPr>
          <w:rFonts w:ascii="Calibri" w:hAnsi="Calibri" w:cs="Arial"/>
          <w:lang w:val="ro-RO"/>
        </w:rPr>
        <w:t xml:space="preserve"> calculat conform formulei (Total Datorii /Total Active) al întreprinderilor publice nefinanciare a fost de </w:t>
      </w:r>
      <w:r w:rsidRPr="00601601">
        <w:rPr>
          <w:rFonts w:ascii="Calibri" w:hAnsi="Calibri" w:cs="Arial"/>
          <w:b/>
          <w:color w:val="365F91"/>
          <w:lang w:val="ro-RO"/>
        </w:rPr>
        <w:t>30,49%</w:t>
      </w:r>
      <w:r w:rsidRPr="00601601">
        <w:rPr>
          <w:rFonts w:ascii="Calibri" w:hAnsi="Calibri" w:cs="Arial"/>
          <w:lang w:val="ro-RO"/>
        </w:rPr>
        <w:t xml:space="preserve">din care întreprinderile publice de </w:t>
      </w:r>
      <w:r w:rsidRPr="00601601">
        <w:rPr>
          <w:rFonts w:ascii="Calibri" w:hAnsi="Calibri" w:cs="Arial"/>
          <w:i/>
          <w:lang w:val="ro-RO"/>
        </w:rPr>
        <w:t>subordonare centrală</w:t>
      </w:r>
      <w:r w:rsidRPr="00601601">
        <w:rPr>
          <w:rFonts w:ascii="Calibri" w:hAnsi="Calibri" w:cs="Arial"/>
          <w:lang w:val="ro-RO"/>
        </w:rPr>
        <w:t xml:space="preserve"> înregistrează un grad de îndatorare de </w:t>
      </w:r>
      <w:r w:rsidRPr="00601601">
        <w:rPr>
          <w:rFonts w:ascii="Calibri" w:hAnsi="Calibri" w:cs="Arial"/>
          <w:b/>
          <w:color w:val="365F91"/>
          <w:lang w:val="ro-RO"/>
        </w:rPr>
        <w:t>26,50%</w:t>
      </w:r>
      <w:r w:rsidRPr="00601601">
        <w:rPr>
          <w:rFonts w:ascii="Calibri" w:hAnsi="Calibri" w:cs="Arial"/>
          <w:lang w:val="ro-RO"/>
        </w:rPr>
        <w:t xml:space="preserve">iar întreprinderile publice de </w:t>
      </w:r>
      <w:r w:rsidRPr="00601601">
        <w:rPr>
          <w:rFonts w:ascii="Calibri" w:hAnsi="Calibri" w:cs="Arial"/>
          <w:i/>
          <w:lang w:val="ro-RO"/>
        </w:rPr>
        <w:t>subordonare locală</w:t>
      </w:r>
      <w:r w:rsidRPr="00601601">
        <w:rPr>
          <w:rFonts w:ascii="Calibri" w:hAnsi="Calibri" w:cs="Arial"/>
          <w:lang w:val="ro-RO"/>
        </w:rPr>
        <w:t xml:space="preserve"> înregistrează un grad de îndatorare de </w:t>
      </w:r>
      <w:r w:rsidRPr="00601601">
        <w:rPr>
          <w:rFonts w:ascii="Calibri" w:hAnsi="Calibri" w:cs="Arial"/>
          <w:b/>
          <w:color w:val="365F91"/>
          <w:lang w:val="ro-RO"/>
        </w:rPr>
        <w:t>49,10%</w:t>
      </w:r>
      <w:r w:rsidRPr="00601601">
        <w:rPr>
          <w:rFonts w:ascii="Calibri" w:hAnsi="Calibri" w:cs="Arial"/>
          <w:b/>
          <w:lang w:val="ro-RO"/>
        </w:rPr>
        <w:t>.</w:t>
      </w:r>
    </w:p>
    <w:p w:rsidR="00601601" w:rsidRPr="00601601" w:rsidRDefault="00601601" w:rsidP="00601601">
      <w:pPr>
        <w:jc w:val="both"/>
        <w:rPr>
          <w:rFonts w:ascii="Calibri" w:hAnsi="Calibri" w:cs="Arial"/>
          <w:sz w:val="10"/>
          <w:u w:val="single"/>
          <w:lang w:val="ro-RO"/>
        </w:rPr>
      </w:pPr>
    </w:p>
    <w:p w:rsidR="00601601" w:rsidRPr="00601601" w:rsidRDefault="00601601" w:rsidP="00601601">
      <w:pPr>
        <w:jc w:val="both"/>
        <w:rPr>
          <w:rFonts w:ascii="Calibri" w:hAnsi="Calibri" w:cs="Arial"/>
          <w:lang w:val="ro-RO"/>
        </w:rPr>
      </w:pPr>
      <w:r w:rsidRPr="00601601">
        <w:rPr>
          <w:rFonts w:ascii="Calibri" w:hAnsi="Calibri" w:cs="Arial"/>
          <w:b/>
          <w:color w:val="1F4E79"/>
          <w:lang w:val="ro-RO"/>
        </w:rPr>
        <w:t>5.</w:t>
      </w:r>
      <w:r w:rsidRPr="00601601">
        <w:rPr>
          <w:rFonts w:ascii="Calibri" w:hAnsi="Calibri" w:cs="Arial"/>
          <w:lang w:val="ro-RO"/>
        </w:rPr>
        <w:t>Referitor la</w:t>
      </w:r>
      <w:r w:rsidRPr="00601601">
        <w:rPr>
          <w:rFonts w:ascii="Calibri" w:hAnsi="Calibri" w:cs="Arial"/>
          <w:b/>
          <w:color w:val="1F4E79"/>
          <w:lang w:val="ro-RO"/>
        </w:rPr>
        <w:t>pierderea brută / profitulbrut</w:t>
      </w:r>
      <w:r w:rsidRPr="00601601">
        <w:rPr>
          <w:rFonts w:ascii="Calibri" w:hAnsi="Calibri" w:cs="Arial"/>
          <w:lang w:val="ro-RO"/>
        </w:rPr>
        <w:t xml:space="preserve"> înregistrat de întreprinderile publice nefinanciare în anul 2017 din analiza datelor se desprind următoarele</w:t>
      </w:r>
      <w:r w:rsidRPr="00601601">
        <w:rPr>
          <w:rFonts w:ascii="Calibri" w:hAnsi="Calibri" w:cs="Arial"/>
          <w:lang w:val="pt-PT"/>
        </w:rPr>
        <w:t>:</w:t>
      </w:r>
    </w:p>
    <w:p w:rsidR="00601601" w:rsidRPr="00601601" w:rsidRDefault="00601601" w:rsidP="00601601">
      <w:pPr>
        <w:jc w:val="both"/>
        <w:rPr>
          <w:rFonts w:ascii="Calibri" w:hAnsi="Calibri" w:cs="Arial"/>
          <w:lang w:val="ro-RO"/>
        </w:rPr>
      </w:pPr>
      <w:r w:rsidRPr="00601601">
        <w:rPr>
          <w:rFonts w:ascii="Calibri" w:hAnsi="Calibri" w:cs="Arial"/>
          <w:color w:val="365F91"/>
          <w:lang w:val="ro-RO"/>
        </w:rPr>
        <w:t>a)</w:t>
      </w:r>
      <w:r w:rsidRPr="00601601">
        <w:rPr>
          <w:rFonts w:ascii="Calibri" w:hAnsi="Calibri" w:cs="Arial"/>
          <w:lang w:val="ro-RO"/>
        </w:rPr>
        <w:t xml:space="preserve"> Din cele 334 întreprinderi publice de </w:t>
      </w:r>
      <w:r w:rsidRPr="00601601">
        <w:rPr>
          <w:rFonts w:ascii="Calibri" w:hAnsi="Calibri" w:cs="Arial"/>
          <w:i/>
          <w:lang w:val="ro-RO"/>
        </w:rPr>
        <w:t>subordonare centrală</w:t>
      </w:r>
      <w:r w:rsidRPr="00601601">
        <w:rPr>
          <w:rFonts w:ascii="Calibri" w:hAnsi="Calibri" w:cs="Arial"/>
          <w:lang w:val="ro-RO"/>
        </w:rPr>
        <w:t xml:space="preserve"> un număr de 209  întreprinderi publice au înregistrat </w:t>
      </w:r>
      <w:r w:rsidRPr="00601601">
        <w:rPr>
          <w:rFonts w:ascii="Calibri" w:hAnsi="Calibri" w:cs="Arial"/>
          <w:b/>
          <w:color w:val="1F4E79"/>
          <w:lang w:val="ro-RO"/>
        </w:rPr>
        <w:t>profit brut</w:t>
      </w:r>
      <w:r w:rsidRPr="00601601">
        <w:rPr>
          <w:rFonts w:ascii="Calibri" w:hAnsi="Calibri" w:cs="Arial"/>
          <w:lang w:val="ro-RO"/>
        </w:rPr>
        <w:t xml:space="preserve"> în sumă totală de </w:t>
      </w:r>
      <w:r w:rsidRPr="00601601">
        <w:rPr>
          <w:rFonts w:ascii="Calibri" w:hAnsi="Calibri" w:cs="Arial"/>
          <w:b/>
          <w:color w:val="1F4E79"/>
          <w:lang w:val="ro-RO"/>
        </w:rPr>
        <w:t>9,47 mld. lei</w:t>
      </w:r>
      <w:r w:rsidRPr="00601601">
        <w:rPr>
          <w:rFonts w:ascii="Calibri" w:hAnsi="Calibri" w:cs="Arial"/>
          <w:lang w:val="ro-RO"/>
        </w:rPr>
        <w:t xml:space="preserve"> reprezentând </w:t>
      </w:r>
      <w:r w:rsidRPr="00601601">
        <w:rPr>
          <w:rFonts w:ascii="Calibri" w:hAnsi="Calibri" w:cs="Arial"/>
          <w:b/>
          <w:color w:val="1F4E79"/>
          <w:lang w:val="ro-RO"/>
        </w:rPr>
        <w:t>1,10% din PIB</w:t>
      </w:r>
      <w:r w:rsidRPr="00601601">
        <w:rPr>
          <w:rFonts w:ascii="Calibri" w:hAnsi="Calibri" w:cs="Arial"/>
          <w:lang w:val="ro-RO"/>
        </w:rPr>
        <w:t xml:space="preserve">. iar un număr de 125 întreprinderi publice au înregistrat </w:t>
      </w:r>
      <w:r w:rsidRPr="00601601">
        <w:rPr>
          <w:rFonts w:ascii="Calibri" w:hAnsi="Calibri" w:cs="Arial"/>
          <w:i/>
          <w:lang w:val="ro-RO"/>
        </w:rPr>
        <w:t>pierdere brută</w:t>
      </w:r>
      <w:r w:rsidRPr="00601601">
        <w:rPr>
          <w:rFonts w:ascii="Calibri" w:hAnsi="Calibri" w:cs="Arial"/>
          <w:lang w:val="ro-RO"/>
        </w:rPr>
        <w:t xml:space="preserve"> în sumă totală de</w:t>
      </w:r>
      <w:r w:rsidRPr="00601601">
        <w:rPr>
          <w:rFonts w:ascii="Calibri" w:hAnsi="Calibri" w:cs="Arial"/>
          <w:b/>
          <w:color w:val="1F4E79"/>
          <w:lang w:val="ro-RO"/>
        </w:rPr>
        <w:t>1,50 mld. lei</w:t>
      </w:r>
      <w:r w:rsidRPr="00601601">
        <w:rPr>
          <w:rFonts w:ascii="Calibri" w:hAnsi="Calibri" w:cs="Arial"/>
          <w:lang w:val="ro-RO"/>
        </w:rPr>
        <w:t xml:space="preserve"> reprezentând </w:t>
      </w:r>
      <w:r w:rsidRPr="00601601">
        <w:rPr>
          <w:rFonts w:ascii="Calibri" w:hAnsi="Calibri" w:cs="Arial"/>
          <w:b/>
          <w:color w:val="1F4E79"/>
          <w:lang w:val="ro-RO"/>
        </w:rPr>
        <w:t>0,17% din PIB</w:t>
      </w:r>
      <w:r w:rsidRPr="00601601">
        <w:rPr>
          <w:rFonts w:ascii="Calibri" w:hAnsi="Calibri" w:cs="Arial"/>
          <w:lang w:val="ro-RO"/>
        </w:rPr>
        <w:t>.</w:t>
      </w:r>
    </w:p>
    <w:p w:rsidR="00601601" w:rsidRPr="00601601" w:rsidRDefault="00601601" w:rsidP="00601601">
      <w:pPr>
        <w:jc w:val="both"/>
        <w:rPr>
          <w:rFonts w:ascii="Calibri" w:hAnsi="Calibri" w:cs="Arial"/>
          <w:sz w:val="8"/>
          <w:lang w:val="ro-RO"/>
        </w:rPr>
      </w:pPr>
    </w:p>
    <w:p w:rsidR="00601601" w:rsidRPr="00601601" w:rsidRDefault="00601601" w:rsidP="00601601">
      <w:pPr>
        <w:jc w:val="both"/>
        <w:rPr>
          <w:rFonts w:ascii="Calibri" w:hAnsi="Calibri" w:cs="Arial"/>
          <w:lang w:val="ro-RO"/>
        </w:rPr>
      </w:pPr>
      <w:r w:rsidRPr="00601601">
        <w:rPr>
          <w:rFonts w:ascii="Calibri" w:hAnsi="Calibri" w:cs="Arial"/>
          <w:color w:val="365F91"/>
          <w:lang w:val="ro-RO"/>
        </w:rPr>
        <w:t>b)</w:t>
      </w:r>
      <w:r w:rsidRPr="00601601">
        <w:rPr>
          <w:rFonts w:ascii="Calibri" w:hAnsi="Calibri" w:cs="Arial"/>
          <w:lang w:val="ro-RO"/>
        </w:rPr>
        <w:t xml:space="preserve"> Din cele 1231 de întreprinderi publice de subordonare locală un număr de 700 întreprinderi publice au înregistrat </w:t>
      </w:r>
      <w:r w:rsidRPr="00601601">
        <w:rPr>
          <w:rFonts w:ascii="Calibri" w:hAnsi="Calibri" w:cs="Arial"/>
          <w:b/>
          <w:i/>
          <w:color w:val="365F91"/>
          <w:lang w:val="ro-RO"/>
        </w:rPr>
        <w:t>profit brut</w:t>
      </w:r>
      <w:r w:rsidRPr="00601601">
        <w:rPr>
          <w:rFonts w:ascii="Calibri" w:hAnsi="Calibri" w:cs="Arial"/>
          <w:lang w:val="ro-RO"/>
        </w:rPr>
        <w:t xml:space="preserve"> în sumă totală de </w:t>
      </w:r>
      <w:r w:rsidRPr="00601601">
        <w:rPr>
          <w:rFonts w:ascii="Calibri" w:hAnsi="Calibri" w:cs="Arial"/>
          <w:b/>
          <w:color w:val="1F4E79"/>
          <w:lang w:val="ro-RO"/>
        </w:rPr>
        <w:t>0,58 mld. lei</w:t>
      </w:r>
      <w:r w:rsidRPr="00601601">
        <w:rPr>
          <w:rFonts w:ascii="Calibri" w:hAnsi="Calibri" w:cs="Arial"/>
          <w:lang w:val="ro-RO"/>
        </w:rPr>
        <w:t xml:space="preserve"> reprezentând </w:t>
      </w:r>
      <w:r w:rsidRPr="00601601">
        <w:rPr>
          <w:rFonts w:ascii="Calibri" w:hAnsi="Calibri" w:cs="Arial"/>
          <w:b/>
          <w:color w:val="1F4E79"/>
          <w:lang w:val="ro-RO"/>
        </w:rPr>
        <w:t>0,07% din PIB</w:t>
      </w:r>
      <w:r w:rsidRPr="00601601">
        <w:rPr>
          <w:rFonts w:ascii="Calibri" w:hAnsi="Calibri" w:cs="Arial"/>
          <w:lang w:val="ro-RO"/>
        </w:rPr>
        <w:t xml:space="preserve">. iar un număr de 531 întreprinderi publice au înregistrat </w:t>
      </w:r>
      <w:r w:rsidRPr="00601601">
        <w:rPr>
          <w:rFonts w:ascii="Calibri" w:hAnsi="Calibri" w:cs="Arial"/>
          <w:i/>
          <w:lang w:val="ro-RO"/>
        </w:rPr>
        <w:t>pierdere brută</w:t>
      </w:r>
      <w:r w:rsidRPr="00601601">
        <w:rPr>
          <w:rFonts w:ascii="Calibri" w:hAnsi="Calibri" w:cs="Arial"/>
          <w:lang w:val="ro-RO"/>
        </w:rPr>
        <w:t xml:space="preserve"> în sumă totală de </w:t>
      </w:r>
      <w:r w:rsidRPr="00601601">
        <w:rPr>
          <w:rFonts w:ascii="Calibri" w:hAnsi="Calibri" w:cs="Arial"/>
          <w:b/>
          <w:color w:val="1F4E79"/>
          <w:lang w:val="ro-RO"/>
        </w:rPr>
        <w:t>0,45 mld. lei</w:t>
      </w:r>
      <w:r w:rsidRPr="00601601">
        <w:rPr>
          <w:rFonts w:ascii="Calibri" w:hAnsi="Calibri" w:cs="Arial"/>
          <w:lang w:val="ro-RO"/>
        </w:rPr>
        <w:t xml:space="preserve"> reprezentând </w:t>
      </w:r>
      <w:r w:rsidRPr="00601601">
        <w:rPr>
          <w:rFonts w:ascii="Calibri" w:hAnsi="Calibri" w:cs="Arial"/>
          <w:b/>
          <w:color w:val="1F4E79"/>
          <w:lang w:val="ro-RO"/>
        </w:rPr>
        <w:t>0,05% din PIB</w:t>
      </w:r>
      <w:r w:rsidRPr="00601601">
        <w:rPr>
          <w:rFonts w:ascii="Calibri" w:hAnsi="Calibri" w:cs="Arial"/>
          <w:lang w:val="ro-RO"/>
        </w:rPr>
        <w:t>.</w:t>
      </w:r>
    </w:p>
    <w:p w:rsidR="00601601" w:rsidRPr="00601601" w:rsidRDefault="00601601" w:rsidP="00601601">
      <w:pPr>
        <w:jc w:val="both"/>
        <w:rPr>
          <w:rFonts w:ascii="Calibri" w:hAnsi="Calibri" w:cs="Arial"/>
          <w:sz w:val="8"/>
          <w:lang w:val="ro-RO"/>
        </w:rPr>
      </w:pPr>
    </w:p>
    <w:p w:rsidR="00601601" w:rsidRPr="00601601" w:rsidRDefault="00601601" w:rsidP="00601601">
      <w:pPr>
        <w:jc w:val="both"/>
        <w:rPr>
          <w:rFonts w:ascii="Calibri" w:hAnsi="Calibri" w:cs="Arial"/>
          <w:color w:val="000000"/>
          <w:u w:val="single"/>
          <w:lang w:val="ro-RO" w:eastAsia="ro-RO"/>
        </w:rPr>
      </w:pPr>
      <w:r w:rsidRPr="00601601">
        <w:rPr>
          <w:rFonts w:ascii="Calibri" w:hAnsi="Calibri" w:cs="Arial"/>
          <w:b/>
          <w:bCs/>
          <w:color w:val="365F91"/>
          <w:lang w:val="ro-RO" w:eastAsia="ro-RO"/>
        </w:rPr>
        <w:t xml:space="preserve">6. Valoarea participațiilor statului la întreprinderilor publice </w:t>
      </w:r>
      <w:r w:rsidRPr="00601601">
        <w:rPr>
          <w:rFonts w:ascii="Calibri" w:hAnsi="Calibri" w:cs="Arial"/>
          <w:b/>
          <w:color w:val="365F91"/>
          <w:lang w:val="ro-RO"/>
        </w:rPr>
        <w:t>nefinanciare</w:t>
      </w:r>
      <w:r w:rsidRPr="00601601">
        <w:rPr>
          <w:rFonts w:ascii="Calibri" w:hAnsi="Calibri" w:cs="Arial"/>
          <w:b/>
          <w:bCs/>
          <w:color w:val="365F91"/>
          <w:lang w:val="ro-RO" w:eastAsia="ro-RO"/>
        </w:rPr>
        <w:t xml:space="preserve"> de subordonare centrală</w:t>
      </w:r>
      <w:r w:rsidRPr="00601601">
        <w:rPr>
          <w:rFonts w:ascii="Calibri" w:hAnsi="Calibri" w:cs="Arial"/>
          <w:color w:val="000000"/>
          <w:lang w:val="ro-RO" w:eastAsia="ro-RO"/>
        </w:rPr>
        <w:t xml:space="preserve"> care au depus situațiile financiare pentru anul 2017 au fost în sumă totală de </w:t>
      </w:r>
      <w:r w:rsidRPr="00601601">
        <w:rPr>
          <w:rFonts w:ascii="Calibri" w:hAnsi="Calibri" w:cs="Arial"/>
          <w:b/>
          <w:color w:val="1F4E79"/>
          <w:lang w:val="ro-RO" w:eastAsia="ro-RO"/>
        </w:rPr>
        <w:t>27,94 mld. lei</w:t>
      </w:r>
      <w:r w:rsidRPr="00601601">
        <w:rPr>
          <w:rFonts w:ascii="Calibri" w:hAnsi="Calibri" w:cs="Arial"/>
          <w:color w:val="000000"/>
          <w:lang w:val="ro-RO" w:eastAsia="ro-RO"/>
        </w:rPr>
        <w:t xml:space="preserve"> din care </w:t>
      </w:r>
      <w:r w:rsidRPr="00601601">
        <w:rPr>
          <w:rFonts w:ascii="Calibri" w:hAnsi="Calibri" w:cs="Arial"/>
          <w:i/>
          <w:color w:val="000000"/>
          <w:lang w:val="ro-RO" w:eastAsia="ro-RO"/>
        </w:rPr>
        <w:t>participațiile directe</w:t>
      </w:r>
      <w:r w:rsidRPr="00601601">
        <w:rPr>
          <w:rFonts w:ascii="Calibri" w:hAnsi="Calibri" w:cs="Arial"/>
          <w:color w:val="000000"/>
          <w:lang w:val="ro-RO" w:eastAsia="ro-RO"/>
        </w:rPr>
        <w:t xml:space="preserve"> au fost în sumă de </w:t>
      </w:r>
      <w:r w:rsidRPr="00601601">
        <w:rPr>
          <w:rFonts w:ascii="Calibri" w:hAnsi="Calibri" w:cs="Arial"/>
          <w:b/>
          <w:color w:val="1F4E79"/>
          <w:lang w:val="ro-RO" w:eastAsia="ro-RO"/>
        </w:rPr>
        <w:t>26,41 mld. lei</w:t>
      </w:r>
      <w:r w:rsidRPr="00601601">
        <w:rPr>
          <w:rFonts w:ascii="Calibri" w:hAnsi="Calibri" w:cs="Arial"/>
          <w:color w:val="000000"/>
          <w:lang w:val="ro-RO" w:eastAsia="ro-RO"/>
        </w:rPr>
        <w:t xml:space="preserve"> și </w:t>
      </w:r>
      <w:r w:rsidRPr="00601601">
        <w:rPr>
          <w:rFonts w:ascii="Calibri" w:hAnsi="Calibri" w:cs="Arial"/>
          <w:i/>
          <w:color w:val="000000"/>
          <w:lang w:val="ro-RO" w:eastAsia="ro-RO"/>
        </w:rPr>
        <w:t>participațiile indirecte</w:t>
      </w:r>
      <w:r w:rsidRPr="00601601">
        <w:rPr>
          <w:rFonts w:ascii="Calibri" w:hAnsi="Calibri" w:cs="Arial"/>
          <w:color w:val="000000"/>
          <w:lang w:val="ro-RO" w:eastAsia="ro-RO"/>
        </w:rPr>
        <w:t xml:space="preserve"> au fost în sumă de </w:t>
      </w:r>
      <w:r w:rsidRPr="00601601">
        <w:rPr>
          <w:rFonts w:ascii="Calibri" w:hAnsi="Calibri" w:cs="Arial"/>
          <w:b/>
          <w:color w:val="1F4E79"/>
          <w:lang w:val="ro-RO" w:eastAsia="ro-RO"/>
        </w:rPr>
        <w:t>1,53 mld. lei</w:t>
      </w:r>
      <w:r w:rsidRPr="00601601">
        <w:rPr>
          <w:rFonts w:ascii="Calibri" w:hAnsi="Calibri" w:cs="Arial"/>
          <w:color w:val="000000"/>
          <w:u w:val="single"/>
          <w:lang w:val="ro-RO" w:eastAsia="ro-RO"/>
        </w:rPr>
        <w:t>;</w:t>
      </w:r>
    </w:p>
    <w:p w:rsidR="00601601" w:rsidRPr="00601601" w:rsidRDefault="00601601" w:rsidP="00601601">
      <w:pPr>
        <w:jc w:val="both"/>
        <w:rPr>
          <w:rFonts w:ascii="Calibri" w:hAnsi="Calibri" w:cs="Arial"/>
          <w:sz w:val="14"/>
          <w:u w:val="single"/>
          <w:lang w:val="pt-PT"/>
        </w:rPr>
      </w:pPr>
    </w:p>
    <w:p w:rsidR="00601601" w:rsidRPr="00601601" w:rsidRDefault="00601601" w:rsidP="00601601">
      <w:pPr>
        <w:jc w:val="both"/>
        <w:rPr>
          <w:rFonts w:ascii="Calibri" w:hAnsi="Calibri" w:cs="Arial"/>
          <w:lang w:val="ro-RO"/>
        </w:rPr>
      </w:pPr>
      <w:r w:rsidRPr="00601601">
        <w:rPr>
          <w:rFonts w:ascii="Calibri" w:hAnsi="Calibri" w:cs="Arial"/>
          <w:lang w:val="ro-RO"/>
        </w:rPr>
        <w:t xml:space="preserve">La nivelul Ministerului Finanţelor Publice au fost monitorizate un număr de </w:t>
      </w:r>
      <w:r w:rsidRPr="00601601">
        <w:rPr>
          <w:rFonts w:ascii="Calibri" w:hAnsi="Calibri" w:cs="Arial"/>
          <w:i/>
          <w:lang w:val="ro-RO"/>
        </w:rPr>
        <w:t>405 întreprinderi publice nefinanciare de subordonare centrală</w:t>
      </w:r>
      <w:r w:rsidRPr="00601601">
        <w:rPr>
          <w:rFonts w:ascii="Calibri" w:hAnsi="Calibri" w:cs="Arial"/>
          <w:lang w:val="ro-RO"/>
        </w:rPr>
        <w:t xml:space="preserve"> care au înregistrat la finele anului 2017 </w:t>
      </w:r>
      <w:r w:rsidRPr="00601601">
        <w:rPr>
          <w:rFonts w:ascii="Calibri" w:hAnsi="Calibri" w:cs="Arial"/>
          <w:b/>
          <w:i/>
          <w:color w:val="1F4E79"/>
          <w:lang w:val="ro-RO"/>
        </w:rPr>
        <w:t>plăţi restante</w:t>
      </w:r>
      <w:r w:rsidRPr="00601601">
        <w:rPr>
          <w:rFonts w:ascii="Calibri" w:hAnsi="Calibri" w:cs="Arial"/>
          <w:lang w:val="ro-RO"/>
        </w:rPr>
        <w:t xml:space="preserve"> în sumă totală de </w:t>
      </w:r>
      <w:r w:rsidRPr="00601601">
        <w:rPr>
          <w:rFonts w:ascii="Calibri" w:hAnsi="Calibri" w:cs="Arial"/>
          <w:color w:val="1F4E79"/>
          <w:lang w:val="ro-RO"/>
        </w:rPr>
        <w:t>15,24 mld. lei</w:t>
      </w:r>
      <w:r w:rsidRPr="00601601">
        <w:rPr>
          <w:rFonts w:ascii="Calibri" w:hAnsi="Calibri" w:cs="Arial"/>
          <w:lang w:val="ro-RO"/>
        </w:rPr>
        <w:t xml:space="preserve"> şi </w:t>
      </w:r>
      <w:r w:rsidRPr="00601601">
        <w:rPr>
          <w:rFonts w:ascii="Calibri" w:hAnsi="Calibri" w:cs="Arial"/>
          <w:b/>
          <w:color w:val="1F4E79"/>
          <w:lang w:val="ro-RO"/>
        </w:rPr>
        <w:t>rezultat brut</w:t>
      </w:r>
      <w:r w:rsidRPr="00601601">
        <w:rPr>
          <w:rFonts w:ascii="Calibri" w:hAnsi="Calibri" w:cs="Arial"/>
          <w:lang w:val="ro-RO"/>
        </w:rPr>
        <w:t xml:space="preserve"> în sumă totală de </w:t>
      </w:r>
      <w:r w:rsidRPr="00601601">
        <w:rPr>
          <w:rFonts w:ascii="Calibri" w:hAnsi="Calibri" w:cs="Arial"/>
          <w:b/>
          <w:color w:val="1F4E79"/>
          <w:lang w:val="ro-RO"/>
        </w:rPr>
        <w:t>7,80 mld. lei</w:t>
      </w:r>
      <w:r w:rsidRPr="00601601">
        <w:rPr>
          <w:rFonts w:ascii="Calibri" w:hAnsi="Calibri" w:cs="Arial"/>
          <w:lang w:val="ro-RO"/>
        </w:rPr>
        <w:t xml:space="preserve">. </w:t>
      </w:r>
    </w:p>
    <w:p w:rsidR="00601601" w:rsidRPr="00601601" w:rsidRDefault="00601601" w:rsidP="00601601">
      <w:pPr>
        <w:jc w:val="both"/>
        <w:rPr>
          <w:rFonts w:ascii="Calibri" w:hAnsi="Calibri" w:cs="Arial"/>
          <w:sz w:val="10"/>
          <w:lang w:val="ro-RO"/>
        </w:rPr>
      </w:pPr>
    </w:p>
    <w:p w:rsidR="00601601" w:rsidRPr="00601601" w:rsidRDefault="00601601" w:rsidP="00601601">
      <w:pPr>
        <w:jc w:val="both"/>
        <w:rPr>
          <w:rFonts w:ascii="Calibri" w:hAnsi="Calibri" w:cs="Arial"/>
          <w:u w:val="single"/>
          <w:lang w:val="ro-RO"/>
        </w:rPr>
      </w:pPr>
      <w:r w:rsidRPr="00601601">
        <w:rPr>
          <w:rFonts w:ascii="Calibri" w:hAnsi="Calibri" w:cs="Arial"/>
          <w:lang w:val="ro-RO"/>
        </w:rPr>
        <w:t xml:space="preserve">Din cele 405 întreprinderi publice de </w:t>
      </w:r>
      <w:r w:rsidRPr="00601601">
        <w:rPr>
          <w:rFonts w:ascii="Calibri" w:hAnsi="Calibri" w:cs="Arial"/>
          <w:b/>
          <w:color w:val="1F4E79"/>
          <w:lang w:val="ro-RO"/>
        </w:rPr>
        <w:t>subordonare centrală</w:t>
      </w:r>
      <w:r w:rsidRPr="00601601">
        <w:rPr>
          <w:rFonts w:ascii="Calibri" w:hAnsi="Calibri" w:cs="Arial"/>
          <w:lang w:val="ro-RO"/>
        </w:rPr>
        <w:t xml:space="preserve">, </w:t>
      </w:r>
      <w:r w:rsidRPr="00601601">
        <w:rPr>
          <w:rFonts w:ascii="Calibri" w:hAnsi="Calibri" w:cs="Arial"/>
          <w:b/>
          <w:color w:val="1F4E79"/>
          <w:lang w:val="ro-RO"/>
        </w:rPr>
        <w:t>plățile restante</w:t>
      </w:r>
      <w:r w:rsidRPr="00601601">
        <w:rPr>
          <w:rFonts w:ascii="Calibri" w:hAnsi="Calibri" w:cs="Arial"/>
          <w:lang w:val="ro-RO"/>
        </w:rPr>
        <w:t xml:space="preserve"> în sumă de </w:t>
      </w:r>
      <w:r w:rsidRPr="00601601">
        <w:rPr>
          <w:rFonts w:ascii="Calibri" w:hAnsi="Calibri" w:cs="Arial"/>
          <w:b/>
          <w:color w:val="1F4E79"/>
          <w:lang w:val="ro-RO"/>
        </w:rPr>
        <w:t>3,97 mld. lei</w:t>
      </w:r>
      <w:r w:rsidRPr="00601601">
        <w:rPr>
          <w:rFonts w:ascii="Calibri" w:hAnsi="Calibri" w:cs="Arial"/>
          <w:lang w:val="ro-RO"/>
        </w:rPr>
        <w:t xml:space="preserve"> au fost înregistrate de </w:t>
      </w:r>
      <w:r w:rsidRPr="00601601">
        <w:rPr>
          <w:rFonts w:ascii="Calibri" w:hAnsi="Calibri" w:cs="Arial"/>
          <w:b/>
          <w:i/>
          <w:color w:val="1F4E79"/>
          <w:lang w:val="ro-RO"/>
        </w:rPr>
        <w:t>220 întreprinderi publice active</w:t>
      </w:r>
      <w:r w:rsidRPr="00601601">
        <w:rPr>
          <w:rFonts w:ascii="Calibri" w:hAnsi="Calibri" w:cs="Arial"/>
          <w:lang w:val="ro-RO"/>
        </w:rPr>
        <w:t xml:space="preserve">, şi cele în sumă de </w:t>
      </w:r>
      <w:r w:rsidRPr="00601601">
        <w:rPr>
          <w:rFonts w:ascii="Calibri" w:hAnsi="Calibri" w:cs="Arial"/>
          <w:b/>
          <w:color w:val="1F4E79"/>
          <w:lang w:val="ro-RO"/>
        </w:rPr>
        <w:t>11,27 mld. lei</w:t>
      </w:r>
      <w:r w:rsidRPr="00601601">
        <w:rPr>
          <w:rFonts w:ascii="Calibri" w:hAnsi="Calibri" w:cs="Arial"/>
          <w:lang w:val="ro-RO"/>
        </w:rPr>
        <w:t xml:space="preserve"> au fost înregistrate de </w:t>
      </w:r>
      <w:r w:rsidRPr="00601601">
        <w:rPr>
          <w:rFonts w:ascii="Calibri" w:hAnsi="Calibri" w:cs="Arial"/>
          <w:b/>
          <w:i/>
          <w:color w:val="1F4E79"/>
          <w:lang w:val="ro-RO"/>
        </w:rPr>
        <w:t>185 întreprinderi publice aflate în diverse stadii de insolvenţă, faliment, reorganizare judiciară, dizolvare, conform Legii 85/2014;</w:t>
      </w:r>
    </w:p>
    <w:p w:rsidR="00601601" w:rsidRPr="00601601" w:rsidRDefault="00601601" w:rsidP="00601601">
      <w:pPr>
        <w:autoSpaceDE w:val="0"/>
        <w:autoSpaceDN w:val="0"/>
        <w:adjustRightInd w:val="0"/>
        <w:jc w:val="both"/>
        <w:rPr>
          <w:rFonts w:ascii="Calibri" w:hAnsi="Calibri" w:cs="Arial"/>
          <w:iCs/>
          <w:color w:val="000000"/>
          <w:sz w:val="10"/>
          <w:lang w:val="ro-RO" w:eastAsia="ro-RO"/>
        </w:rPr>
      </w:pPr>
    </w:p>
    <w:p w:rsidR="00601601" w:rsidRPr="00601601" w:rsidRDefault="00601601" w:rsidP="00601601">
      <w:pPr>
        <w:autoSpaceDE w:val="0"/>
        <w:autoSpaceDN w:val="0"/>
        <w:adjustRightInd w:val="0"/>
        <w:jc w:val="both"/>
        <w:rPr>
          <w:rFonts w:ascii="Calibri" w:hAnsi="Calibri" w:cs="Arial"/>
          <w:iCs/>
          <w:color w:val="000000"/>
          <w:lang w:val="ro-RO" w:eastAsia="ro-RO"/>
        </w:rPr>
      </w:pPr>
      <w:r w:rsidRPr="00601601">
        <w:rPr>
          <w:rFonts w:ascii="Calibri" w:hAnsi="Calibri" w:cs="Arial"/>
          <w:iCs/>
          <w:color w:val="000000"/>
          <w:lang w:val="ro-RO" w:eastAsia="ro-RO"/>
        </w:rPr>
        <w:t xml:space="preserve">De asemenea au fost monitorizate şi un număr de </w:t>
      </w:r>
      <w:r w:rsidRPr="00601601">
        <w:rPr>
          <w:rFonts w:ascii="Calibri" w:hAnsi="Calibri" w:cs="Arial"/>
          <w:b/>
          <w:i/>
          <w:iCs/>
          <w:color w:val="1F4E79"/>
          <w:lang w:val="ro-RO" w:eastAsia="ro-RO"/>
        </w:rPr>
        <w:t>1441</w:t>
      </w:r>
      <w:r w:rsidRPr="00601601">
        <w:rPr>
          <w:rFonts w:ascii="Calibri" w:hAnsi="Calibri" w:cs="Arial"/>
          <w:i/>
          <w:iCs/>
          <w:color w:val="000000"/>
          <w:lang w:val="ro-RO" w:eastAsia="ro-RO"/>
        </w:rPr>
        <w:t xml:space="preserve"> întreprinderi publice nefinanciare de </w:t>
      </w:r>
      <w:r w:rsidRPr="00601601">
        <w:rPr>
          <w:rFonts w:ascii="Calibri" w:hAnsi="Calibri" w:cs="Arial"/>
          <w:b/>
          <w:i/>
          <w:iCs/>
          <w:color w:val="1F4E79"/>
          <w:lang w:val="ro-RO" w:eastAsia="ro-RO"/>
        </w:rPr>
        <w:t>subordonare locală</w:t>
      </w:r>
      <w:r w:rsidRPr="00601601">
        <w:rPr>
          <w:rFonts w:ascii="Calibri" w:hAnsi="Calibri" w:cs="Arial"/>
          <w:iCs/>
          <w:color w:val="000000"/>
          <w:lang w:val="ro-RO" w:eastAsia="ro-RO"/>
        </w:rPr>
        <w:t xml:space="preserve">care au înregistrat la finele anului 2017 </w:t>
      </w:r>
      <w:r w:rsidRPr="00601601">
        <w:rPr>
          <w:rFonts w:ascii="Calibri" w:hAnsi="Calibri" w:cs="Arial"/>
          <w:b/>
          <w:iCs/>
          <w:color w:val="1F4E79"/>
          <w:lang w:val="ro-RO" w:eastAsia="ro-RO"/>
        </w:rPr>
        <w:t>plăţi restante</w:t>
      </w:r>
      <w:r w:rsidRPr="00601601">
        <w:rPr>
          <w:rFonts w:ascii="Calibri" w:hAnsi="Calibri" w:cs="Arial"/>
          <w:iCs/>
          <w:color w:val="000000"/>
          <w:lang w:val="ro-RO" w:eastAsia="ro-RO"/>
        </w:rPr>
        <w:t xml:space="preserve"> în sumă totală de </w:t>
      </w:r>
      <w:r w:rsidRPr="00601601">
        <w:rPr>
          <w:rFonts w:ascii="Calibri" w:hAnsi="Calibri" w:cs="Arial"/>
          <w:b/>
          <w:iCs/>
          <w:color w:val="1F4E79"/>
          <w:lang w:val="ro-RO" w:eastAsia="ro-RO"/>
        </w:rPr>
        <w:t>8,47 mld. lei</w:t>
      </w:r>
      <w:r w:rsidRPr="00601601">
        <w:rPr>
          <w:rFonts w:ascii="Calibri" w:hAnsi="Calibri" w:cs="Arial"/>
          <w:iCs/>
          <w:color w:val="000000"/>
          <w:lang w:val="ro-RO" w:eastAsia="ro-RO"/>
        </w:rPr>
        <w:t xml:space="preserve"> şi </w:t>
      </w:r>
      <w:r w:rsidRPr="00601601">
        <w:rPr>
          <w:rFonts w:ascii="Calibri" w:hAnsi="Calibri" w:cs="Arial"/>
          <w:b/>
          <w:iCs/>
          <w:color w:val="1F4E79"/>
          <w:lang w:val="ro-RO" w:eastAsia="ro-RO"/>
        </w:rPr>
        <w:t>rezultat brut</w:t>
      </w:r>
      <w:r w:rsidRPr="00601601">
        <w:rPr>
          <w:rFonts w:ascii="Calibri" w:hAnsi="Calibri" w:cs="Arial"/>
          <w:iCs/>
          <w:color w:val="000000"/>
          <w:lang w:val="ro-RO" w:eastAsia="ro-RO"/>
        </w:rPr>
        <w:t xml:space="preserve"> în sumă totală de </w:t>
      </w:r>
      <w:r w:rsidRPr="00601601">
        <w:rPr>
          <w:rFonts w:ascii="Calibri" w:hAnsi="Calibri" w:cs="Arial"/>
          <w:b/>
          <w:iCs/>
          <w:color w:val="1F4E79"/>
          <w:lang w:val="ro-RO" w:eastAsia="ro-RO"/>
        </w:rPr>
        <w:t>0,32 mld. lei</w:t>
      </w:r>
      <w:r w:rsidRPr="00601601">
        <w:rPr>
          <w:rFonts w:ascii="Calibri" w:hAnsi="Calibri" w:cs="Arial"/>
          <w:b/>
          <w:iCs/>
          <w:color w:val="000000"/>
          <w:lang w:val="ro-RO" w:eastAsia="ro-RO"/>
        </w:rPr>
        <w:t>.</w:t>
      </w:r>
    </w:p>
    <w:p w:rsidR="00601601" w:rsidRPr="00601601" w:rsidRDefault="00601601" w:rsidP="00601601">
      <w:pPr>
        <w:jc w:val="both"/>
        <w:rPr>
          <w:rFonts w:ascii="Calibri" w:hAnsi="Calibri" w:cs="Arial"/>
          <w:iCs/>
          <w:color w:val="000000"/>
          <w:sz w:val="12"/>
          <w:lang w:val="ro-RO" w:eastAsia="ro-RO"/>
        </w:rPr>
      </w:pPr>
    </w:p>
    <w:p w:rsidR="00601601" w:rsidRPr="00601601" w:rsidRDefault="00601601" w:rsidP="00601601">
      <w:pPr>
        <w:jc w:val="both"/>
        <w:rPr>
          <w:rFonts w:ascii="Calibri" w:hAnsi="Calibri" w:cs="Arial"/>
          <w:iCs/>
          <w:color w:val="000000"/>
          <w:lang w:val="ro-RO" w:eastAsia="ro-RO"/>
        </w:rPr>
      </w:pPr>
      <w:r w:rsidRPr="00601601">
        <w:rPr>
          <w:rFonts w:ascii="Calibri" w:hAnsi="Calibri" w:cs="Arial"/>
          <w:iCs/>
          <w:color w:val="000000"/>
          <w:lang w:val="ro-RO" w:eastAsia="ro-RO"/>
        </w:rPr>
        <w:t xml:space="preserve">Din cele 1441 întreprinderi publice de </w:t>
      </w:r>
      <w:r w:rsidRPr="00601601">
        <w:rPr>
          <w:rFonts w:ascii="Calibri" w:hAnsi="Calibri" w:cs="Arial"/>
          <w:i/>
          <w:iCs/>
          <w:color w:val="000000"/>
          <w:lang w:val="ro-RO" w:eastAsia="ro-RO"/>
        </w:rPr>
        <w:t>subordonare locală</w:t>
      </w:r>
      <w:r w:rsidRPr="00601601">
        <w:rPr>
          <w:rFonts w:ascii="Calibri" w:hAnsi="Calibri" w:cs="Arial"/>
          <w:iCs/>
          <w:color w:val="000000"/>
          <w:lang w:val="ro-RO" w:eastAsia="ro-RO"/>
        </w:rPr>
        <w:t xml:space="preserve">, </w:t>
      </w:r>
      <w:r w:rsidRPr="00601601">
        <w:rPr>
          <w:rFonts w:ascii="Calibri" w:hAnsi="Calibri" w:cs="Arial"/>
          <w:b/>
          <w:iCs/>
          <w:color w:val="1F4E79"/>
          <w:lang w:val="ro-RO" w:eastAsia="ro-RO"/>
        </w:rPr>
        <w:t>plățile restante</w:t>
      </w:r>
      <w:r w:rsidRPr="00601601">
        <w:rPr>
          <w:rFonts w:ascii="Calibri" w:hAnsi="Calibri" w:cs="Arial"/>
          <w:iCs/>
          <w:color w:val="000000"/>
          <w:lang w:val="ro-RO" w:eastAsia="ro-RO"/>
        </w:rPr>
        <w:t xml:space="preserve"> în sumă de </w:t>
      </w:r>
      <w:r w:rsidRPr="00601601">
        <w:rPr>
          <w:rFonts w:ascii="Calibri" w:hAnsi="Calibri" w:cs="Arial"/>
          <w:b/>
          <w:iCs/>
          <w:color w:val="1F4E79"/>
          <w:lang w:val="ro-RO" w:eastAsia="ro-RO"/>
        </w:rPr>
        <w:t>1,15 mld. lei</w:t>
      </w:r>
      <w:r w:rsidRPr="00601601">
        <w:rPr>
          <w:rFonts w:ascii="Calibri" w:hAnsi="Calibri" w:cs="Arial"/>
          <w:iCs/>
          <w:color w:val="000000"/>
          <w:lang w:val="ro-RO" w:eastAsia="ro-RO"/>
        </w:rPr>
        <w:t xml:space="preserve"> a fost înregistrată de 1228 întreprinderi publice </w:t>
      </w:r>
      <w:r w:rsidRPr="00601601">
        <w:rPr>
          <w:rFonts w:ascii="Calibri" w:hAnsi="Calibri" w:cs="Arial"/>
          <w:i/>
          <w:iCs/>
          <w:color w:val="000000"/>
          <w:lang w:val="ro-RO" w:eastAsia="ro-RO"/>
        </w:rPr>
        <w:t>active</w:t>
      </w:r>
      <w:r w:rsidRPr="00601601">
        <w:rPr>
          <w:rFonts w:ascii="Calibri" w:hAnsi="Calibri" w:cs="Arial"/>
          <w:iCs/>
          <w:color w:val="000000"/>
          <w:lang w:val="ro-RO" w:eastAsia="ro-RO"/>
        </w:rPr>
        <w:t xml:space="preserve"> şi suma de </w:t>
      </w:r>
      <w:r w:rsidRPr="00601601">
        <w:rPr>
          <w:rFonts w:ascii="Calibri" w:hAnsi="Calibri" w:cs="Arial"/>
          <w:b/>
          <w:iCs/>
          <w:color w:val="1F4E79"/>
          <w:lang w:val="ro-RO" w:eastAsia="ro-RO"/>
        </w:rPr>
        <w:t>7,32 mld. lei</w:t>
      </w:r>
      <w:r w:rsidRPr="00601601">
        <w:rPr>
          <w:rFonts w:ascii="Calibri" w:hAnsi="Calibri" w:cs="Arial"/>
          <w:iCs/>
          <w:color w:val="000000"/>
          <w:lang w:val="ro-RO" w:eastAsia="ro-RO"/>
        </w:rPr>
        <w:t xml:space="preserve"> a fost înregistrată de 213 întreprinderi publice </w:t>
      </w:r>
      <w:r w:rsidRPr="00601601">
        <w:rPr>
          <w:rFonts w:ascii="Calibri" w:hAnsi="Calibri" w:cs="Arial"/>
          <w:i/>
          <w:iCs/>
          <w:color w:val="000000"/>
          <w:lang w:val="ro-RO" w:eastAsia="ro-RO"/>
        </w:rPr>
        <w:t>aflate în diverse stadii de insolvenţă, faliment, reorganizare judiciară, dizolvare, conform Legii 85/2014</w:t>
      </w:r>
      <w:r w:rsidRPr="00601601">
        <w:rPr>
          <w:rFonts w:ascii="Calibri" w:hAnsi="Calibri" w:cs="Arial"/>
          <w:iCs/>
          <w:color w:val="000000"/>
          <w:lang w:val="ro-RO" w:eastAsia="ro-RO"/>
        </w:rPr>
        <w:t>.</w:t>
      </w:r>
    </w:p>
    <w:p w:rsidR="00601601" w:rsidRPr="00601601" w:rsidRDefault="00601601" w:rsidP="00601601">
      <w:pPr>
        <w:ind w:firstLine="720"/>
        <w:jc w:val="both"/>
        <w:rPr>
          <w:rFonts w:ascii="Calibri" w:hAnsi="Calibri" w:cs="Arial"/>
          <w:sz w:val="8"/>
          <w:u w:val="single"/>
          <w:lang w:val="ro-RO"/>
        </w:rPr>
      </w:pPr>
    </w:p>
    <w:p w:rsidR="00601601" w:rsidRPr="00601601" w:rsidRDefault="00601601" w:rsidP="00601601">
      <w:pPr>
        <w:jc w:val="both"/>
        <w:rPr>
          <w:rFonts w:ascii="Calibri" w:hAnsi="Calibri" w:cs="Arial"/>
          <w:b/>
          <w:i/>
          <w:color w:val="1F4E79"/>
          <w:lang w:val="ro-RO"/>
        </w:rPr>
      </w:pPr>
      <w:r w:rsidRPr="00601601">
        <w:rPr>
          <w:rFonts w:ascii="Calibri" w:hAnsi="Calibri" w:cs="Arial"/>
          <w:b/>
          <w:i/>
          <w:color w:val="1F4E79"/>
          <w:lang w:val="ro-RO"/>
        </w:rPr>
        <w:t xml:space="preserve">Principalii indicatori economico-financiari raportați de </w:t>
      </w:r>
      <w:r w:rsidRPr="00601601">
        <w:rPr>
          <w:rFonts w:ascii="Calibri" w:hAnsi="Calibri" w:cs="Arial"/>
          <w:b/>
          <w:i/>
          <w:color w:val="1F4E79"/>
          <w:lang w:val="pt-PT"/>
        </w:rPr>
        <w:t xml:space="preserve">înreprinderile publice </w:t>
      </w:r>
      <w:r w:rsidRPr="00601601">
        <w:rPr>
          <w:rFonts w:ascii="Calibri" w:hAnsi="Calibri" w:cs="Arial"/>
          <w:b/>
          <w:i/>
          <w:color w:val="1F4E79"/>
          <w:lang w:val="ro-RO"/>
        </w:rPr>
        <w:t>financiare</w:t>
      </w:r>
    </w:p>
    <w:p w:rsidR="00601601" w:rsidRPr="00601601" w:rsidRDefault="00601601" w:rsidP="00601601">
      <w:pPr>
        <w:jc w:val="both"/>
        <w:rPr>
          <w:rFonts w:ascii="Calibri" w:hAnsi="Calibri" w:cs="Arial"/>
          <w:lang w:val="pt-PT"/>
        </w:rPr>
      </w:pPr>
      <w:r w:rsidRPr="00601601">
        <w:rPr>
          <w:rFonts w:ascii="Calibri" w:hAnsi="Calibri" w:cs="Arial"/>
          <w:lang w:val="ro-RO"/>
        </w:rPr>
        <w:t xml:space="preserve">Statul deține capital social în proporție majoritară sau integrală la 7 </w:t>
      </w:r>
      <w:r w:rsidRPr="00601601">
        <w:rPr>
          <w:rFonts w:ascii="Calibri" w:hAnsi="Calibri" w:cs="Arial"/>
          <w:lang w:val="pt-PT"/>
        </w:rPr>
        <w:t xml:space="preserve">înreprinderi publice </w:t>
      </w:r>
      <w:r w:rsidRPr="00601601">
        <w:rPr>
          <w:rFonts w:ascii="Calibri" w:hAnsi="Calibri" w:cs="Arial"/>
          <w:lang w:val="ro-RO"/>
        </w:rPr>
        <w:t>financiare.</w:t>
      </w:r>
    </w:p>
    <w:p w:rsidR="00601601" w:rsidRPr="00601601" w:rsidRDefault="00601601" w:rsidP="00601601">
      <w:pPr>
        <w:jc w:val="both"/>
        <w:rPr>
          <w:rFonts w:ascii="Calibri" w:hAnsi="Calibri" w:cs="Arial"/>
          <w:lang w:val="pt-PT"/>
        </w:rPr>
      </w:pPr>
      <w:r w:rsidRPr="00601601">
        <w:rPr>
          <w:rFonts w:ascii="Calibri" w:hAnsi="Calibri" w:cs="Arial"/>
          <w:b/>
          <w:color w:val="1F4E79"/>
          <w:lang w:val="ro-RO"/>
        </w:rPr>
        <w:t>1. Capitalul propriu</w:t>
      </w:r>
      <w:r w:rsidRPr="00601601">
        <w:rPr>
          <w:rFonts w:ascii="Calibri" w:hAnsi="Calibri" w:cs="Arial"/>
          <w:lang w:val="ro-RO"/>
        </w:rPr>
        <w:t xml:space="preserve"> al acestora a fost în sumă totală de </w:t>
      </w:r>
      <w:r w:rsidRPr="00601601">
        <w:rPr>
          <w:rFonts w:ascii="Calibri" w:hAnsi="Calibri" w:cs="Arial"/>
          <w:b/>
          <w:color w:val="1F4E79"/>
          <w:lang w:val="ro-RO"/>
        </w:rPr>
        <w:t>3,27 mld. le</w:t>
      </w:r>
      <w:r w:rsidRPr="00601601">
        <w:rPr>
          <w:rFonts w:ascii="Calibri" w:hAnsi="Calibri" w:cs="Arial"/>
          <w:color w:val="1F4E79"/>
          <w:u w:val="single"/>
          <w:lang w:val="ro-RO"/>
        </w:rPr>
        <w:t>i</w:t>
      </w:r>
      <w:r w:rsidRPr="00601601">
        <w:rPr>
          <w:rFonts w:ascii="Calibri" w:hAnsi="Calibri" w:cs="Arial"/>
          <w:lang w:val="ro-RO"/>
        </w:rPr>
        <w:t xml:space="preserve"> şi reprezintă </w:t>
      </w:r>
      <w:r w:rsidRPr="00601601">
        <w:rPr>
          <w:rFonts w:ascii="Calibri" w:hAnsi="Calibri" w:cs="Arial"/>
          <w:b/>
          <w:color w:val="1F4E79"/>
          <w:lang w:val="ro-RO"/>
        </w:rPr>
        <w:t>0,38 % din PIB</w:t>
      </w:r>
      <w:r w:rsidRPr="00601601">
        <w:rPr>
          <w:rFonts w:ascii="Calibri" w:hAnsi="Calibri" w:cs="Arial"/>
          <w:lang w:val="pt-PT"/>
        </w:rPr>
        <w:t>;</w:t>
      </w:r>
    </w:p>
    <w:p w:rsidR="00601601" w:rsidRPr="00601601" w:rsidRDefault="00601601" w:rsidP="00601601">
      <w:pPr>
        <w:jc w:val="both"/>
        <w:rPr>
          <w:rFonts w:ascii="Calibri" w:hAnsi="Calibri" w:cs="Arial"/>
          <w:u w:val="single"/>
          <w:lang w:val="ro-RO"/>
        </w:rPr>
      </w:pPr>
      <w:r w:rsidRPr="00601601">
        <w:rPr>
          <w:rFonts w:ascii="Calibri" w:hAnsi="Calibri" w:cs="Arial"/>
          <w:b/>
          <w:color w:val="1F4E79"/>
          <w:lang w:val="pt-PT"/>
        </w:rPr>
        <w:t xml:space="preserve">2. </w:t>
      </w:r>
      <w:r w:rsidRPr="00601601">
        <w:rPr>
          <w:rFonts w:ascii="Calibri" w:hAnsi="Calibri" w:cs="Arial"/>
          <w:b/>
          <w:color w:val="1F4E79"/>
          <w:lang w:val="ro-RO"/>
        </w:rPr>
        <w:t>Activele totale</w:t>
      </w:r>
      <w:r w:rsidRPr="00601601">
        <w:rPr>
          <w:rFonts w:ascii="Calibri" w:hAnsi="Calibri" w:cs="Arial"/>
          <w:lang w:val="ro-RO"/>
        </w:rPr>
        <w:t xml:space="preserve"> au fost în sumă totală de </w:t>
      </w:r>
      <w:r w:rsidRPr="00601601">
        <w:rPr>
          <w:rFonts w:ascii="Calibri" w:hAnsi="Calibri" w:cs="Arial"/>
          <w:b/>
          <w:color w:val="1F4E79"/>
          <w:lang w:val="ro-RO"/>
        </w:rPr>
        <w:t>39,06 mld. lei</w:t>
      </w:r>
      <w:r w:rsidRPr="00601601">
        <w:rPr>
          <w:rFonts w:ascii="Calibri" w:hAnsi="Calibri" w:cs="Arial"/>
          <w:lang w:val="ro-RO"/>
        </w:rPr>
        <w:t>.</w:t>
      </w:r>
    </w:p>
    <w:p w:rsidR="00601601" w:rsidRPr="00601601" w:rsidRDefault="00601601" w:rsidP="00601601">
      <w:pPr>
        <w:jc w:val="both"/>
        <w:rPr>
          <w:rFonts w:ascii="Calibri" w:hAnsi="Calibri" w:cs="Arial"/>
          <w:u w:val="single"/>
          <w:lang w:val="ro-RO"/>
        </w:rPr>
      </w:pPr>
      <w:r w:rsidRPr="00601601">
        <w:rPr>
          <w:rFonts w:ascii="Calibri" w:hAnsi="Calibri" w:cs="Arial"/>
          <w:b/>
          <w:color w:val="1F4E79"/>
          <w:lang w:val="ro-RO"/>
        </w:rPr>
        <w:t>3. Datoriile totale</w:t>
      </w:r>
      <w:r w:rsidRPr="00601601">
        <w:rPr>
          <w:rFonts w:ascii="Calibri" w:hAnsi="Calibri" w:cs="Arial"/>
          <w:lang w:val="ro-RO"/>
        </w:rPr>
        <w:t xml:space="preserve"> (sume ce trebuie plătite într-o perioadă de până la 1 an și peste 1 an) au fost în sumă toală de </w:t>
      </w:r>
      <w:r w:rsidRPr="00601601">
        <w:rPr>
          <w:rFonts w:ascii="Calibri" w:hAnsi="Calibri" w:cs="Arial"/>
          <w:b/>
          <w:color w:val="1F4E79"/>
          <w:lang w:val="ro-RO"/>
        </w:rPr>
        <w:t>33,97 mld. lei</w:t>
      </w:r>
      <w:r w:rsidRPr="00601601">
        <w:rPr>
          <w:rFonts w:ascii="Calibri" w:hAnsi="Calibri" w:cs="Arial"/>
          <w:lang w:val="ro-RO"/>
        </w:rPr>
        <w:t>.</w:t>
      </w:r>
    </w:p>
    <w:p w:rsidR="00601601" w:rsidRPr="00601601" w:rsidRDefault="00601601" w:rsidP="00601601">
      <w:pPr>
        <w:jc w:val="both"/>
        <w:rPr>
          <w:rFonts w:ascii="Calibri" w:hAnsi="Calibri" w:cs="Arial"/>
          <w:u w:val="single"/>
          <w:lang w:val="ro-RO"/>
        </w:rPr>
      </w:pPr>
      <w:r w:rsidRPr="00601601">
        <w:rPr>
          <w:rFonts w:ascii="Calibri" w:hAnsi="Calibri" w:cs="Arial"/>
          <w:b/>
          <w:color w:val="1F4E79"/>
          <w:lang w:val="ro-RO"/>
        </w:rPr>
        <w:t>4. Gradul de îndatorare</w:t>
      </w:r>
      <w:r w:rsidRPr="00601601">
        <w:rPr>
          <w:rFonts w:ascii="Calibri" w:hAnsi="Calibri" w:cs="Arial"/>
          <w:lang w:val="ro-RO"/>
        </w:rPr>
        <w:t xml:space="preserve"> calculat conform formulei (Total Datorii /Total Active) a fost de </w:t>
      </w:r>
      <w:r w:rsidRPr="00601601">
        <w:rPr>
          <w:rFonts w:ascii="Calibri" w:hAnsi="Calibri" w:cs="Arial"/>
          <w:b/>
          <w:color w:val="1F4E79"/>
          <w:lang w:val="ro-RO"/>
        </w:rPr>
        <w:t>86,96 %.</w:t>
      </w:r>
    </w:p>
    <w:p w:rsidR="00601601" w:rsidRPr="00601601" w:rsidRDefault="00601601" w:rsidP="00601601">
      <w:pPr>
        <w:jc w:val="both"/>
        <w:rPr>
          <w:rFonts w:ascii="Calibri" w:hAnsi="Calibri" w:cs="Arial"/>
          <w:lang w:val="pt-PT"/>
        </w:rPr>
      </w:pPr>
      <w:r w:rsidRPr="00601601">
        <w:rPr>
          <w:rFonts w:ascii="Calibri" w:hAnsi="Calibri" w:cs="Arial"/>
          <w:b/>
          <w:color w:val="1F4E79"/>
          <w:lang w:val="ro-RO"/>
        </w:rPr>
        <w:t>5.</w:t>
      </w:r>
      <w:r w:rsidRPr="00601601">
        <w:rPr>
          <w:rFonts w:ascii="Calibri" w:hAnsi="Calibri" w:cs="Arial"/>
          <w:color w:val="1F4E79"/>
          <w:lang w:val="ro-RO"/>
        </w:rPr>
        <w:t xml:space="preserve"> P</w:t>
      </w:r>
      <w:r w:rsidRPr="00601601">
        <w:rPr>
          <w:rFonts w:ascii="Calibri" w:hAnsi="Calibri" w:cs="Arial"/>
          <w:b/>
          <w:color w:val="1F4E79"/>
          <w:lang w:val="ro-RO"/>
        </w:rPr>
        <w:t>rofitulbrut</w:t>
      </w:r>
      <w:r w:rsidRPr="00601601">
        <w:rPr>
          <w:rFonts w:ascii="Calibri" w:hAnsi="Calibri" w:cs="Arial"/>
          <w:lang w:val="ro-RO"/>
        </w:rPr>
        <w:t xml:space="preserve"> a fost în sumă totală de </w:t>
      </w:r>
      <w:r w:rsidRPr="00601601">
        <w:rPr>
          <w:rFonts w:ascii="Calibri" w:hAnsi="Calibri" w:cs="Arial"/>
          <w:b/>
          <w:color w:val="1F4E79"/>
          <w:lang w:val="ro-RO"/>
        </w:rPr>
        <w:t>0,26 mld. lei</w:t>
      </w:r>
      <w:r w:rsidRPr="00601601">
        <w:rPr>
          <w:rFonts w:ascii="Calibri" w:hAnsi="Calibri" w:cs="Arial"/>
          <w:lang w:val="ro-RO"/>
        </w:rPr>
        <w:t xml:space="preserve"> şi reprezintă </w:t>
      </w:r>
      <w:r w:rsidRPr="00601601">
        <w:rPr>
          <w:rFonts w:ascii="Calibri" w:hAnsi="Calibri" w:cs="Arial"/>
          <w:color w:val="1F4E79"/>
          <w:lang w:val="ro-RO"/>
        </w:rPr>
        <w:t>0,03%</w:t>
      </w:r>
      <w:r w:rsidRPr="00601601">
        <w:rPr>
          <w:rFonts w:ascii="Calibri" w:hAnsi="Calibri" w:cs="Arial"/>
          <w:lang w:val="ro-RO"/>
        </w:rPr>
        <w:t xml:space="preserve"> din PIB</w:t>
      </w:r>
      <w:r w:rsidRPr="00601601">
        <w:rPr>
          <w:rFonts w:ascii="Calibri" w:hAnsi="Calibri" w:cs="Arial"/>
          <w:lang w:val="pt-PT"/>
        </w:rPr>
        <w:t>;</w:t>
      </w:r>
    </w:p>
    <w:p w:rsidR="00601601" w:rsidRPr="00601601" w:rsidRDefault="00601601" w:rsidP="00601601">
      <w:pPr>
        <w:jc w:val="both"/>
        <w:rPr>
          <w:rFonts w:ascii="Calibri" w:hAnsi="Calibri" w:cs="Arial"/>
          <w:color w:val="000000"/>
          <w:u w:val="single"/>
          <w:lang w:val="ro-RO" w:eastAsia="ro-RO"/>
        </w:rPr>
      </w:pPr>
      <w:r w:rsidRPr="00601601">
        <w:rPr>
          <w:rFonts w:ascii="Calibri" w:hAnsi="Calibri" w:cs="Arial"/>
          <w:b/>
          <w:bCs/>
          <w:color w:val="1F4E79"/>
          <w:lang w:val="ro-RO" w:eastAsia="ro-RO"/>
        </w:rPr>
        <w:t>6. Valoarea participațiilor statului</w:t>
      </w:r>
      <w:r w:rsidRPr="00601601">
        <w:rPr>
          <w:rFonts w:ascii="Calibri" w:hAnsi="Calibri" w:cs="Arial"/>
          <w:color w:val="000000"/>
          <w:lang w:val="ro-RO" w:eastAsia="ro-RO"/>
        </w:rPr>
        <w:t xml:space="preserve">a fost în sumă totală de </w:t>
      </w:r>
      <w:r w:rsidRPr="00601601">
        <w:rPr>
          <w:rFonts w:ascii="Calibri" w:hAnsi="Calibri" w:cs="Arial"/>
          <w:b/>
          <w:color w:val="1F4E79"/>
          <w:lang w:val="ro-RO" w:eastAsia="ro-RO"/>
        </w:rPr>
        <w:t>2,96 mld. lei</w:t>
      </w:r>
      <w:r w:rsidRPr="00601601">
        <w:rPr>
          <w:rFonts w:ascii="Calibri" w:hAnsi="Calibri" w:cs="Arial"/>
          <w:color w:val="000000"/>
          <w:lang w:val="ro-RO" w:eastAsia="ro-RO"/>
        </w:rPr>
        <w:t xml:space="preserve"> din care </w:t>
      </w:r>
      <w:r w:rsidRPr="00601601">
        <w:rPr>
          <w:rFonts w:ascii="Calibri" w:hAnsi="Calibri" w:cs="Arial"/>
          <w:i/>
          <w:color w:val="1F4E79"/>
          <w:lang w:val="ro-RO" w:eastAsia="ro-RO"/>
        </w:rPr>
        <w:t>participațiile directe</w:t>
      </w:r>
      <w:r w:rsidRPr="00601601">
        <w:rPr>
          <w:rFonts w:ascii="Calibri" w:hAnsi="Calibri" w:cs="Arial"/>
          <w:color w:val="000000"/>
          <w:lang w:val="ro-RO" w:eastAsia="ro-RO"/>
        </w:rPr>
        <w:t xml:space="preserve"> au fost în sumă de </w:t>
      </w:r>
      <w:r w:rsidRPr="00601601">
        <w:rPr>
          <w:rFonts w:ascii="Calibri" w:hAnsi="Calibri" w:cs="Arial"/>
          <w:b/>
          <w:color w:val="1F4E79"/>
          <w:lang w:val="ro-RO" w:eastAsia="ro-RO"/>
        </w:rPr>
        <w:t>2,88 mld. lei</w:t>
      </w:r>
      <w:r w:rsidRPr="00601601">
        <w:rPr>
          <w:rFonts w:ascii="Calibri" w:hAnsi="Calibri" w:cs="Arial"/>
          <w:color w:val="000000"/>
          <w:lang w:val="ro-RO" w:eastAsia="ro-RO"/>
        </w:rPr>
        <w:t xml:space="preserve"> și </w:t>
      </w:r>
      <w:r w:rsidRPr="00601601">
        <w:rPr>
          <w:rFonts w:ascii="Calibri" w:hAnsi="Calibri" w:cs="Arial"/>
          <w:b/>
          <w:i/>
          <w:color w:val="1F4E79"/>
          <w:lang w:val="ro-RO" w:eastAsia="ro-RO"/>
        </w:rPr>
        <w:t>participațiile indirecte</w:t>
      </w:r>
      <w:r w:rsidRPr="00601601">
        <w:rPr>
          <w:rFonts w:ascii="Calibri" w:hAnsi="Calibri" w:cs="Arial"/>
          <w:color w:val="000000"/>
          <w:lang w:val="ro-RO" w:eastAsia="ro-RO"/>
        </w:rPr>
        <w:t xml:space="preserve"> au fost în sumă de </w:t>
      </w:r>
      <w:r w:rsidRPr="00601601">
        <w:rPr>
          <w:rFonts w:ascii="Calibri" w:hAnsi="Calibri" w:cs="Arial"/>
          <w:b/>
          <w:color w:val="1F4E79"/>
          <w:lang w:val="ro-RO" w:eastAsia="ro-RO"/>
        </w:rPr>
        <w:t>0,08 mld. lei</w:t>
      </w:r>
      <w:r w:rsidRPr="00601601">
        <w:rPr>
          <w:rFonts w:ascii="Calibri" w:hAnsi="Calibri" w:cs="Arial"/>
          <w:color w:val="000000"/>
          <w:lang w:val="ro-RO" w:eastAsia="ro-RO"/>
        </w:rPr>
        <w:t>;</w:t>
      </w:r>
    </w:p>
    <w:p w:rsidR="00F05408" w:rsidRPr="00F05408" w:rsidRDefault="00601601" w:rsidP="009C4AAB">
      <w:pPr>
        <w:autoSpaceDE w:val="0"/>
        <w:spacing w:after="240"/>
        <w:jc w:val="both"/>
        <w:rPr>
          <w:rFonts w:ascii="Calibri" w:hAnsi="Calibri" w:cs="Arial"/>
          <w:b/>
          <w:iCs/>
          <w:color w:val="000000"/>
          <w:lang w:val="ro-RO"/>
        </w:rPr>
      </w:pPr>
      <w:r w:rsidRPr="003964D3">
        <w:rPr>
          <w:rFonts w:ascii="Calibri" w:hAnsi="Calibri" w:cs="Arial"/>
          <w:b/>
          <w:color w:val="1F4E79"/>
          <w:lang w:val="fr-FR"/>
        </w:rPr>
        <w:t>PIB-ul</w:t>
      </w:r>
      <w:r w:rsidRPr="003964D3">
        <w:rPr>
          <w:rFonts w:ascii="Calibri" w:hAnsi="Calibri" w:cs="Arial"/>
          <w:lang w:val="fr-FR"/>
        </w:rPr>
        <w:t xml:space="preserve"> folosit este de </w:t>
      </w:r>
      <w:r w:rsidRPr="003964D3">
        <w:rPr>
          <w:rFonts w:ascii="Calibri" w:hAnsi="Calibri" w:cs="Arial"/>
          <w:b/>
          <w:color w:val="1F4E79"/>
          <w:lang w:val="fr-FR"/>
        </w:rPr>
        <w:t>858,7 mld. lei</w:t>
      </w:r>
      <w:r w:rsidRPr="003964D3">
        <w:rPr>
          <w:rFonts w:ascii="Calibri" w:hAnsi="Calibri" w:cs="Arial"/>
          <w:lang w:val="fr-FR"/>
        </w:rPr>
        <w:t xml:space="preserve"> (potrivit proiecției principalilor indicatori macroeconomici 2018-2022 prognoza intermediară de vară 2018 – sursa Comisia Națională de Strategie și Prognoză.</w:t>
      </w: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05408" w:rsidRPr="00AC4302" w:rsidTr="00F05408">
        <w:trPr>
          <w:trHeight w:val="397"/>
        </w:trPr>
        <w:tc>
          <w:tcPr>
            <w:tcW w:w="9831" w:type="dxa"/>
            <w:shd w:val="clear" w:color="auto" w:fill="4F81BD"/>
            <w:vAlign w:val="center"/>
          </w:tcPr>
          <w:p w:rsidR="00F05408" w:rsidRPr="00F05408" w:rsidRDefault="00F05408" w:rsidP="00F05408">
            <w:pPr>
              <w:rPr>
                <w:rFonts w:ascii="Arial Narrow" w:hAnsi="Arial Narrow"/>
                <w:b/>
                <w:i/>
                <w:color w:val="FFFFFF" w:themeColor="background1"/>
                <w:lang w:val="ro-RO"/>
              </w:rPr>
            </w:pPr>
            <w:r w:rsidRPr="00F05408">
              <w:rPr>
                <w:rFonts w:ascii="Arial Narrow" w:hAnsi="Arial Narrow"/>
                <w:b/>
                <w:i/>
                <w:color w:val="FFFFFF" w:themeColor="background1"/>
                <w:lang w:val="ro-RO"/>
              </w:rPr>
              <w:t xml:space="preserve"> Riscuri generate de situații de urgență (dezastre naturale, accidente)</w:t>
            </w:r>
          </w:p>
          <w:p w:rsidR="00F05408" w:rsidRPr="00F05408" w:rsidRDefault="00F05408" w:rsidP="00F05408">
            <w:pPr>
              <w:rPr>
                <w:rFonts w:ascii="Arial Narrow" w:hAnsi="Arial Narrow"/>
                <w:b/>
                <w:i/>
                <w:color w:val="FFFFFF" w:themeColor="background1"/>
                <w:sz w:val="8"/>
                <w:lang w:val="ro-RO"/>
              </w:rPr>
            </w:pPr>
          </w:p>
        </w:tc>
      </w:tr>
    </w:tbl>
    <w:p w:rsidR="00F05408" w:rsidRPr="00F05408" w:rsidRDefault="00F05408" w:rsidP="00F05408">
      <w:pPr>
        <w:rPr>
          <w:rFonts w:ascii="Calibri" w:hAnsi="Calibri"/>
          <w:sz w:val="18"/>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F05408" w:rsidRPr="00F05408" w:rsidTr="00F05408">
        <w:trPr>
          <w:trHeight w:val="397"/>
        </w:trPr>
        <w:tc>
          <w:tcPr>
            <w:tcW w:w="9831" w:type="dxa"/>
            <w:shd w:val="clear" w:color="auto" w:fill="DBE5F1"/>
          </w:tcPr>
          <w:p w:rsidR="00F05408" w:rsidRPr="00F05408" w:rsidRDefault="00F05408" w:rsidP="00F05408">
            <w:pPr>
              <w:rPr>
                <w:rFonts w:ascii="Calibri" w:hAnsi="Calibri"/>
                <w:b/>
                <w:i/>
                <w:color w:val="365F91"/>
                <w:sz w:val="6"/>
                <w:lang w:val="ro-RO"/>
              </w:rPr>
            </w:pPr>
          </w:p>
          <w:p w:rsidR="00F05408" w:rsidRPr="00F05408" w:rsidRDefault="00F05408" w:rsidP="00F05408">
            <w:pPr>
              <w:rPr>
                <w:rFonts w:ascii="Calibri" w:hAnsi="Calibri"/>
                <w:b/>
                <w:i/>
                <w:color w:val="365F91"/>
                <w:lang w:val="ro-RO"/>
              </w:rPr>
            </w:pPr>
            <w:r w:rsidRPr="00F05408">
              <w:rPr>
                <w:rFonts w:ascii="Calibri" w:hAnsi="Calibri"/>
                <w:b/>
                <w:i/>
                <w:color w:val="365F91"/>
                <w:lang w:val="ro-RO"/>
              </w:rPr>
              <w:t>Sistemul de gestionare a riscurilor generate de situații de urgență din România</w:t>
            </w:r>
          </w:p>
          <w:p w:rsidR="00F05408" w:rsidRPr="00F05408" w:rsidRDefault="00F05408" w:rsidP="00F05408">
            <w:pPr>
              <w:rPr>
                <w:rFonts w:ascii="Calibri" w:hAnsi="Calibri"/>
                <w:b/>
                <w:i/>
                <w:color w:val="365F91"/>
                <w:sz w:val="8"/>
                <w:lang w:val="ro-RO"/>
              </w:rPr>
            </w:pPr>
          </w:p>
        </w:tc>
      </w:tr>
    </w:tbl>
    <w:p w:rsidR="00F05408" w:rsidRPr="00F05408" w:rsidRDefault="00F05408" w:rsidP="00F05408">
      <w:pPr>
        <w:rPr>
          <w:sz w:val="12"/>
          <w:lang w:val="ro-RO"/>
        </w:rPr>
      </w:pP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 xml:space="preserve">În România, </w:t>
      </w:r>
      <w:r w:rsidRPr="00F05408">
        <w:rPr>
          <w:rFonts w:ascii="Calibri" w:hAnsi="Calibri"/>
          <w:b/>
          <w:i/>
          <w:color w:val="365F91"/>
          <w:lang w:val="ro-RO"/>
        </w:rPr>
        <w:t>sistemul de gestionare a riscurilor</w:t>
      </w:r>
      <w:r w:rsidRPr="00F05408">
        <w:rPr>
          <w:rFonts w:ascii="Calibri" w:hAnsi="Calibri"/>
          <w:color w:val="222222"/>
          <w:vertAlign w:val="superscript"/>
          <w:lang w:val="ro-RO"/>
        </w:rPr>
        <w:footnoteReference w:id="54"/>
      </w:r>
      <w:r w:rsidRPr="00F05408">
        <w:rPr>
          <w:rFonts w:ascii="Calibri" w:hAnsi="Calibri"/>
          <w:color w:val="222222"/>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w:t>
      </w:r>
      <w:r w:rsidRPr="00F05408">
        <w:rPr>
          <w:rFonts w:ascii="Calibri" w:hAnsi="Calibri"/>
          <w:i/>
          <w:color w:val="365F91"/>
          <w:lang w:val="ro-RO"/>
        </w:rPr>
        <w:t>sistem european de prevenire a riscurilor</w:t>
      </w:r>
      <w:r w:rsidRPr="00F05408">
        <w:rPr>
          <w:rFonts w:ascii="Calibri" w:hAnsi="Calibri"/>
          <w:color w:val="222222"/>
          <w:lang w:val="ro-RO"/>
        </w:rPr>
        <w:t>, având în vedere caracterul transfrontalier al riscurilor contemporane.</w:t>
      </w:r>
    </w:p>
    <w:p w:rsidR="00F05408" w:rsidRPr="00F05408" w:rsidRDefault="00F05408" w:rsidP="00F05408">
      <w:pPr>
        <w:jc w:val="both"/>
        <w:rPr>
          <w:rFonts w:ascii="Calibri" w:hAnsi="Calibri"/>
          <w:color w:val="222222"/>
          <w:sz w:val="10"/>
          <w:lang w:val="ro-RO"/>
        </w:rPr>
      </w:pP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 xml:space="preserve">Ministerul Afacerilor Interne </w:t>
      </w:r>
      <w:r w:rsidRPr="00F05408">
        <w:rPr>
          <w:rFonts w:ascii="Calibri" w:hAnsi="Calibri"/>
          <w:b/>
          <w:i/>
          <w:color w:val="365F91"/>
          <w:lang w:val="ro-RO"/>
        </w:rPr>
        <w:t xml:space="preserve">elaborează </w:t>
      </w:r>
      <w:r w:rsidRPr="00F05408">
        <w:rPr>
          <w:rFonts w:ascii="Calibri" w:hAnsi="Calibri"/>
          <w:b/>
          <w:i/>
          <w:color w:val="1F4E79" w:themeColor="accent1" w:themeShade="80"/>
          <w:lang w:val="ro-RO"/>
        </w:rPr>
        <w:t>principalele politici publice cu privire la situațiile de urgență</w:t>
      </w:r>
      <w:r w:rsidRPr="00F05408">
        <w:rPr>
          <w:rFonts w:ascii="Calibri" w:hAnsi="Calibri"/>
          <w:color w:val="222222"/>
          <w:lang w:val="ro-RO"/>
        </w:rPr>
        <w:t xml:space="preserve">, precum și </w:t>
      </w:r>
      <w:r w:rsidRPr="00F05408">
        <w:rPr>
          <w:rFonts w:ascii="Calibri" w:hAnsi="Calibri"/>
          <w:b/>
          <w:i/>
          <w:color w:val="365F91"/>
          <w:lang w:val="ro-RO"/>
        </w:rPr>
        <w:t>centralizarea evaluării</w:t>
      </w:r>
      <w:r w:rsidRPr="00F05408">
        <w:rPr>
          <w:rFonts w:ascii="Calibri" w:hAnsi="Calibri"/>
          <w:color w:val="222222"/>
          <w:lang w:val="ro-RO"/>
        </w:rPr>
        <w:t>și</w:t>
      </w:r>
      <w:r w:rsidRPr="00F05408">
        <w:rPr>
          <w:rFonts w:ascii="Calibri" w:hAnsi="Calibri"/>
          <w:b/>
          <w:i/>
          <w:color w:val="365F91"/>
          <w:lang w:val="ro-RO"/>
        </w:rPr>
        <w:t>a gestionarii riscuriloral căror management se află sub responsabilitatea ministerelor de resort</w:t>
      </w:r>
      <w:r w:rsidRPr="00F05408">
        <w:rPr>
          <w:rFonts w:ascii="Calibri" w:hAnsi="Calibri"/>
          <w:color w:val="222222"/>
          <w:lang w:val="ro-RO"/>
        </w:rPr>
        <w:t xml:space="preserve">. Câteva dintre ministerele  de resort ce trebuie  să îndeplinească funcții de sprijin în managementul situațiilor de urgență sunt: </w:t>
      </w:r>
      <w:r w:rsidRPr="00F05408">
        <w:rPr>
          <w:rFonts w:ascii="Calibri" w:hAnsi="Calibri"/>
          <w:color w:val="365F91"/>
          <w:lang w:val="ro-RO"/>
        </w:rPr>
        <w:t>Ministerul Dezvoltării Regionale și Administrației Publice</w:t>
      </w:r>
      <w:r w:rsidRPr="00F05408">
        <w:rPr>
          <w:rFonts w:ascii="Calibri" w:hAnsi="Calibri"/>
          <w:color w:val="222222"/>
          <w:lang w:val="ro-RO"/>
        </w:rPr>
        <w:t xml:space="preserve">, </w:t>
      </w:r>
      <w:r w:rsidRPr="00F05408">
        <w:rPr>
          <w:rFonts w:ascii="Calibri" w:hAnsi="Calibri"/>
          <w:color w:val="365F91"/>
          <w:lang w:val="ro-RO"/>
        </w:rPr>
        <w:t>Ministerul Mediului</w:t>
      </w:r>
      <w:r w:rsidRPr="00F05408">
        <w:rPr>
          <w:rFonts w:ascii="Calibri" w:hAnsi="Calibri"/>
          <w:color w:val="222222"/>
          <w:lang w:val="ro-RO"/>
        </w:rPr>
        <w:t xml:space="preserve">, </w:t>
      </w:r>
      <w:r w:rsidRPr="00F05408">
        <w:rPr>
          <w:rFonts w:ascii="Calibri" w:hAnsi="Calibri"/>
          <w:color w:val="365F91"/>
          <w:lang w:val="ro-RO"/>
        </w:rPr>
        <w:t>Ministerul Agriculturii și Dezvoltării Rurale</w:t>
      </w:r>
      <w:r w:rsidRPr="00F05408">
        <w:rPr>
          <w:rFonts w:ascii="Calibri" w:hAnsi="Calibri"/>
          <w:color w:val="222222"/>
          <w:lang w:val="ro-RO"/>
        </w:rPr>
        <w:t xml:space="preserve">, </w:t>
      </w:r>
      <w:r w:rsidRPr="00F05408">
        <w:rPr>
          <w:rFonts w:ascii="Calibri" w:hAnsi="Calibri"/>
          <w:color w:val="365F91"/>
          <w:lang w:val="ro-RO"/>
        </w:rPr>
        <w:t>Ministerul Sănătății</w:t>
      </w:r>
      <w:r w:rsidRPr="00F05408">
        <w:rPr>
          <w:rFonts w:ascii="Calibri" w:hAnsi="Calibri"/>
          <w:color w:val="222222"/>
          <w:lang w:val="ro-RO"/>
        </w:rPr>
        <w:t xml:space="preserve">, </w:t>
      </w:r>
      <w:r w:rsidRPr="00F05408">
        <w:rPr>
          <w:rFonts w:ascii="Calibri" w:hAnsi="Calibri"/>
          <w:color w:val="365F91"/>
          <w:lang w:val="ro-RO"/>
        </w:rPr>
        <w:t>Ministerul Economiei</w:t>
      </w:r>
      <w:r w:rsidRPr="00F05408">
        <w:rPr>
          <w:rFonts w:ascii="Calibri" w:hAnsi="Calibri"/>
          <w:color w:val="222222"/>
          <w:lang w:val="ro-RO"/>
        </w:rPr>
        <w:t>.</w:t>
      </w:r>
    </w:p>
    <w:p w:rsidR="00F05408" w:rsidRPr="00F05408" w:rsidRDefault="00F05408" w:rsidP="00F05408">
      <w:pPr>
        <w:jc w:val="both"/>
        <w:rPr>
          <w:rFonts w:ascii="Calibri" w:hAnsi="Calibri"/>
          <w:color w:val="222222"/>
          <w:sz w:val="8"/>
          <w:lang w:val="ro-RO"/>
        </w:rPr>
      </w:pP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Piesa principală a legislației ce reglementează domeniul situațiilor de urgență este Ordonanța de urgență a Guvernului nr. 21/2004 privind Sistemul Național de Management pentru Situații de Urgență, modificată și completată prin Ordonanța de urgență a Guvernului nr. 1/2014 privind unele măsuri în domeniul gestionării situațiilor de urgență. În completarea cadrului legislativ, a fost adoptată Hotărârea de Guvern (G.D.) nr. 557/2016 privind managementul tipurilor de risc. Conform acestor acte normative, instituțiile au definit obligația de a întocmi planuri sectoriale pentru a oferi baza gestionării specifice situațiilor de urgență. Coordonarea întregului proces este asigurată de Comitetul Național pentru Situații de Urgență Speciale (CNSUS).</w:t>
      </w:r>
    </w:p>
    <w:p w:rsidR="00F05408" w:rsidRPr="003964D3" w:rsidRDefault="00F05408" w:rsidP="00F05408">
      <w:pPr>
        <w:jc w:val="both"/>
        <w:rPr>
          <w:rFonts w:ascii="Calibri" w:hAnsi="Calibri"/>
          <w:color w:val="222222"/>
          <w:sz w:val="12"/>
          <w:lang w:val="fr-FR"/>
        </w:rPr>
      </w:pPr>
    </w:p>
    <w:p w:rsidR="00F05408" w:rsidRPr="003964D3" w:rsidRDefault="00F05408" w:rsidP="00F05408">
      <w:pPr>
        <w:jc w:val="both"/>
        <w:rPr>
          <w:rFonts w:ascii="Calibri" w:hAnsi="Calibri"/>
          <w:color w:val="222222"/>
          <w:lang w:val="fr-FR"/>
        </w:rPr>
      </w:pPr>
      <w:r w:rsidRPr="003964D3">
        <w:rPr>
          <w:rFonts w:ascii="Calibri" w:hAnsi="Calibri"/>
          <w:color w:val="222222"/>
          <w:lang w:val="fr-FR"/>
        </w:rPr>
        <w:t xml:space="preserve">În conformitate cu reglementările în vigoare, există o serie de riscuri recunoscute de legislația românească care sunt luate în considerare ca fiind probabile să aibă loc pe teritoriul României. </w:t>
      </w:r>
    </w:p>
    <w:p w:rsidR="00F05408" w:rsidRPr="003964D3" w:rsidRDefault="00F05408" w:rsidP="00F05408">
      <w:pPr>
        <w:jc w:val="both"/>
        <w:rPr>
          <w:rFonts w:ascii="Calibri" w:hAnsi="Calibri"/>
          <w:color w:val="222222"/>
          <w:sz w:val="10"/>
          <w:lang w:val="fr-FR"/>
        </w:rPr>
      </w:pPr>
    </w:p>
    <w:p w:rsidR="00F05408" w:rsidRPr="003964D3" w:rsidRDefault="00F05408" w:rsidP="00F05408">
      <w:pPr>
        <w:jc w:val="both"/>
        <w:rPr>
          <w:rFonts w:ascii="Calibri" w:hAnsi="Calibri"/>
          <w:color w:val="222222"/>
          <w:lang w:val="fr-FR"/>
        </w:rPr>
      </w:pPr>
      <w:r w:rsidRPr="003964D3">
        <w:rPr>
          <w:rFonts w:ascii="Calibri" w:hAnsi="Calibri"/>
          <w:color w:val="222222"/>
          <w:lang w:val="fr-FR"/>
        </w:rPr>
        <w:t>Un număr de 10 tipuri de hazarduri au fost selectate pe baze științifice din această listă pentru a fi supuse unei evaluări. Evaluările s-au bazat pe date istorice cu privire la impactul fiecărui risc, precum și pe diferite evaluări elaborate la nivelul instituțiilor relevante.</w:t>
      </w:r>
    </w:p>
    <w:p w:rsidR="00F05408" w:rsidRPr="003964D3" w:rsidRDefault="00F05408" w:rsidP="00F05408">
      <w:pPr>
        <w:jc w:val="both"/>
        <w:rPr>
          <w:rFonts w:ascii="Calibri" w:hAnsi="Calibri"/>
          <w:color w:val="222222"/>
          <w:sz w:val="10"/>
          <w:lang w:val="fr-FR"/>
        </w:rPr>
      </w:pPr>
    </w:p>
    <w:p w:rsidR="00F05408" w:rsidRPr="003964D3" w:rsidRDefault="00F05408" w:rsidP="00F05408">
      <w:pPr>
        <w:jc w:val="both"/>
        <w:rPr>
          <w:rFonts w:ascii="Calibri" w:hAnsi="Calibri"/>
          <w:color w:val="222222"/>
          <w:lang w:val="fr-FR"/>
        </w:rPr>
      </w:pPr>
      <w:r w:rsidRPr="003964D3">
        <w:rPr>
          <w:rFonts w:ascii="Calibri" w:hAnsi="Calibri"/>
          <w:color w:val="222222"/>
          <w:lang w:val="fr-FR"/>
        </w:rPr>
        <w:t>În tabelul de mai jos sunt prezentate cele 10 tipuri de hazarduri selectate în urma evaluărilor.</w:t>
      </w:r>
    </w:p>
    <w:p w:rsidR="00F05408" w:rsidRPr="003964D3" w:rsidRDefault="00F05408" w:rsidP="00F05408">
      <w:pPr>
        <w:jc w:val="both"/>
        <w:rPr>
          <w:rFonts w:ascii="Calibri" w:hAnsi="Calibri"/>
          <w:color w:val="222222"/>
          <w:lang w:val="fr-FR"/>
        </w:rPr>
      </w:pPr>
    </w:p>
    <w:p w:rsidR="00F05408" w:rsidRPr="00F05408" w:rsidRDefault="00F05408" w:rsidP="002C142C">
      <w:pPr>
        <w:jc w:val="center"/>
        <w:rPr>
          <w:b/>
          <w:i/>
          <w:color w:val="365F91"/>
          <w:sz w:val="22"/>
        </w:rPr>
      </w:pPr>
      <w:r w:rsidRPr="00F05408">
        <w:rPr>
          <w:b/>
          <w:i/>
          <w:color w:val="365F91"/>
          <w:sz w:val="22"/>
        </w:rPr>
        <w:t>Tabel  - Caracteristici privind riscurile generate de situații de urgență, selectate pentru România</w:t>
      </w:r>
    </w:p>
    <w:tbl>
      <w:tblPr>
        <w:tblStyle w:val="TableGrid"/>
        <w:tblW w:w="9211" w:type="dxa"/>
        <w:jc w:val="center"/>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ayout w:type="fixed"/>
        <w:tblLook w:val="04A0" w:firstRow="1" w:lastRow="0" w:firstColumn="1" w:lastColumn="0" w:noHBand="0" w:noVBand="1"/>
      </w:tblPr>
      <w:tblGrid>
        <w:gridCol w:w="2978"/>
        <w:gridCol w:w="1134"/>
        <w:gridCol w:w="847"/>
        <w:gridCol w:w="1392"/>
        <w:gridCol w:w="734"/>
        <w:gridCol w:w="1559"/>
        <w:gridCol w:w="567"/>
      </w:tblGrid>
      <w:tr w:rsidR="00F05408" w:rsidRPr="00F05408" w:rsidTr="00F05408">
        <w:trPr>
          <w:trHeight w:val="490"/>
          <w:jc w:val="center"/>
        </w:trPr>
        <w:tc>
          <w:tcPr>
            <w:tcW w:w="2978" w:type="dxa"/>
            <w:vMerge w:val="restart"/>
            <w:tcBorders>
              <w:top w:val="single" w:sz="2" w:space="0" w:color="365F91"/>
              <w:right w:val="single" w:sz="2" w:space="0" w:color="FFFFFF" w:themeColor="background1"/>
            </w:tcBorders>
            <w:shd w:val="clear" w:color="auto" w:fill="365F91"/>
          </w:tcPr>
          <w:p w:rsidR="00F05408" w:rsidRPr="00F05408" w:rsidRDefault="00F05408" w:rsidP="00F05408">
            <w:pPr>
              <w:rPr>
                <w:b/>
                <w:i/>
                <w:color w:val="FFFFFF" w:themeColor="background1"/>
                <w:sz w:val="20"/>
              </w:rPr>
            </w:pPr>
          </w:p>
          <w:p w:rsidR="00F05408" w:rsidRPr="00F05408" w:rsidRDefault="00F05408" w:rsidP="00F05408">
            <w:pPr>
              <w:rPr>
                <w:b/>
                <w:i/>
                <w:color w:val="FFFFFF" w:themeColor="background1"/>
                <w:sz w:val="20"/>
              </w:rPr>
            </w:pPr>
            <w:r w:rsidRPr="00F05408">
              <w:rPr>
                <w:b/>
                <w:i/>
                <w:color w:val="FFFFFF" w:themeColor="background1"/>
                <w:sz w:val="20"/>
              </w:rPr>
              <w:t>10 tipuri de hazarduri</w:t>
            </w:r>
          </w:p>
          <w:p w:rsidR="00F05408" w:rsidRPr="00F05408" w:rsidRDefault="00F05408" w:rsidP="00F05408">
            <w:pPr>
              <w:rPr>
                <w:b/>
                <w:i/>
                <w:color w:val="FFFFFF" w:themeColor="background1"/>
                <w:sz w:val="20"/>
              </w:rPr>
            </w:pPr>
            <w:r w:rsidRPr="00F05408">
              <w:rPr>
                <w:b/>
                <w:i/>
                <w:color w:val="FFFFFF" w:themeColor="background1"/>
                <w:sz w:val="20"/>
              </w:rPr>
              <w:t>selectate dintre hazardurile probabile să aibă loc pe teritoriul României</w:t>
            </w:r>
          </w:p>
          <w:p w:rsidR="00F05408" w:rsidRPr="00F05408" w:rsidRDefault="00F05408" w:rsidP="00F05408">
            <w:pPr>
              <w:rPr>
                <w:b/>
                <w:i/>
                <w:color w:val="FFFFFF" w:themeColor="background1"/>
                <w:sz w:val="20"/>
              </w:rPr>
            </w:pPr>
          </w:p>
        </w:tc>
        <w:tc>
          <w:tcPr>
            <w:tcW w:w="1981"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F05408" w:rsidRPr="00F05408" w:rsidRDefault="00F05408" w:rsidP="00F05408">
            <w:pPr>
              <w:jc w:val="center"/>
              <w:rPr>
                <w:b/>
                <w:i/>
                <w:color w:val="FFFFFF" w:themeColor="background1"/>
                <w:sz w:val="20"/>
                <w:lang w:val="ro-RO"/>
              </w:rPr>
            </w:pPr>
            <w:r w:rsidRPr="00F05408">
              <w:rPr>
                <w:b/>
                <w:i/>
                <w:color w:val="FFFFFF" w:themeColor="background1"/>
                <w:sz w:val="20"/>
                <w:lang w:val="ro-RO"/>
              </w:rPr>
              <w:t>Axa impactului</w:t>
            </w:r>
          </w:p>
        </w:tc>
        <w:tc>
          <w:tcPr>
            <w:tcW w:w="2126"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F05408" w:rsidRPr="00F05408" w:rsidRDefault="00F05408" w:rsidP="00F05408">
            <w:pPr>
              <w:jc w:val="center"/>
              <w:rPr>
                <w:b/>
                <w:i/>
                <w:color w:val="FFFFFF" w:themeColor="background1"/>
                <w:sz w:val="20"/>
              </w:rPr>
            </w:pPr>
            <w:r w:rsidRPr="00F05408">
              <w:rPr>
                <w:b/>
                <w:i/>
                <w:color w:val="FFFFFF" w:themeColor="background1"/>
                <w:sz w:val="20"/>
              </w:rPr>
              <w:t>Axa probabilității</w:t>
            </w:r>
          </w:p>
        </w:tc>
        <w:tc>
          <w:tcPr>
            <w:tcW w:w="1559" w:type="dxa"/>
            <w:vMerge w:val="restart"/>
            <w:tcBorders>
              <w:top w:val="single" w:sz="2" w:space="0" w:color="365F91"/>
              <w:left w:val="single" w:sz="2" w:space="0" w:color="FFFFFF" w:themeColor="background1"/>
              <w:bottom w:val="single" w:sz="2" w:space="0" w:color="365F91"/>
              <w:right w:val="single" w:sz="2" w:space="0" w:color="FFFFFF" w:themeColor="background1"/>
            </w:tcBorders>
            <w:shd w:val="clear" w:color="auto" w:fill="365F91"/>
          </w:tcPr>
          <w:p w:rsidR="00F05408" w:rsidRPr="00F05408" w:rsidRDefault="00F05408" w:rsidP="00F05408">
            <w:pPr>
              <w:rPr>
                <w:b/>
                <w:i/>
                <w:color w:val="FFFFFF" w:themeColor="background1"/>
                <w:sz w:val="20"/>
              </w:rPr>
            </w:pPr>
            <w:r w:rsidRPr="00F05408">
              <w:rPr>
                <w:b/>
                <w:i/>
                <w:color w:val="FFFFFF" w:themeColor="background1"/>
                <w:sz w:val="20"/>
              </w:rPr>
              <w:t>Coordonatele poziției  în matricea de riscuri: (scor impact, scor probabilitate)</w:t>
            </w: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cPr>
          <w:p w:rsidR="00F05408" w:rsidRPr="00F05408" w:rsidRDefault="00F05408" w:rsidP="00F05408">
            <w:pPr>
              <w:pBdr>
                <w:left w:val="single" w:sz="2" w:space="4" w:color="FFFFFF" w:themeColor="background1"/>
              </w:pBdr>
              <w:jc w:val="center"/>
              <w:rPr>
                <w:b/>
                <w:i/>
                <w:color w:val="FFFFFF" w:themeColor="background1"/>
                <w:sz w:val="20"/>
              </w:rPr>
            </w:pPr>
            <w:r w:rsidRPr="00F05408">
              <w:rPr>
                <w:b/>
                <w:i/>
                <w:color w:val="FFFFFF" w:themeColor="background1"/>
                <w:sz w:val="20"/>
              </w:rPr>
              <w:t>S</w:t>
            </w:r>
          </w:p>
          <w:p w:rsidR="00F05408" w:rsidRPr="00F05408" w:rsidRDefault="00F05408" w:rsidP="00F05408">
            <w:pPr>
              <w:pBdr>
                <w:left w:val="single" w:sz="2" w:space="4" w:color="FFFFFF" w:themeColor="background1"/>
              </w:pBdr>
              <w:jc w:val="center"/>
              <w:rPr>
                <w:b/>
                <w:i/>
                <w:color w:val="FFFFFF" w:themeColor="background1"/>
                <w:sz w:val="20"/>
              </w:rPr>
            </w:pPr>
            <w:r w:rsidRPr="00F05408">
              <w:rPr>
                <w:b/>
                <w:i/>
                <w:color w:val="FFFFFF" w:themeColor="background1"/>
                <w:sz w:val="20"/>
              </w:rPr>
              <w:t>i</w:t>
            </w:r>
          </w:p>
          <w:p w:rsidR="00F05408" w:rsidRPr="00F05408" w:rsidRDefault="00F05408" w:rsidP="00F05408">
            <w:pPr>
              <w:pBdr>
                <w:left w:val="single" w:sz="2" w:space="4" w:color="FFFFFF" w:themeColor="background1"/>
              </w:pBdr>
              <w:jc w:val="center"/>
              <w:rPr>
                <w:b/>
                <w:i/>
                <w:color w:val="FFFFFF" w:themeColor="background1"/>
                <w:sz w:val="20"/>
              </w:rPr>
            </w:pPr>
            <w:r w:rsidRPr="00F05408">
              <w:rPr>
                <w:b/>
                <w:i/>
                <w:color w:val="FFFFFF" w:themeColor="background1"/>
                <w:sz w:val="20"/>
              </w:rPr>
              <w:t>m</w:t>
            </w:r>
          </w:p>
          <w:p w:rsidR="00F05408" w:rsidRPr="00F05408" w:rsidRDefault="00F05408" w:rsidP="00F05408">
            <w:pPr>
              <w:pBdr>
                <w:left w:val="single" w:sz="2" w:space="4" w:color="FFFFFF" w:themeColor="background1"/>
              </w:pBdr>
              <w:jc w:val="center"/>
              <w:rPr>
                <w:b/>
                <w:i/>
                <w:color w:val="FFFFFF" w:themeColor="background1"/>
                <w:sz w:val="20"/>
              </w:rPr>
            </w:pPr>
            <w:r w:rsidRPr="00F05408">
              <w:rPr>
                <w:b/>
                <w:i/>
                <w:color w:val="FFFFFF" w:themeColor="background1"/>
                <w:sz w:val="20"/>
              </w:rPr>
              <w:t>b</w:t>
            </w:r>
          </w:p>
          <w:p w:rsidR="00F05408" w:rsidRPr="00F05408" w:rsidRDefault="00F05408" w:rsidP="00F05408">
            <w:pPr>
              <w:pBdr>
                <w:left w:val="single" w:sz="2" w:space="4" w:color="FFFFFF" w:themeColor="background1"/>
              </w:pBdr>
              <w:jc w:val="center"/>
              <w:rPr>
                <w:b/>
                <w:i/>
                <w:color w:val="FFFFFF" w:themeColor="background1"/>
                <w:sz w:val="20"/>
              </w:rPr>
            </w:pPr>
            <w:r w:rsidRPr="00F05408">
              <w:rPr>
                <w:b/>
                <w:i/>
                <w:color w:val="FFFFFF" w:themeColor="background1"/>
                <w:sz w:val="20"/>
              </w:rPr>
              <w:t>o</w:t>
            </w:r>
          </w:p>
          <w:p w:rsidR="00F05408" w:rsidRPr="00F05408" w:rsidRDefault="00F05408" w:rsidP="00F05408">
            <w:pPr>
              <w:jc w:val="center"/>
              <w:rPr>
                <w:b/>
                <w:i/>
                <w:color w:val="FFFFFF" w:themeColor="background1"/>
                <w:sz w:val="20"/>
              </w:rPr>
            </w:pPr>
            <w:r w:rsidRPr="00F05408">
              <w:rPr>
                <w:b/>
                <w:i/>
                <w:color w:val="FFFFFF" w:themeColor="background1"/>
                <w:sz w:val="20"/>
              </w:rPr>
              <w:t>l</w:t>
            </w:r>
          </w:p>
        </w:tc>
      </w:tr>
      <w:tr w:rsidR="00F05408" w:rsidRPr="00F05408" w:rsidTr="00F05408">
        <w:trPr>
          <w:trHeight w:val="963"/>
          <w:jc w:val="center"/>
        </w:trPr>
        <w:tc>
          <w:tcPr>
            <w:tcW w:w="2978" w:type="dxa"/>
            <w:vMerge/>
            <w:tcBorders>
              <w:bottom w:val="single" w:sz="2" w:space="0" w:color="365F91"/>
              <w:right w:val="single" w:sz="2" w:space="0" w:color="FFFFFF" w:themeColor="background1"/>
            </w:tcBorders>
          </w:tcPr>
          <w:p w:rsidR="00F05408" w:rsidRPr="00F05408" w:rsidRDefault="00F05408" w:rsidP="00F05408">
            <w:pPr>
              <w:rPr>
                <w:b/>
                <w:i/>
                <w:color w:val="1F4E79" w:themeColor="accent1" w:themeShade="80"/>
                <w:sz w:val="20"/>
                <w:lang w:val="ro-RO"/>
              </w:rPr>
            </w:pP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F05408" w:rsidRPr="00F05408" w:rsidRDefault="00F05408" w:rsidP="00F05408">
            <w:pPr>
              <w:jc w:val="center"/>
              <w:rPr>
                <w:b/>
                <w:i/>
                <w:color w:val="FFFFFF" w:themeColor="background1"/>
                <w:sz w:val="20"/>
              </w:rPr>
            </w:pPr>
            <w:r w:rsidRPr="00F05408">
              <w:rPr>
                <w:b/>
                <w:i/>
                <w:color w:val="FFFFFF" w:themeColor="background1"/>
                <w:sz w:val="20"/>
              </w:rPr>
              <w:t>Nivel de impact</w:t>
            </w:r>
          </w:p>
        </w:tc>
        <w:tc>
          <w:tcPr>
            <w:tcW w:w="8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F05408" w:rsidRPr="00F05408" w:rsidRDefault="00F05408" w:rsidP="00F05408">
            <w:pPr>
              <w:jc w:val="center"/>
              <w:rPr>
                <w:b/>
                <w:i/>
                <w:color w:val="FFFFFF" w:themeColor="background1"/>
                <w:sz w:val="20"/>
              </w:rPr>
            </w:pPr>
            <w:r w:rsidRPr="00F05408">
              <w:rPr>
                <w:b/>
                <w:i/>
                <w:color w:val="FFFFFF" w:themeColor="background1"/>
                <w:sz w:val="20"/>
              </w:rPr>
              <w:t>Scor</w:t>
            </w:r>
          </w:p>
          <w:p w:rsidR="00F05408" w:rsidRPr="00F05408" w:rsidRDefault="00F05408" w:rsidP="00F05408">
            <w:pPr>
              <w:jc w:val="center"/>
              <w:rPr>
                <w:b/>
                <w:i/>
                <w:color w:val="FFFFFF" w:themeColor="background1"/>
                <w:sz w:val="20"/>
              </w:rPr>
            </w:pPr>
            <w:r w:rsidRPr="00F05408">
              <w:rPr>
                <w:b/>
                <w:i/>
                <w:color w:val="FFFFFF" w:themeColor="background1"/>
                <w:sz w:val="20"/>
              </w:rPr>
              <w:t>impact</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F05408" w:rsidRPr="003964D3" w:rsidRDefault="00F05408" w:rsidP="00F05408">
            <w:pPr>
              <w:jc w:val="center"/>
              <w:rPr>
                <w:b/>
                <w:i/>
                <w:color w:val="FFFFFF" w:themeColor="background1"/>
                <w:sz w:val="20"/>
                <w:lang w:val="fr-FR"/>
              </w:rPr>
            </w:pPr>
            <w:r w:rsidRPr="003964D3">
              <w:rPr>
                <w:b/>
                <w:i/>
                <w:color w:val="FFFFFF" w:themeColor="background1"/>
                <w:sz w:val="20"/>
                <w:lang w:val="fr-FR"/>
              </w:rPr>
              <w:t>Probabilita-tea asociată tipului de risc</w:t>
            </w:r>
          </w:p>
        </w:tc>
        <w:tc>
          <w:tcPr>
            <w:tcW w:w="7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cPr>
          <w:p w:rsidR="00F05408" w:rsidRPr="00F05408" w:rsidRDefault="00F05408" w:rsidP="00F05408">
            <w:pPr>
              <w:jc w:val="center"/>
              <w:rPr>
                <w:b/>
                <w:i/>
                <w:color w:val="FFFFFF" w:themeColor="background1"/>
                <w:sz w:val="20"/>
              </w:rPr>
            </w:pPr>
            <w:r w:rsidRPr="00F05408">
              <w:rPr>
                <w:b/>
                <w:i/>
                <w:color w:val="FFFFFF" w:themeColor="background1"/>
                <w:sz w:val="20"/>
              </w:rPr>
              <w:t>Scor</w:t>
            </w:r>
          </w:p>
          <w:p w:rsidR="00F05408" w:rsidRPr="00F05408" w:rsidRDefault="00F05408" w:rsidP="00F05408">
            <w:pPr>
              <w:jc w:val="center"/>
              <w:rPr>
                <w:b/>
                <w:i/>
                <w:color w:val="FFFFFF" w:themeColor="background1"/>
                <w:sz w:val="20"/>
              </w:rPr>
            </w:pPr>
            <w:r w:rsidRPr="00F05408">
              <w:rPr>
                <w:b/>
                <w:i/>
                <w:color w:val="FFFFFF" w:themeColor="background1"/>
                <w:sz w:val="20"/>
              </w:rPr>
              <w:t>pro-</w:t>
            </w:r>
          </w:p>
          <w:p w:rsidR="00F05408" w:rsidRPr="00F05408" w:rsidRDefault="00F05408" w:rsidP="00F05408">
            <w:pPr>
              <w:jc w:val="center"/>
              <w:rPr>
                <w:b/>
                <w:i/>
                <w:color w:val="FFFFFF" w:themeColor="background1"/>
                <w:sz w:val="20"/>
              </w:rPr>
            </w:pPr>
            <w:r w:rsidRPr="00F05408">
              <w:rPr>
                <w:b/>
                <w:i/>
                <w:color w:val="FFFFFF" w:themeColor="background1"/>
                <w:sz w:val="20"/>
              </w:rPr>
              <w:t>babi-</w:t>
            </w:r>
          </w:p>
          <w:p w:rsidR="00F05408" w:rsidRPr="00F05408" w:rsidRDefault="00F05408" w:rsidP="00F05408">
            <w:pPr>
              <w:jc w:val="center"/>
              <w:rPr>
                <w:b/>
                <w:i/>
                <w:color w:val="FFFFFF" w:themeColor="background1"/>
                <w:sz w:val="20"/>
              </w:rPr>
            </w:pPr>
            <w:r w:rsidRPr="00F05408">
              <w:rPr>
                <w:b/>
                <w:i/>
                <w:color w:val="FFFFFF" w:themeColor="background1"/>
                <w:sz w:val="20"/>
              </w:rPr>
              <w:t>litate</w:t>
            </w:r>
          </w:p>
        </w:tc>
        <w:tc>
          <w:tcPr>
            <w:tcW w:w="1559" w:type="dxa"/>
            <w:vMerge/>
            <w:tcBorders>
              <w:top w:val="nil"/>
              <w:left w:val="single" w:sz="2" w:space="0" w:color="FFFFFF" w:themeColor="background1"/>
              <w:bottom w:val="single" w:sz="2" w:space="0" w:color="365F91"/>
              <w:right w:val="single" w:sz="2" w:space="0" w:color="FFFFFF" w:themeColor="background1"/>
            </w:tcBorders>
          </w:tcPr>
          <w:p w:rsidR="00F05408" w:rsidRPr="00F05408" w:rsidRDefault="00F05408" w:rsidP="00F05408">
            <w:pPr>
              <w:rPr>
                <w:i/>
                <w:color w:val="1F4E79" w:themeColor="accent1" w:themeShade="80"/>
                <w:sz w:val="20"/>
              </w:rPr>
            </w:pPr>
          </w:p>
        </w:tc>
        <w:tc>
          <w:tcPr>
            <w:tcW w:w="567" w:type="dxa"/>
            <w:vMerge/>
            <w:tcBorders>
              <w:top w:val="nil"/>
              <w:left w:val="single" w:sz="2" w:space="0" w:color="FFFFFF" w:themeColor="background1"/>
              <w:bottom w:val="single" w:sz="2" w:space="0" w:color="FFFFFF" w:themeColor="background1"/>
              <w:right w:val="single" w:sz="2" w:space="0" w:color="FFFFFF" w:themeColor="background1"/>
            </w:tcBorders>
          </w:tcPr>
          <w:p w:rsidR="00F05408" w:rsidRPr="00F05408" w:rsidRDefault="00F05408" w:rsidP="00F05408">
            <w:pPr>
              <w:rPr>
                <w:i/>
                <w:color w:val="1F4E79" w:themeColor="accent1" w:themeShade="80"/>
                <w:sz w:val="20"/>
              </w:rPr>
            </w:pPr>
          </w:p>
        </w:tc>
      </w:tr>
      <w:tr w:rsidR="00F05408" w:rsidRPr="00F05408" w:rsidTr="00F0540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F05408" w:rsidRPr="00F05408" w:rsidRDefault="00F05408" w:rsidP="00F05408">
            <w:pPr>
              <w:rPr>
                <w:b/>
                <w:i/>
                <w:color w:val="1F4E79" w:themeColor="accent1" w:themeShade="80"/>
                <w:sz w:val="20"/>
              </w:rPr>
            </w:pPr>
            <w:r w:rsidRPr="00F05408">
              <w:rPr>
                <w:b/>
                <w:i/>
                <w:color w:val="1F4E79" w:themeColor="accent1" w:themeShade="80"/>
                <w:sz w:val="20"/>
              </w:rPr>
              <w:t>Hazarduri naturale</w: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Inundații</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ridicat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medie</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(3,3)</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rPr>
                <w:color w:val="1F4E79" w:themeColor="accent1" w:themeShade="80"/>
                <w:sz w:val="20"/>
              </w:rPr>
            </w:pPr>
            <w:r>
              <w:rPr>
                <w:noProof/>
                <w:color w:val="1F4E79" w:themeColor="accent1" w:themeShade="80"/>
                <w:sz w:val="20"/>
                <w:lang w:val="ro-RO" w:eastAsia="ro-RO"/>
              </w:rPr>
              <w:pict>
                <v:oval id="Oval 1" o:spid="_x0000_s1331" style="position:absolute;margin-left:-.35pt;margin-top:.6pt;width:11.25pt;height:10.5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" fillcolor="#c6f" strokecolor="#41719c" strokeweight="1pt">
                  <v:stroke joinstyle="miter"/>
                </v:oval>
              </w:pic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Secetă</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mediu</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(3,2)</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rPr>
                <w:color w:val="1F4E79" w:themeColor="accent1" w:themeShade="80"/>
                <w:sz w:val="20"/>
              </w:rPr>
            </w:pPr>
            <w:r>
              <w:rPr>
                <w:noProof/>
                <w:color w:val="1F4E79" w:themeColor="accent1" w:themeShade="80"/>
                <w:sz w:val="20"/>
                <w:lang w:val="ro-RO" w:eastAsia="ro-RO"/>
              </w:rPr>
              <w:pict>
                <v:rect id="Rectangle 6" o:spid="_x0000_s1330" style="position:absolute;margin-left:-.35pt;margin-top:-.1pt;width:11.25pt;height:11.15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" fillcolor="#5b9bd5" strokecolor="#41719c" strokeweight="1pt"/>
              </w:pic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Incendii forestiere</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ridicată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(2,4)</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jc w:val="center"/>
              <w:rPr>
                <w:color w:val="1F4E79" w:themeColor="accent1" w:themeShade="80"/>
                <w:sz w:val="20"/>
              </w:rPr>
            </w:pPr>
            <w:r>
              <w:rPr>
                <w:noProof/>
                <w:color w:val="1F4E79" w:themeColor="accent1" w:themeShade="80"/>
                <w:sz w:val="20"/>
                <w:lang w:val="ro-RO" w:eastAsia="ro-RO"/>
              </w:rPr>
              <w:pict>
                <v:shape id="Trapezoid 8" o:spid="_x0000_s1329" style="position:absolute;left:0;text-align:left;margin-left:-.35pt;margin-top:.2pt;width:12.8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" path="m,140970l35243,r92710,l163195,140970,,140970xe" fillcolor="#99f" strokecolor="#41719c" strokeweight="1pt">
                  <v:stroke joinstyle="miter"/>
                  <v:path arrowok="t" o:connecttype="custom" o:connectlocs="0,140970;35243,0;127953,0;163195,140970;0,140970" o:connectangles="0,0,0,0,0"/>
                </v:shape>
              </w:pict>
            </w:r>
          </w:p>
        </w:tc>
      </w:tr>
      <w:tr w:rsidR="00F05408" w:rsidRPr="00F05408" w:rsidTr="00F05408">
        <w:trPr>
          <w:trHeight w:val="376"/>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Alunecări de teren</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medie</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(2,3)</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jc w:val="center"/>
              <w:rPr>
                <w:color w:val="1F4E79" w:themeColor="accent1" w:themeShade="80"/>
                <w:sz w:val="20"/>
              </w:rPr>
            </w:pPr>
            <w:r>
              <w:rPr>
                <w:noProof/>
                <w:color w:val="1F4E79" w:themeColor="accent1" w:themeShade="80"/>
                <w:sz w:val="20"/>
                <w:lang w:val="ro-RO" w:eastAsia="ro-RO"/>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328" type="#_x0000_t7" style="position:absolute;left:0;text-align:left;margin-left:-.35pt;margin-top:.75pt;width:12.85pt;height:13.7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" fillcolor="#70ad47" strokecolor="#507e32" strokeweight="1pt"/>
              </w:pict>
            </w:r>
          </w:p>
        </w:tc>
      </w:tr>
      <w:tr w:rsidR="00F05408" w:rsidRPr="00F05408" w:rsidTr="00F05408">
        <w:trPr>
          <w:trHeight w:val="395"/>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Cutremure de pământ</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ridicat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moderată până la scăzută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(4,2)</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jc w:val="center"/>
              <w:rPr>
                <w:color w:val="1F4E79" w:themeColor="accent1" w:themeShade="80"/>
                <w:sz w:val="20"/>
              </w:rPr>
            </w:pPr>
            <w:r>
              <w:rPr>
                <w:noProof/>
                <w:color w:val="1F4E79" w:themeColor="accent1" w:themeShade="80"/>
                <w:sz w:val="20"/>
                <w:lang w:val="ro-RO" w:eastAsia="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327" type="#_x0000_t5" style="position:absolute;left:0;text-align:left;margin-left:-.35pt;margin-top:1.1pt;width:11.25pt;height:13.7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" fillcolor="#ffc000" strokecolor="#bc8c00" strokeweight="1pt"/>
              </w:pict>
            </w:r>
          </w:p>
        </w:tc>
      </w:tr>
      <w:tr w:rsidR="00F05408" w:rsidRPr="00F05408" w:rsidTr="00F0540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F05408" w:rsidRPr="00F05408" w:rsidRDefault="00F05408" w:rsidP="00F05408">
            <w:pPr>
              <w:rPr>
                <w:b/>
                <w:i/>
                <w:color w:val="1F4E79" w:themeColor="accent1" w:themeShade="80"/>
                <w:sz w:val="20"/>
              </w:rPr>
            </w:pPr>
            <w:r w:rsidRPr="00F05408">
              <w:rPr>
                <w:b/>
                <w:i/>
                <w:color w:val="1F4E79" w:themeColor="accent1" w:themeShade="80"/>
                <w:sz w:val="20"/>
              </w:rPr>
              <w:t>Hazarduri  tehnologice</w: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Accidente nucleare și radiologice</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ridicat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(4,1)</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jc w:val="center"/>
              <w:rPr>
                <w:color w:val="1F4E79" w:themeColor="accent1" w:themeShade="80"/>
                <w:sz w:val="20"/>
              </w:rPr>
            </w:pPr>
            <w:r>
              <w:rPr>
                <w:noProof/>
                <w:color w:val="1F4E79" w:themeColor="accent1" w:themeShade="80"/>
                <w:sz w:val="20"/>
                <w:lang w:val="ro-RO" w:eastAsia="ro-RO"/>
              </w:rPr>
              <w:pict>
                <v:shape id="Chord 11" o:spid="_x0000_s1326" style="position:absolute;left:0;text-align:left;margin-left:-.35pt;margin-top:0;width:15.4pt;height:13.7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" path="m162788,151993c132613,175874,89039,180795,53112,164380,11140,145202,-9453,102098,4155,61906,16598,25155,54645,,97790,r64998,151993xe" fillcolor="#8497b0" strokecolor="#41719c" strokeweight="1pt">
                  <v:stroke joinstyle="miter"/>
                  <v:path arrowok="t" o:connecttype="custom" o:connectlocs="162788,151993;53112,164380;4155,61906;97790,0;162788,151993" o:connectangles="0,0,0,0,0"/>
                </v:shape>
              </w:pic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Accidente de tip Seveso</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mediu</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(3,1)</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jc w:val="center"/>
              <w:rPr>
                <w:color w:val="1F4E79" w:themeColor="accent1" w:themeShade="80"/>
                <w:sz w:val="20"/>
              </w:rPr>
            </w:pPr>
            <w:r>
              <w:rPr>
                <w:noProof/>
                <w:color w:val="1F4E79" w:themeColor="accent1" w:themeShade="80"/>
                <w:sz w:val="20"/>
                <w:lang w:val="ro-RO" w:eastAsia="ro-RO"/>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9" o:spid="_x0000_s1325" type="#_x0000_t119" style="position:absolute;left:0;text-align:left;margin-left:2.7pt;margin-top:.65pt;width:12.85pt;height:10.5pt;z-index:251660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" fillcolor="#c5e0b4" strokecolor="#507e32" strokeweight="1pt"/>
              </w:pict>
            </w:r>
          </w:p>
        </w:tc>
      </w:tr>
      <w:tr w:rsidR="00F05408" w:rsidRPr="00F05408" w:rsidTr="00F05408">
        <w:trPr>
          <w:trHeight w:val="505"/>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lang w:val="ro-RO"/>
              </w:rPr>
            </w:pPr>
            <w:r w:rsidRPr="00F05408">
              <w:rPr>
                <w:i/>
                <w:color w:val="1F4E79" w:themeColor="accent1" w:themeShade="80"/>
                <w:sz w:val="20"/>
                <w:lang w:val="ro-RO"/>
              </w:rPr>
              <w:t>Riscuri și accidente majore implicând substanțe periculoase</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mediu</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(3,1)</w:t>
            </w:r>
          </w:p>
        </w:tc>
        <w:tc>
          <w:tcPr>
            <w:tcW w:w="567" w:type="dxa"/>
            <w:tcBorders>
              <w:top w:val="single" w:sz="2" w:space="0" w:color="365F91"/>
              <w:left w:val="single" w:sz="2" w:space="0" w:color="365F91"/>
              <w:bottom w:val="single" w:sz="2" w:space="0" w:color="365F91"/>
            </w:tcBorders>
          </w:tcPr>
          <w:p w:rsidR="00F05408" w:rsidRPr="00F05408" w:rsidRDefault="00A86CF1" w:rsidP="00F05408">
            <w:pPr>
              <w:rPr>
                <w:color w:val="1F4E79" w:themeColor="accent1" w:themeShade="80"/>
                <w:sz w:val="20"/>
              </w:rPr>
            </w:pPr>
            <w:r>
              <w:rPr>
                <w:noProof/>
                <w:color w:val="1F4E79" w:themeColor="accent1" w:themeShade="80"/>
                <w:sz w:val="20"/>
                <w:lang w:val="ro-RO" w:eastAsia="ro-RO"/>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2" o:spid="_x0000_s1324" type="#_x0000_t56" style="position:absolute;margin-left:2.2pt;margin-top:6.6pt;width:12.85pt;height:13.7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" fillcolor="#f96" strokecolor="#41719c" strokeweight="1pt"/>
              </w:pict>
            </w:r>
          </w:p>
          <w:p w:rsidR="00F05408" w:rsidRPr="00F05408" w:rsidRDefault="00F05408" w:rsidP="00F05408">
            <w:pPr>
              <w:rPr>
                <w:color w:val="1F4E79" w:themeColor="accent1" w:themeShade="80"/>
                <w:sz w:val="20"/>
              </w:rPr>
            </w:pPr>
          </w:p>
        </w:tc>
      </w:tr>
      <w:tr w:rsidR="00F05408" w:rsidRPr="00F05408" w:rsidTr="00F0540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F05408" w:rsidRPr="00F05408" w:rsidRDefault="00F05408" w:rsidP="00F05408">
            <w:pPr>
              <w:rPr>
                <w:b/>
                <w:i/>
                <w:color w:val="1F4E79" w:themeColor="accent1" w:themeShade="80"/>
                <w:sz w:val="20"/>
              </w:rPr>
            </w:pPr>
            <w:r w:rsidRPr="00F05408">
              <w:rPr>
                <w:b/>
                <w:i/>
                <w:color w:val="1F4E79" w:themeColor="accent1" w:themeShade="80"/>
                <w:sz w:val="20"/>
              </w:rPr>
              <w:t>Riscuri biologice</w:t>
            </w:r>
          </w:p>
        </w:tc>
      </w:tr>
      <w:tr w:rsidR="00F05408" w:rsidRPr="00F05408" w:rsidTr="00F05408">
        <w:trPr>
          <w:trHeight w:val="397"/>
          <w:jc w:val="center"/>
        </w:trPr>
        <w:tc>
          <w:tcPr>
            <w:tcW w:w="2978" w:type="dxa"/>
            <w:tcBorders>
              <w:top w:val="single" w:sz="2" w:space="0" w:color="365F91"/>
              <w:bottom w:val="single" w:sz="2" w:space="0" w:color="365F91"/>
              <w:right w:val="single" w:sz="2" w:space="0" w:color="365F91"/>
            </w:tcBorders>
            <w:vAlign w:val="center"/>
          </w:tcPr>
          <w:p w:rsidR="00F05408" w:rsidRPr="00F05408" w:rsidRDefault="00F05408" w:rsidP="00F05408">
            <w:pPr>
              <w:rPr>
                <w:i/>
                <w:color w:val="1F4E79" w:themeColor="accent1" w:themeShade="80"/>
                <w:sz w:val="20"/>
              </w:rPr>
            </w:pPr>
            <w:r w:rsidRPr="00F05408">
              <w:rPr>
                <w:i/>
                <w:color w:val="1F4E79" w:themeColor="accent1" w:themeShade="80"/>
                <w:sz w:val="20"/>
              </w:rPr>
              <w:t>Epidemii</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mare</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5</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(2,5)</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rPr>
                <w:color w:val="1F4E79" w:themeColor="accent1" w:themeShade="80"/>
                <w:sz w:val="20"/>
              </w:rPr>
            </w:pPr>
            <w:r>
              <w:rPr>
                <w:rFonts w:ascii="Arial Narrow" w:hAnsi="Arial Narrow"/>
                <w:noProof/>
                <w:color w:val="1F4E79" w:themeColor="accent1" w:themeShade="80"/>
                <w:sz w:val="20"/>
                <w:szCs w:val="16"/>
                <w:lang w:val="ro-RO" w:eastAsia="ro-RO"/>
              </w:rPr>
              <w:pict>
                <v:shapetype id="_x0000_t128" coordsize="21600,21600" o:spt="128" path="m,l21600,,10800,21600xe">
                  <v:stroke joinstyle="miter"/>
                  <v:path gradientshapeok="t" o:connecttype="custom" o:connectlocs="10800,0;5400,10800;10800,21600;16200,10800" textboxrect="5400,0,16200,10800"/>
                </v:shapetype>
                <v:shape id="Flowchart: Merge 21" o:spid="_x0000_s1323" type="#_x0000_t128" style="position:absolute;margin-left:3.15pt;margin-top:3.85pt;width:11.25pt;height:13.7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" fillcolor="yellow" strokecolor="#41719c" strokeweight="1pt"/>
              </w:pict>
            </w:r>
          </w:p>
        </w:tc>
      </w:tr>
      <w:tr w:rsidR="00F05408" w:rsidRPr="00F05408" w:rsidTr="00F05408">
        <w:trPr>
          <w:trHeight w:val="462"/>
          <w:jc w:val="center"/>
        </w:trPr>
        <w:tc>
          <w:tcPr>
            <w:tcW w:w="2978" w:type="dxa"/>
            <w:tcBorders>
              <w:top w:val="single" w:sz="2" w:space="0" w:color="365F91"/>
              <w:bottom w:val="single" w:sz="2" w:space="0" w:color="365F91"/>
              <w:right w:val="single" w:sz="2" w:space="0" w:color="365F91"/>
            </w:tcBorders>
            <w:vAlign w:val="center"/>
          </w:tcPr>
          <w:p w:rsidR="00F05408" w:rsidRPr="003964D3" w:rsidRDefault="00F05408" w:rsidP="00F05408">
            <w:pPr>
              <w:rPr>
                <w:i/>
                <w:color w:val="1F4E79" w:themeColor="accent1" w:themeShade="80"/>
                <w:sz w:val="20"/>
                <w:lang w:val="fr-FR"/>
              </w:rPr>
            </w:pPr>
            <w:r w:rsidRPr="003964D3">
              <w:rPr>
                <w:i/>
                <w:color w:val="1F4E79" w:themeColor="accent1" w:themeShade="80"/>
                <w:sz w:val="20"/>
                <w:lang w:val="fr-FR"/>
              </w:rPr>
              <w:t>Epidemii la animale și Zoonoze</w:t>
            </w:r>
          </w:p>
        </w:tc>
        <w:tc>
          <w:tcPr>
            <w:tcW w:w="11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scăzut</w:t>
            </w:r>
          </w:p>
        </w:tc>
        <w:tc>
          <w:tcPr>
            <w:tcW w:w="847"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1</w:t>
            </w:r>
          </w:p>
        </w:tc>
        <w:tc>
          <w:tcPr>
            <w:tcW w:w="1392"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ridicată</w:t>
            </w:r>
          </w:p>
        </w:tc>
        <w:tc>
          <w:tcPr>
            <w:tcW w:w="734"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4</w:t>
            </w:r>
          </w:p>
        </w:tc>
        <w:tc>
          <w:tcPr>
            <w:tcW w:w="1559" w:type="dxa"/>
            <w:tcBorders>
              <w:top w:val="single" w:sz="2" w:space="0" w:color="365F91"/>
              <w:left w:val="single" w:sz="2" w:space="0" w:color="365F91"/>
              <w:bottom w:val="single" w:sz="2" w:space="0" w:color="365F91"/>
              <w:right w:val="single" w:sz="2" w:space="0" w:color="365F91"/>
            </w:tcBorders>
            <w:vAlign w:val="center"/>
          </w:tcPr>
          <w:p w:rsidR="00F05408" w:rsidRPr="00F05408" w:rsidRDefault="00F05408" w:rsidP="00F05408">
            <w:pPr>
              <w:jc w:val="center"/>
              <w:rPr>
                <w:color w:val="1F4E79" w:themeColor="accent1" w:themeShade="80"/>
                <w:sz w:val="20"/>
              </w:rPr>
            </w:pPr>
            <w:r w:rsidRPr="00F05408">
              <w:rPr>
                <w:color w:val="1F4E79" w:themeColor="accent1" w:themeShade="80"/>
                <w:sz w:val="20"/>
              </w:rPr>
              <w:t>(1,4)</w:t>
            </w:r>
          </w:p>
        </w:tc>
        <w:tc>
          <w:tcPr>
            <w:tcW w:w="567" w:type="dxa"/>
            <w:tcBorders>
              <w:top w:val="single" w:sz="2" w:space="0" w:color="365F91"/>
              <w:left w:val="single" w:sz="2" w:space="0" w:color="365F91"/>
              <w:bottom w:val="single" w:sz="2" w:space="0" w:color="365F91"/>
            </w:tcBorders>
            <w:vAlign w:val="center"/>
          </w:tcPr>
          <w:p w:rsidR="00F05408" w:rsidRPr="00F05408" w:rsidRDefault="00A86CF1" w:rsidP="00F05408">
            <w:pPr>
              <w:rPr>
                <w:color w:val="1F4E79" w:themeColor="accent1" w:themeShade="80"/>
                <w:sz w:val="20"/>
              </w:rPr>
            </w:pPr>
            <w:r>
              <w:rPr>
                <w:rFonts w:ascii="Arial Narrow" w:hAnsi="Arial Narrow"/>
                <w:noProof/>
                <w:color w:val="1F4E79" w:themeColor="accent1" w:themeShade="80"/>
                <w:sz w:val="20"/>
                <w:szCs w:val="16"/>
                <w:lang w:val="ro-RO" w:eastAsia="ro-RO"/>
              </w:rPr>
              <w:pict>
                <v:shapetype id="_x0000_t4" coordsize="21600,21600" o:spt="4" path="m10800,l,10800,10800,21600,21600,10800xe">
                  <v:stroke joinstyle="miter"/>
                  <v:path gradientshapeok="t" o:connecttype="rect" textboxrect="5400,5400,16200,16200"/>
                </v:shapetype>
                <v:shape id="Diamond 22" o:spid="_x0000_s1322" type="#_x0000_t4" style="position:absolute;margin-left:3.15pt;margin-top:1.4pt;width:11.25pt;height:13.7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" fillcolor="#a5a5a5" strokecolor="#787878" strokeweight="1pt"/>
              </w:pict>
            </w:r>
          </w:p>
        </w:tc>
      </w:tr>
    </w:tbl>
    <w:p w:rsidR="00F05408" w:rsidRPr="003964D3" w:rsidRDefault="00F05408" w:rsidP="00F05408">
      <w:pPr>
        <w:ind w:firstLine="284"/>
        <w:jc w:val="both"/>
        <w:rPr>
          <w:rFonts w:ascii="Arial Narrow" w:hAnsi="Arial Narrow"/>
          <w:i/>
          <w:color w:val="1F4E79" w:themeColor="accent1" w:themeShade="80"/>
          <w:sz w:val="18"/>
          <w:lang w:val="fr-FR"/>
        </w:rPr>
      </w:pPr>
      <w:r w:rsidRPr="003964D3">
        <w:rPr>
          <w:rFonts w:ascii="Arial Narrow" w:hAnsi="Arial Narrow"/>
          <w:i/>
          <w:color w:val="1F4E79" w:themeColor="accent1" w:themeShade="80"/>
          <w:sz w:val="18"/>
          <w:lang w:val="fr-FR"/>
        </w:rPr>
        <w:t>Sursa: MAI - ”Evaluarea riscurilor de dezastre la nivel național (RO-RISK)”</w:t>
      </w:r>
    </w:p>
    <w:p w:rsidR="00F05408" w:rsidRPr="003964D3" w:rsidRDefault="00F05408" w:rsidP="00F05408">
      <w:pPr>
        <w:rPr>
          <w:sz w:val="12"/>
          <w:lang w:val="fr-FR"/>
        </w:rPr>
      </w:pPr>
    </w:p>
    <w:p w:rsidR="00F05408" w:rsidRPr="002C0646" w:rsidRDefault="00F05408" w:rsidP="00F05408">
      <w:pPr>
        <w:rPr>
          <w:rFonts w:ascii="Calibri" w:hAnsi="Calibri"/>
          <w:color w:val="1F4E79" w:themeColor="accent1" w:themeShade="80"/>
          <w:sz w:val="12"/>
          <w:lang w:val="fr-FR"/>
        </w:rPr>
      </w:pPr>
    </w:p>
    <w:p w:rsidR="00F05408" w:rsidRPr="00F05408" w:rsidRDefault="00F05408" w:rsidP="00F05408">
      <w:pPr>
        <w:jc w:val="both"/>
        <w:rPr>
          <w:rFonts w:ascii="Calibri" w:hAnsi="Calibri"/>
        </w:rPr>
      </w:pPr>
      <w:r w:rsidRPr="00F05408">
        <w:rPr>
          <w:rFonts w:ascii="Calibri" w:hAnsi="Calibri"/>
          <w:noProof/>
          <w:lang w:val="ro-RO" w:eastAsia="ro-RO"/>
        </w:rPr>
        <w:drawing>
          <wp:inline distT="0" distB="0" distL="0" distR="0">
            <wp:extent cx="6246495" cy="280416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valuarea impactului.jpg"/>
                    <pic:cNvPicPr/>
                  </pic:nvPicPr>
                  <pic:blipFill>
                    <a:blip r:embed="rId57">
                      <a:extLst>
                        <a:ext uri="{28A0092B-C50C-407E-A947-70E740481C1C}">
                          <a14:useLocalDpi xmlns:a14="http://schemas.microsoft.com/office/drawing/2010/main" val="0"/>
                        </a:ext>
                      </a:extLst>
                    </a:blip>
                    <a:stretch>
                      <a:fillRect/>
                    </a:stretch>
                  </pic:blipFill>
                  <pic:spPr>
                    <a:xfrm>
                      <a:off x="0" y="0"/>
                      <a:ext cx="6246495" cy="2804160"/>
                    </a:xfrm>
                    <a:prstGeom prst="rect">
                      <a:avLst/>
                    </a:prstGeom>
                  </pic:spPr>
                </pic:pic>
              </a:graphicData>
            </a:graphic>
          </wp:inline>
        </w:drawing>
      </w:r>
    </w:p>
    <w:p w:rsidR="00F05408" w:rsidRPr="00F05408" w:rsidRDefault="00F05408" w:rsidP="00F05408">
      <w:pPr>
        <w:jc w:val="both"/>
        <w:rPr>
          <w:rFonts w:ascii="Calibri" w:hAnsi="Calibri"/>
          <w:sz w:val="10"/>
        </w:rPr>
      </w:pPr>
    </w:p>
    <w:p w:rsidR="00F05408" w:rsidRPr="00F05408" w:rsidRDefault="00F05408" w:rsidP="00F05408">
      <w:pPr>
        <w:jc w:val="both"/>
        <w:rPr>
          <w:rFonts w:ascii="Calibri" w:hAnsi="Calibri"/>
        </w:rPr>
      </w:pPr>
      <w:r w:rsidRPr="00F05408">
        <w:rPr>
          <w:rFonts w:ascii="Calibri" w:hAnsi="Calibri"/>
        </w:rPr>
        <w:t xml:space="preserve">În cadrul proiectului menționat, </w:t>
      </w:r>
      <w:r w:rsidRPr="00F05408">
        <w:rPr>
          <w:rFonts w:ascii="Calibri" w:hAnsi="Calibri"/>
          <w:b/>
          <w:color w:val="365F91"/>
        </w:rPr>
        <w:t>impactul direct</w:t>
      </w:r>
      <w:r w:rsidRPr="00F05408">
        <w:rPr>
          <w:rFonts w:ascii="Calibri" w:hAnsi="Calibri"/>
        </w:rPr>
        <w:t xml:space="preserve">a fost evaluat prin contribuția consorțiului format din Universitatea Tehnică de Construcții – București, Institutul Național de Cercetare – Dezvoltare în Construcții, Urbanism și Dezvoltare pentru Fizica Pământului, iar </w:t>
      </w:r>
      <w:r w:rsidRPr="00F05408">
        <w:rPr>
          <w:rFonts w:ascii="Calibri" w:hAnsi="Calibri"/>
          <w:b/>
          <w:color w:val="365F91"/>
        </w:rPr>
        <w:t>impactul economic</w:t>
      </w:r>
      <w:r w:rsidRPr="00F05408">
        <w:rPr>
          <w:rFonts w:ascii="Calibri" w:hAnsi="Calibri"/>
        </w:rPr>
        <w:t>a fost evaluat de Institutul de prognoză al Academiei Române.</w:t>
      </w:r>
    </w:p>
    <w:p w:rsidR="00F05408" w:rsidRPr="00F05408" w:rsidRDefault="00F05408" w:rsidP="00F05408">
      <w:pPr>
        <w:jc w:val="both"/>
        <w:rPr>
          <w:rFonts w:ascii="Calibri" w:hAnsi="Calibri"/>
          <w:sz w:val="10"/>
        </w:rPr>
      </w:pPr>
    </w:p>
    <w:p w:rsidR="00F05408" w:rsidRPr="00F05408" w:rsidRDefault="00F05408" w:rsidP="00F05408">
      <w:pPr>
        <w:jc w:val="both"/>
        <w:rPr>
          <w:rFonts w:ascii="Calibri" w:hAnsi="Calibri"/>
        </w:rPr>
      </w:pPr>
      <w:r w:rsidRPr="00F05408">
        <w:rPr>
          <w:rFonts w:ascii="Calibri" w:hAnsi="Calibri"/>
        </w:rPr>
        <w:t xml:space="preserve">Dintre tipurile de risc menționate, considerăm relevant </w:t>
      </w:r>
      <w:r w:rsidRPr="00F05408">
        <w:rPr>
          <w:rFonts w:ascii="Calibri" w:hAnsi="Calibri"/>
          <w:b/>
          <w:color w:val="365F91"/>
        </w:rPr>
        <w:t>cutremurul</w:t>
      </w:r>
      <w:r w:rsidRPr="00F05408">
        <w:rPr>
          <w:rFonts w:ascii="Calibri" w:hAnsi="Calibri"/>
        </w:rPr>
        <w:t xml:space="preserve"> care, potrivit scenariului cu cel mai mare nivel de gravitate asupra comunităților (</w:t>
      </w:r>
      <w:r w:rsidRPr="00F05408">
        <w:rPr>
          <w:rFonts w:ascii="Calibri" w:hAnsi="Calibri"/>
          <w:b/>
          <w:color w:val="365F91"/>
        </w:rPr>
        <w:t>dezastru major</w:t>
      </w:r>
      <w:r w:rsidRPr="00F05408">
        <w:rPr>
          <w:rFonts w:ascii="Calibri" w:hAnsi="Calibri"/>
        </w:rPr>
        <w:t xml:space="preserve">), ar produce </w:t>
      </w:r>
      <w:r w:rsidRPr="00F05408">
        <w:rPr>
          <w:rFonts w:ascii="Calibri" w:hAnsi="Calibri"/>
          <w:b/>
          <w:color w:val="365F91"/>
        </w:rPr>
        <w:t>pierderi directe în valoare totală de aproximativ 14 miliarde euro</w:t>
      </w:r>
      <w:r w:rsidRPr="00F05408">
        <w:rPr>
          <w:rFonts w:ascii="Calibri" w:hAnsi="Calibri"/>
        </w:rPr>
        <w:t xml:space="preserve"> (peste 2/3 din suprafața țării, afectată grav, 14% din totalul clădirilor dispuse în UAT-urile din zonă, afectate semnificativ, pierderi semnificative de vieți omenești).</w:t>
      </w:r>
    </w:p>
    <w:p w:rsidR="00F05408" w:rsidRPr="00F05408" w:rsidRDefault="00F05408" w:rsidP="00F05408">
      <w:pPr>
        <w:jc w:val="both"/>
        <w:rPr>
          <w:rFonts w:ascii="Calibri" w:hAnsi="Calibri"/>
          <w:sz w:val="4"/>
        </w:rPr>
      </w:pPr>
    </w:p>
    <w:p w:rsidR="00F05408" w:rsidRPr="00F05408" w:rsidRDefault="00F05408" w:rsidP="00F05408">
      <w:pPr>
        <w:jc w:val="both"/>
        <w:rPr>
          <w:rFonts w:ascii="Calibri" w:hAnsi="Calibri"/>
          <w:color w:val="222222"/>
          <w:sz w:val="10"/>
        </w:rPr>
      </w:pPr>
    </w:p>
    <w:p w:rsidR="00F05408" w:rsidRPr="00F05408" w:rsidRDefault="00F05408" w:rsidP="00F05408">
      <w:pPr>
        <w:jc w:val="both"/>
        <w:rPr>
          <w:rFonts w:ascii="Calibri" w:hAnsi="Calibri"/>
          <w:i/>
          <w:color w:val="1F4E79" w:themeColor="accent1" w:themeShade="80"/>
        </w:rPr>
      </w:pPr>
      <w:r w:rsidRPr="00F05408">
        <w:rPr>
          <w:rFonts w:ascii="Calibri" w:hAnsi="Calibri"/>
          <w:color w:val="222222"/>
        </w:rPr>
        <w:t xml:space="preserve">În cazul materializării hazardurilor selectate, </w:t>
      </w:r>
      <w:r w:rsidRPr="00F05408">
        <w:rPr>
          <w:rFonts w:ascii="Calibri" w:hAnsi="Calibri"/>
          <w:b/>
          <w:i/>
          <w:color w:val="1F4E79" w:themeColor="accent1" w:themeShade="80"/>
        </w:rPr>
        <w:t>impactul poate fi: fizic, economic, social sau psihologic</w:t>
      </w:r>
      <w:r w:rsidRPr="00F05408">
        <w:rPr>
          <w:rFonts w:ascii="Calibri" w:hAnsi="Calibri"/>
          <w:i/>
          <w:color w:val="1F4E79" w:themeColor="accent1" w:themeShade="80"/>
        </w:rPr>
        <w:t>.</w:t>
      </w:r>
    </w:p>
    <w:p w:rsidR="00F05408" w:rsidRPr="00F05408" w:rsidRDefault="00F05408" w:rsidP="00F05408">
      <w:pPr>
        <w:jc w:val="both"/>
        <w:rPr>
          <w:rFonts w:ascii="Calibri" w:hAnsi="Calibri"/>
          <w:color w:val="222222"/>
        </w:rPr>
      </w:pPr>
      <w:r w:rsidRPr="00F05408">
        <w:rPr>
          <w:rFonts w:ascii="Calibri" w:hAnsi="Calibri"/>
          <w:b/>
          <w:i/>
          <w:color w:val="1F4E79" w:themeColor="accent1" w:themeShade="80"/>
          <w:lang w:val="ro-RO"/>
        </w:rPr>
        <w:t xml:space="preserve">Impactul  fizic </w:t>
      </w:r>
      <w:r w:rsidRPr="00F05408">
        <w:rPr>
          <w:rFonts w:ascii="Calibri" w:hAnsi="Calibri"/>
          <w:color w:val="222222"/>
        </w:rPr>
        <w:t>face referire la efectele fizice, negative ale unui eveniment de risc asupra elementelor expuse.</w:t>
      </w:r>
    </w:p>
    <w:p w:rsidR="00F05408" w:rsidRPr="00F05408" w:rsidRDefault="00F05408" w:rsidP="00F05408">
      <w:pPr>
        <w:jc w:val="both"/>
        <w:rPr>
          <w:rFonts w:ascii="Calibri" w:hAnsi="Calibri"/>
          <w:i/>
          <w:color w:val="222222"/>
          <w:lang w:val="ro-RO"/>
        </w:rPr>
      </w:pPr>
      <w:r w:rsidRPr="00F05408">
        <w:rPr>
          <w:rFonts w:ascii="Calibri" w:hAnsi="Calibri"/>
          <w:b/>
          <w:i/>
          <w:color w:val="1F4E79" w:themeColor="accent1" w:themeShade="80"/>
          <w:lang w:val="ro-RO"/>
        </w:rPr>
        <w:t>Impactul economic</w:t>
      </w:r>
      <w:r w:rsidRPr="00F05408">
        <w:rPr>
          <w:rFonts w:ascii="Calibri" w:hAnsi="Calibri"/>
          <w:color w:val="222222"/>
          <w:lang w:val="ro-RO"/>
        </w:rPr>
        <w:t xml:space="preserve"> se referă la costurile asociate cu pierderi umane, costurile asociate cu pierderi materiale directe, costurile asociate cu pierderi de mediu, costurile pentru intervenția forțelor de sarcini și </w:t>
      </w:r>
      <w:r w:rsidRPr="00F05408">
        <w:rPr>
          <w:rFonts w:ascii="Calibri" w:hAnsi="Calibri"/>
          <w:i/>
          <w:color w:val="222222"/>
          <w:lang w:val="ro-RO"/>
        </w:rPr>
        <w:t>costurile indirecte.</w:t>
      </w:r>
    </w:p>
    <w:p w:rsidR="00F05408" w:rsidRPr="00F05408" w:rsidRDefault="00F05408" w:rsidP="00F05408">
      <w:pPr>
        <w:jc w:val="both"/>
        <w:rPr>
          <w:rFonts w:ascii="Calibri" w:hAnsi="Calibri"/>
          <w:sz w:val="8"/>
          <w:lang w:val="ro-RO"/>
        </w:rPr>
      </w:pPr>
    </w:p>
    <w:p w:rsidR="00F05408" w:rsidRPr="00F05408" w:rsidRDefault="00F05408" w:rsidP="00F05408">
      <w:pPr>
        <w:rPr>
          <w:rFonts w:ascii="Calibri" w:hAnsi="Calibri"/>
          <w:color w:val="222222"/>
          <w:lang w:val="ro-RO"/>
        </w:rPr>
      </w:pPr>
      <w:r w:rsidRPr="003964D3">
        <w:rPr>
          <w:rFonts w:ascii="Calibri" w:hAnsi="Calibri"/>
          <w:b/>
          <w:i/>
          <w:color w:val="1F4E79" w:themeColor="accent1" w:themeShade="80"/>
          <w:lang w:val="fr-FR"/>
        </w:rPr>
        <w:t xml:space="preserve">Impactul social şi psihologic </w:t>
      </w:r>
      <w:r w:rsidRPr="003964D3">
        <w:rPr>
          <w:rFonts w:ascii="Calibri" w:hAnsi="Calibri"/>
          <w:lang w:val="fr-FR"/>
        </w:rPr>
        <w:t>c</w:t>
      </w:r>
      <w:r w:rsidRPr="00F05408">
        <w:rPr>
          <w:rFonts w:ascii="Calibri" w:hAnsi="Calibri"/>
          <w:color w:val="222222"/>
          <w:lang w:val="ro-RO"/>
        </w:rPr>
        <w:t>onstă din perturbări ale vieții de zi cu zi și impactul psihologic.</w:t>
      </w:r>
    </w:p>
    <w:p w:rsidR="00F05408" w:rsidRPr="003964D3" w:rsidRDefault="00F05408" w:rsidP="00F05408">
      <w:pPr>
        <w:rPr>
          <w:rFonts w:ascii="Calibri" w:hAnsi="Calibri"/>
          <w:sz w:val="8"/>
          <w:lang w:val="fr-FR"/>
        </w:rPr>
      </w:pPr>
    </w:p>
    <w:p w:rsidR="00F05408" w:rsidRPr="00F05408" w:rsidRDefault="00F05408" w:rsidP="00F05408">
      <w:pPr>
        <w:jc w:val="both"/>
        <w:rPr>
          <w:rFonts w:ascii="Calibri" w:hAnsi="Calibri"/>
          <w:b/>
          <w:i/>
          <w:color w:val="1F4E79" w:themeColor="accent1" w:themeShade="80"/>
          <w:lang w:val="ro-RO"/>
        </w:rPr>
      </w:pPr>
      <w:r w:rsidRPr="00F05408">
        <w:rPr>
          <w:rFonts w:ascii="Calibri" w:hAnsi="Calibri"/>
          <w:b/>
          <w:i/>
          <w:color w:val="1F4E79" w:themeColor="accent1" w:themeShade="80"/>
          <w:lang w:val="ro-RO"/>
        </w:rPr>
        <w:t xml:space="preserve">Probabilitatea </w:t>
      </w: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 xml:space="preserve">Calculul probabilității are ca rezultat </w:t>
      </w:r>
      <w:r w:rsidRPr="00F05408">
        <w:rPr>
          <w:rFonts w:ascii="Calibri" w:hAnsi="Calibri"/>
          <w:i/>
          <w:color w:val="222222"/>
          <w:lang w:val="ro-RO"/>
        </w:rPr>
        <w:t>identificarea probabilității ca un eveniment de risc să aibă loc într-un interval de timp prestabilit, ținând cont de informațiile disponibile</w:t>
      </w:r>
      <w:r w:rsidRPr="00F05408">
        <w:rPr>
          <w:rFonts w:ascii="Calibri" w:hAnsi="Calibri"/>
          <w:color w:val="222222"/>
          <w:lang w:val="ro-RO"/>
        </w:rPr>
        <w:t>.</w:t>
      </w: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Probabilitatea evenimentelor este măsurată în trepte pe o scală de la 1 la 5(1 – scăzut,  5 - mare).</w:t>
      </w:r>
    </w:p>
    <w:p w:rsidR="00336541" w:rsidRDefault="00336541" w:rsidP="00F05408">
      <w:pPr>
        <w:jc w:val="both"/>
        <w:rPr>
          <w:rFonts w:ascii="Calibri" w:hAnsi="Calibri"/>
          <w:color w:val="222222"/>
          <w:sz w:val="6"/>
          <w:lang w:val="ro-RO"/>
        </w:rPr>
      </w:pPr>
    </w:p>
    <w:p w:rsidR="00336541" w:rsidRPr="00A560AE" w:rsidRDefault="00336541" w:rsidP="00F05408">
      <w:pPr>
        <w:jc w:val="both"/>
        <w:rPr>
          <w:rFonts w:ascii="Calibri" w:hAnsi="Calibri"/>
          <w:color w:val="222222"/>
          <w:sz w:val="20"/>
          <w:lang w:val="ro-RO"/>
        </w:rPr>
      </w:pPr>
    </w:p>
    <w:p w:rsidR="00F05408" w:rsidRPr="00F05408" w:rsidRDefault="00F05408" w:rsidP="00F05408">
      <w:pPr>
        <w:jc w:val="both"/>
        <w:rPr>
          <w:rFonts w:ascii="Calibri" w:hAnsi="Calibri"/>
          <w:b/>
          <w:color w:val="1F4E79" w:themeColor="accent1" w:themeShade="80"/>
          <w:lang w:val="ro-RO"/>
        </w:rPr>
      </w:pPr>
      <w:r w:rsidRPr="00F05408">
        <w:rPr>
          <w:rFonts w:ascii="Calibri" w:hAnsi="Calibri"/>
          <w:b/>
          <w:color w:val="1F4E79" w:themeColor="accent1" w:themeShade="80"/>
          <w:lang w:val="ro-RO"/>
        </w:rPr>
        <w:t>Matricea de risc</w:t>
      </w:r>
    </w:p>
    <w:p w:rsidR="00F05408" w:rsidRPr="00A560AE" w:rsidRDefault="00F05408" w:rsidP="00F05408">
      <w:pPr>
        <w:jc w:val="both"/>
        <w:rPr>
          <w:rFonts w:ascii="Calibri" w:hAnsi="Calibri"/>
          <w:b/>
          <w:color w:val="1F4E79" w:themeColor="accent1" w:themeShade="80"/>
          <w:sz w:val="20"/>
          <w:lang w:val="ro-RO"/>
        </w:rPr>
      </w:pPr>
    </w:p>
    <w:p w:rsidR="00EA76BF" w:rsidRPr="00F05408" w:rsidRDefault="00F05408" w:rsidP="00F05408">
      <w:pPr>
        <w:jc w:val="both"/>
        <w:rPr>
          <w:rFonts w:ascii="Calibri" w:hAnsi="Calibri"/>
          <w:color w:val="222222"/>
          <w:lang w:val="ro-RO"/>
        </w:rPr>
      </w:pPr>
      <w:r w:rsidRPr="00F05408">
        <w:rPr>
          <w:rFonts w:ascii="Calibri" w:hAnsi="Calibri"/>
          <w:color w:val="222222"/>
          <w:lang w:val="ro-RO"/>
        </w:rPr>
        <w:t xml:space="preserve">Matricea de risc este instrumentul recomandat pentru </w:t>
      </w:r>
      <w:r w:rsidRPr="00F05408">
        <w:rPr>
          <w:rFonts w:ascii="Calibri" w:hAnsi="Calibri"/>
          <w:i/>
          <w:color w:val="222222"/>
          <w:lang w:val="ro-RO"/>
        </w:rPr>
        <w:t>reprezentarea</w:t>
      </w:r>
      <w:r w:rsidRPr="00F05408">
        <w:rPr>
          <w:rFonts w:ascii="Calibri" w:hAnsi="Calibri"/>
          <w:color w:val="222222"/>
          <w:lang w:val="ro-RO"/>
        </w:rPr>
        <w:t xml:space="preserve">, </w:t>
      </w:r>
      <w:r w:rsidRPr="00F05408">
        <w:rPr>
          <w:rFonts w:ascii="Calibri" w:hAnsi="Calibri"/>
          <w:i/>
          <w:color w:val="222222"/>
          <w:lang w:val="ro-RO"/>
        </w:rPr>
        <w:t>compararea</w:t>
      </w:r>
      <w:r w:rsidRPr="00F05408">
        <w:rPr>
          <w:rFonts w:ascii="Calibri" w:hAnsi="Calibri"/>
          <w:color w:val="222222"/>
          <w:lang w:val="ro-RO"/>
        </w:rPr>
        <w:t xml:space="preserve"> și ulterior </w:t>
      </w:r>
      <w:r w:rsidRPr="00F05408">
        <w:rPr>
          <w:rFonts w:ascii="Calibri" w:hAnsi="Calibri"/>
          <w:i/>
          <w:color w:val="222222"/>
          <w:lang w:val="ro-RO"/>
        </w:rPr>
        <w:t>prioritizarea</w:t>
      </w:r>
      <w:r w:rsidRPr="00F05408">
        <w:rPr>
          <w:rFonts w:ascii="Calibri" w:hAnsi="Calibri"/>
          <w:color w:val="222222"/>
          <w:lang w:val="ro-RO"/>
        </w:rPr>
        <w:t xml:space="preserve"> scenariilor de risc singular sau multiplu. Matricea este o reprezentare grafică a scorurilor de impact și probabilități agregate. Comisia Europeană a recomandat acest instrument pentru a asigura posibilitatea comparării evaluării riscurilor în Statele Membre. </w:t>
      </w:r>
    </w:p>
    <w:p w:rsidR="00F05408" w:rsidRPr="00F05408" w:rsidRDefault="00F05408" w:rsidP="00F05408">
      <w:pPr>
        <w:jc w:val="both"/>
        <w:rPr>
          <w:rFonts w:ascii="Calibri" w:hAnsi="Calibri"/>
          <w:color w:val="222222"/>
          <w:sz w:val="14"/>
          <w:lang w:val="ro-RO"/>
        </w:rPr>
      </w:pPr>
    </w:p>
    <w:p w:rsidR="00F05408" w:rsidRPr="00F05408" w:rsidRDefault="00F05408" w:rsidP="00F05408">
      <w:pPr>
        <w:jc w:val="both"/>
        <w:rPr>
          <w:rFonts w:ascii="Calibri" w:hAnsi="Calibri"/>
          <w:color w:val="222222"/>
          <w:lang w:val="ro-RO"/>
        </w:rPr>
      </w:pPr>
      <w:r w:rsidRPr="00F05408">
        <w:rPr>
          <w:rFonts w:ascii="Calibri" w:hAnsi="Calibri"/>
          <w:color w:val="222222"/>
          <w:lang w:val="ro-RO"/>
        </w:rPr>
        <w:t xml:space="preserve">Conform matricei, impactul a fost plasat pe axa verticală și probabilitatea pe axa orizontală. </w:t>
      </w:r>
    </w:p>
    <w:p w:rsidR="00F05408" w:rsidRPr="00F05408" w:rsidRDefault="00F05408" w:rsidP="00F05408">
      <w:pPr>
        <w:jc w:val="both"/>
        <w:rPr>
          <w:rFonts w:ascii="Calibri" w:hAnsi="Calibri"/>
          <w:color w:val="222222"/>
          <w:sz w:val="12"/>
          <w:lang w:val="ro-RO"/>
        </w:rPr>
      </w:pPr>
    </w:p>
    <w:p w:rsidR="00F05408" w:rsidRPr="003964D3" w:rsidRDefault="00F05408" w:rsidP="00F05408">
      <w:pPr>
        <w:jc w:val="both"/>
        <w:rPr>
          <w:rFonts w:ascii="Calibri" w:hAnsi="Calibri"/>
          <w:color w:val="222222"/>
          <w:lang w:val="ro-RO"/>
        </w:rPr>
      </w:pPr>
      <w:r w:rsidRPr="003964D3">
        <w:rPr>
          <w:rFonts w:ascii="Calibri" w:hAnsi="Calibri"/>
          <w:color w:val="222222"/>
          <w:lang w:val="ro-RO"/>
        </w:rPr>
        <w:t xml:space="preserve">Poziționarea scenariilor pe matricea de </w:t>
      </w:r>
      <w:r w:rsidRPr="003964D3">
        <w:rPr>
          <w:rFonts w:ascii="Calibri" w:hAnsi="Calibri"/>
          <w:i/>
          <w:color w:val="222222"/>
          <w:lang w:val="ro-RO"/>
        </w:rPr>
        <w:t>risc cotează un risc în funcție de valoarea riscurilor prin plasarea lor pe cele trei zone ale matricei</w:t>
      </w:r>
      <w:r w:rsidRPr="003964D3">
        <w:rPr>
          <w:rFonts w:ascii="Calibri" w:hAnsi="Calibri"/>
          <w:color w:val="222222"/>
          <w:lang w:val="ro-RO"/>
        </w:rPr>
        <w:t xml:space="preserve">: </w:t>
      </w:r>
      <w:r w:rsidRPr="003964D3">
        <w:rPr>
          <w:rFonts w:ascii="Calibri" w:hAnsi="Calibri"/>
          <w:b/>
          <w:i/>
          <w:color w:val="1F4E79" w:themeColor="accent1" w:themeShade="80"/>
          <w:lang w:val="ro-RO"/>
        </w:rPr>
        <w:t>acceptabil - "verde"</w:t>
      </w:r>
      <w:r w:rsidRPr="003964D3">
        <w:rPr>
          <w:rFonts w:ascii="Calibri" w:hAnsi="Calibri"/>
          <w:b/>
          <w:color w:val="222222"/>
          <w:lang w:val="ro-RO"/>
        </w:rPr>
        <w:t xml:space="preserve">, </w:t>
      </w:r>
      <w:r w:rsidRPr="003964D3">
        <w:rPr>
          <w:rFonts w:ascii="Calibri" w:hAnsi="Calibri"/>
          <w:b/>
          <w:i/>
          <w:color w:val="1F4E79" w:themeColor="accent1" w:themeShade="80"/>
          <w:lang w:val="ro-RO"/>
        </w:rPr>
        <w:t>măsuri necesare ce trebuie puse în aplicare - "galben"</w:t>
      </w:r>
      <w:r w:rsidRPr="003964D3">
        <w:rPr>
          <w:rFonts w:ascii="Calibri" w:hAnsi="Calibri"/>
          <w:b/>
          <w:color w:val="222222"/>
          <w:lang w:val="ro-RO"/>
        </w:rPr>
        <w:t xml:space="preserve">, </w:t>
      </w:r>
      <w:r w:rsidRPr="003964D3">
        <w:rPr>
          <w:rFonts w:ascii="Calibri" w:hAnsi="Calibri"/>
          <w:b/>
          <w:i/>
          <w:color w:val="1F4E79" w:themeColor="accent1" w:themeShade="80"/>
          <w:lang w:val="ro-RO"/>
        </w:rPr>
        <w:t>nu este acceptabil - "roșu"</w:t>
      </w:r>
      <w:r w:rsidRPr="003964D3">
        <w:rPr>
          <w:rFonts w:ascii="Calibri" w:hAnsi="Calibri"/>
          <w:b/>
          <w:color w:val="222222"/>
          <w:lang w:val="ro-RO"/>
        </w:rPr>
        <w:t>.</w:t>
      </w:r>
    </w:p>
    <w:p w:rsidR="00F05408" w:rsidRPr="003964D3" w:rsidRDefault="00F05408" w:rsidP="00F05408">
      <w:pPr>
        <w:jc w:val="both"/>
        <w:rPr>
          <w:rFonts w:ascii="Calibri" w:hAnsi="Calibri"/>
          <w:color w:val="222222"/>
          <w:lang w:val="fr-FR"/>
        </w:rPr>
      </w:pPr>
      <w:r w:rsidRPr="003964D3">
        <w:rPr>
          <w:rFonts w:ascii="Calibri" w:hAnsi="Calibri"/>
          <w:color w:val="222222"/>
          <w:lang w:val="fr-FR"/>
        </w:rPr>
        <w:t>Reprezentarea scenariilor pe matricea de risc a furnizat o listă finală a principalelor riscuri la nivel național, în funcție de probabilitatea de apariție și aria de impact.</w:t>
      </w:r>
    </w:p>
    <w:p w:rsidR="00F05408" w:rsidRPr="0011411B" w:rsidRDefault="005F1342" w:rsidP="002C0646">
      <w:pPr>
        <w:jc w:val="center"/>
        <w:rPr>
          <w:rFonts w:ascii="Calibri" w:hAnsi="Calibri"/>
          <w:color w:val="222222"/>
          <w:lang w:val="fr-FR"/>
        </w:rPr>
      </w:pPr>
      <w:r w:rsidRPr="00F05408">
        <w:rPr>
          <w:rFonts w:ascii="Calibri" w:hAnsi="Calibri"/>
          <w:noProof/>
          <w:lang w:val="ro-RO" w:eastAsia="ro-RO"/>
        </w:rPr>
        <w:drawing>
          <wp:inline distT="0" distB="0" distL="0" distR="0">
            <wp:extent cx="6010656" cy="4242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ricea de risc.jpg"/>
                    <pic:cNvPicPr/>
                  </pic:nvPicPr>
                  <pic:blipFill>
                    <a:blip r:embed="rId58">
                      <a:extLst>
                        <a:ext uri="{28A0092B-C50C-407E-A947-70E740481C1C}">
                          <a14:useLocalDpi xmlns:a14="http://schemas.microsoft.com/office/drawing/2010/main" val="0"/>
                        </a:ext>
                      </a:extLst>
                    </a:blip>
                    <a:stretch>
                      <a:fillRect/>
                    </a:stretch>
                  </pic:blipFill>
                  <pic:spPr>
                    <a:xfrm>
                      <a:off x="0" y="0"/>
                      <a:ext cx="6126135" cy="4323942"/>
                    </a:xfrm>
                    <a:prstGeom prst="rect">
                      <a:avLst/>
                    </a:prstGeom>
                  </pic:spPr>
                </pic:pic>
              </a:graphicData>
            </a:graphic>
          </wp:inline>
        </w:drawing>
      </w:r>
    </w:p>
    <w:p w:rsidR="00A560AE" w:rsidRPr="00A560AE" w:rsidRDefault="00A560AE" w:rsidP="00F05408">
      <w:pPr>
        <w:jc w:val="both"/>
        <w:rPr>
          <w:rFonts w:ascii="Calibri" w:hAnsi="Calibri"/>
          <w:sz w:val="18"/>
          <w:lang w:val="fr-FR"/>
        </w:rPr>
      </w:pPr>
    </w:p>
    <w:p w:rsidR="00F05408" w:rsidRPr="00715536" w:rsidRDefault="00F05408" w:rsidP="00F05408">
      <w:pPr>
        <w:jc w:val="both"/>
        <w:rPr>
          <w:rFonts w:ascii="Calibri" w:hAnsi="Calibri"/>
          <w:lang w:val="fr-FR"/>
        </w:rPr>
      </w:pPr>
      <w:r w:rsidRPr="00715536">
        <w:rPr>
          <w:rFonts w:ascii="Calibri" w:hAnsi="Calibri"/>
          <w:lang w:val="fr-FR"/>
        </w:rPr>
        <w:t xml:space="preserve">Din </w:t>
      </w:r>
      <w:r w:rsidRPr="00715536">
        <w:rPr>
          <w:rFonts w:ascii="Calibri" w:hAnsi="Calibri"/>
          <w:i/>
          <w:color w:val="365F91"/>
          <w:lang w:val="fr-FR"/>
        </w:rPr>
        <w:t>matricea riscurilor</w:t>
      </w:r>
      <w:r w:rsidRPr="00F05408">
        <w:rPr>
          <w:rFonts w:ascii="Calibri" w:hAnsi="Calibri"/>
          <w:vertAlign w:val="superscript"/>
        </w:rPr>
        <w:footnoteReference w:id="55"/>
      </w:r>
      <w:r w:rsidRPr="00715536">
        <w:rPr>
          <w:rFonts w:ascii="Calibri" w:hAnsi="Calibri"/>
          <w:lang w:val="fr-FR"/>
        </w:rPr>
        <w:t xml:space="preserve"> de mai sus rezultă că următoarele riscuri: </w:t>
      </w:r>
      <w:r w:rsidRPr="00715536">
        <w:rPr>
          <w:rFonts w:ascii="Calibri" w:hAnsi="Calibri"/>
          <w:i/>
          <w:color w:val="1F4E79" w:themeColor="accent1" w:themeShade="80"/>
          <w:lang w:val="fr-FR"/>
        </w:rPr>
        <w:t>cutremurele, seceta, inundațiile, alunecările de teren, incendiile de pădure, epidemiile</w:t>
      </w:r>
      <w:r w:rsidRPr="00715536">
        <w:rPr>
          <w:rFonts w:ascii="Calibri" w:hAnsi="Calibri"/>
          <w:lang w:val="fr-FR"/>
        </w:rPr>
        <w:t>necesită măsuri ce trebuiesc puse în aplicare în cadrul managementului acestora.</w:t>
      </w:r>
    </w:p>
    <w:p w:rsidR="00F05408" w:rsidRPr="00F05408" w:rsidRDefault="00F05408" w:rsidP="00F05408">
      <w:pPr>
        <w:jc w:val="both"/>
        <w:rPr>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F05408" w:rsidRPr="00AC4302" w:rsidTr="00F05408">
        <w:trPr>
          <w:trHeight w:val="397"/>
        </w:trPr>
        <w:tc>
          <w:tcPr>
            <w:tcW w:w="9904" w:type="dxa"/>
            <w:shd w:val="clear" w:color="auto" w:fill="DBE5F1"/>
          </w:tcPr>
          <w:p w:rsidR="00F05408" w:rsidRPr="00F05408" w:rsidRDefault="00F05408" w:rsidP="00F05408">
            <w:pPr>
              <w:rPr>
                <w:rFonts w:ascii="Arial Narrow" w:hAnsi="Arial Narrow"/>
                <w:b/>
                <w:i/>
                <w:sz w:val="10"/>
                <w:lang w:val="ro-RO"/>
              </w:rPr>
            </w:pPr>
          </w:p>
          <w:p w:rsidR="00F05408" w:rsidRPr="00F05408" w:rsidRDefault="00F05408" w:rsidP="00F05408">
            <w:pPr>
              <w:rPr>
                <w:rFonts w:ascii="Arial Narrow" w:hAnsi="Arial Narrow"/>
                <w:b/>
                <w:i/>
                <w:color w:val="365F91"/>
                <w:lang w:val="ro-RO"/>
              </w:rPr>
            </w:pPr>
            <w:r w:rsidRPr="00F05408">
              <w:rPr>
                <w:rFonts w:ascii="Arial Narrow" w:hAnsi="Arial Narrow"/>
                <w:b/>
                <w:i/>
                <w:color w:val="365F91"/>
                <w:lang w:val="ro-RO"/>
              </w:rPr>
              <w:t xml:space="preserve"> Măsuri implementate sau în curs de implementare pentru prevenirea riscurilor generate de situații de urgență</w:t>
            </w:r>
          </w:p>
          <w:p w:rsidR="00F05408" w:rsidRPr="00F05408" w:rsidRDefault="00F05408" w:rsidP="00F05408">
            <w:pPr>
              <w:rPr>
                <w:rFonts w:ascii="Arial Narrow" w:hAnsi="Arial Narrow"/>
                <w:b/>
                <w:i/>
                <w:sz w:val="8"/>
                <w:lang w:val="ro-RO"/>
              </w:rPr>
            </w:pPr>
          </w:p>
        </w:tc>
      </w:tr>
    </w:tbl>
    <w:p w:rsidR="00F05408" w:rsidRPr="00F05408" w:rsidRDefault="00F05408" w:rsidP="00F05408">
      <w:pPr>
        <w:rPr>
          <w:sz w:val="18"/>
          <w:lang w:val="ro-RO"/>
        </w:rPr>
      </w:pPr>
    </w:p>
    <w:p w:rsidR="00F05408" w:rsidRPr="00F05408" w:rsidRDefault="00F05408" w:rsidP="00F05408">
      <w:pPr>
        <w:jc w:val="both"/>
        <w:rPr>
          <w:rFonts w:ascii="Calibri" w:hAnsi="Calibri"/>
          <w:lang w:val="ro-RO"/>
        </w:rPr>
      </w:pPr>
      <w:r w:rsidRPr="00F05408">
        <w:rPr>
          <w:rFonts w:ascii="Calibri" w:hAnsi="Calibri"/>
          <w:lang w:val="ro-RO"/>
        </w:rPr>
        <w:t xml:space="preserve">În vederea sprijinirii eforturilor României de a reacționa în mod eficient în cazul apariției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în luna iunie 2018, a fost încheiat </w:t>
      </w:r>
      <w:r w:rsidRPr="00F05408">
        <w:rPr>
          <w:rFonts w:ascii="Calibri" w:hAnsi="Calibri"/>
          <w:b/>
          <w:i/>
          <w:color w:val="365F91"/>
          <w:lang w:val="ro-RO"/>
        </w:rPr>
        <w:t>Acordul de împrumut pentru politici de dezvoltare privind managementul riscurilor de dezastru, cu opțiune de amânare a tragerii până la apariția unei catastrofe (CAT-DDO)</w:t>
      </w:r>
      <w:r w:rsidRPr="00F05408">
        <w:rPr>
          <w:rFonts w:ascii="Calibri" w:hAnsi="Calibri"/>
          <w:lang w:val="ro-RO"/>
        </w:rPr>
        <w:t xml:space="preserve">, în valoare de 400 milioane de euro, încheiat între Ministerul Finanțelor publice și BIRD (Banca Internațională pentru Reconstrucție și Dezvoltare). </w:t>
      </w:r>
    </w:p>
    <w:p w:rsidR="00F05408" w:rsidRPr="00F05408" w:rsidRDefault="00F05408" w:rsidP="00F05408">
      <w:pPr>
        <w:jc w:val="both"/>
        <w:rPr>
          <w:rFonts w:ascii="Calibri" w:hAnsi="Calibri"/>
          <w:sz w:val="14"/>
          <w:lang w:val="ro-RO"/>
        </w:rPr>
      </w:pPr>
    </w:p>
    <w:p w:rsidR="00F05408" w:rsidRPr="003964D3" w:rsidRDefault="00F05408" w:rsidP="00F05408">
      <w:pPr>
        <w:jc w:val="both"/>
        <w:rPr>
          <w:rFonts w:ascii="Calibri" w:hAnsi="Calibri"/>
          <w:color w:val="333333"/>
          <w:lang w:val="ro-RO"/>
        </w:rPr>
      </w:pPr>
      <w:r w:rsidRPr="003964D3">
        <w:rPr>
          <w:rFonts w:ascii="Calibri" w:hAnsi="Calibri"/>
          <w:color w:val="333333"/>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rsidR="00F05408" w:rsidRPr="003964D3" w:rsidRDefault="00F05408" w:rsidP="00F05408">
      <w:pPr>
        <w:shd w:val="clear" w:color="auto" w:fill="FFFFFF"/>
        <w:jc w:val="both"/>
        <w:rPr>
          <w:rFonts w:ascii="Calibri" w:hAnsi="Calibri"/>
          <w:color w:val="333333"/>
          <w:sz w:val="16"/>
          <w:lang w:val="ro-RO"/>
        </w:rPr>
      </w:pPr>
    </w:p>
    <w:p w:rsidR="00F05408" w:rsidRPr="003964D3" w:rsidRDefault="00F05408" w:rsidP="00F05408">
      <w:pPr>
        <w:shd w:val="clear" w:color="auto" w:fill="FFFFFF"/>
        <w:jc w:val="both"/>
        <w:rPr>
          <w:rFonts w:ascii="Calibri" w:hAnsi="Calibri"/>
          <w:b/>
          <w:color w:val="365F91"/>
          <w:lang w:val="ro-RO"/>
        </w:rPr>
      </w:pPr>
      <w:r w:rsidRPr="003964D3">
        <w:rPr>
          <w:rFonts w:ascii="Calibri" w:hAnsi="Calibri"/>
          <w:color w:val="333333"/>
          <w:lang w:val="ro-RO"/>
        </w:rPr>
        <w:t xml:space="preserve">Punerea în aplicare a acțiunilor prevăzute în Acordul de Împrumut se asigură de către: </w:t>
      </w:r>
      <w:r w:rsidRPr="003964D3">
        <w:rPr>
          <w:rFonts w:ascii="Calibri" w:hAnsi="Calibri"/>
          <w:b/>
          <w:color w:val="365F91"/>
          <w:lang w:val="ro-RO"/>
        </w:rPr>
        <w:t>Ministerul Finanțelor Publice</w:t>
      </w:r>
      <w:r w:rsidRPr="003964D3">
        <w:rPr>
          <w:rFonts w:ascii="Calibri" w:hAnsi="Calibri"/>
          <w:color w:val="333333"/>
          <w:lang w:val="ro-RO"/>
        </w:rPr>
        <w:t xml:space="preserve">, în calitate de împrumutat, </w:t>
      </w:r>
      <w:r w:rsidRPr="003964D3">
        <w:rPr>
          <w:rFonts w:ascii="Calibri" w:hAnsi="Calibri"/>
          <w:b/>
          <w:color w:val="365F91"/>
          <w:lang w:val="ro-RO"/>
        </w:rPr>
        <w:t>Ministerul Afacerilor Interne</w:t>
      </w:r>
      <w:r w:rsidRPr="003964D3">
        <w:rPr>
          <w:rFonts w:ascii="Calibri" w:hAnsi="Calibri"/>
          <w:color w:val="333333"/>
          <w:lang w:val="ro-RO"/>
        </w:rPr>
        <w:t xml:space="preserve">, în calitate de coordonator al Comitetului Național pentru Situații Speciale de Urgență, prin Departamentul pentru Situații de Urgență, precum și de către </w:t>
      </w:r>
      <w:r w:rsidRPr="003964D3">
        <w:rPr>
          <w:rFonts w:ascii="Calibri" w:hAnsi="Calibri"/>
          <w:b/>
          <w:color w:val="365F91"/>
          <w:lang w:val="ro-RO"/>
        </w:rPr>
        <w:t>Ministerul Dezvoltării Regionale și Administrației Publice.</w:t>
      </w:r>
    </w:p>
    <w:p w:rsidR="00F05408" w:rsidRPr="00F05408" w:rsidRDefault="00F05408" w:rsidP="00F05408">
      <w:pPr>
        <w:jc w:val="both"/>
        <w:rPr>
          <w:rFonts w:ascii="Calibri" w:hAnsi="Calibri"/>
          <w:b/>
          <w:color w:val="365F91"/>
          <w:sz w:val="18"/>
          <w:lang w:val="ro-RO"/>
        </w:rPr>
      </w:pPr>
    </w:p>
    <w:p w:rsidR="00F05408" w:rsidRPr="003964D3" w:rsidRDefault="00F05408" w:rsidP="00F05408">
      <w:pPr>
        <w:jc w:val="both"/>
        <w:rPr>
          <w:rFonts w:ascii="Calibri" w:hAnsi="Calibri"/>
          <w:i/>
          <w:lang w:val="ro-RO"/>
        </w:rPr>
      </w:pPr>
      <w:r w:rsidRPr="00F05408">
        <w:rPr>
          <w:rFonts w:ascii="Calibri" w:hAnsi="Calibri"/>
          <w:b/>
          <w:color w:val="365F91"/>
          <w:lang w:val="ro-RO"/>
        </w:rPr>
        <w:t>Ministerul Afacerilor Interne</w:t>
      </w:r>
      <w:r w:rsidRPr="00F05408">
        <w:rPr>
          <w:rFonts w:ascii="Calibri" w:hAnsi="Calibri"/>
          <w:lang w:val="ro-RO"/>
        </w:rPr>
        <w:t xml:space="preserve">, </w:t>
      </w:r>
      <w:r w:rsidRPr="003964D3">
        <w:rPr>
          <w:rFonts w:ascii="Calibri" w:hAnsi="Calibri"/>
          <w:lang w:val="ro-RO"/>
        </w:rPr>
        <w:t xml:space="preserve">prin IGSU, împreună cu alte autorități publice centrale și cu sprijinul mediului academic, după derularea proiectului RO-RISK a asigurat îndeplinirea unei condiționalități ex-ante impuse României și dispune de evaluarea națională a riscurilor concretizată prin cuantificarea impactului fizic, economic, social și psihologic, generat de următoarele 10 tipuri de risc majore/dezastre: </w:t>
      </w:r>
      <w:r w:rsidRPr="003964D3">
        <w:rPr>
          <w:rFonts w:ascii="Calibri" w:hAnsi="Calibri"/>
          <w:i/>
          <w:lang w:val="ro-RO"/>
        </w:rPr>
        <w:t>cutremur, inundații, secetă, incendii de pădure, alunecări de teren, accident nuclear și radiologic, accidente industriale majore ce implică substanțe periculoase (SEVESO), transportul sustanțelor periculoase, epidemii și zoonoze.</w:t>
      </w:r>
    </w:p>
    <w:p w:rsidR="00F05408" w:rsidRPr="003964D3" w:rsidRDefault="00F05408" w:rsidP="00F05408">
      <w:pPr>
        <w:jc w:val="both"/>
        <w:rPr>
          <w:rFonts w:ascii="Calibri" w:hAnsi="Calibri"/>
          <w:sz w:val="12"/>
          <w:lang w:val="ro-RO"/>
        </w:rPr>
      </w:pPr>
    </w:p>
    <w:p w:rsidR="00F05408" w:rsidRPr="003964D3" w:rsidRDefault="00F05408" w:rsidP="00F05408">
      <w:pPr>
        <w:jc w:val="both"/>
        <w:rPr>
          <w:rFonts w:ascii="Calibri" w:hAnsi="Calibri"/>
          <w:lang w:val="ro-RO"/>
        </w:rPr>
      </w:pPr>
      <w:r w:rsidRPr="003964D3">
        <w:rPr>
          <w:rFonts w:ascii="Calibri" w:hAnsi="Calibri"/>
          <w:b/>
          <w:color w:val="365F91"/>
          <w:lang w:val="ro-RO"/>
        </w:rPr>
        <w:t>Ministerul Apelor și Pădurilor</w:t>
      </w:r>
      <w:r w:rsidRPr="003964D3">
        <w:rPr>
          <w:rFonts w:ascii="Calibri" w:hAnsi="Calibri"/>
          <w:lang w:val="ro-RO"/>
        </w:rPr>
        <w:t xml:space="preserve">asigură managementul riscului la </w:t>
      </w:r>
      <w:r w:rsidRPr="003964D3">
        <w:rPr>
          <w:rFonts w:ascii="Calibri" w:hAnsi="Calibri"/>
          <w:b/>
          <w:i/>
          <w:color w:val="1F4E79" w:themeColor="accent1" w:themeShade="80"/>
          <w:lang w:val="ro-RO"/>
        </w:rPr>
        <w:t>inundații</w:t>
      </w:r>
      <w:r w:rsidRPr="003964D3">
        <w:rPr>
          <w:rFonts w:ascii="Calibri" w:hAnsi="Calibri"/>
          <w:lang w:val="ro-RO"/>
        </w:rPr>
        <w:t>care constă în asigurarea implementării strategiilor, politicilor și proiectelor în domeniul riscului la inundații.</w:t>
      </w:r>
    </w:p>
    <w:p w:rsidR="00F05408" w:rsidRPr="003964D3" w:rsidRDefault="00F05408" w:rsidP="00F05408">
      <w:pPr>
        <w:jc w:val="both"/>
        <w:rPr>
          <w:rFonts w:ascii="Calibri" w:hAnsi="Calibri"/>
          <w:sz w:val="14"/>
          <w:lang w:val="ro-RO"/>
        </w:rPr>
      </w:pPr>
    </w:p>
    <w:p w:rsidR="00F05408" w:rsidRPr="003964D3" w:rsidRDefault="00F05408" w:rsidP="00F05408">
      <w:pPr>
        <w:jc w:val="both"/>
        <w:rPr>
          <w:rFonts w:ascii="Calibri" w:hAnsi="Calibri"/>
          <w:lang w:val="ro-RO"/>
        </w:rPr>
      </w:pPr>
      <w:r w:rsidRPr="003964D3">
        <w:rPr>
          <w:rFonts w:ascii="Calibri" w:hAnsi="Calibri"/>
          <w:lang w:val="ro-RO"/>
        </w:rPr>
        <w:t>În promovarea construcțiilor și amenajărilor hidrotehnice, Ministerul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rsidR="00F05408" w:rsidRPr="003964D3" w:rsidRDefault="00F05408" w:rsidP="00F05408">
      <w:pPr>
        <w:jc w:val="both"/>
        <w:rPr>
          <w:rFonts w:ascii="Calibri" w:hAnsi="Calibri"/>
          <w:sz w:val="16"/>
          <w:lang w:val="ro-RO"/>
        </w:rPr>
      </w:pPr>
    </w:p>
    <w:p w:rsidR="00F05408" w:rsidRPr="003964D3" w:rsidRDefault="00F05408" w:rsidP="00F05408">
      <w:pPr>
        <w:jc w:val="both"/>
        <w:rPr>
          <w:rFonts w:ascii="Calibri" w:hAnsi="Calibri"/>
          <w:lang w:val="ro-RO"/>
        </w:rPr>
      </w:pPr>
      <w:r w:rsidRPr="003964D3">
        <w:rPr>
          <w:rFonts w:ascii="Calibri" w:hAnsi="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rsidR="00F05408" w:rsidRPr="003964D3" w:rsidRDefault="00F05408" w:rsidP="00F05408">
      <w:pPr>
        <w:jc w:val="both"/>
        <w:rPr>
          <w:rFonts w:ascii="Calibri" w:hAnsi="Calibri"/>
          <w:sz w:val="14"/>
          <w:lang w:val="ro-RO"/>
        </w:rPr>
      </w:pPr>
    </w:p>
    <w:p w:rsidR="00F05408" w:rsidRPr="003964D3" w:rsidRDefault="00F05408" w:rsidP="00F05408">
      <w:pPr>
        <w:jc w:val="both"/>
        <w:rPr>
          <w:rFonts w:ascii="Calibri" w:hAnsi="Calibri"/>
          <w:lang w:val="ro-RO"/>
        </w:rPr>
      </w:pPr>
      <w:r w:rsidRPr="003964D3">
        <w:rPr>
          <w:rFonts w:ascii="Calibri" w:hAnsi="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rsidR="00F05408" w:rsidRPr="003964D3" w:rsidRDefault="00F05408" w:rsidP="00F05408">
      <w:pPr>
        <w:jc w:val="both"/>
        <w:rPr>
          <w:rFonts w:ascii="Calibri" w:hAnsi="Calibri"/>
          <w:sz w:val="12"/>
          <w:lang w:val="ro-RO"/>
        </w:rPr>
      </w:pPr>
    </w:p>
    <w:p w:rsidR="00F05408" w:rsidRPr="003964D3" w:rsidRDefault="00F05408" w:rsidP="00F05408">
      <w:pPr>
        <w:jc w:val="both"/>
        <w:rPr>
          <w:rFonts w:ascii="Calibri" w:hAnsi="Calibri"/>
          <w:lang w:val="ro-RO"/>
        </w:rPr>
      </w:pPr>
      <w:r w:rsidRPr="003964D3">
        <w:rPr>
          <w:rFonts w:ascii="Calibri" w:hAnsi="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Apelor și Pădurilor, Ministerul Transporturilor, Ministerul Mediului, Ministerul Agriculturii și Dezvoltării Rurale, Ministerul Economiei, precum și administrațiile regionale/județene și locale).</w:t>
      </w:r>
    </w:p>
    <w:p w:rsidR="00F05408" w:rsidRPr="003964D3" w:rsidRDefault="00F05408" w:rsidP="00F05408">
      <w:pPr>
        <w:jc w:val="both"/>
        <w:rPr>
          <w:rFonts w:ascii="Calibri" w:hAnsi="Calibri"/>
          <w:sz w:val="14"/>
          <w:lang w:val="ro-RO"/>
        </w:rPr>
      </w:pPr>
    </w:p>
    <w:p w:rsidR="00F05408" w:rsidRPr="003964D3" w:rsidRDefault="00F05408" w:rsidP="00F05408">
      <w:pPr>
        <w:jc w:val="both"/>
        <w:rPr>
          <w:rFonts w:ascii="Calibri" w:hAnsi="Calibri"/>
          <w:lang w:val="ro-RO"/>
        </w:rPr>
      </w:pPr>
      <w:r w:rsidRPr="003964D3">
        <w:rPr>
          <w:rFonts w:ascii="Calibri" w:hAnsi="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rsidR="00F05408" w:rsidRPr="003964D3" w:rsidRDefault="00F05408" w:rsidP="00F05408">
      <w:pPr>
        <w:jc w:val="both"/>
        <w:rPr>
          <w:rFonts w:ascii="Calibri" w:hAnsi="Calibri"/>
          <w:b/>
          <w:color w:val="365F91"/>
          <w:sz w:val="14"/>
          <w:lang w:val="ro-RO"/>
        </w:rPr>
      </w:pPr>
    </w:p>
    <w:p w:rsidR="00F05408" w:rsidRPr="003964D3" w:rsidRDefault="00F05408" w:rsidP="00F05408">
      <w:pPr>
        <w:jc w:val="both"/>
        <w:rPr>
          <w:rFonts w:ascii="Calibri" w:hAnsi="Calibri"/>
          <w:b/>
          <w:color w:val="365F91"/>
          <w:lang w:val="ro-RO"/>
        </w:rPr>
      </w:pPr>
      <w:r w:rsidRPr="003964D3">
        <w:rPr>
          <w:rFonts w:ascii="Calibri" w:hAnsi="Calibri"/>
          <w:b/>
          <w:color w:val="365F91"/>
          <w:lang w:val="ro-RO"/>
        </w:rPr>
        <w:t xml:space="preserve">Ministerul Mediului </w:t>
      </w:r>
    </w:p>
    <w:p w:rsidR="00F05408" w:rsidRPr="003964D3" w:rsidRDefault="00F05408" w:rsidP="00F05408">
      <w:pPr>
        <w:jc w:val="both"/>
        <w:rPr>
          <w:rFonts w:ascii="Calibri" w:hAnsi="Calibri"/>
          <w:lang w:val="ro-RO"/>
        </w:rPr>
      </w:pPr>
      <w:r w:rsidRPr="003964D3">
        <w:rPr>
          <w:rFonts w:ascii="Calibri" w:hAnsi="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rsidR="00F05408" w:rsidRPr="003964D3" w:rsidRDefault="00F05408" w:rsidP="00F05408">
      <w:pPr>
        <w:jc w:val="both"/>
        <w:rPr>
          <w:rFonts w:ascii="Calibri" w:hAnsi="Calibri"/>
          <w:sz w:val="12"/>
          <w:lang w:val="ro-RO"/>
        </w:rPr>
      </w:pPr>
    </w:p>
    <w:p w:rsidR="00F05408" w:rsidRPr="003964D3" w:rsidRDefault="00F05408" w:rsidP="00F05408">
      <w:pPr>
        <w:jc w:val="both"/>
        <w:rPr>
          <w:rFonts w:ascii="Calibri" w:hAnsi="Calibri"/>
          <w:lang w:val="fr-FR"/>
        </w:rPr>
      </w:pPr>
      <w:r w:rsidRPr="003964D3">
        <w:rPr>
          <w:rFonts w:ascii="Calibri" w:hAnsi="Calibri"/>
          <w:lang w:val="ro-RO"/>
        </w:rPr>
        <w:t xml:space="preserve">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w:t>
      </w:r>
      <w:r w:rsidRPr="003964D3">
        <w:rPr>
          <w:rFonts w:ascii="Calibri" w:hAnsi="Calibri"/>
          <w:lang w:val="fr-FR"/>
        </w:rPr>
        <w:t>Ca o consecință, efectele asupra activității socio-economice ale fenomenelor meteorologice periculoase (valuri de căldură, secete, furtuni, ploi torențiale, etc) vor fi tot mai pregnante.</w:t>
      </w:r>
    </w:p>
    <w:p w:rsidR="00F05408" w:rsidRPr="003964D3" w:rsidRDefault="00F05408" w:rsidP="00F05408">
      <w:pPr>
        <w:jc w:val="both"/>
        <w:rPr>
          <w:rFonts w:ascii="Calibri" w:hAnsi="Calibri"/>
          <w:sz w:val="10"/>
          <w:highlight w:val="yellow"/>
          <w:lang w:val="fr-FR"/>
        </w:rPr>
      </w:pPr>
    </w:p>
    <w:p w:rsidR="00F05408" w:rsidRPr="003964D3" w:rsidRDefault="00F05408" w:rsidP="00F05408">
      <w:pPr>
        <w:jc w:val="both"/>
        <w:rPr>
          <w:rFonts w:ascii="Calibri" w:hAnsi="Calibri"/>
          <w:lang w:val="fr-FR"/>
        </w:rPr>
      </w:pPr>
      <w:r w:rsidRPr="003964D3">
        <w:rPr>
          <w:rFonts w:ascii="Calibri" w:hAnsi="Calibri"/>
          <w:lang w:val="fr-FR"/>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rsidR="00F05408" w:rsidRPr="003964D3" w:rsidRDefault="00F05408" w:rsidP="00F05408">
      <w:pPr>
        <w:jc w:val="both"/>
        <w:rPr>
          <w:rFonts w:ascii="Calibri" w:hAnsi="Calibri"/>
          <w:sz w:val="12"/>
          <w:lang w:val="fr-FR"/>
        </w:rPr>
      </w:pPr>
    </w:p>
    <w:p w:rsidR="00F05408" w:rsidRPr="003964D3" w:rsidRDefault="00F05408" w:rsidP="00F05408">
      <w:pPr>
        <w:jc w:val="both"/>
        <w:rPr>
          <w:rFonts w:ascii="Calibri" w:hAnsi="Calibri"/>
          <w:lang w:val="fr-FR"/>
        </w:rPr>
      </w:pPr>
      <w:r w:rsidRPr="003964D3">
        <w:rPr>
          <w:rFonts w:ascii="Calibri" w:hAnsi="Calibri"/>
          <w:lang w:val="fr-FR"/>
        </w:rPr>
        <w:t>Valurile de căldură și episoadele cu precipitații intense sunt hazarduri amplificate în mediul urban de caracteristicile mediului construit.</w:t>
      </w:r>
    </w:p>
    <w:p w:rsidR="00F05408" w:rsidRPr="003964D3" w:rsidRDefault="00F05408" w:rsidP="00F05408">
      <w:pPr>
        <w:jc w:val="both"/>
        <w:rPr>
          <w:rFonts w:ascii="Calibri" w:hAnsi="Calibri"/>
          <w:sz w:val="14"/>
          <w:lang w:val="fr-FR"/>
        </w:rPr>
      </w:pPr>
    </w:p>
    <w:p w:rsidR="00F05408" w:rsidRPr="003964D3" w:rsidRDefault="00F05408" w:rsidP="00F05408">
      <w:pPr>
        <w:jc w:val="both"/>
        <w:rPr>
          <w:rFonts w:ascii="Calibri" w:hAnsi="Calibri"/>
          <w:lang w:val="fr-FR"/>
        </w:rPr>
      </w:pPr>
      <w:r w:rsidRPr="003964D3">
        <w:rPr>
          <w:rFonts w:ascii="Calibri" w:hAnsi="Calibri"/>
          <w:lang w:val="fr-FR"/>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rsidR="00F05408" w:rsidRPr="003964D3" w:rsidRDefault="00F05408" w:rsidP="00F05408">
      <w:pPr>
        <w:jc w:val="both"/>
        <w:rPr>
          <w:rFonts w:ascii="Calibri" w:hAnsi="Calibri"/>
          <w:sz w:val="14"/>
          <w:lang w:val="fr-FR"/>
        </w:rPr>
      </w:pPr>
    </w:p>
    <w:p w:rsidR="00F05408" w:rsidRPr="003964D3" w:rsidRDefault="00F05408" w:rsidP="00F05408">
      <w:pPr>
        <w:jc w:val="both"/>
        <w:rPr>
          <w:rFonts w:ascii="Calibri" w:hAnsi="Calibri"/>
          <w:lang w:val="fr-FR"/>
        </w:rPr>
      </w:pPr>
      <w:r w:rsidRPr="003964D3">
        <w:rPr>
          <w:rFonts w:ascii="Calibri" w:hAnsi="Calibri"/>
          <w:lang w:val="fr-FR"/>
        </w:rPr>
        <w:t xml:space="preserve">Impactul economic asociat secetei meteorologice a fost cuantificat în cadrul </w:t>
      </w:r>
      <w:r w:rsidRPr="003964D3">
        <w:rPr>
          <w:rFonts w:ascii="Calibri" w:hAnsi="Calibri"/>
          <w:b/>
          <w:color w:val="365F91"/>
          <w:lang w:val="fr-FR"/>
        </w:rPr>
        <w:t>Proiectului „Evaluarea riscurilor de dezastre la nivel național” – RO-RISK,</w:t>
      </w:r>
      <w:r w:rsidRPr="003964D3">
        <w:rPr>
          <w:rFonts w:ascii="Calibri" w:hAnsi="Calibri"/>
          <w:lang w:val="fr-FR"/>
        </w:rPr>
        <w:t xml:space="preserve"> finanțat în cadrul Programului Operațional Capacitate Administrativă 2014-2020.</w:t>
      </w:r>
    </w:p>
    <w:p w:rsidR="00F05408" w:rsidRPr="003964D3" w:rsidRDefault="00F05408" w:rsidP="00F05408">
      <w:pPr>
        <w:jc w:val="both"/>
        <w:rPr>
          <w:rFonts w:ascii="Calibri" w:hAnsi="Calibri"/>
          <w:sz w:val="12"/>
          <w:lang w:val="fr-FR"/>
        </w:rPr>
      </w:pPr>
    </w:p>
    <w:p w:rsidR="00F05408" w:rsidRPr="003964D3" w:rsidRDefault="00F05408" w:rsidP="00F05408">
      <w:pPr>
        <w:jc w:val="both"/>
        <w:rPr>
          <w:rFonts w:ascii="Calibri" w:hAnsi="Calibri"/>
          <w:lang w:val="fr-FR"/>
        </w:rPr>
      </w:pPr>
      <w:r w:rsidRPr="003964D3">
        <w:rPr>
          <w:rFonts w:ascii="Calibri" w:hAnsi="Calibri"/>
          <w:lang w:val="fr-FR"/>
        </w:rPr>
        <w:t>În cadrul proiectului au fost analizate 4 scenarii pentru seceta meteorologică din care 2 scenarii la nivel național și 2 scenarii la nivel regional, după cum urmează:</w:t>
      </w:r>
    </w:p>
    <w:p w:rsidR="00F05408" w:rsidRPr="00F05408" w:rsidRDefault="00F05408" w:rsidP="00F05408">
      <w:pPr>
        <w:numPr>
          <w:ilvl w:val="0"/>
          <w:numId w:val="75"/>
        </w:numPr>
        <w:contextualSpacing/>
        <w:jc w:val="both"/>
        <w:rPr>
          <w:rFonts w:ascii="Calibri" w:eastAsia="Calibri" w:hAnsi="Calibri"/>
          <w:lang w:val="ro-RO"/>
        </w:rPr>
      </w:pPr>
      <w:r w:rsidRPr="00F05408">
        <w:rPr>
          <w:rFonts w:ascii="Calibri" w:eastAsia="Calibri" w:hAnsi="Calibri"/>
          <w:lang w:val="ro-RO"/>
        </w:rPr>
        <w:t>Scenariul 1 – Anul 2011-2012, an excesiv secetos la nivel național, cu o perioadă de revenire de 3 evenimente la 10 ani;</w:t>
      </w:r>
    </w:p>
    <w:p w:rsidR="00F05408" w:rsidRPr="00F05408" w:rsidRDefault="00F05408" w:rsidP="00F05408">
      <w:pPr>
        <w:numPr>
          <w:ilvl w:val="0"/>
          <w:numId w:val="75"/>
        </w:numPr>
        <w:contextualSpacing/>
        <w:jc w:val="both"/>
        <w:rPr>
          <w:rFonts w:ascii="Calibri" w:eastAsia="Calibri" w:hAnsi="Calibri"/>
          <w:lang w:val="ro-RO"/>
        </w:rPr>
      </w:pPr>
      <w:r w:rsidRPr="00F05408">
        <w:rPr>
          <w:rFonts w:ascii="Calibri" w:eastAsia="Calibri" w:hAnsi="Calibri"/>
          <w:lang w:val="ro-RO"/>
        </w:rPr>
        <w:t>Scenariul 2 – Anul 2006-2007, an excesiv secetos la nivel național, cu o perioadă de revenire de 1 eveniment la 25 ani, respectiv 4 evenimente la 100 de ani;</w:t>
      </w:r>
    </w:p>
    <w:p w:rsidR="00F05408" w:rsidRPr="00F05408" w:rsidRDefault="00F05408" w:rsidP="00F05408">
      <w:pPr>
        <w:numPr>
          <w:ilvl w:val="0"/>
          <w:numId w:val="75"/>
        </w:numPr>
        <w:contextualSpacing/>
        <w:jc w:val="both"/>
        <w:rPr>
          <w:rFonts w:ascii="Calibri" w:eastAsia="Calibri" w:hAnsi="Calibri"/>
          <w:lang w:val="ro-RO"/>
        </w:rPr>
      </w:pPr>
      <w:r w:rsidRPr="00F05408">
        <w:rPr>
          <w:rFonts w:ascii="Calibri" w:eastAsia="Calibri" w:hAnsi="Calibri"/>
          <w:lang w:val="ro-RO"/>
        </w:rPr>
        <w:t>Scenariul 3 – Sudul României (Oltenia și Muntenia), cu o perioadă de revenire între 10 și 100 de ani;</w:t>
      </w:r>
    </w:p>
    <w:p w:rsidR="00F05408" w:rsidRPr="00F05408" w:rsidRDefault="00F05408" w:rsidP="00F05408">
      <w:pPr>
        <w:numPr>
          <w:ilvl w:val="0"/>
          <w:numId w:val="75"/>
        </w:numPr>
        <w:contextualSpacing/>
        <w:jc w:val="both"/>
        <w:rPr>
          <w:rFonts w:ascii="Calibri" w:eastAsia="Calibri" w:hAnsi="Calibri"/>
          <w:lang w:val="ro-RO"/>
        </w:rPr>
      </w:pPr>
      <w:r w:rsidRPr="00F05408">
        <w:rPr>
          <w:rFonts w:ascii="Calibri" w:eastAsia="Calibri" w:hAnsi="Calibri"/>
          <w:lang w:val="ro-RO"/>
        </w:rPr>
        <w:t>Scenariul 4 – Sudul Moldovei, cu o perioadă de revenire între 10 și 100 de ani.</w:t>
      </w:r>
    </w:p>
    <w:p w:rsidR="00F05408" w:rsidRPr="003964D3" w:rsidRDefault="00F05408" w:rsidP="00F05408">
      <w:pPr>
        <w:jc w:val="both"/>
        <w:rPr>
          <w:rFonts w:ascii="Calibri" w:hAnsi="Calibri"/>
          <w:lang w:val="ro-RO"/>
        </w:rPr>
      </w:pPr>
      <w:r w:rsidRPr="003964D3">
        <w:rPr>
          <w:rFonts w:ascii="Calibri" w:hAnsi="Calibri"/>
          <w:lang w:val="ro-RO"/>
        </w:rPr>
        <w:t>Din calculul impactului economic aferent scenariilor de secetă meteorologică analizate, rezultă următoarele valori aferente pierderilor de producție vegetală și pierderi de PIB:</w:t>
      </w:r>
    </w:p>
    <w:p w:rsidR="00F05408" w:rsidRPr="00F05408" w:rsidRDefault="00F05408" w:rsidP="00F05408">
      <w:pPr>
        <w:jc w:val="right"/>
        <w:rPr>
          <w:rFonts w:ascii="Calibri" w:hAnsi="Calibri"/>
          <w:color w:val="365F91"/>
        </w:rPr>
      </w:pPr>
      <w:r w:rsidRPr="00F05408">
        <w:rPr>
          <w:rFonts w:ascii="Calibri" w:hAnsi="Calibri"/>
          <w:color w:val="365F91"/>
        </w:rPr>
        <w:t>mil. Euro</w:t>
      </w:r>
    </w:p>
    <w:tbl>
      <w:tblPr>
        <w:tblStyle w:val="TableGrid"/>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F05408" w:rsidRPr="00676F16" w:rsidTr="00676F16">
        <w:trPr>
          <w:jc w:val="center"/>
        </w:trPr>
        <w:tc>
          <w:tcPr>
            <w:tcW w:w="846" w:type="dxa"/>
            <w:shd w:val="clear" w:color="auto" w:fill="365F91"/>
          </w:tcPr>
          <w:p w:rsidR="00F05408" w:rsidRPr="00676F16" w:rsidRDefault="00F05408" w:rsidP="00F05408">
            <w:pPr>
              <w:jc w:val="right"/>
              <w:rPr>
                <w:rFonts w:ascii="Calibri" w:hAnsi="Calibri"/>
                <w:b/>
                <w:color w:val="FFFFFF" w:themeColor="background1"/>
                <w:szCs w:val="26"/>
              </w:rPr>
            </w:pPr>
            <w:r w:rsidRPr="00676F16">
              <w:rPr>
                <w:rFonts w:ascii="Calibri" w:hAnsi="Calibri"/>
                <w:b/>
                <w:color w:val="FFFFFF" w:themeColor="background1"/>
                <w:szCs w:val="26"/>
              </w:rPr>
              <w:t>Nr. crt.</w:t>
            </w:r>
          </w:p>
        </w:tc>
        <w:tc>
          <w:tcPr>
            <w:tcW w:w="3690" w:type="dxa"/>
            <w:shd w:val="clear" w:color="auto" w:fill="365F91"/>
          </w:tcPr>
          <w:p w:rsidR="00F05408" w:rsidRPr="00676F16" w:rsidRDefault="00F05408" w:rsidP="00F05408">
            <w:pPr>
              <w:jc w:val="right"/>
              <w:rPr>
                <w:rFonts w:ascii="Calibri" w:hAnsi="Calibri"/>
                <w:b/>
                <w:color w:val="FFFFFF" w:themeColor="background1"/>
                <w:szCs w:val="26"/>
              </w:rPr>
            </w:pPr>
            <w:r w:rsidRPr="00676F16">
              <w:rPr>
                <w:rFonts w:ascii="Calibri" w:hAnsi="Calibri"/>
                <w:b/>
                <w:color w:val="FFFFFF" w:themeColor="background1"/>
                <w:szCs w:val="26"/>
              </w:rPr>
              <w:t>Scenariul</w:t>
            </w:r>
          </w:p>
        </w:tc>
        <w:tc>
          <w:tcPr>
            <w:tcW w:w="2832" w:type="dxa"/>
            <w:shd w:val="clear" w:color="auto" w:fill="365F91"/>
          </w:tcPr>
          <w:p w:rsidR="00F05408" w:rsidRPr="00676F16" w:rsidRDefault="00F05408" w:rsidP="00F05408">
            <w:pPr>
              <w:jc w:val="right"/>
              <w:rPr>
                <w:rFonts w:ascii="Calibri" w:hAnsi="Calibri"/>
                <w:b/>
                <w:color w:val="FFFFFF" w:themeColor="background1"/>
                <w:szCs w:val="26"/>
              </w:rPr>
            </w:pPr>
            <w:r w:rsidRPr="00676F16">
              <w:rPr>
                <w:rFonts w:ascii="Calibri" w:hAnsi="Calibri"/>
                <w:b/>
                <w:color w:val="FFFFFF" w:themeColor="background1"/>
                <w:szCs w:val="26"/>
              </w:rPr>
              <w:t>Pierderi de producție</w:t>
            </w:r>
          </w:p>
        </w:tc>
        <w:tc>
          <w:tcPr>
            <w:tcW w:w="2552" w:type="dxa"/>
            <w:shd w:val="clear" w:color="auto" w:fill="365F91"/>
          </w:tcPr>
          <w:p w:rsidR="00F05408" w:rsidRPr="00676F16" w:rsidRDefault="00F05408" w:rsidP="00F05408">
            <w:pPr>
              <w:jc w:val="right"/>
              <w:rPr>
                <w:rFonts w:ascii="Calibri" w:hAnsi="Calibri"/>
                <w:b/>
                <w:color w:val="FFFFFF" w:themeColor="background1"/>
                <w:szCs w:val="26"/>
              </w:rPr>
            </w:pPr>
            <w:r w:rsidRPr="00676F16">
              <w:rPr>
                <w:rFonts w:ascii="Calibri" w:hAnsi="Calibri"/>
                <w:b/>
                <w:color w:val="FFFFFF" w:themeColor="background1"/>
                <w:szCs w:val="26"/>
              </w:rPr>
              <w:t>Pierderi de PIB</w:t>
            </w:r>
          </w:p>
        </w:tc>
      </w:tr>
      <w:tr w:rsidR="00F05408" w:rsidRPr="00F05408" w:rsidTr="00676F16">
        <w:trPr>
          <w:jc w:val="center"/>
        </w:trPr>
        <w:tc>
          <w:tcPr>
            <w:tcW w:w="846" w:type="dxa"/>
          </w:tcPr>
          <w:p w:rsidR="00F05408" w:rsidRPr="00F05408" w:rsidRDefault="00F05408" w:rsidP="00F05408">
            <w:pPr>
              <w:jc w:val="right"/>
              <w:rPr>
                <w:rFonts w:ascii="Calibri" w:hAnsi="Calibri"/>
                <w:color w:val="365F91"/>
              </w:rPr>
            </w:pPr>
            <w:r w:rsidRPr="00F05408">
              <w:rPr>
                <w:rFonts w:ascii="Calibri" w:hAnsi="Calibri"/>
                <w:color w:val="365F91"/>
              </w:rPr>
              <w:t>1</w:t>
            </w:r>
          </w:p>
        </w:tc>
        <w:tc>
          <w:tcPr>
            <w:tcW w:w="3690" w:type="dxa"/>
          </w:tcPr>
          <w:p w:rsidR="00F05408" w:rsidRPr="00F05408" w:rsidRDefault="00F05408" w:rsidP="00F05408">
            <w:pPr>
              <w:jc w:val="right"/>
              <w:rPr>
                <w:rFonts w:ascii="Calibri" w:hAnsi="Calibri"/>
                <w:color w:val="365F91"/>
              </w:rPr>
            </w:pPr>
            <w:r w:rsidRPr="00F05408">
              <w:rPr>
                <w:rFonts w:ascii="Calibri" w:hAnsi="Calibri"/>
                <w:color w:val="365F91"/>
              </w:rPr>
              <w:t>Scenariul național 2006-2007</w:t>
            </w:r>
          </w:p>
        </w:tc>
        <w:tc>
          <w:tcPr>
            <w:tcW w:w="2832" w:type="dxa"/>
          </w:tcPr>
          <w:p w:rsidR="00F05408" w:rsidRPr="00F05408" w:rsidRDefault="00F05408" w:rsidP="00F05408">
            <w:pPr>
              <w:jc w:val="right"/>
              <w:rPr>
                <w:rFonts w:ascii="Calibri" w:hAnsi="Calibri"/>
                <w:color w:val="365F91"/>
              </w:rPr>
            </w:pPr>
            <w:r w:rsidRPr="00F05408">
              <w:rPr>
                <w:rFonts w:ascii="Calibri" w:hAnsi="Calibri"/>
                <w:color w:val="365F91"/>
              </w:rPr>
              <w:t>4606,1</w:t>
            </w:r>
          </w:p>
        </w:tc>
        <w:tc>
          <w:tcPr>
            <w:tcW w:w="2552" w:type="dxa"/>
          </w:tcPr>
          <w:p w:rsidR="00F05408" w:rsidRPr="00F05408" w:rsidRDefault="00F05408" w:rsidP="00F05408">
            <w:pPr>
              <w:jc w:val="right"/>
              <w:rPr>
                <w:rFonts w:ascii="Calibri" w:hAnsi="Calibri"/>
                <w:color w:val="365F91"/>
              </w:rPr>
            </w:pPr>
            <w:r w:rsidRPr="00F05408">
              <w:rPr>
                <w:rFonts w:ascii="Calibri" w:hAnsi="Calibri"/>
                <w:color w:val="365F91"/>
              </w:rPr>
              <w:t>4978,2</w:t>
            </w:r>
          </w:p>
        </w:tc>
      </w:tr>
      <w:tr w:rsidR="00F05408" w:rsidRPr="00F05408" w:rsidTr="00676F16">
        <w:trPr>
          <w:jc w:val="center"/>
        </w:trPr>
        <w:tc>
          <w:tcPr>
            <w:tcW w:w="846" w:type="dxa"/>
          </w:tcPr>
          <w:p w:rsidR="00F05408" w:rsidRPr="00F05408" w:rsidRDefault="00F05408" w:rsidP="00F05408">
            <w:pPr>
              <w:jc w:val="right"/>
              <w:rPr>
                <w:rFonts w:ascii="Calibri" w:hAnsi="Calibri"/>
                <w:color w:val="365F91"/>
              </w:rPr>
            </w:pPr>
            <w:r w:rsidRPr="00F05408">
              <w:rPr>
                <w:rFonts w:ascii="Calibri" w:hAnsi="Calibri"/>
                <w:color w:val="365F91"/>
              </w:rPr>
              <w:t>2</w:t>
            </w:r>
          </w:p>
        </w:tc>
        <w:tc>
          <w:tcPr>
            <w:tcW w:w="3690" w:type="dxa"/>
          </w:tcPr>
          <w:p w:rsidR="00F05408" w:rsidRPr="00F05408" w:rsidRDefault="00F05408" w:rsidP="00F05408">
            <w:pPr>
              <w:jc w:val="right"/>
              <w:rPr>
                <w:rFonts w:ascii="Calibri" w:hAnsi="Calibri"/>
                <w:color w:val="365F91"/>
              </w:rPr>
            </w:pPr>
            <w:r w:rsidRPr="00F05408">
              <w:rPr>
                <w:rFonts w:ascii="Calibri" w:hAnsi="Calibri"/>
                <w:color w:val="365F91"/>
              </w:rPr>
              <w:t>Scenariul național 2011-2012</w:t>
            </w:r>
          </w:p>
        </w:tc>
        <w:tc>
          <w:tcPr>
            <w:tcW w:w="2832" w:type="dxa"/>
          </w:tcPr>
          <w:p w:rsidR="00F05408" w:rsidRPr="00F05408" w:rsidRDefault="00F05408" w:rsidP="00F05408">
            <w:pPr>
              <w:jc w:val="right"/>
              <w:rPr>
                <w:rFonts w:ascii="Calibri" w:hAnsi="Calibri"/>
                <w:color w:val="365F91"/>
              </w:rPr>
            </w:pPr>
            <w:r w:rsidRPr="00F05408">
              <w:rPr>
                <w:rFonts w:ascii="Calibri" w:hAnsi="Calibri"/>
                <w:color w:val="365F91"/>
              </w:rPr>
              <w:t>4376,4</w:t>
            </w:r>
          </w:p>
        </w:tc>
        <w:tc>
          <w:tcPr>
            <w:tcW w:w="2552" w:type="dxa"/>
          </w:tcPr>
          <w:p w:rsidR="00F05408" w:rsidRPr="00F05408" w:rsidRDefault="00F05408" w:rsidP="00F05408">
            <w:pPr>
              <w:jc w:val="right"/>
              <w:rPr>
                <w:rFonts w:ascii="Calibri" w:hAnsi="Calibri"/>
                <w:color w:val="365F91"/>
              </w:rPr>
            </w:pPr>
            <w:r w:rsidRPr="00F05408">
              <w:rPr>
                <w:rFonts w:ascii="Calibri" w:hAnsi="Calibri"/>
                <w:color w:val="365F91"/>
              </w:rPr>
              <w:t>4686,5</w:t>
            </w:r>
          </w:p>
        </w:tc>
      </w:tr>
      <w:tr w:rsidR="00F05408" w:rsidRPr="00F05408" w:rsidTr="00676F16">
        <w:trPr>
          <w:jc w:val="center"/>
        </w:trPr>
        <w:tc>
          <w:tcPr>
            <w:tcW w:w="846" w:type="dxa"/>
          </w:tcPr>
          <w:p w:rsidR="00F05408" w:rsidRPr="00F05408" w:rsidRDefault="00F05408" w:rsidP="00F05408">
            <w:pPr>
              <w:jc w:val="right"/>
              <w:rPr>
                <w:rFonts w:ascii="Calibri" w:hAnsi="Calibri"/>
                <w:color w:val="365F91"/>
              </w:rPr>
            </w:pPr>
            <w:r w:rsidRPr="00F05408">
              <w:rPr>
                <w:rFonts w:ascii="Calibri" w:hAnsi="Calibri"/>
                <w:color w:val="365F91"/>
              </w:rPr>
              <w:t>3</w:t>
            </w:r>
          </w:p>
        </w:tc>
        <w:tc>
          <w:tcPr>
            <w:tcW w:w="3690" w:type="dxa"/>
          </w:tcPr>
          <w:p w:rsidR="00F05408" w:rsidRPr="00F05408" w:rsidRDefault="00F05408" w:rsidP="00F05408">
            <w:pPr>
              <w:jc w:val="right"/>
              <w:rPr>
                <w:rFonts w:ascii="Calibri" w:hAnsi="Calibri"/>
                <w:color w:val="365F91"/>
              </w:rPr>
            </w:pPr>
            <w:r w:rsidRPr="00F05408">
              <w:rPr>
                <w:rFonts w:ascii="Calibri" w:hAnsi="Calibri"/>
                <w:color w:val="365F91"/>
              </w:rPr>
              <w:t>Scenariul Regional Sudul României (Oltenia și Muntenia)</w:t>
            </w:r>
          </w:p>
        </w:tc>
        <w:tc>
          <w:tcPr>
            <w:tcW w:w="2832" w:type="dxa"/>
          </w:tcPr>
          <w:p w:rsidR="00F05408" w:rsidRPr="00F05408" w:rsidRDefault="00F05408" w:rsidP="00F05408">
            <w:pPr>
              <w:jc w:val="right"/>
              <w:rPr>
                <w:rFonts w:ascii="Calibri" w:hAnsi="Calibri"/>
                <w:color w:val="365F91"/>
              </w:rPr>
            </w:pPr>
            <w:r w:rsidRPr="00F05408">
              <w:rPr>
                <w:rFonts w:ascii="Calibri" w:hAnsi="Calibri"/>
                <w:color w:val="365F91"/>
              </w:rPr>
              <w:t>2177,8</w:t>
            </w:r>
          </w:p>
        </w:tc>
        <w:tc>
          <w:tcPr>
            <w:tcW w:w="2552" w:type="dxa"/>
          </w:tcPr>
          <w:p w:rsidR="00F05408" w:rsidRPr="00F05408" w:rsidRDefault="00F05408" w:rsidP="00F05408">
            <w:pPr>
              <w:jc w:val="right"/>
              <w:rPr>
                <w:rFonts w:ascii="Calibri" w:hAnsi="Calibri"/>
                <w:color w:val="365F91"/>
              </w:rPr>
            </w:pPr>
            <w:r w:rsidRPr="00F05408">
              <w:rPr>
                <w:rFonts w:ascii="Calibri" w:hAnsi="Calibri"/>
                <w:color w:val="365F91"/>
              </w:rPr>
              <w:t>2098,4</w:t>
            </w:r>
          </w:p>
        </w:tc>
      </w:tr>
      <w:tr w:rsidR="00F05408" w:rsidRPr="00F05408" w:rsidTr="00676F16">
        <w:trPr>
          <w:jc w:val="center"/>
        </w:trPr>
        <w:tc>
          <w:tcPr>
            <w:tcW w:w="846" w:type="dxa"/>
          </w:tcPr>
          <w:p w:rsidR="00F05408" w:rsidRPr="00F05408" w:rsidRDefault="00F05408" w:rsidP="00F05408">
            <w:pPr>
              <w:jc w:val="right"/>
              <w:rPr>
                <w:rFonts w:ascii="Calibri" w:hAnsi="Calibri"/>
                <w:color w:val="365F91"/>
              </w:rPr>
            </w:pPr>
            <w:r w:rsidRPr="00F05408">
              <w:rPr>
                <w:rFonts w:ascii="Calibri" w:hAnsi="Calibri"/>
                <w:color w:val="365F91"/>
              </w:rPr>
              <w:t>4</w:t>
            </w:r>
          </w:p>
        </w:tc>
        <w:tc>
          <w:tcPr>
            <w:tcW w:w="3690" w:type="dxa"/>
          </w:tcPr>
          <w:p w:rsidR="00F05408" w:rsidRPr="00F05408" w:rsidRDefault="00F05408" w:rsidP="00F05408">
            <w:pPr>
              <w:jc w:val="right"/>
              <w:rPr>
                <w:rFonts w:ascii="Calibri" w:hAnsi="Calibri"/>
                <w:color w:val="365F91"/>
              </w:rPr>
            </w:pPr>
            <w:r w:rsidRPr="00F05408">
              <w:rPr>
                <w:rFonts w:ascii="Calibri" w:hAnsi="Calibri"/>
                <w:color w:val="365F91"/>
              </w:rPr>
              <w:t>Scenariul Regional Sudul Moldovei</w:t>
            </w:r>
          </w:p>
        </w:tc>
        <w:tc>
          <w:tcPr>
            <w:tcW w:w="2832" w:type="dxa"/>
          </w:tcPr>
          <w:p w:rsidR="00F05408" w:rsidRPr="00F05408" w:rsidRDefault="00F05408" w:rsidP="00F05408">
            <w:pPr>
              <w:jc w:val="right"/>
              <w:rPr>
                <w:rFonts w:ascii="Calibri" w:hAnsi="Calibri"/>
                <w:color w:val="365F91"/>
              </w:rPr>
            </w:pPr>
            <w:r w:rsidRPr="00F05408">
              <w:rPr>
                <w:rFonts w:ascii="Calibri" w:hAnsi="Calibri"/>
                <w:color w:val="365F91"/>
              </w:rPr>
              <w:t>537,0</w:t>
            </w:r>
          </w:p>
        </w:tc>
        <w:tc>
          <w:tcPr>
            <w:tcW w:w="2552" w:type="dxa"/>
          </w:tcPr>
          <w:p w:rsidR="00F05408" w:rsidRPr="00F05408" w:rsidRDefault="00F05408" w:rsidP="00F05408">
            <w:pPr>
              <w:jc w:val="right"/>
              <w:rPr>
                <w:rFonts w:ascii="Calibri" w:hAnsi="Calibri"/>
                <w:color w:val="365F91"/>
              </w:rPr>
            </w:pPr>
            <w:r w:rsidRPr="00F05408">
              <w:rPr>
                <w:rFonts w:ascii="Calibri" w:hAnsi="Calibri"/>
                <w:color w:val="365F91"/>
              </w:rPr>
              <w:t>500,0</w:t>
            </w:r>
          </w:p>
        </w:tc>
      </w:tr>
    </w:tbl>
    <w:p w:rsidR="00F05408" w:rsidRPr="00F05408" w:rsidRDefault="00F05408" w:rsidP="00F05408">
      <w:pPr>
        <w:jc w:val="right"/>
        <w:rPr>
          <w:rFonts w:ascii="Calibri" w:hAnsi="Calibri"/>
        </w:rPr>
      </w:pPr>
      <w:r w:rsidRPr="00F05408">
        <w:rPr>
          <w:rFonts w:ascii="Calibri" w:hAnsi="Calibri"/>
        </w:rPr>
        <w:tab/>
      </w:r>
    </w:p>
    <w:p w:rsidR="00F05408" w:rsidRPr="00F05408" w:rsidRDefault="00F05408" w:rsidP="00F05408">
      <w:pPr>
        <w:rPr>
          <w:rFonts w:ascii="Calibri" w:eastAsia="Calibri" w:hAnsi="Calibri"/>
          <w:b/>
          <w:color w:val="365F91"/>
          <w:lang w:val="ro-RO"/>
        </w:rPr>
      </w:pPr>
      <w:r w:rsidRPr="00F05408">
        <w:rPr>
          <w:rFonts w:ascii="Calibri" w:eastAsia="Calibri" w:hAnsi="Calibri"/>
          <w:b/>
          <w:color w:val="365F91"/>
          <w:lang w:val="ro-RO"/>
        </w:rPr>
        <w:t>Ministerului Agriculturii și Dezvoltării Rurale</w:t>
      </w:r>
    </w:p>
    <w:p w:rsidR="00F05408" w:rsidRPr="00F05408" w:rsidRDefault="00F05408" w:rsidP="00F05408">
      <w:pPr>
        <w:jc w:val="both"/>
        <w:rPr>
          <w:rFonts w:ascii="Calibri" w:eastAsia="Calibri" w:hAnsi="Calibri"/>
          <w:lang w:val="ro-RO"/>
        </w:rPr>
      </w:pPr>
      <w:r w:rsidRPr="00F05408">
        <w:rPr>
          <w:rFonts w:ascii="Calibri" w:eastAsia="Calibri" w:hAnsi="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rsidR="00F05408" w:rsidRPr="00F05408" w:rsidRDefault="00F05408" w:rsidP="00F05408">
      <w:pPr>
        <w:suppressAutoHyphens/>
        <w:spacing w:before="240" w:after="120"/>
        <w:jc w:val="center"/>
        <w:outlineLvl w:val="1"/>
        <w:rPr>
          <w:rFonts w:ascii="Calibri" w:eastAsia="Calibri" w:hAnsi="Calibri"/>
          <w:lang w:val="ro-RO"/>
        </w:rPr>
      </w:pPr>
      <w:r w:rsidRPr="00F05408">
        <w:rPr>
          <w:rFonts w:ascii="Calibri" w:eastAsia="Calibri" w:hAnsi="Calibri"/>
          <w:noProof/>
          <w:lang w:val="ro-RO" w:eastAsia="ro-RO"/>
        </w:rPr>
        <w:drawing>
          <wp:inline distT="0" distB="0" distL="0" distR="0">
            <wp:extent cx="6218536" cy="3032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59">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rsidR="00F05408" w:rsidRPr="00F05408" w:rsidRDefault="00F05408" w:rsidP="00F05408">
      <w:pPr>
        <w:suppressAutoHyphens/>
        <w:spacing w:before="240" w:after="120"/>
        <w:jc w:val="both"/>
        <w:outlineLvl w:val="1"/>
        <w:rPr>
          <w:rFonts w:ascii="Calibri" w:eastAsia="Calibri" w:hAnsi="Calibri"/>
          <w:lang w:val="ro-RO"/>
        </w:rPr>
      </w:pPr>
      <w:r w:rsidRPr="00F05408">
        <w:rPr>
          <w:rFonts w:ascii="Calibri" w:eastAsia="Calibri" w:hAnsi="Calibri"/>
          <w:lang w:val="ro-RO"/>
        </w:rPr>
        <w:t>Față de valoarea estimată a pagubelor, nivelul pierderilor pe ultimii 3 ani se ridică la circa 133.150 mii euro.</w:t>
      </w:r>
    </w:p>
    <w:p w:rsidR="00F05408" w:rsidRPr="003964D3" w:rsidRDefault="00F05408" w:rsidP="00F05408">
      <w:pPr>
        <w:jc w:val="both"/>
        <w:rPr>
          <w:rFonts w:ascii="Calibri" w:hAnsi="Calibri"/>
          <w:lang w:val="ro-RO"/>
        </w:rPr>
      </w:pPr>
      <w:r w:rsidRPr="003964D3">
        <w:rPr>
          <w:rFonts w:ascii="Calibri" w:hAnsi="Calibri"/>
          <w:b/>
          <w:color w:val="365F91"/>
          <w:lang w:val="ro-RO"/>
        </w:rPr>
        <w:t xml:space="preserve">Ministerul Dezvoltării Regionale și Administrației Publice, </w:t>
      </w:r>
      <w:r w:rsidRPr="003964D3">
        <w:rPr>
          <w:rFonts w:ascii="Calibri" w:hAnsi="Calibri"/>
          <w:b/>
          <w:i/>
          <w:lang w:val="ro-RO"/>
        </w:rPr>
        <w:t>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w:t>
      </w:r>
      <w:r w:rsidRPr="003964D3">
        <w:rPr>
          <w:rFonts w:ascii="Calibri" w:hAnsi="Calibri"/>
          <w:lang w:val="ro-RO"/>
        </w:rPr>
        <w:t>, conform OG nr. 20/1994, republicată și-a propus ca principale obiective pentru anul 2018:</w:t>
      </w:r>
    </w:p>
    <w:p w:rsidR="00F05408" w:rsidRPr="00F05408" w:rsidRDefault="00F05408" w:rsidP="00023FA7">
      <w:pPr>
        <w:numPr>
          <w:ilvl w:val="0"/>
          <w:numId w:val="77"/>
        </w:numPr>
        <w:spacing w:after="160" w:line="259" w:lineRule="auto"/>
        <w:contextualSpacing/>
        <w:jc w:val="both"/>
        <w:rPr>
          <w:rFonts w:ascii="Calibri" w:eastAsia="Calibri" w:hAnsi="Calibri"/>
          <w:lang w:val="ro-RO"/>
        </w:rPr>
      </w:pPr>
      <w:r w:rsidRPr="00F05408">
        <w:rPr>
          <w:rFonts w:ascii="Calibri" w:eastAsia="Calibri" w:hAnsi="Calibri"/>
          <w:lang w:val="ro-RO"/>
        </w:rPr>
        <w:t>Finalizarea execuției lucrărilor de consolidare pentru 10 clădiri de locuit;</w:t>
      </w:r>
    </w:p>
    <w:p w:rsidR="00F05408" w:rsidRPr="00F05408" w:rsidRDefault="00F05408" w:rsidP="00023FA7">
      <w:pPr>
        <w:numPr>
          <w:ilvl w:val="0"/>
          <w:numId w:val="77"/>
        </w:numPr>
        <w:spacing w:after="160" w:line="259" w:lineRule="auto"/>
        <w:contextualSpacing/>
        <w:jc w:val="both"/>
        <w:rPr>
          <w:rFonts w:ascii="Calibri" w:eastAsia="Calibri" w:hAnsi="Calibri"/>
          <w:lang w:val="ro-RO"/>
        </w:rPr>
      </w:pPr>
      <w:r w:rsidRPr="00F05408">
        <w:rPr>
          <w:rFonts w:ascii="Calibri" w:eastAsia="Calibri" w:hAnsi="Calibri"/>
          <w:lang w:val="ro-RO"/>
        </w:rPr>
        <w:t>Continuarea execuției lucrărilor de consolidare pentru 10 clădiri de locuit;</w:t>
      </w:r>
    </w:p>
    <w:p w:rsidR="00F05408" w:rsidRPr="00F05408" w:rsidRDefault="00F05408" w:rsidP="00023FA7">
      <w:pPr>
        <w:numPr>
          <w:ilvl w:val="0"/>
          <w:numId w:val="77"/>
        </w:numPr>
        <w:spacing w:after="160" w:line="259" w:lineRule="auto"/>
        <w:contextualSpacing/>
        <w:jc w:val="both"/>
        <w:rPr>
          <w:rFonts w:ascii="Calibri" w:eastAsia="Calibri" w:hAnsi="Calibri"/>
          <w:lang w:val="ro-RO"/>
        </w:rPr>
      </w:pPr>
      <w:r w:rsidRPr="00F05408">
        <w:rPr>
          <w:rFonts w:ascii="Calibri" w:eastAsia="Calibri" w:hAnsi="Calibri"/>
          <w:lang w:val="ro-RO"/>
        </w:rPr>
        <w:t>Începerea execuției lucrărilor de consolidare pentru 30 clădiri de locuit;</w:t>
      </w:r>
    </w:p>
    <w:p w:rsidR="00F05408" w:rsidRPr="00F05408" w:rsidRDefault="00F05408" w:rsidP="00023FA7">
      <w:pPr>
        <w:numPr>
          <w:ilvl w:val="0"/>
          <w:numId w:val="77"/>
        </w:numPr>
        <w:spacing w:after="160" w:line="259" w:lineRule="auto"/>
        <w:contextualSpacing/>
        <w:jc w:val="both"/>
        <w:rPr>
          <w:rFonts w:ascii="Calibri" w:eastAsia="Calibri" w:hAnsi="Calibri"/>
          <w:lang w:val="ro-RO"/>
        </w:rPr>
      </w:pPr>
      <w:r w:rsidRPr="00F05408">
        <w:rPr>
          <w:rFonts w:ascii="Calibri" w:eastAsia="Calibri" w:hAnsi="Calibri"/>
          <w:lang w:val="ro-RO"/>
        </w:rPr>
        <w:t>Finalizarea proiectării lucrărilor de consolidare pentru 7 clădiri de locuit;</w:t>
      </w:r>
    </w:p>
    <w:p w:rsidR="00F05408" w:rsidRPr="00F05408" w:rsidRDefault="00F05408" w:rsidP="00023FA7">
      <w:pPr>
        <w:numPr>
          <w:ilvl w:val="0"/>
          <w:numId w:val="77"/>
        </w:numPr>
        <w:spacing w:after="160" w:line="259" w:lineRule="auto"/>
        <w:contextualSpacing/>
        <w:jc w:val="both"/>
        <w:rPr>
          <w:rFonts w:ascii="Calibri" w:eastAsia="Calibri" w:hAnsi="Calibri"/>
          <w:lang w:val="ro-RO"/>
        </w:rPr>
      </w:pPr>
      <w:r w:rsidRPr="00F05408">
        <w:rPr>
          <w:rFonts w:ascii="Calibri" w:eastAsia="Calibri" w:hAnsi="Calibri"/>
          <w:lang w:val="ro-RO"/>
        </w:rPr>
        <w:t>Începerea elaborării proiectării lucrărilor de consolidare pentru 46 clădiri de locuit.</w:t>
      </w:r>
    </w:p>
    <w:p w:rsidR="00C71549" w:rsidRPr="00C71549" w:rsidRDefault="00C71549" w:rsidP="00F05408">
      <w:pPr>
        <w:jc w:val="both"/>
        <w:rPr>
          <w:rFonts w:ascii="Calibri" w:hAnsi="Calibri"/>
          <w:b/>
          <w:color w:val="365F91"/>
          <w:sz w:val="14"/>
          <w:lang w:val="ro-RO"/>
        </w:rPr>
      </w:pPr>
    </w:p>
    <w:p w:rsidR="00F05408" w:rsidRPr="003964D3" w:rsidRDefault="00F05408" w:rsidP="00F05408">
      <w:pPr>
        <w:jc w:val="both"/>
        <w:rPr>
          <w:rFonts w:ascii="Calibri" w:hAnsi="Calibri"/>
          <w:b/>
          <w:color w:val="365F91"/>
          <w:lang w:val="ro-RO"/>
        </w:rPr>
      </w:pPr>
      <w:r w:rsidRPr="003964D3">
        <w:rPr>
          <w:rFonts w:ascii="Calibri" w:hAnsi="Calibri"/>
          <w:b/>
          <w:color w:val="365F91"/>
          <w:lang w:val="ro-RO"/>
        </w:rPr>
        <w:t>Ministerul Muncii și Justiției Sociale</w:t>
      </w:r>
    </w:p>
    <w:p w:rsidR="00F05408" w:rsidRPr="003964D3" w:rsidRDefault="00F05408" w:rsidP="00F05408">
      <w:pPr>
        <w:jc w:val="both"/>
        <w:rPr>
          <w:rFonts w:ascii="Calibri" w:hAnsi="Calibri"/>
          <w:lang w:val="ro-RO"/>
        </w:rPr>
      </w:pPr>
      <w:r w:rsidRPr="003964D3">
        <w:rPr>
          <w:rFonts w:ascii="Calibri" w:hAnsi="Calibri"/>
          <w:lang w:val="ro-RO"/>
        </w:rPr>
        <w:t>În eventualitatea evaluării unui impact bugetar pe care l-ar putea determina producerea unui eveniment de tip dezastru, Ministerul Muncii și Justiției Sociale acordă ajutoare de urgență potrivit art. 28 alin.(1) din Legea nr. 416/2001 privind venitul minim garantat. Potrivit acestuia, Guvernul, la propunerea Ministerului Muncii și Justiției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rsidR="00F05408" w:rsidRPr="003964D3" w:rsidRDefault="00F05408" w:rsidP="00F05408">
      <w:pPr>
        <w:jc w:val="both"/>
        <w:rPr>
          <w:rFonts w:ascii="Calibri" w:hAnsi="Calibri"/>
          <w:sz w:val="14"/>
          <w:lang w:val="ro-RO"/>
        </w:rPr>
      </w:pPr>
    </w:p>
    <w:p w:rsidR="00F05408" w:rsidRPr="003964D3" w:rsidRDefault="00F05408" w:rsidP="00F05408">
      <w:pPr>
        <w:jc w:val="both"/>
        <w:rPr>
          <w:rFonts w:ascii="Calibri" w:hAnsi="Calibri"/>
          <w:color w:val="365F91"/>
          <w:lang w:val="ro-RO"/>
        </w:rPr>
      </w:pPr>
      <w:r w:rsidRPr="003964D3">
        <w:rPr>
          <w:rFonts w:ascii="Calibri" w:hAnsi="Calibri"/>
          <w:lang w:val="ro-RO"/>
        </w:rPr>
        <w:t xml:space="preserve">În conformitate cu politica în domeniul asistenței sociale, </w:t>
      </w:r>
      <w:r w:rsidRPr="003964D3">
        <w:rPr>
          <w:rFonts w:ascii="Calibri" w:hAnsi="Calibri"/>
          <w:b/>
          <w:i/>
          <w:color w:val="365F91"/>
          <w:lang w:val="ro-RO"/>
        </w:rPr>
        <w:t>sumele reprezentând ajutoare de urgență prevăzute prin art. 28 alin.(1) din Legea nr. 416/2001 privind venitul minim garantat estimatepentru fiecare an din perioada 2018-2021, se ridică la 10.000 mii lei</w:t>
      </w:r>
      <w:r w:rsidRPr="003964D3">
        <w:rPr>
          <w:rFonts w:ascii="Calibri" w:hAnsi="Calibri"/>
          <w:color w:val="365F91"/>
          <w:lang w:val="ro-RO"/>
        </w:rPr>
        <w:t xml:space="preserve">. </w:t>
      </w:r>
    </w:p>
    <w:p w:rsidR="005D7C64" w:rsidRPr="005D7C64" w:rsidRDefault="005D7C64" w:rsidP="00F05408">
      <w:pPr>
        <w:jc w:val="both"/>
        <w:rPr>
          <w:rFonts w:ascii="Calibri" w:hAnsi="Calibri"/>
          <w:b/>
          <w:color w:val="365F91"/>
          <w:sz w:val="8"/>
          <w:lang w:val="ro-RO"/>
        </w:rPr>
      </w:pPr>
    </w:p>
    <w:p w:rsidR="00F05408" w:rsidRPr="003964D3" w:rsidRDefault="00F05408" w:rsidP="00F05408">
      <w:pPr>
        <w:jc w:val="both"/>
        <w:rPr>
          <w:rFonts w:ascii="Calibri" w:hAnsi="Calibri"/>
          <w:b/>
          <w:color w:val="365F91"/>
          <w:lang w:val="ro-RO"/>
        </w:rPr>
      </w:pPr>
      <w:r w:rsidRPr="003964D3">
        <w:rPr>
          <w:rFonts w:ascii="Calibri" w:hAnsi="Calibri"/>
          <w:b/>
          <w:color w:val="365F91"/>
          <w:lang w:val="ro-RO"/>
        </w:rPr>
        <w:t>Ministerul Sănătății</w:t>
      </w:r>
    </w:p>
    <w:p w:rsidR="00F05408" w:rsidRPr="003964D3" w:rsidRDefault="00F05408" w:rsidP="00F05408">
      <w:pPr>
        <w:jc w:val="both"/>
        <w:rPr>
          <w:rFonts w:ascii="Calibri" w:hAnsi="Calibri"/>
          <w:lang w:val="ro-RO"/>
        </w:rPr>
      </w:pPr>
      <w:r w:rsidRPr="003964D3">
        <w:rPr>
          <w:rFonts w:ascii="Calibri" w:hAnsi="Calibri"/>
          <w:lang w:val="ro-RO"/>
        </w:rPr>
        <w:t xml:space="preserve">În ceea ce privește evaluarea impactului bugetar determinat de producerea unui eveniment de tip dezastru, la Ministerul Sănătății se află în curs de elaborare </w:t>
      </w:r>
      <w:r w:rsidRPr="003964D3">
        <w:rPr>
          <w:rFonts w:ascii="Calibri" w:hAnsi="Calibri"/>
          <w:b/>
          <w:i/>
          <w:color w:val="365F91"/>
          <w:lang w:val="ro-RO"/>
        </w:rPr>
        <w:t>Planul Național Generic de Răspuns la Evenimente Epidemiologice de Boală Transmisibilă de Importanță Națională</w:t>
      </w:r>
      <w:r w:rsidRPr="003964D3">
        <w:rPr>
          <w:rFonts w:ascii="Calibri" w:hAnsi="Calibri"/>
          <w:lang w:val="ro-RO"/>
        </w:rPr>
        <w:t>, care presupune implicit și o componentă bugetară.</w:t>
      </w:r>
    </w:p>
    <w:p w:rsidR="00F05408" w:rsidRPr="003964D3" w:rsidRDefault="00F05408" w:rsidP="00F05408">
      <w:pPr>
        <w:jc w:val="both"/>
        <w:rPr>
          <w:rFonts w:ascii="Calibri" w:hAnsi="Calibri"/>
          <w:sz w:val="12"/>
          <w:lang w:val="ro-RO"/>
        </w:rPr>
      </w:pPr>
    </w:p>
    <w:p w:rsidR="00F05408" w:rsidRPr="003964D3" w:rsidRDefault="00F05408" w:rsidP="00F05408">
      <w:pPr>
        <w:jc w:val="both"/>
        <w:rPr>
          <w:rFonts w:ascii="Calibri" w:hAnsi="Calibri"/>
          <w:lang w:val="ro-RO"/>
        </w:rPr>
      </w:pPr>
      <w:r w:rsidRPr="003964D3">
        <w:rPr>
          <w:rFonts w:ascii="Calibri" w:hAnsi="Calibri"/>
          <w:b/>
          <w:i/>
          <w:color w:val="365F91"/>
          <w:lang w:val="ro-RO"/>
        </w:rPr>
        <w:t>Evenimentele epidemiologice</w:t>
      </w:r>
      <w:r w:rsidRPr="003964D3">
        <w:rPr>
          <w:rFonts w:ascii="Calibri" w:hAnsi="Calibri"/>
          <w:lang w:val="ro-RO"/>
        </w:rPr>
        <w:t xml:space="preserve">care au avut loc de-a lungul timpului, pe teritoriul României și probabilitatea mare de a ne confrunta în viitor cu alte epidemii, inclusiv ca și componentă a unei pandemii, necesită realizarea </w:t>
      </w:r>
      <w:r w:rsidRPr="003964D3">
        <w:rPr>
          <w:rFonts w:ascii="Calibri" w:hAnsi="Calibri"/>
          <w:b/>
          <w:i/>
          <w:color w:val="365F91"/>
          <w:lang w:val="ro-RO"/>
        </w:rPr>
        <w:t>Planului Național Generic de Pregătire și Răspuns la Evenimente Epidemiologice de Boală Transmisibilă de Importanță Națională</w:t>
      </w:r>
      <w:r w:rsidRPr="003964D3">
        <w:rPr>
          <w:rFonts w:ascii="Calibri" w:hAnsi="Calibri"/>
          <w:lang w:val="ro-RO"/>
        </w:rPr>
        <w:t>, numit în continuare “</w:t>
      </w:r>
      <w:r w:rsidRPr="003964D3">
        <w:rPr>
          <w:rFonts w:ascii="Calibri" w:hAnsi="Calibri"/>
          <w:i/>
          <w:lang w:val="ro-RO"/>
        </w:rPr>
        <w:t>Planul</w:t>
      </w:r>
      <w:r w:rsidRPr="003964D3">
        <w:rPr>
          <w:rFonts w:ascii="Calibri" w:hAnsi="Calibri"/>
          <w:lang w:val="ro-RO"/>
        </w:rPr>
        <w:t>”.</w:t>
      </w:r>
    </w:p>
    <w:p w:rsidR="00F05408" w:rsidRPr="003964D3" w:rsidRDefault="00F05408" w:rsidP="00F05408">
      <w:pPr>
        <w:jc w:val="both"/>
        <w:rPr>
          <w:rFonts w:ascii="Calibri" w:hAnsi="Calibri"/>
          <w:lang w:val="fr-FR"/>
        </w:rPr>
      </w:pPr>
      <w:r w:rsidRPr="003964D3">
        <w:rPr>
          <w:rFonts w:ascii="Calibri" w:hAnsi="Calibri"/>
          <w:b/>
          <w:i/>
          <w:color w:val="365F91"/>
          <w:lang w:val="fr-FR"/>
        </w:rPr>
        <w:t>Planul</w:t>
      </w:r>
      <w:r w:rsidRPr="003964D3">
        <w:rPr>
          <w:rFonts w:ascii="Calibri" w:hAnsi="Calibri"/>
          <w:lang w:val="fr-FR"/>
        </w:rPr>
        <w:t xml:space="preserve">implică o strategie continuă de management ce cuprinde etape de prevenire, pregătire, răspuns și revenire. </w:t>
      </w:r>
    </w:p>
    <w:p w:rsidR="00F05408" w:rsidRPr="003964D3" w:rsidRDefault="00F05408" w:rsidP="00F05408">
      <w:pPr>
        <w:jc w:val="both"/>
        <w:rPr>
          <w:rFonts w:ascii="Calibri" w:hAnsi="Calibri"/>
          <w:lang w:val="fr-FR"/>
        </w:rPr>
      </w:pPr>
      <w:r w:rsidRPr="003964D3">
        <w:rPr>
          <w:rFonts w:ascii="Calibri" w:hAnsi="Calibri"/>
          <w:i/>
          <w:lang w:val="fr-FR"/>
        </w:rPr>
        <w:t>Planul</w:t>
      </w:r>
      <w:r w:rsidRPr="003964D3">
        <w:rPr>
          <w:rFonts w:ascii="Calibri" w:hAnsi="Calibri"/>
          <w:lang w:val="fr-FR"/>
        </w:rPr>
        <w:t xml:space="preserve"> este bazat pe premiza că autoritățile și instituțiile de sănătate publică, precum și furnizorii de servicii de sănătate se află într-o stare constantă de pregatire pentru răspuns la Evenimente Epidemiologice de Boală Transmisibilă de Importanță Națională, numite în continuare “</w:t>
      </w:r>
      <w:r w:rsidRPr="003964D3">
        <w:rPr>
          <w:rFonts w:ascii="Calibri" w:hAnsi="Calibri"/>
          <w:i/>
          <w:lang w:val="fr-FR"/>
        </w:rPr>
        <w:t>evenimente</w:t>
      </w:r>
      <w:r w:rsidRPr="003964D3">
        <w:rPr>
          <w:rFonts w:ascii="Calibri" w:hAnsi="Calibri"/>
          <w:lang w:val="fr-FR"/>
        </w:rPr>
        <w:t xml:space="preserve">”. </w:t>
      </w:r>
    </w:p>
    <w:p w:rsidR="00F05408" w:rsidRPr="003964D3" w:rsidRDefault="00F05408" w:rsidP="00F05408">
      <w:pPr>
        <w:jc w:val="both"/>
        <w:rPr>
          <w:rFonts w:ascii="Calibri" w:hAnsi="Calibri"/>
          <w:lang w:val="fr-FR"/>
        </w:rPr>
      </w:pPr>
      <w:r w:rsidRPr="003964D3">
        <w:rPr>
          <w:rFonts w:ascii="Calibri" w:hAnsi="Calibri"/>
          <w:lang w:val="fr-FR"/>
        </w:rPr>
        <w:t xml:space="preserve">Tranziția de la răspunsul de rutină la cazuri de boală transmisibilă către raspunsul la un </w:t>
      </w:r>
      <w:r w:rsidRPr="003964D3">
        <w:rPr>
          <w:rFonts w:ascii="Calibri" w:hAnsi="Calibri"/>
          <w:i/>
          <w:lang w:val="fr-FR"/>
        </w:rPr>
        <w:t xml:space="preserve">eveniment </w:t>
      </w:r>
      <w:r w:rsidRPr="003964D3">
        <w:rPr>
          <w:rFonts w:ascii="Calibri" w:hAnsi="Calibri"/>
          <w:lang w:val="fr-FR"/>
        </w:rPr>
        <w:t>este foarte probabil să reprezinte doar o escaladare, în sensul complexității răspunsului deja existent.</w:t>
      </w:r>
    </w:p>
    <w:p w:rsidR="00F05408" w:rsidRPr="003964D3" w:rsidRDefault="00F05408" w:rsidP="00023FA7">
      <w:pPr>
        <w:numPr>
          <w:ilvl w:val="0"/>
          <w:numId w:val="79"/>
        </w:numPr>
        <w:spacing w:line="276" w:lineRule="auto"/>
        <w:ind w:left="284" w:hanging="284"/>
        <w:contextualSpacing/>
        <w:jc w:val="both"/>
        <w:rPr>
          <w:rFonts w:ascii="Calibri" w:eastAsia="Calibri" w:hAnsi="Calibri"/>
          <w:szCs w:val="22"/>
          <w:lang w:val="fr-FR"/>
        </w:rPr>
      </w:pPr>
      <w:r w:rsidRPr="003964D3">
        <w:rPr>
          <w:rFonts w:ascii="Calibri" w:eastAsia="Calibri" w:hAnsi="Calibri"/>
          <w:b/>
          <w:i/>
          <w:color w:val="365F91"/>
          <w:szCs w:val="22"/>
          <w:lang w:val="fr-FR"/>
        </w:rPr>
        <w:t>Evenimentele</w:t>
      </w:r>
      <w:r w:rsidRPr="003964D3">
        <w:rPr>
          <w:rFonts w:ascii="Calibri" w:eastAsia="Calibri" w:hAnsi="Calibri"/>
          <w:szCs w:val="22"/>
          <w:lang w:val="fr-FR"/>
        </w:rPr>
        <w:t xml:space="preserve"> sunt o amenințare constantă pentru populație și serviciile de sănătate. </w:t>
      </w:r>
    </w:p>
    <w:p w:rsidR="00F05408" w:rsidRPr="003964D3" w:rsidRDefault="00F05408" w:rsidP="000B287D">
      <w:pPr>
        <w:numPr>
          <w:ilvl w:val="1"/>
          <w:numId w:val="78"/>
        </w:numPr>
        <w:ind w:left="709" w:hanging="283"/>
        <w:contextualSpacing/>
        <w:jc w:val="both"/>
        <w:rPr>
          <w:rFonts w:ascii="Calibri" w:hAnsi="Calibri"/>
          <w:lang w:val="fr-FR"/>
        </w:rPr>
      </w:pPr>
      <w:r w:rsidRPr="003964D3">
        <w:rPr>
          <w:rFonts w:ascii="Calibri" w:hAnsi="Calibri"/>
          <w:lang w:val="fr-FR"/>
        </w:rPr>
        <w:t xml:space="preserve">Ele sunt diferite de evenimentele tradiționale de urgență, deoarece, de obicei, dimensiunea unui </w:t>
      </w:r>
      <w:r w:rsidRPr="003964D3">
        <w:rPr>
          <w:rFonts w:ascii="Calibri" w:hAnsi="Calibri"/>
          <w:i/>
          <w:lang w:val="fr-FR"/>
        </w:rPr>
        <w:t>eveniment</w:t>
      </w:r>
      <w:r w:rsidRPr="003964D3">
        <w:rPr>
          <w:rFonts w:ascii="Calibri" w:hAnsi="Calibri"/>
          <w:lang w:val="fr-FR"/>
        </w:rPr>
        <w:t xml:space="preserve"> este mai mică la început și crește în timp, opus față de un incident cu multiple traume. Acțiunile de răspuns vor depinde de particularitățile agentului biologic infecțios și poate fi dificil de pre-definit un set de acțiuni înaintea apariției unui focar, astfel încât planificarea trebuie să rămană flexibilă. </w:t>
      </w:r>
    </w:p>
    <w:p w:rsidR="00F05408" w:rsidRDefault="00F05408" w:rsidP="000B287D">
      <w:pPr>
        <w:numPr>
          <w:ilvl w:val="1"/>
          <w:numId w:val="78"/>
        </w:numPr>
        <w:ind w:left="709" w:hanging="283"/>
        <w:contextualSpacing/>
        <w:jc w:val="both"/>
        <w:rPr>
          <w:rFonts w:ascii="Calibri" w:hAnsi="Calibri"/>
        </w:rPr>
      </w:pPr>
      <w:r w:rsidRPr="003964D3">
        <w:rPr>
          <w:rFonts w:ascii="Calibri" w:hAnsi="Calibri"/>
          <w:lang w:val="fr-FR"/>
        </w:rPr>
        <w:t xml:space="preserve">Multe acțiuni au nevoie să fie susținute peste un anumit nivel, pentru a avea efect asupra unui </w:t>
      </w:r>
      <w:r w:rsidRPr="003964D3">
        <w:rPr>
          <w:rFonts w:ascii="Calibri" w:hAnsi="Calibri"/>
          <w:i/>
          <w:lang w:val="fr-FR"/>
        </w:rPr>
        <w:t>eveniment</w:t>
      </w:r>
      <w:r w:rsidRPr="003964D3">
        <w:rPr>
          <w:rFonts w:ascii="Calibri" w:hAnsi="Calibri"/>
          <w:lang w:val="fr-FR"/>
        </w:rPr>
        <w:t xml:space="preserve">. </w:t>
      </w:r>
      <w:r w:rsidRPr="00F05408">
        <w:rPr>
          <w:rFonts w:ascii="Calibri" w:hAnsi="Calibri"/>
        </w:rPr>
        <w:t>Aceste acțiuni pot fi menținute/prelungite fără deciderea clară a unui moment anume de încheiere.</w:t>
      </w:r>
    </w:p>
    <w:p w:rsidR="00F05408" w:rsidRPr="005D7C64" w:rsidRDefault="00F05408" w:rsidP="00F05408">
      <w:pPr>
        <w:ind w:left="1080"/>
        <w:contextualSpacing/>
        <w:jc w:val="both"/>
        <w:rPr>
          <w:rFonts w:ascii="Calibri" w:hAnsi="Calibri"/>
          <w:sz w:val="6"/>
        </w:rPr>
      </w:pPr>
    </w:p>
    <w:p w:rsidR="00F05408" w:rsidRPr="003964D3" w:rsidRDefault="00F05408" w:rsidP="00023FA7">
      <w:pPr>
        <w:numPr>
          <w:ilvl w:val="0"/>
          <w:numId w:val="78"/>
        </w:numPr>
        <w:ind w:hanging="357"/>
        <w:contextualSpacing/>
        <w:jc w:val="both"/>
        <w:rPr>
          <w:rFonts w:ascii="Calibri" w:hAnsi="Calibri"/>
          <w:lang w:val="fr-FR"/>
        </w:rPr>
      </w:pPr>
      <w:r w:rsidRPr="003964D3">
        <w:rPr>
          <w:rFonts w:ascii="Calibri" w:hAnsi="Calibri"/>
          <w:b/>
          <w:i/>
          <w:color w:val="365F91"/>
          <w:lang w:val="fr-FR"/>
        </w:rPr>
        <w:t xml:space="preserve">Provocările </w:t>
      </w:r>
      <w:r w:rsidRPr="003964D3">
        <w:rPr>
          <w:rFonts w:ascii="Calibri" w:hAnsi="Calibri"/>
          <w:lang w:val="fr-FR"/>
        </w:rPr>
        <w:t xml:space="preserve">implicate pe parcursul răspunsului la </w:t>
      </w:r>
      <w:r w:rsidRPr="003964D3">
        <w:rPr>
          <w:rFonts w:ascii="Calibri" w:hAnsi="Calibri"/>
          <w:i/>
          <w:lang w:val="fr-FR"/>
        </w:rPr>
        <w:t>eveniment</w:t>
      </w:r>
      <w:r w:rsidRPr="003964D3">
        <w:rPr>
          <w:rFonts w:ascii="Calibri" w:hAnsi="Calibri"/>
          <w:lang w:val="fr-FR"/>
        </w:rPr>
        <w:t xml:space="preserve"> pot include: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Paucitatea informațiilor inițiale, când dimensiunea evenimentului este încă redusă, dar variantele de răspuns pot include acțiuni perturbatoare pentru societate;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Potențialul de transmitere pe scară largă poate face dificil controlul bolii  într-o anumită zonă, ceea ce înseamnă că poate să nu existe un loc definit al incidentului, o zonă de risc circumscrisă pentru răspuns;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Capacitatea pentru un răspuns susținut (săptămâni - luni) trebuie să fie luată în considerare atunci când se angajează resurse care pot fi reorientate de la activitățile de rutină pentru prevenirea și controlul bolilor transmisibile;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Unele activități necesare pentru controlul bolilor transmisibile nu sunt parte din activitatea uzuală a sectorului sanitar – ex. distribuirea de medicamente din stocul de rezervă, screening în punctele de frontieră – activități care nu sunt exersate în gestionarea incidentelor obișnuite și nu sunt cunoscute ca fiind parte din serviciile medicale de urgență;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Implementarea unor măsuri de sănătate publică implică coordonarea unor părți interesate care, de obicei, nu funcționează sub o structură de comandă comună – medici de familie, medici de spital, funcționari publici, oameni de afaceri, instituții din domeniul educației (inclusiv gradinițe, școli primare, licee, universități), organizații non-guvernamentale și publicul; </w:t>
      </w:r>
    </w:p>
    <w:p w:rsidR="00F05408" w:rsidRPr="003964D3" w:rsidRDefault="00F05408" w:rsidP="00A02A80">
      <w:pPr>
        <w:numPr>
          <w:ilvl w:val="1"/>
          <w:numId w:val="78"/>
        </w:numPr>
        <w:ind w:left="709" w:hanging="283"/>
        <w:contextualSpacing/>
        <w:jc w:val="both"/>
        <w:rPr>
          <w:rFonts w:ascii="Calibri" w:hAnsi="Calibri"/>
          <w:lang w:val="fr-FR"/>
        </w:rPr>
      </w:pPr>
      <w:r w:rsidRPr="003964D3">
        <w:rPr>
          <w:rFonts w:ascii="Calibri" w:hAnsi="Calibri"/>
          <w:lang w:val="fr-FR"/>
        </w:rPr>
        <w:t xml:space="preserve">Acțiunile de răspuns la boli transmisibile pot include solicitarea către populație să reacționeze (ex. să reducă contactul social), ceea ce presupune câștigarea încrederii populației, pentru a obține efectul dorit. </w:t>
      </w:r>
    </w:p>
    <w:p w:rsidR="00F05408" w:rsidRPr="005D7C64" w:rsidRDefault="00F05408" w:rsidP="00F05408">
      <w:pPr>
        <w:ind w:left="1080"/>
        <w:contextualSpacing/>
        <w:jc w:val="both"/>
        <w:rPr>
          <w:rFonts w:ascii="Calibri" w:hAnsi="Calibri"/>
          <w:sz w:val="8"/>
          <w:lang w:val="fr-FR"/>
        </w:rPr>
      </w:pPr>
    </w:p>
    <w:p w:rsidR="000D186A" w:rsidRPr="000D186A" w:rsidRDefault="00F05408" w:rsidP="000D186A">
      <w:pPr>
        <w:numPr>
          <w:ilvl w:val="0"/>
          <w:numId w:val="78"/>
        </w:numPr>
        <w:contextualSpacing/>
        <w:jc w:val="both"/>
        <w:rPr>
          <w:rFonts w:ascii="Calibri" w:hAnsi="Calibri"/>
          <w:lang w:val="fr-FR"/>
        </w:rPr>
      </w:pPr>
      <w:r w:rsidRPr="003964D3">
        <w:rPr>
          <w:rFonts w:ascii="Calibri" w:hAnsi="Calibri"/>
          <w:lang w:val="fr-FR"/>
        </w:rPr>
        <w:t xml:space="preserve">În cadrul Planului sunt incluse și planurile specifice (cum ar fi Planul Național de Pregătire și Răspuns pentru pandemia de gripă, Planul Național pentru Ebola, HG nr. 557/2016). Acolo unde nu există planuri specifice, acest </w:t>
      </w:r>
      <w:r w:rsidRPr="003964D3">
        <w:rPr>
          <w:rFonts w:ascii="Calibri" w:hAnsi="Calibri"/>
          <w:i/>
          <w:lang w:val="fr-FR"/>
        </w:rPr>
        <w:t>Plan</w:t>
      </w:r>
      <w:r w:rsidRPr="003964D3">
        <w:rPr>
          <w:rFonts w:ascii="Calibri" w:hAnsi="Calibri"/>
          <w:lang w:val="fr-FR"/>
        </w:rPr>
        <w:t xml:space="preserve"> este considerat planul principal de răspuns.</w:t>
      </w:r>
    </w:p>
    <w:p w:rsidR="005D7C64" w:rsidRPr="000D186A" w:rsidRDefault="00F05408" w:rsidP="004F6C47">
      <w:pPr>
        <w:jc w:val="both"/>
        <w:rPr>
          <w:rFonts w:ascii="Calibri" w:hAnsi="Calibri"/>
          <w:lang w:val="fr-FR"/>
        </w:rPr>
      </w:pPr>
      <w:r w:rsidRPr="003964D3">
        <w:rPr>
          <w:rFonts w:ascii="Calibri" w:hAnsi="Calibri"/>
          <w:b/>
          <w:i/>
          <w:color w:val="365F91"/>
          <w:lang w:val="fr-FR"/>
        </w:rPr>
        <w:t>Impactul bugetar</w:t>
      </w:r>
      <w:r w:rsidR="000D186A">
        <w:rPr>
          <w:rFonts w:ascii="Calibri" w:hAnsi="Calibri"/>
          <w:b/>
          <w:i/>
          <w:color w:val="365F91"/>
          <w:lang w:val="fr-FR"/>
        </w:rPr>
        <w:t xml:space="preserve"> </w:t>
      </w:r>
      <w:r w:rsidRPr="003964D3">
        <w:rPr>
          <w:rFonts w:ascii="Calibri" w:hAnsi="Calibri"/>
          <w:lang w:val="fr-FR"/>
        </w:rPr>
        <w:t>depinde de tipul de eveniment generator de epidemii, costurile fiind diferite pentru acțiuni specifice diferite, funcție de nivelul de risc al transmiterii bolii infecțioase în rândul populației și acțiunile necesare a fi întreprins pentru limitarea extinderii acesteia.</w:t>
      </w:r>
    </w:p>
    <w:p w:rsidR="00A552C2" w:rsidRPr="00C86702" w:rsidRDefault="00936410" w:rsidP="001E333D">
      <w:pPr>
        <w:shd w:val="clear" w:color="auto" w:fill="99CCFF"/>
        <w:tabs>
          <w:tab w:val="right" w:pos="9747"/>
        </w:tabs>
        <w:spacing w:after="120"/>
        <w:rPr>
          <w:rFonts w:ascii="Calibri" w:hAnsi="Calibri" w:cs="Arial Narrow"/>
          <w:b/>
          <w:color w:val="000080"/>
          <w:lang w:val="ro-RO"/>
        </w:rPr>
      </w:pPr>
      <w:r w:rsidRPr="00C86702">
        <w:rPr>
          <w:rFonts w:ascii="Calibri" w:hAnsi="Calibri" w:cs="Arial Narrow"/>
          <w:b/>
          <w:color w:val="000080"/>
          <w:lang w:val="ro-RO"/>
        </w:rPr>
        <w:t>5</w:t>
      </w:r>
      <w:r w:rsidR="00A552C2" w:rsidRPr="00C86702">
        <w:rPr>
          <w:rFonts w:ascii="Calibri" w:hAnsi="Calibri" w:cs="Arial Narrow"/>
          <w:b/>
          <w:color w:val="000080"/>
          <w:lang w:val="ro-RO"/>
        </w:rPr>
        <w:t xml:space="preserve">.Cadrul de cheltuieli pe termen mediu </w:t>
      </w:r>
      <w:r w:rsidR="00071A85">
        <w:rPr>
          <w:rFonts w:ascii="Calibri" w:hAnsi="Calibri" w:cs="Arial Narrow"/>
          <w:b/>
          <w:color w:val="000080"/>
          <w:lang w:val="ro-RO"/>
        </w:rPr>
        <w:t>2019-2021</w:t>
      </w:r>
      <w:r w:rsidR="00A552C2" w:rsidRPr="00C86702">
        <w:rPr>
          <w:rFonts w:ascii="Calibri" w:hAnsi="Calibri" w:cs="Arial Narrow"/>
          <w:b/>
          <w:color w:val="000080"/>
          <w:lang w:val="ro-RO"/>
        </w:rPr>
        <w:tab/>
      </w:r>
    </w:p>
    <w:p w:rsidR="000E1177" w:rsidRDefault="001E333D" w:rsidP="00497669">
      <w:pPr>
        <w:jc w:val="both"/>
        <w:rPr>
          <w:rFonts w:ascii="Calibri" w:hAnsi="Calibri"/>
          <w:lang w:val="ro-RO"/>
        </w:rPr>
      </w:pPr>
      <w:r w:rsidRPr="00C86702">
        <w:rPr>
          <w:rFonts w:ascii="Calibri" w:hAnsi="Calibri"/>
          <w:lang w:val="ro-RO"/>
        </w:rPr>
        <w:t>Cheltuielile totale ale bugetului d</w:t>
      </w:r>
      <w:r w:rsidR="00071A85">
        <w:rPr>
          <w:rFonts w:ascii="Calibri" w:hAnsi="Calibri"/>
          <w:lang w:val="ro-RO"/>
        </w:rPr>
        <w:t>e stat pentru perioada 2016-2021</w:t>
      </w:r>
      <w:r w:rsidRPr="00C86702">
        <w:rPr>
          <w:rFonts w:ascii="Calibri" w:hAnsi="Calibri"/>
          <w:lang w:val="ro-RO"/>
        </w:rPr>
        <w:t>, precum şi cheltuielile agregate ale celor mai mari 10 ordonatori principali de credite în funcţie de criteriul fondurilor alocate din bugetul de stat, sunt prezentate în tabelul de mai jos:</w:t>
      </w:r>
    </w:p>
    <w:p w:rsidR="005D7C64" w:rsidRPr="00C86702" w:rsidRDefault="005D7C64" w:rsidP="00497669">
      <w:pPr>
        <w:jc w:val="both"/>
        <w:rPr>
          <w:rFonts w:ascii="Calibri" w:hAnsi="Calibri"/>
          <w:lang w:val="ro-RO"/>
        </w:rPr>
      </w:pPr>
    </w:p>
    <w:p w:rsidR="00767F66" w:rsidRDefault="005276B6" w:rsidP="00767F66">
      <w:pPr>
        <w:spacing w:before="120" w:after="120"/>
        <w:jc w:val="center"/>
        <w:rPr>
          <w:rFonts w:ascii="Calibri" w:hAnsi="Calibri"/>
          <w:lang w:val="ro-RO"/>
        </w:rPr>
      </w:pPr>
      <w:r w:rsidRPr="005276B6">
        <w:rPr>
          <w:noProof/>
          <w:lang w:val="ro-RO" w:eastAsia="ro-RO"/>
        </w:rPr>
        <w:drawing>
          <wp:inline distT="0" distB="0" distL="0" distR="0">
            <wp:extent cx="4183380" cy="6563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9672" cy="6605249"/>
                    </a:xfrm>
                    <a:prstGeom prst="rect">
                      <a:avLst/>
                    </a:prstGeom>
                    <a:noFill/>
                    <a:ln>
                      <a:noFill/>
                    </a:ln>
                  </pic:spPr>
                </pic:pic>
              </a:graphicData>
            </a:graphic>
          </wp:inline>
        </w:drawing>
      </w:r>
    </w:p>
    <w:p w:rsidR="00177B82" w:rsidRPr="00C86702" w:rsidRDefault="00497669" w:rsidP="0098311B">
      <w:pPr>
        <w:spacing w:before="120" w:after="120"/>
        <w:jc w:val="both"/>
        <w:rPr>
          <w:rFonts w:ascii="Calibri" w:hAnsi="Calibri"/>
          <w:lang w:val="ro-RO"/>
        </w:rPr>
      </w:pPr>
      <w:r w:rsidRPr="00C86702">
        <w:rPr>
          <w:rFonts w:ascii="Calibri" w:hAnsi="Calibri"/>
          <w:lang w:val="ro-RO"/>
        </w:rPr>
        <w:t>Bugetul celor 10 ordonatori principali de credite prezentaţi în str</w:t>
      </w:r>
      <w:r w:rsidR="0098311B">
        <w:rPr>
          <w:rFonts w:ascii="Calibri" w:hAnsi="Calibri"/>
          <w:lang w:val="ro-RO"/>
        </w:rPr>
        <w:t>ategie reprezintă aproximativ 75</w:t>
      </w:r>
      <w:r w:rsidRPr="00C86702">
        <w:rPr>
          <w:rFonts w:ascii="Calibri" w:hAnsi="Calibri"/>
          <w:lang w:val="ro-RO"/>
        </w:rPr>
        <w:t xml:space="preserve">% din totalul cheltuielilor bugetului de stat. Adăugând la aceşti ordonatori de credite şi bugetul Ministerului Finanţelor Publice – Acţiuni </w:t>
      </w:r>
      <w:r w:rsidR="00D93555" w:rsidRPr="00C86702">
        <w:rPr>
          <w:rFonts w:ascii="Calibri" w:hAnsi="Calibri"/>
          <w:lang w:val="ro-RO"/>
        </w:rPr>
        <w:t>G</w:t>
      </w:r>
      <w:r w:rsidRPr="00C86702">
        <w:rPr>
          <w:rFonts w:ascii="Calibri" w:hAnsi="Calibri"/>
          <w:lang w:val="ro-RO"/>
        </w:rPr>
        <w:t xml:space="preserve">enerale care cuprinde dobânzi, rambursări de credite, contribuţia României la bugetul UE, cofinanţarea la proiectele de preaderare, precum şi schemele de ajutor de stat, acestea ar reprezenta </w:t>
      </w:r>
      <w:r w:rsidR="00CA5BCE" w:rsidRPr="00C86702">
        <w:rPr>
          <w:rFonts w:ascii="Calibri" w:hAnsi="Calibri"/>
          <w:lang w:val="ro-RO"/>
        </w:rPr>
        <w:t>aproximativ</w:t>
      </w:r>
      <w:r w:rsidRPr="00C86702">
        <w:rPr>
          <w:rFonts w:ascii="Calibri" w:hAnsi="Calibri"/>
          <w:lang w:val="ro-RO"/>
        </w:rPr>
        <w:t xml:space="preserve"> 90% din totalul cheltuielilor bugetului de stat.</w:t>
      </w:r>
    </w:p>
    <w:p w:rsidR="00222C11" w:rsidRPr="00D72B22" w:rsidRDefault="00497669" w:rsidP="00D72B22">
      <w:pPr>
        <w:jc w:val="both"/>
        <w:rPr>
          <w:rFonts w:ascii="Calibri" w:hAnsi="Calibri"/>
          <w:lang w:val="ro-RO"/>
        </w:rPr>
      </w:pPr>
      <w:r w:rsidRPr="00C86702">
        <w:rPr>
          <w:rFonts w:ascii="Calibri" w:hAnsi="Calibri"/>
          <w:lang w:val="ro-RO"/>
        </w:rPr>
        <w:t xml:space="preserve">Detalierea cheltuielilor pentru fiecare din cei 10 ordonatori principali de credite pentru orizontul de referinţă este prezentată în </w:t>
      </w:r>
      <w:r w:rsidR="00550C0A" w:rsidRPr="00C86702">
        <w:rPr>
          <w:rFonts w:ascii="Calibri" w:hAnsi="Calibri"/>
          <w:lang w:val="ro-RO"/>
        </w:rPr>
        <w:t xml:space="preserve">Anexele 1 – </w:t>
      </w:r>
      <w:r w:rsidRPr="00C86702">
        <w:rPr>
          <w:rFonts w:ascii="Calibri" w:hAnsi="Calibri"/>
          <w:lang w:val="ro-RO"/>
        </w:rPr>
        <w:t>10 ataşate Strategie</w:t>
      </w:r>
      <w:r w:rsidR="0098311B">
        <w:rPr>
          <w:rFonts w:ascii="Calibri" w:hAnsi="Calibri"/>
          <w:lang w:val="ro-RO"/>
        </w:rPr>
        <w:t>.</w:t>
      </w:r>
    </w:p>
    <w:p w:rsidR="00583304" w:rsidRPr="00C86702" w:rsidRDefault="00583304" w:rsidP="00583304">
      <w:pPr>
        <w:pStyle w:val="BodyText"/>
        <w:shd w:val="clear" w:color="auto" w:fill="99CCFF"/>
        <w:rPr>
          <w:rFonts w:ascii="Calibri" w:hAnsi="Calibri"/>
          <w:b/>
          <w:color w:val="000080"/>
          <w:lang w:val="ro-RO"/>
        </w:rPr>
      </w:pPr>
      <w:r w:rsidRPr="00C86702">
        <w:rPr>
          <w:rFonts w:ascii="Calibri" w:hAnsi="Calibri"/>
          <w:b/>
          <w:color w:val="000080"/>
          <w:lang w:val="ro-RO"/>
        </w:rPr>
        <w:t>6. Declaraţie de răspundere</w:t>
      </w:r>
    </w:p>
    <w:p w:rsidR="00D425FA" w:rsidRPr="00C86702" w:rsidRDefault="00D425FA" w:rsidP="00D425FA">
      <w:pPr>
        <w:kinsoku w:val="0"/>
        <w:overflowPunct w:val="0"/>
        <w:spacing w:after="120"/>
        <w:jc w:val="both"/>
        <w:rPr>
          <w:rFonts w:ascii="Calibri" w:hAnsi="Calibri"/>
          <w:lang w:val="ro-RO"/>
        </w:rPr>
      </w:pPr>
      <w:r w:rsidRPr="00C86702">
        <w:rPr>
          <w:rFonts w:ascii="Calibri" w:hAnsi="Calibri"/>
          <w:lang w:val="ro-RO"/>
        </w:rPr>
        <w:t>Se atestă corectitudinea şi integralitatea preluării şi prelucrării de către Ministerul Finanţelor Publice a informaţiilor prevăzute în Strategia fiscal-bugetară pentru perioada 201</w:t>
      </w:r>
      <w:r w:rsidR="00BD123F">
        <w:rPr>
          <w:rFonts w:ascii="Calibri" w:hAnsi="Calibri"/>
          <w:lang w:val="ro-RO"/>
        </w:rPr>
        <w:t>9-2021</w:t>
      </w:r>
      <w:r w:rsidRPr="00C86702">
        <w:rPr>
          <w:rFonts w:ascii="Calibri" w:hAnsi="Calibri"/>
          <w:lang w:val="ro-RO"/>
        </w:rPr>
        <w:t>.</w:t>
      </w:r>
    </w:p>
    <w:p w:rsidR="00583304" w:rsidRPr="00C86702" w:rsidRDefault="00D425FA" w:rsidP="00D425FA">
      <w:pPr>
        <w:kinsoku w:val="0"/>
        <w:overflowPunct w:val="0"/>
        <w:spacing w:after="120"/>
        <w:jc w:val="both"/>
        <w:rPr>
          <w:rFonts w:ascii="Calibri" w:hAnsi="Calibri"/>
          <w:lang w:val="ro-RO"/>
        </w:rPr>
      </w:pPr>
      <w:r w:rsidRPr="00C86702">
        <w:rPr>
          <w:rFonts w:ascii="Calibri" w:hAnsi="Calibri"/>
          <w:lang w:val="ro-RO"/>
        </w:rPr>
        <w:t>Strategia fisc</w:t>
      </w:r>
      <w:r w:rsidR="00BD123F">
        <w:rPr>
          <w:rFonts w:ascii="Calibri" w:hAnsi="Calibri"/>
          <w:lang w:val="ro-RO"/>
        </w:rPr>
        <w:t>al-bugetară pentru perioada 2019-2021</w:t>
      </w:r>
      <w:r w:rsidRPr="00C86702">
        <w:rPr>
          <w:rFonts w:ascii="Calibri" w:hAnsi="Calibri"/>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rsidR="00583304" w:rsidRPr="00C86702" w:rsidRDefault="00583304" w:rsidP="00583304">
      <w:pPr>
        <w:kinsoku w:val="0"/>
        <w:overflowPunct w:val="0"/>
        <w:spacing w:after="120"/>
        <w:jc w:val="both"/>
        <w:rPr>
          <w:rFonts w:ascii="Calibri" w:hAnsi="Calibri"/>
          <w:lang w:val="ro-RO"/>
        </w:rPr>
      </w:pPr>
    </w:p>
    <w:p w:rsidR="00583304" w:rsidRPr="00C86702" w:rsidRDefault="00583304" w:rsidP="00583304">
      <w:pPr>
        <w:kinsoku w:val="0"/>
        <w:overflowPunct w:val="0"/>
        <w:spacing w:after="120"/>
        <w:jc w:val="both"/>
        <w:rPr>
          <w:rFonts w:ascii="Calibri" w:hAnsi="Calibri"/>
          <w:lang w:val="ro-RO"/>
        </w:rPr>
      </w:pPr>
    </w:p>
    <w:tbl>
      <w:tblPr>
        <w:tblpPr w:leftFromText="180" w:rightFromText="180" w:vertAnchor="text" w:horzAnchor="margin" w:tblpXSpec="center" w:tblpY="319"/>
        <w:tblW w:w="4303" w:type="dxa"/>
        <w:tblLook w:val="01E0" w:firstRow="1" w:lastRow="1" w:firstColumn="1" w:lastColumn="1" w:noHBand="0" w:noVBand="0"/>
      </w:tblPr>
      <w:tblGrid>
        <w:gridCol w:w="4303"/>
      </w:tblGrid>
      <w:tr w:rsidR="00583304" w:rsidRPr="00C86702" w:rsidTr="00C86702">
        <w:tc>
          <w:tcPr>
            <w:tcW w:w="4303" w:type="dxa"/>
          </w:tcPr>
          <w:p w:rsidR="00583304" w:rsidRPr="00C86702" w:rsidRDefault="00583304" w:rsidP="00C86702">
            <w:pPr>
              <w:jc w:val="center"/>
              <w:rPr>
                <w:rFonts w:ascii="Calibri" w:hAnsi="Calibri" w:cs="Arial"/>
                <w:b/>
                <w:lang w:val="ro-RO"/>
              </w:rPr>
            </w:pPr>
            <w:r w:rsidRPr="00C86702">
              <w:rPr>
                <w:rFonts w:ascii="Calibri" w:hAnsi="Calibri" w:cs="Arial"/>
                <w:b/>
                <w:lang w:val="ro-RO"/>
              </w:rPr>
              <w:t>PRIM – MINISTRU,</w:t>
            </w:r>
          </w:p>
          <w:p w:rsidR="00583304" w:rsidRPr="00C86702" w:rsidRDefault="00583304" w:rsidP="00C86702">
            <w:pPr>
              <w:jc w:val="center"/>
              <w:rPr>
                <w:rFonts w:ascii="Calibri" w:hAnsi="Calibri" w:cs="Arial"/>
                <w:b/>
                <w:lang w:val="ro-RO"/>
              </w:rPr>
            </w:pPr>
          </w:p>
        </w:tc>
      </w:tr>
      <w:tr w:rsidR="00583304" w:rsidRPr="00C86702" w:rsidTr="00C86702">
        <w:tc>
          <w:tcPr>
            <w:tcW w:w="4303" w:type="dxa"/>
          </w:tcPr>
          <w:p w:rsidR="00583304" w:rsidRPr="00C86702" w:rsidRDefault="00745CCC" w:rsidP="00C86702">
            <w:pPr>
              <w:jc w:val="center"/>
              <w:rPr>
                <w:rFonts w:ascii="Calibri" w:hAnsi="Calibri" w:cs="Arial"/>
                <w:b/>
                <w:caps/>
                <w:lang w:val="ro-RO"/>
              </w:rPr>
            </w:pPr>
            <w:r>
              <w:rPr>
                <w:rFonts w:ascii="Calibri" w:hAnsi="Calibri" w:cs="Arial"/>
                <w:b/>
                <w:caps/>
                <w:lang w:val="ro-RO"/>
              </w:rPr>
              <w:t>vasilica – viorica dĂncilĂ</w:t>
            </w:r>
          </w:p>
        </w:tc>
      </w:tr>
    </w:tbl>
    <w:p w:rsidR="00583304" w:rsidRPr="00C86702" w:rsidRDefault="00583304" w:rsidP="00583304">
      <w:pPr>
        <w:pStyle w:val="BodyText"/>
        <w:jc w:val="both"/>
        <w:rPr>
          <w:rFonts w:ascii="Calibri" w:hAnsi="Calibri"/>
          <w:lang w:val="ro-RO"/>
        </w:rPr>
      </w:pPr>
    </w:p>
    <w:p w:rsidR="00583304" w:rsidRPr="00C86702" w:rsidRDefault="00583304" w:rsidP="00583304">
      <w:pPr>
        <w:pStyle w:val="BodyText"/>
        <w:jc w:val="both"/>
        <w:rPr>
          <w:rFonts w:ascii="Calibri" w:hAnsi="Calibri"/>
          <w:lang w:val="ro-RO"/>
        </w:rPr>
      </w:pPr>
    </w:p>
    <w:p w:rsidR="00583304" w:rsidRPr="00C86702" w:rsidRDefault="00583304" w:rsidP="00583304">
      <w:pPr>
        <w:pStyle w:val="BodyText"/>
        <w:jc w:val="both"/>
        <w:rPr>
          <w:rFonts w:ascii="Calibri" w:hAnsi="Calibri"/>
          <w:lang w:val="ro-RO"/>
        </w:rPr>
      </w:pPr>
    </w:p>
    <w:p w:rsidR="00583304" w:rsidRPr="00C86702" w:rsidRDefault="00583304" w:rsidP="00583304">
      <w:pPr>
        <w:pStyle w:val="BodyText"/>
        <w:jc w:val="both"/>
        <w:rPr>
          <w:rFonts w:ascii="Calibri" w:hAnsi="Calibri"/>
          <w:lang w:val="ro-RO"/>
        </w:rPr>
      </w:pPr>
    </w:p>
    <w:p w:rsidR="00583304" w:rsidRDefault="00583304" w:rsidP="00583304">
      <w:pPr>
        <w:pStyle w:val="BodyText"/>
        <w:jc w:val="both"/>
        <w:rPr>
          <w:rFonts w:ascii="Calibri" w:hAnsi="Calibri"/>
          <w:lang w:val="ro-RO"/>
        </w:rPr>
      </w:pPr>
    </w:p>
    <w:p w:rsidR="0050403A" w:rsidRPr="00C86702" w:rsidRDefault="0050403A" w:rsidP="00583304">
      <w:pPr>
        <w:pStyle w:val="BodyText"/>
        <w:jc w:val="both"/>
        <w:rPr>
          <w:rFonts w:ascii="Calibri" w:hAnsi="Calibri"/>
          <w:lang w:val="ro-RO"/>
        </w:rPr>
      </w:pPr>
    </w:p>
    <w:tbl>
      <w:tblPr>
        <w:tblpPr w:leftFromText="180" w:rightFromText="180" w:vertAnchor="text" w:horzAnchor="page" w:tblpXSpec="center" w:tblpY="-32"/>
        <w:tblW w:w="0" w:type="auto"/>
        <w:tblLayout w:type="fixed"/>
        <w:tblLook w:val="0000" w:firstRow="0" w:lastRow="0" w:firstColumn="0" w:lastColumn="0" w:noHBand="0" w:noVBand="0"/>
      </w:tblPr>
      <w:tblGrid>
        <w:gridCol w:w="6025"/>
      </w:tblGrid>
      <w:tr w:rsidR="00583304" w:rsidRPr="00C86702" w:rsidTr="004F6C47">
        <w:trPr>
          <w:trHeight w:val="641"/>
        </w:trPr>
        <w:tc>
          <w:tcPr>
            <w:tcW w:w="6025" w:type="dxa"/>
          </w:tcPr>
          <w:p w:rsidR="00583304" w:rsidRPr="00C86702" w:rsidRDefault="00583304" w:rsidP="00C86702">
            <w:pPr>
              <w:pStyle w:val="TableText"/>
              <w:spacing w:line="360" w:lineRule="auto"/>
              <w:jc w:val="center"/>
              <w:rPr>
                <w:rFonts w:asciiTheme="minorHAnsi" w:hAnsiTheme="minorHAnsi" w:cs="Arial"/>
                <w:b/>
                <w:szCs w:val="24"/>
                <w:lang w:val="ro-RO"/>
              </w:rPr>
            </w:pPr>
            <w:r w:rsidRPr="00C86702">
              <w:rPr>
                <w:rFonts w:asciiTheme="minorHAnsi" w:hAnsiTheme="minorHAnsi" w:cs="Arial"/>
                <w:b/>
                <w:szCs w:val="24"/>
                <w:lang w:val="ro-RO"/>
              </w:rPr>
              <w:t>MINISTRUL FINANȚELOR PUBLICE,</w:t>
            </w:r>
          </w:p>
        </w:tc>
      </w:tr>
      <w:tr w:rsidR="00583304" w:rsidRPr="00C86702" w:rsidTr="004F6C47">
        <w:tc>
          <w:tcPr>
            <w:tcW w:w="6025" w:type="dxa"/>
          </w:tcPr>
          <w:p w:rsidR="00583304" w:rsidRPr="00C86702" w:rsidRDefault="00F16428" w:rsidP="00C86702">
            <w:pPr>
              <w:pStyle w:val="DefaultText"/>
              <w:spacing w:line="360" w:lineRule="auto"/>
              <w:jc w:val="center"/>
              <w:rPr>
                <w:rFonts w:asciiTheme="minorHAnsi" w:hAnsiTheme="minorHAnsi" w:cs="Arial"/>
                <w:b/>
                <w:lang w:val="ro-RO"/>
              </w:rPr>
            </w:pPr>
            <w:r>
              <w:rPr>
                <w:rFonts w:asciiTheme="minorHAnsi" w:hAnsiTheme="minorHAnsi" w:cs="Arial"/>
                <w:b/>
                <w:lang w:val="ro-RO"/>
              </w:rPr>
              <w:t>EUGEN ORLANDO TEODOROVICI</w:t>
            </w:r>
          </w:p>
        </w:tc>
      </w:tr>
      <w:tr w:rsidR="00583304" w:rsidRPr="00C86702" w:rsidTr="004F6C47">
        <w:tc>
          <w:tcPr>
            <w:tcW w:w="6025" w:type="dxa"/>
          </w:tcPr>
          <w:p w:rsidR="00D425FA" w:rsidRPr="00C86702" w:rsidRDefault="00D425FA" w:rsidP="00C86702">
            <w:pPr>
              <w:pStyle w:val="DefaultText"/>
              <w:spacing w:line="360" w:lineRule="auto"/>
              <w:rPr>
                <w:rFonts w:ascii="Calibri" w:hAnsi="Calibri" w:cs="Arial"/>
                <w:b/>
                <w:lang w:val="ro-RO"/>
              </w:rPr>
            </w:pPr>
          </w:p>
        </w:tc>
      </w:tr>
    </w:tbl>
    <w:p w:rsidR="00583304" w:rsidRPr="00C86702" w:rsidRDefault="00583304" w:rsidP="00583304">
      <w:pPr>
        <w:pStyle w:val="BodyText"/>
        <w:jc w:val="both"/>
        <w:rPr>
          <w:rFonts w:ascii="Calibri" w:hAnsi="Calibri"/>
          <w:lang w:val="ro-RO"/>
        </w:rPr>
      </w:pPr>
    </w:p>
    <w:p w:rsidR="00583304" w:rsidRDefault="00583304" w:rsidP="00583304">
      <w:pPr>
        <w:pStyle w:val="BodyText"/>
        <w:jc w:val="both"/>
        <w:rPr>
          <w:rFonts w:ascii="Calibri" w:hAnsi="Calibri"/>
          <w:lang w:val="ro-RO"/>
        </w:rPr>
      </w:pPr>
    </w:p>
    <w:p w:rsidR="005178E7" w:rsidRDefault="005178E7" w:rsidP="00583304">
      <w:pPr>
        <w:pStyle w:val="BodyText"/>
        <w:jc w:val="both"/>
        <w:rPr>
          <w:rFonts w:ascii="Calibri" w:hAnsi="Calibri"/>
          <w:lang w:val="ro-RO"/>
        </w:rPr>
      </w:pPr>
    </w:p>
    <w:p w:rsidR="005178E7" w:rsidRDefault="005178E7" w:rsidP="00583304">
      <w:pPr>
        <w:pStyle w:val="BodyText"/>
        <w:jc w:val="both"/>
        <w:rPr>
          <w:rFonts w:ascii="Calibri" w:hAnsi="Calibri"/>
          <w:lang w:val="ro-RO"/>
        </w:rPr>
      </w:pPr>
    </w:p>
    <w:p w:rsidR="005178E7" w:rsidRDefault="005178E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BA0FB7" w:rsidRDefault="00BA0FB7" w:rsidP="00583304">
      <w:pPr>
        <w:pStyle w:val="BodyText"/>
        <w:jc w:val="both"/>
        <w:rPr>
          <w:rFonts w:ascii="Calibri" w:hAnsi="Calibri"/>
          <w:lang w:val="ro-RO"/>
        </w:rPr>
      </w:pPr>
    </w:p>
    <w:p w:rsidR="005178E7" w:rsidRDefault="005178E7" w:rsidP="00583304">
      <w:pPr>
        <w:pStyle w:val="BodyText"/>
        <w:jc w:val="both"/>
        <w:rPr>
          <w:rFonts w:ascii="Calibri" w:hAnsi="Calibri"/>
          <w:lang w:val="ro-RO"/>
        </w:rPr>
      </w:pPr>
    </w:p>
    <w:p w:rsidR="005178E7" w:rsidRDefault="005178E7" w:rsidP="00583304">
      <w:pPr>
        <w:pStyle w:val="BodyText"/>
        <w:jc w:val="both"/>
        <w:rPr>
          <w:rFonts w:ascii="Calibri" w:hAnsi="Calibri"/>
          <w:lang w:val="ro-RO"/>
        </w:rPr>
      </w:pPr>
    </w:p>
    <w:p w:rsidR="00466A47" w:rsidRDefault="00466A47" w:rsidP="004D7405">
      <w:pPr>
        <w:tabs>
          <w:tab w:val="left" w:pos="6012"/>
        </w:tabs>
        <w:rPr>
          <w:rFonts w:ascii="Calibri" w:hAnsi="Calibri"/>
          <w:lang w:val="ro-RO"/>
        </w:rPr>
      </w:pPr>
    </w:p>
    <w:p w:rsidR="008152D6" w:rsidRDefault="00D72B22" w:rsidP="006F7475">
      <w:pPr>
        <w:rPr>
          <w:rFonts w:ascii="Calibri" w:hAnsi="Calibri"/>
          <w:lang w:val="ro-RO"/>
        </w:rPr>
      </w:pPr>
      <w:r w:rsidRPr="00D72B22">
        <w:rPr>
          <w:noProof/>
          <w:lang w:val="ro-RO" w:eastAsia="ro-RO"/>
        </w:rPr>
        <w:drawing>
          <wp:inline distT="0" distB="0" distL="0" distR="0">
            <wp:extent cx="6246495" cy="9080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6495" cy="9080808"/>
                    </a:xfrm>
                    <a:prstGeom prst="rect">
                      <a:avLst/>
                    </a:prstGeom>
                    <a:noFill/>
                    <a:ln>
                      <a:noFill/>
                    </a:ln>
                  </pic:spPr>
                </pic:pic>
              </a:graphicData>
            </a:graphic>
          </wp:inline>
        </w:drawing>
      </w:r>
    </w:p>
    <w:p w:rsidR="0048269F" w:rsidRDefault="0048269F" w:rsidP="006F7475">
      <w:pPr>
        <w:rPr>
          <w:rFonts w:ascii="Calibri" w:hAnsi="Calibri"/>
          <w:lang w:val="ro-RO"/>
        </w:rPr>
      </w:pPr>
      <w:r w:rsidRPr="0048269F">
        <w:rPr>
          <w:noProof/>
          <w:lang w:val="ro-RO" w:eastAsia="ro-RO"/>
        </w:rPr>
        <w:drawing>
          <wp:inline distT="0" distB="0" distL="0" distR="0">
            <wp:extent cx="6246495" cy="8279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6495" cy="8279585"/>
                    </a:xfrm>
                    <a:prstGeom prst="rect">
                      <a:avLst/>
                    </a:prstGeom>
                    <a:noFill/>
                    <a:ln>
                      <a:noFill/>
                    </a:ln>
                  </pic:spPr>
                </pic:pic>
              </a:graphicData>
            </a:graphic>
          </wp:inline>
        </w:drawing>
      </w: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r w:rsidRPr="0048269F">
        <w:rPr>
          <w:noProof/>
          <w:lang w:val="ro-RO" w:eastAsia="ro-RO"/>
        </w:rPr>
        <w:drawing>
          <wp:inline distT="0" distB="0" distL="0" distR="0">
            <wp:extent cx="6246495" cy="8266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8266790"/>
                    </a:xfrm>
                    <a:prstGeom prst="rect">
                      <a:avLst/>
                    </a:prstGeom>
                    <a:noFill/>
                    <a:ln>
                      <a:noFill/>
                    </a:ln>
                  </pic:spPr>
                </pic:pic>
              </a:graphicData>
            </a:graphic>
          </wp:inline>
        </w:drawing>
      </w: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r w:rsidRPr="0048269F">
        <w:rPr>
          <w:noProof/>
          <w:lang w:val="ro-RO" w:eastAsia="ro-RO"/>
        </w:rPr>
        <w:drawing>
          <wp:inline distT="0" distB="0" distL="0" distR="0">
            <wp:extent cx="6246495" cy="6596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6596635"/>
                    </a:xfrm>
                    <a:prstGeom prst="rect">
                      <a:avLst/>
                    </a:prstGeom>
                    <a:noFill/>
                    <a:ln>
                      <a:noFill/>
                    </a:ln>
                  </pic:spPr>
                </pic:pic>
              </a:graphicData>
            </a:graphic>
          </wp:inline>
        </w:drawing>
      </w: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r w:rsidRPr="0048269F">
        <w:rPr>
          <w:noProof/>
          <w:lang w:val="ro-RO" w:eastAsia="ro-RO"/>
        </w:rPr>
        <w:drawing>
          <wp:inline distT="0" distB="0" distL="0" distR="0">
            <wp:extent cx="6246495" cy="8312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495" cy="8312320"/>
                    </a:xfrm>
                    <a:prstGeom prst="rect">
                      <a:avLst/>
                    </a:prstGeom>
                    <a:noFill/>
                    <a:ln>
                      <a:noFill/>
                    </a:ln>
                  </pic:spPr>
                </pic:pic>
              </a:graphicData>
            </a:graphic>
          </wp:inline>
        </w:drawing>
      </w: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48269F" w:rsidP="006F7475">
      <w:pPr>
        <w:rPr>
          <w:rFonts w:ascii="Calibri" w:hAnsi="Calibri"/>
          <w:lang w:val="ro-RO"/>
        </w:rPr>
      </w:pPr>
    </w:p>
    <w:p w:rsidR="0048269F" w:rsidRDefault="006C2ED8" w:rsidP="006F7475">
      <w:pPr>
        <w:rPr>
          <w:rFonts w:ascii="Calibri" w:hAnsi="Calibri"/>
          <w:lang w:val="ro-RO"/>
        </w:rPr>
      </w:pPr>
      <w:r w:rsidRPr="006C2ED8">
        <w:rPr>
          <w:noProof/>
          <w:lang w:val="ro-RO" w:eastAsia="ro-RO"/>
        </w:rPr>
        <w:drawing>
          <wp:inline distT="0" distB="0" distL="0" distR="0">
            <wp:extent cx="5829300" cy="9163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2667" cy="9168384"/>
                    </a:xfrm>
                    <a:prstGeom prst="rect">
                      <a:avLst/>
                    </a:prstGeom>
                    <a:noFill/>
                    <a:ln>
                      <a:noFill/>
                    </a:ln>
                  </pic:spPr>
                </pic:pic>
              </a:graphicData>
            </a:graphic>
          </wp:inline>
        </w:drawing>
      </w:r>
    </w:p>
    <w:p w:rsidR="006C2ED8" w:rsidRDefault="006C2ED8" w:rsidP="006F7475">
      <w:pPr>
        <w:rPr>
          <w:rFonts w:ascii="Calibri" w:hAnsi="Calibri"/>
          <w:lang w:val="ro-RO"/>
        </w:rPr>
      </w:pPr>
      <w:r w:rsidRPr="006C2ED8">
        <w:rPr>
          <w:noProof/>
          <w:lang w:val="ro-RO" w:eastAsia="ro-RO"/>
        </w:rPr>
        <w:drawing>
          <wp:inline distT="0" distB="0" distL="0" distR="0">
            <wp:extent cx="6246495" cy="90454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6495" cy="9045432"/>
                    </a:xfrm>
                    <a:prstGeom prst="rect">
                      <a:avLst/>
                    </a:prstGeom>
                    <a:noFill/>
                    <a:ln>
                      <a:noFill/>
                    </a:ln>
                  </pic:spPr>
                </pic:pic>
              </a:graphicData>
            </a:graphic>
          </wp:inline>
        </w:drawing>
      </w:r>
    </w:p>
    <w:p w:rsidR="006C2ED8" w:rsidRDefault="006C2ED8" w:rsidP="006F7475">
      <w:pPr>
        <w:rPr>
          <w:rFonts w:ascii="Calibri" w:hAnsi="Calibri"/>
          <w:lang w:val="ro-RO"/>
        </w:rPr>
      </w:pPr>
      <w:r w:rsidRPr="006C2ED8">
        <w:rPr>
          <w:noProof/>
          <w:lang w:val="ro-RO" w:eastAsia="ro-RO"/>
        </w:rPr>
        <w:drawing>
          <wp:inline distT="0" distB="0" distL="0" distR="0">
            <wp:extent cx="6246495" cy="81794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6495" cy="8179426"/>
                    </a:xfrm>
                    <a:prstGeom prst="rect">
                      <a:avLst/>
                    </a:prstGeom>
                    <a:noFill/>
                    <a:ln>
                      <a:noFill/>
                    </a:ln>
                  </pic:spPr>
                </pic:pic>
              </a:graphicData>
            </a:graphic>
          </wp:inline>
        </w:drawing>
      </w: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Default="006C2ED8" w:rsidP="006F7475">
      <w:pPr>
        <w:rPr>
          <w:rFonts w:ascii="Calibri" w:hAnsi="Calibri"/>
          <w:lang w:val="ro-RO"/>
        </w:rPr>
      </w:pPr>
      <w:r w:rsidRPr="006C2ED8">
        <w:rPr>
          <w:noProof/>
          <w:lang w:val="ro-RO" w:eastAsia="ro-RO"/>
        </w:rPr>
        <w:drawing>
          <wp:inline distT="0" distB="0" distL="0" distR="0">
            <wp:extent cx="6246495" cy="86083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6495" cy="8608319"/>
                    </a:xfrm>
                    <a:prstGeom prst="rect">
                      <a:avLst/>
                    </a:prstGeom>
                    <a:noFill/>
                    <a:ln>
                      <a:noFill/>
                    </a:ln>
                  </pic:spPr>
                </pic:pic>
              </a:graphicData>
            </a:graphic>
          </wp:inline>
        </w:drawing>
      </w: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Default="006C2ED8" w:rsidP="006F7475">
      <w:pPr>
        <w:rPr>
          <w:rFonts w:ascii="Calibri" w:hAnsi="Calibri"/>
          <w:lang w:val="ro-RO"/>
        </w:rPr>
      </w:pPr>
    </w:p>
    <w:p w:rsidR="006C2ED8" w:rsidRPr="006F7475" w:rsidRDefault="003C15BF" w:rsidP="006F7475">
      <w:pPr>
        <w:rPr>
          <w:rFonts w:ascii="Calibri" w:hAnsi="Calibri"/>
          <w:lang w:val="ro-RO"/>
        </w:rPr>
      </w:pPr>
      <w:bookmarkStart w:id="32" w:name="_GoBack"/>
      <w:r w:rsidRPr="003C15BF">
        <w:rPr>
          <w:noProof/>
          <w:lang w:val="ro-RO" w:eastAsia="ro-RO"/>
        </w:rPr>
        <w:drawing>
          <wp:inline distT="0" distB="0" distL="0" distR="0">
            <wp:extent cx="6246495" cy="778333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6495" cy="7783331"/>
                    </a:xfrm>
                    <a:prstGeom prst="rect">
                      <a:avLst/>
                    </a:prstGeom>
                    <a:noFill/>
                    <a:ln>
                      <a:noFill/>
                    </a:ln>
                  </pic:spPr>
                </pic:pic>
              </a:graphicData>
            </a:graphic>
          </wp:inline>
        </w:drawing>
      </w:r>
      <w:bookmarkEnd w:id="32"/>
    </w:p>
    <w:sectPr w:rsidR="006C2ED8" w:rsidRPr="006F7475" w:rsidSect="00E73550">
      <w:footerReference w:type="default" r:id="rId71"/>
      <w:pgSz w:w="11907" w:h="16840" w:code="9"/>
      <w:pgMar w:top="851" w:right="987" w:bottom="851" w:left="108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CF1" w:rsidRDefault="00A86CF1">
      <w:r>
        <w:separator/>
      </w:r>
    </w:p>
  </w:endnote>
  <w:endnote w:type="continuationSeparator" w:id="0">
    <w:p w:rsidR="00A86CF1" w:rsidRDefault="00A8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RomanR">
    <w:altName w:val="Arial"/>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EE"/>
    <w:family w:val="swiss"/>
    <w:pitch w:val="variable"/>
    <w:sig w:usb0="A1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Calibri Light">
    <w:panose1 w:val="020F0302020204030204"/>
    <w:charset w:val="EE"/>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W1)">
    <w:altName w:val="Arial"/>
    <w:charset w:val="00"/>
    <w:family w:val="swiss"/>
    <w:pitch w:val="variable"/>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ヒラギノ角ゴ Pro W3">
    <w:altName w:val="MS Mincho"/>
    <w:charset w:val="80"/>
    <w:family w:val="auto"/>
    <w:pitch w:val="variable"/>
    <w:sig w:usb0="00000000" w:usb1="00000000" w:usb2="01000407"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rsidP="00BD4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6CF1" w:rsidRDefault="00A86CF1" w:rsidP="00BD4A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pPr>
      <w:pStyle w:val="Footer"/>
      <w:jc w:val="right"/>
    </w:pPr>
    <w:r>
      <w:fldChar w:fldCharType="begin"/>
    </w:r>
    <w:r>
      <w:instrText xml:space="preserve"> PAGE   \* MERGEFORMAT </w:instrText>
    </w:r>
    <w:r>
      <w:fldChar w:fldCharType="separate"/>
    </w:r>
    <w:r w:rsidR="00A1054E">
      <w:rPr>
        <w:noProof/>
      </w:rPr>
      <w:t>147</w:t>
    </w:r>
    <w:r>
      <w:rPr>
        <w:noProof/>
      </w:rPr>
      <w:fldChar w:fldCharType="end"/>
    </w:r>
  </w:p>
  <w:p w:rsidR="00A86CF1" w:rsidRDefault="00A86CF1" w:rsidP="00BD4A3E">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pPr>
      <w:pStyle w:val="Footer"/>
      <w:jc w:val="center"/>
    </w:pPr>
    <w:r>
      <w:rPr>
        <w:sz w:val="20"/>
      </w:rPr>
      <w:t>8</w:t>
    </w:r>
  </w:p>
  <w:p w:rsidR="00A86CF1" w:rsidRDefault="00A86C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rsidP="00BD4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6CF1" w:rsidRDefault="00A86CF1" w:rsidP="00BD4A3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pPr>
      <w:pStyle w:val="Footer"/>
      <w:jc w:val="right"/>
    </w:pPr>
    <w:r>
      <w:fldChar w:fldCharType="begin"/>
    </w:r>
    <w:r>
      <w:instrText xml:space="preserve"> PAGE   \* MERGEFORMAT </w:instrText>
    </w:r>
    <w:r>
      <w:fldChar w:fldCharType="separate"/>
    </w:r>
    <w:r w:rsidR="00A1054E">
      <w:rPr>
        <w:noProof/>
      </w:rPr>
      <w:t>148</w:t>
    </w:r>
    <w:r>
      <w:rPr>
        <w:noProof/>
      </w:rPr>
      <w:fldChar w:fldCharType="end"/>
    </w:r>
  </w:p>
  <w:p w:rsidR="00A86CF1" w:rsidRDefault="00A86CF1" w:rsidP="00BD4A3E">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pPr>
      <w:pStyle w:val="Footer"/>
      <w:jc w:val="center"/>
    </w:pPr>
    <w:r>
      <w:rPr>
        <w:sz w:val="20"/>
      </w:rPr>
      <w:t>8</w:t>
    </w:r>
  </w:p>
  <w:p w:rsidR="00A86CF1" w:rsidRDefault="00A86C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Default="00A86CF1" w:rsidP="00E27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054E">
      <w:rPr>
        <w:rStyle w:val="PageNumber"/>
        <w:noProof/>
      </w:rPr>
      <w:t>209</w:t>
    </w:r>
    <w:r>
      <w:rPr>
        <w:rStyle w:val="PageNumber"/>
      </w:rPr>
      <w:fldChar w:fldCharType="end"/>
    </w:r>
  </w:p>
  <w:p w:rsidR="00A86CF1" w:rsidRDefault="00A86CF1" w:rsidP="000734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CF1" w:rsidRDefault="00A86CF1">
      <w:r>
        <w:separator/>
      </w:r>
    </w:p>
  </w:footnote>
  <w:footnote w:type="continuationSeparator" w:id="0">
    <w:p w:rsidR="00A86CF1" w:rsidRDefault="00A86CF1">
      <w:r>
        <w:continuationSeparator/>
      </w:r>
    </w:p>
  </w:footnote>
  <w:footnote w:id="1">
    <w:p w:rsidR="00A86CF1" w:rsidRPr="00B60958" w:rsidRDefault="00A86CF1" w:rsidP="006A425D">
      <w:pPr>
        <w:jc w:val="both"/>
        <w:rPr>
          <w:rFonts w:ascii="Calibri" w:hAnsi="Calibri" w:cs="Calibri"/>
          <w:sz w:val="16"/>
          <w:szCs w:val="16"/>
          <w:lang w:val="ro-RO"/>
        </w:rPr>
      </w:pPr>
      <w:r w:rsidRPr="00B60958">
        <w:rPr>
          <w:rStyle w:val="FootnoteReference"/>
          <w:sz w:val="16"/>
          <w:szCs w:val="16"/>
        </w:rPr>
        <w:footnoteRef/>
      </w:r>
      <w:r w:rsidRPr="00B60958">
        <w:rPr>
          <w:rFonts w:ascii="Calibri" w:hAnsi="Calibri" w:cs="Calibri"/>
          <w:sz w:val="16"/>
          <w:szCs w:val="16"/>
          <w:lang w:val="ro-RO"/>
        </w:rPr>
        <w:t xml:space="preserve">Rata de absorbţie curentă reprezintă raportul dintre valoarea declaraţiilor de cheltuieli transmise Comisiei Europene şi alocarea totală aferentă perioadei 2007-2013. </w:t>
      </w:r>
    </w:p>
    <w:p w:rsidR="00A86CF1" w:rsidRPr="00B60958" w:rsidRDefault="00A86CF1" w:rsidP="006A425D">
      <w:pPr>
        <w:pStyle w:val="FootnoteText"/>
        <w:rPr>
          <w:sz w:val="16"/>
          <w:szCs w:val="16"/>
          <w:lang w:val="ro-RO"/>
        </w:rPr>
      </w:pPr>
    </w:p>
  </w:footnote>
  <w:footnote w:id="2">
    <w:p w:rsidR="00A86CF1" w:rsidRPr="00B60958" w:rsidRDefault="00A86CF1" w:rsidP="006A425D">
      <w:pPr>
        <w:pStyle w:val="FootnoteText"/>
        <w:rPr>
          <w:sz w:val="16"/>
          <w:szCs w:val="16"/>
          <w:lang w:val="ro-RO"/>
        </w:rPr>
      </w:pPr>
      <w:r w:rsidRPr="00B60958">
        <w:rPr>
          <w:rStyle w:val="FootnoteReference"/>
          <w:sz w:val="16"/>
          <w:szCs w:val="16"/>
        </w:rPr>
        <w:footnoteRef/>
      </w:r>
      <w:r w:rsidRPr="00B60958">
        <w:rPr>
          <w:rFonts w:ascii="Calibri" w:hAnsi="Calibri" w:cs="Calibri"/>
          <w:sz w:val="16"/>
          <w:szCs w:val="16"/>
          <w:lang w:val="ro-RO"/>
        </w:rPr>
        <w:t>Rata rambursărilor reprezintă raportul dintre valoarea sumelor plătite de către Comisia Europeană şi alocarea totală aferentă programelor operaţionale.</w:t>
      </w:r>
    </w:p>
  </w:footnote>
  <w:footnote w:id="3">
    <w:p w:rsidR="00A86CF1" w:rsidRPr="003964D3" w:rsidRDefault="00A86CF1" w:rsidP="006A425D">
      <w:pPr>
        <w:pStyle w:val="FootnoteText"/>
        <w:rPr>
          <w:sz w:val="16"/>
          <w:szCs w:val="16"/>
          <w:lang w:val="fr-FR"/>
        </w:rPr>
      </w:pPr>
      <w:r w:rsidRPr="00B60958">
        <w:rPr>
          <w:rStyle w:val="FootnoteReference"/>
          <w:sz w:val="16"/>
          <w:szCs w:val="16"/>
        </w:rPr>
        <w:footnoteRef/>
      </w:r>
      <w:r w:rsidRPr="003964D3">
        <w:rPr>
          <w:sz w:val="16"/>
          <w:szCs w:val="16"/>
          <w:lang w:val="fr-FR"/>
        </w:rPr>
        <w:t xml:space="preserve"> Program de Guvernare 2017-2020</w:t>
      </w:r>
    </w:p>
  </w:footnote>
  <w:footnote w:id="4">
    <w:p w:rsidR="00A86CF1" w:rsidRPr="0020052F" w:rsidRDefault="00A86CF1" w:rsidP="00912B6C">
      <w:pPr>
        <w:pStyle w:val="FootnoteText"/>
        <w:jc w:val="both"/>
        <w:rPr>
          <w:lang w:val="ro-RO"/>
        </w:rPr>
      </w:pPr>
      <w:r w:rsidRPr="00602E16">
        <w:rPr>
          <w:rStyle w:val="FootnoteReference"/>
        </w:rPr>
        <w:footnoteRef/>
      </w:r>
      <w:r w:rsidRPr="0020052F">
        <w:rPr>
          <w:lang w:val="ro-RO"/>
        </w:rPr>
        <w:t>încasările din "Impozit pe profit de la agenții economici" reprezintă 95,3% din total încasări "Impozit pe profit"</w:t>
      </w:r>
    </w:p>
  </w:footnote>
  <w:footnote w:id="5">
    <w:p w:rsidR="00A86CF1" w:rsidRPr="001F401A" w:rsidRDefault="00A86CF1" w:rsidP="00912B6C">
      <w:pPr>
        <w:pStyle w:val="FootnoteText"/>
        <w:jc w:val="both"/>
        <w:rPr>
          <w:rStyle w:val="FootnoteReference"/>
          <w:rFonts w:cs="Arial"/>
          <w:lang w:val="ro-RO"/>
        </w:rPr>
      </w:pPr>
      <w:r w:rsidRPr="001F401A">
        <w:rPr>
          <w:rFonts w:ascii="Calibri" w:hAnsi="Calibri" w:cs="Arial"/>
          <w:vertAlign w:val="superscript"/>
        </w:rPr>
        <w:footnoteRef/>
      </w:r>
      <w:r w:rsidRPr="001F401A">
        <w:rPr>
          <w:rFonts w:ascii="Calibri" w:hAnsi="Calibri" w:cs="Arial"/>
          <w:lang w:val="ro-RO"/>
        </w:rPr>
        <w:t>Legea a intrat în vigoare la 1 ianuarie 2017.</w:t>
      </w:r>
    </w:p>
  </w:footnote>
  <w:footnote w:id="6">
    <w:p w:rsidR="00A86CF1" w:rsidRPr="001F401A" w:rsidRDefault="00A86CF1" w:rsidP="00912B6C">
      <w:pPr>
        <w:pStyle w:val="FootnoteText"/>
        <w:jc w:val="both"/>
        <w:rPr>
          <w:rStyle w:val="FootnoteReference"/>
          <w:rFonts w:cs="Arial"/>
          <w:lang w:val="ro-RO"/>
        </w:rPr>
      </w:pPr>
      <w:r w:rsidRPr="001F401A">
        <w:rPr>
          <w:rStyle w:val="FootnoteReference"/>
          <w:rFonts w:cs="Arial"/>
          <w:lang w:val="ro-RO"/>
        </w:rPr>
        <w:footnoteRef/>
      </w:r>
      <w:r w:rsidRPr="001F401A">
        <w:rPr>
          <w:rFonts w:ascii="Calibri" w:hAnsi="Calibri" w:cs="Arial"/>
          <w:lang w:val="ro-RO"/>
        </w:rPr>
        <w:t>TITLUL II*)    Impozitul pe profit</w:t>
      </w:r>
    </w:p>
  </w:footnote>
  <w:footnote w:id="7">
    <w:p w:rsidR="00A86CF1" w:rsidRPr="001F401A" w:rsidRDefault="00A86CF1" w:rsidP="00912B6C">
      <w:pPr>
        <w:pStyle w:val="FootnoteText"/>
        <w:jc w:val="both"/>
        <w:rPr>
          <w:rFonts w:ascii="Calibri" w:hAnsi="Calibri"/>
          <w:lang w:val="ro-RO"/>
        </w:rPr>
      </w:pPr>
      <w:r w:rsidRPr="001F401A">
        <w:rPr>
          <w:rStyle w:val="FootnoteReference"/>
          <w:lang w:val="ro-RO"/>
        </w:rPr>
        <w:footnoteRef/>
      </w:r>
      <w:r w:rsidRPr="001F401A">
        <w:rPr>
          <w:rFonts w:ascii="Calibri" w:hAnsi="Calibri" w:cs="Arial"/>
          <w:noProof/>
          <w:lang w:val="ro-RO" w:eastAsia="ro-RO"/>
        </w:rPr>
        <w:t>Legea  nr. 227/2015 privind Codul fiscal</w:t>
      </w:r>
    </w:p>
  </w:footnote>
  <w:footnote w:id="8">
    <w:p w:rsidR="00A86CF1" w:rsidRPr="001F401A" w:rsidRDefault="00A86CF1" w:rsidP="00912B6C">
      <w:pPr>
        <w:pStyle w:val="FootnoteText"/>
        <w:jc w:val="both"/>
        <w:rPr>
          <w:rFonts w:ascii="Calibri" w:hAnsi="Calibri"/>
          <w:lang w:val="ro-RO"/>
        </w:rPr>
      </w:pPr>
      <w:r w:rsidRPr="001F401A">
        <w:rPr>
          <w:rStyle w:val="FootnoteReference"/>
          <w:lang w:val="ro-RO"/>
        </w:rPr>
        <w:footnoteRef/>
      </w:r>
      <w:r w:rsidRPr="001F401A">
        <w:rPr>
          <w:rFonts w:ascii="Calibri" w:hAnsi="Calibri" w:cs="Arial"/>
          <w:noProof/>
          <w:lang w:val="ro-RO" w:eastAsia="ro-RO"/>
        </w:rPr>
        <w:t>intră în vigoare la data publicării ORDONANŢĂ DE URGENŢĂ  Nr. 3/2017 din 6 ianuarie 2017 pentru modificarea şi completarea Legii nr. 227/2015 privind Codul fiscal</w:t>
      </w:r>
    </w:p>
  </w:footnote>
  <w:footnote w:id="9">
    <w:p w:rsidR="00A86CF1" w:rsidRPr="001F401A" w:rsidRDefault="00A86CF1" w:rsidP="00912B6C">
      <w:pPr>
        <w:pStyle w:val="FootnoteText"/>
        <w:jc w:val="both"/>
        <w:rPr>
          <w:rFonts w:ascii="Calibri" w:hAnsi="Calibri"/>
          <w:lang w:val="ro-RO"/>
        </w:rPr>
      </w:pPr>
      <w:r w:rsidRPr="001F401A">
        <w:rPr>
          <w:rStyle w:val="FootnoteReference"/>
          <w:lang w:val="ro-RO"/>
        </w:rPr>
        <w:footnoteRef/>
      </w:r>
      <w:r w:rsidRPr="001F401A">
        <w:rPr>
          <w:rFonts w:ascii="Calibri" w:hAnsi="Calibri"/>
          <w:lang w:val="ro-RO"/>
        </w:rPr>
        <w:t xml:space="preserve"> INS – Comunicat de presa nr.41 / 14 februarie 2018</w:t>
      </w:r>
    </w:p>
  </w:footnote>
  <w:footnote w:id="10">
    <w:p w:rsidR="00A86CF1" w:rsidRPr="001F401A" w:rsidRDefault="00A86CF1" w:rsidP="00912B6C">
      <w:pPr>
        <w:pStyle w:val="FootnoteText"/>
        <w:jc w:val="both"/>
        <w:rPr>
          <w:rFonts w:ascii="Calibri" w:hAnsi="Calibri"/>
          <w:lang w:val="ro-RO"/>
        </w:rPr>
      </w:pPr>
      <w:r w:rsidRPr="001F401A">
        <w:rPr>
          <w:rStyle w:val="FootnoteReference"/>
          <w:lang w:val="ro-RO"/>
        </w:rPr>
        <w:footnoteRef/>
      </w:r>
      <w:r w:rsidRPr="001F401A">
        <w:rPr>
          <w:rFonts w:ascii="Calibri" w:hAnsi="Calibri"/>
          <w:lang w:val="ro-RO"/>
        </w:rPr>
        <w:t xml:space="preserve"> INS – Comunicat de presa nr.40 / 14 februarie 2018</w:t>
      </w:r>
    </w:p>
  </w:footnote>
  <w:footnote w:id="11">
    <w:p w:rsidR="00A86CF1" w:rsidRPr="0020052F" w:rsidRDefault="00A86CF1" w:rsidP="00912B6C">
      <w:pPr>
        <w:pStyle w:val="FootnoteText"/>
        <w:jc w:val="both"/>
        <w:rPr>
          <w:lang w:val="ro-RO"/>
        </w:rPr>
      </w:pPr>
      <w:r w:rsidRPr="00602E16">
        <w:rPr>
          <w:rStyle w:val="FootnoteReference"/>
        </w:rPr>
        <w:footnoteRef/>
      </w:r>
      <w:r w:rsidRPr="0020052F">
        <w:rPr>
          <w:lang w:val="ro-RO"/>
        </w:rPr>
        <w:t>încasările din " Impozit pe profit de la băncile comerciale" reprezintă 4,7% din total încasări "Impozit pe profit" la bugetul de stat</w:t>
      </w:r>
    </w:p>
  </w:footnote>
  <w:footnote w:id="12">
    <w:p w:rsidR="00A86CF1" w:rsidRPr="0020052F" w:rsidRDefault="00A86CF1" w:rsidP="00912B6C">
      <w:pPr>
        <w:pStyle w:val="FootnoteText"/>
        <w:rPr>
          <w:lang w:val="ro-RO"/>
        </w:rPr>
      </w:pPr>
      <w:r w:rsidRPr="0020052F">
        <w:rPr>
          <w:rStyle w:val="FootnoteReference"/>
          <w:lang w:val="ro-RO"/>
        </w:rPr>
        <w:footnoteRef/>
      </w:r>
      <w:r w:rsidRPr="0020052F">
        <w:rPr>
          <w:lang w:val="ro-RO"/>
        </w:rPr>
        <w:t xml:space="preserve"> În anul 2017 comparativ cu anul precedent numărul mediu de salariați a crescut cu 3,1% iar salariul mediu brut la nivelul economiei cu 14,5%</w:t>
      </w:r>
    </w:p>
  </w:footnote>
  <w:footnote w:id="13">
    <w:p w:rsidR="00A86CF1" w:rsidRPr="0020052F" w:rsidRDefault="00A86CF1" w:rsidP="00912B6C">
      <w:pPr>
        <w:pStyle w:val="FootnoteText"/>
        <w:rPr>
          <w:lang w:val="ro-RO"/>
        </w:rPr>
      </w:pPr>
      <w:r w:rsidRPr="0020052F">
        <w:rPr>
          <w:rStyle w:val="FootnoteReference"/>
          <w:lang w:val="ro-RO"/>
        </w:rPr>
        <w:footnoteRef/>
      </w:r>
      <w:r w:rsidRPr="0020052F">
        <w:rPr>
          <w:lang w:val="ro-RO"/>
        </w:rPr>
        <w:t xml:space="preserve"> INS- Comunicat de presă nr.4/2018 privind comerțul și serviciile</w:t>
      </w:r>
    </w:p>
  </w:footnote>
  <w:footnote w:id="14">
    <w:p w:rsidR="00A86CF1" w:rsidRPr="0020052F" w:rsidRDefault="00A86CF1" w:rsidP="00912B6C">
      <w:pPr>
        <w:pStyle w:val="FootnoteText"/>
        <w:rPr>
          <w:lang w:val="ro-RO"/>
        </w:rPr>
      </w:pPr>
      <w:r w:rsidRPr="0020052F">
        <w:rPr>
          <w:rStyle w:val="FootnoteReference"/>
          <w:lang w:val="ro-RO"/>
        </w:rPr>
        <w:footnoteRef/>
      </w:r>
      <w:r w:rsidRPr="0020052F">
        <w:rPr>
          <w:lang w:val="ro-RO"/>
        </w:rPr>
        <w:t xml:space="preserve"> INS- Comunicat de presă nr.6/2018 privind comerțul internațional de bunuri</w:t>
      </w:r>
    </w:p>
  </w:footnote>
  <w:footnote w:id="15">
    <w:p w:rsidR="00A86CF1" w:rsidRPr="0020052F" w:rsidRDefault="00A86CF1" w:rsidP="00912B6C">
      <w:pPr>
        <w:pStyle w:val="FootnoteText"/>
        <w:rPr>
          <w:lang w:val="ro-RO"/>
        </w:rPr>
      </w:pPr>
      <w:r>
        <w:rPr>
          <w:rStyle w:val="FootnoteReference"/>
        </w:rPr>
        <w:footnoteRef/>
      </w:r>
      <w:r w:rsidRPr="0020052F">
        <w:rPr>
          <w:lang w:val="ro-RO"/>
        </w:rPr>
        <w:t>Conform prevederilor art. XII din Legea nr.1/2017</w:t>
      </w:r>
    </w:p>
  </w:footnote>
  <w:footnote w:id="16">
    <w:p w:rsidR="00A86CF1" w:rsidRPr="0020052F" w:rsidRDefault="00A86CF1" w:rsidP="00912B6C">
      <w:pPr>
        <w:pStyle w:val="FootnoteText"/>
        <w:rPr>
          <w:lang w:val="ro-RO"/>
        </w:rPr>
      </w:pPr>
      <w:r w:rsidRPr="0020052F">
        <w:rPr>
          <w:rStyle w:val="FootnoteReference"/>
          <w:lang w:val="ro-RO"/>
        </w:rPr>
        <w:footnoteRef/>
      </w:r>
      <w:r w:rsidRPr="0020052F">
        <w:rPr>
          <w:lang w:val="ro-RO"/>
        </w:rPr>
        <w:t xml:space="preserve"> INS- Comunicat de presă nr.6/2018 privind comerțul internațional de bunuri</w:t>
      </w:r>
    </w:p>
  </w:footnote>
  <w:footnote w:id="17">
    <w:p w:rsidR="00A86CF1" w:rsidRPr="00841EAA" w:rsidRDefault="00A86CF1" w:rsidP="00912B6C">
      <w:pPr>
        <w:pStyle w:val="FootnoteText"/>
        <w:rPr>
          <w:lang w:val="ro-RO"/>
        </w:rPr>
      </w:pPr>
      <w:r>
        <w:rPr>
          <w:rStyle w:val="FootnoteReference"/>
        </w:rPr>
        <w:footnoteRef/>
      </w:r>
      <w:r w:rsidRPr="00841EAA">
        <w:rPr>
          <w:lang w:val="ro-RO"/>
        </w:rPr>
        <w:t xml:space="preserve"> În anul 2017 comparativ cu anul precedent numărul mediu de salariați a crescut cu 3,1% iar salariul mediu brut la nivelul economiei cu 14,5%</w:t>
      </w:r>
    </w:p>
  </w:footnote>
  <w:footnote w:id="18">
    <w:p w:rsidR="00A86CF1" w:rsidRPr="00BE7BCF" w:rsidRDefault="00A86CF1">
      <w:pPr>
        <w:pStyle w:val="FootnoteText"/>
        <w:rPr>
          <w:rFonts w:ascii="Calibri" w:hAnsi="Calibri"/>
          <w:sz w:val="18"/>
          <w:szCs w:val="18"/>
          <w:lang w:val="ro-RO"/>
        </w:rPr>
      </w:pPr>
      <w:r>
        <w:rPr>
          <w:rStyle w:val="FootnoteReference"/>
        </w:rPr>
        <w:footnoteRef/>
      </w:r>
      <w:r w:rsidRPr="00BE7BCF">
        <w:rPr>
          <w:rFonts w:ascii="Calibri" w:hAnsi="Calibri"/>
          <w:sz w:val="18"/>
          <w:szCs w:val="18"/>
          <w:lang w:val="ro-RO"/>
        </w:rPr>
        <w:t>Dacă nu se specifică altfel, indicatorii prezentați la această secțiune sunt calculați în metodologie cash.</w:t>
      </w:r>
    </w:p>
  </w:footnote>
  <w:footnote w:id="19">
    <w:p w:rsidR="00A86CF1" w:rsidRPr="00252DE3" w:rsidRDefault="00A86CF1" w:rsidP="00FD5488">
      <w:pPr>
        <w:pStyle w:val="FootnoteText"/>
        <w:jc w:val="both"/>
        <w:rPr>
          <w:lang w:val="ro-RO"/>
        </w:rPr>
      </w:pPr>
      <w:r>
        <w:rPr>
          <w:rStyle w:val="FootnoteReference"/>
        </w:rPr>
        <w:footnoteRef/>
      </w:r>
      <w:r w:rsidRPr="003964D3">
        <w:rPr>
          <w:lang w:val="ro-RO"/>
        </w:rPr>
        <w:t xml:space="preserve"> transferul sarcinii fiscale a obligațiilor privind contribuțiile sociale obligatorii, datorate de angajator la angajat, în cazul veniturilor din salarii și asimilate salariilor, reducerea cotelor contribuției de asigurări sociale și a contribuției de asigurări sociale de sănătate, stabilirea în sarcina angajatorilor a contribuţiei asiguratorii pentru muncă  în cotă de 2,25%  pentru veniturile din salarii și asimilate salariilor</w:t>
      </w:r>
    </w:p>
  </w:footnote>
  <w:footnote w:id="20">
    <w:p w:rsidR="00A86CF1" w:rsidRPr="00BE7BCF" w:rsidRDefault="00A86CF1" w:rsidP="002A4FC7">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21">
    <w:p w:rsidR="00A86CF1" w:rsidRPr="00A47B25" w:rsidRDefault="00A86CF1" w:rsidP="00BD4A3E">
      <w:pPr>
        <w:jc w:val="both"/>
        <w:rPr>
          <w:rFonts w:ascii="Calibri" w:hAnsi="Calibri" w:cs="Calibri"/>
          <w:sz w:val="14"/>
          <w:szCs w:val="14"/>
          <w:lang w:val="ro-RO"/>
        </w:rPr>
      </w:pPr>
      <w:r w:rsidRPr="00A47B25">
        <w:rPr>
          <w:rStyle w:val="FootnoteReference"/>
          <w:rFonts w:ascii="Calibri" w:hAnsi="Calibri" w:cs="Calibri"/>
          <w:sz w:val="14"/>
          <w:szCs w:val="14"/>
        </w:rPr>
        <w:footnoteRef/>
      </w:r>
      <w:r w:rsidRPr="00A47B25">
        <w:rPr>
          <w:rFonts w:ascii="Calibri" w:hAnsi="Calibri" w:cs="Calibri"/>
          <w:sz w:val="14"/>
          <w:szCs w:val="14"/>
          <w:lang w:val="ro-RO"/>
        </w:rPr>
        <w:t xml:space="preserve">Programul Operațional Regional, Programul Operațional Sectorial Transport, Programul Operațional Sectorial Mediu, Programul Operațional Sectorial Creșterea Competitivității Economice, Programul Operațional Sectorial Dezvoltarea Resurselor Umane, Programul Operațional Dezvoltarea Capacității Administrative și Programul Operațional Asistență Tehnică. </w:t>
      </w:r>
    </w:p>
  </w:footnote>
  <w:footnote w:id="22">
    <w:p w:rsidR="00A86CF1" w:rsidRPr="00A47B25" w:rsidRDefault="00A86CF1" w:rsidP="00BD4A3E">
      <w:pPr>
        <w:jc w:val="both"/>
        <w:rPr>
          <w:rFonts w:ascii="Calibri" w:hAnsi="Calibri" w:cs="Calibri"/>
          <w:sz w:val="14"/>
          <w:szCs w:val="14"/>
          <w:lang w:val="ro-RO"/>
        </w:rPr>
      </w:pPr>
      <w:r w:rsidRPr="00A47B25">
        <w:rPr>
          <w:rStyle w:val="FootnoteReference"/>
          <w:rFonts w:ascii="Calibri" w:hAnsi="Calibri" w:cs="Calibri"/>
          <w:sz w:val="14"/>
          <w:szCs w:val="14"/>
        </w:rPr>
        <w:footnoteRef/>
      </w:r>
      <w:r w:rsidRPr="00A47B25">
        <w:rPr>
          <w:rFonts w:ascii="Calibri" w:hAnsi="Calibri" w:cs="Calibri"/>
          <w:sz w:val="14"/>
          <w:szCs w:val="14"/>
          <w:lang w:val="ro-RO"/>
        </w:rPr>
        <w:t xml:space="preserve"> Rata de absorbţie curentă reprezintă raportul dintre valoarea declaraţiilor de cheltuieli transmise Comisiei Europene şi alocarea totală aferentă perioadei 2007-2013. </w:t>
      </w:r>
    </w:p>
  </w:footnote>
  <w:footnote w:id="23">
    <w:p w:rsidR="00A86CF1" w:rsidRPr="00A47B25" w:rsidRDefault="00A86CF1" w:rsidP="00BD4A3E">
      <w:pPr>
        <w:jc w:val="both"/>
        <w:rPr>
          <w:rFonts w:ascii="Calibri" w:hAnsi="Calibri" w:cs="Calibri"/>
          <w:sz w:val="14"/>
          <w:szCs w:val="14"/>
          <w:lang w:val="ro-RO"/>
        </w:rPr>
      </w:pPr>
      <w:r w:rsidRPr="00A47B25">
        <w:rPr>
          <w:rStyle w:val="FootnoteReference"/>
          <w:rFonts w:ascii="Calibri" w:hAnsi="Calibri" w:cs="Calibri"/>
          <w:sz w:val="14"/>
          <w:szCs w:val="14"/>
        </w:rPr>
        <w:footnoteRef/>
      </w:r>
      <w:r w:rsidRPr="00A47B25">
        <w:rPr>
          <w:rFonts w:ascii="Calibri" w:hAnsi="Calibri" w:cs="Calibri"/>
          <w:sz w:val="14"/>
          <w:szCs w:val="14"/>
          <w:lang w:val="ro-RO"/>
        </w:rPr>
        <w:t xml:space="preserve"> Rata rambursărilor reprezintă raportul dintre valoarea sumelor plătite de către Comisia Europeană şi alocarea totală aferentă programelor operaţionale. </w:t>
      </w:r>
    </w:p>
  </w:footnote>
  <w:footnote w:id="24">
    <w:p w:rsidR="00A86CF1" w:rsidRPr="00A47B25" w:rsidRDefault="00A86CF1" w:rsidP="00BD4A3E">
      <w:pPr>
        <w:jc w:val="both"/>
        <w:rPr>
          <w:rFonts w:ascii="Calibri" w:hAnsi="Calibri" w:cs="Calibri"/>
          <w:sz w:val="14"/>
          <w:szCs w:val="14"/>
          <w:lang w:val="ro-RO"/>
        </w:rPr>
      </w:pPr>
      <w:r w:rsidRPr="00A47B25">
        <w:rPr>
          <w:rStyle w:val="FootnoteReference"/>
          <w:rFonts w:ascii="Calibri" w:hAnsi="Calibri" w:cs="Calibri"/>
          <w:sz w:val="14"/>
          <w:szCs w:val="14"/>
        </w:rPr>
        <w:footnoteRef/>
      </w:r>
      <w:r w:rsidRPr="00A47B25">
        <w:rPr>
          <w:rFonts w:ascii="Calibri" w:hAnsi="Calibri" w:cs="Calibri"/>
          <w:sz w:val="14"/>
          <w:szCs w:val="14"/>
          <w:lang w:val="ro-RO"/>
        </w:rPr>
        <w:t xml:space="preserve"> Fondul European de Dezvoltare Regională</w:t>
      </w:r>
    </w:p>
  </w:footnote>
  <w:footnote w:id="25">
    <w:p w:rsidR="00A86CF1" w:rsidRPr="00A47B25" w:rsidRDefault="00A86CF1" w:rsidP="00BD4A3E">
      <w:pPr>
        <w:jc w:val="both"/>
        <w:rPr>
          <w:rFonts w:ascii="Calibri" w:hAnsi="Calibri" w:cs="Calibri"/>
          <w:sz w:val="14"/>
          <w:szCs w:val="14"/>
          <w:lang w:val="ro-RO"/>
        </w:rPr>
      </w:pPr>
      <w:r w:rsidRPr="00A47B25">
        <w:rPr>
          <w:rFonts w:ascii="Calibri" w:hAnsi="Calibri" w:cs="Calibri"/>
          <w:sz w:val="14"/>
          <w:szCs w:val="14"/>
          <w:vertAlign w:val="superscript"/>
          <w:lang w:val="ro-RO"/>
        </w:rPr>
        <w:footnoteRef/>
      </w:r>
      <w:r w:rsidRPr="00A47B25">
        <w:rPr>
          <w:rFonts w:ascii="Calibri" w:hAnsi="Calibri" w:cs="Calibri"/>
          <w:sz w:val="14"/>
          <w:szCs w:val="14"/>
          <w:lang w:val="ro-RO"/>
        </w:rPr>
        <w:t>Fondul de Coeziune</w:t>
      </w:r>
    </w:p>
  </w:footnote>
  <w:footnote w:id="26">
    <w:p w:rsidR="00A86CF1" w:rsidRPr="00770A1F" w:rsidRDefault="00A86CF1" w:rsidP="00BD4A3E">
      <w:pPr>
        <w:jc w:val="both"/>
        <w:rPr>
          <w:rFonts w:ascii="Arial Narrow" w:hAnsi="Arial Narrow" w:cs="Calibri"/>
          <w:sz w:val="18"/>
          <w:szCs w:val="18"/>
          <w:lang w:val="ro-RO"/>
        </w:rPr>
      </w:pPr>
      <w:r w:rsidRPr="00A47B25">
        <w:rPr>
          <w:rFonts w:ascii="Calibri" w:hAnsi="Calibri" w:cs="Calibri"/>
          <w:sz w:val="14"/>
          <w:szCs w:val="14"/>
          <w:vertAlign w:val="superscript"/>
          <w:lang w:val="ro-RO"/>
        </w:rPr>
        <w:footnoteRef/>
      </w:r>
      <w:r w:rsidRPr="00A47B25">
        <w:rPr>
          <w:rFonts w:ascii="Calibri" w:hAnsi="Calibri" w:cs="Calibri"/>
          <w:sz w:val="14"/>
          <w:szCs w:val="14"/>
          <w:lang w:val="ro-RO"/>
        </w:rPr>
        <w:t>Fondul Social European</w:t>
      </w:r>
    </w:p>
  </w:footnote>
  <w:footnote w:id="27">
    <w:p w:rsidR="00A86CF1" w:rsidRPr="00935CCB" w:rsidRDefault="00A86CF1" w:rsidP="00BD4A3E">
      <w:pPr>
        <w:jc w:val="both"/>
        <w:rPr>
          <w:rFonts w:ascii="Arial Narrow" w:hAnsi="Arial Narrow" w:cs="Calibri"/>
          <w:sz w:val="18"/>
          <w:szCs w:val="18"/>
          <w:lang w:val="ro-RO"/>
        </w:rPr>
      </w:pPr>
      <w:r w:rsidRPr="000114F3">
        <w:rPr>
          <w:rStyle w:val="FootnoteReference"/>
          <w:rFonts w:ascii="Arial Narrow" w:hAnsi="Arial Narrow"/>
        </w:rPr>
        <w:footnoteRef/>
      </w:r>
      <w:r w:rsidRPr="00935CCB">
        <w:rPr>
          <w:rFonts w:ascii="Arial Narrow" w:hAnsi="Arial Narrow" w:cs="Calibri"/>
          <w:sz w:val="18"/>
          <w:szCs w:val="18"/>
          <w:lang w:val="ro-RO"/>
        </w:rPr>
        <w:t xml:space="preserve">Ministerul Fondurilor </w:t>
      </w:r>
      <w:r>
        <w:rPr>
          <w:rFonts w:ascii="Arial Narrow" w:hAnsi="Arial Narrow" w:cs="Calibri"/>
          <w:sz w:val="18"/>
          <w:szCs w:val="18"/>
          <w:lang w:val="ro-RO"/>
        </w:rPr>
        <w:t>Euro</w:t>
      </w:r>
      <w:r w:rsidRPr="00935CCB">
        <w:rPr>
          <w:rFonts w:ascii="Arial Narrow" w:hAnsi="Arial Narrow" w:cs="Calibri"/>
          <w:sz w:val="18"/>
          <w:szCs w:val="18"/>
          <w:lang w:val="ro-RO"/>
        </w:rPr>
        <w:t>pene (MFE) este Autoritate de Management pentru aceste Programe Operaţionale</w:t>
      </w:r>
    </w:p>
  </w:footnote>
  <w:footnote w:id="28">
    <w:p w:rsidR="00A86CF1" w:rsidRPr="00935CCB" w:rsidRDefault="00A86CF1" w:rsidP="00BD4A3E">
      <w:pPr>
        <w:jc w:val="both"/>
        <w:rPr>
          <w:rFonts w:ascii="Arial Narrow" w:hAnsi="Arial Narrow" w:cs="Calibri"/>
          <w:sz w:val="18"/>
          <w:szCs w:val="18"/>
          <w:lang w:val="ro-RO"/>
        </w:rPr>
      </w:pPr>
      <w:r w:rsidRPr="00A47B25">
        <w:rPr>
          <w:rFonts w:ascii="Calibri" w:hAnsi="Calibri" w:cs="Calibri"/>
          <w:sz w:val="18"/>
          <w:szCs w:val="18"/>
          <w:vertAlign w:val="superscript"/>
          <w:lang w:val="ro-RO"/>
        </w:rPr>
        <w:footnoteRef/>
      </w:r>
      <w:r w:rsidRPr="003C7016">
        <w:rPr>
          <w:rFonts w:ascii="Arial Narrow" w:hAnsi="Arial Narrow" w:cs="Calibri"/>
          <w:sz w:val="18"/>
          <w:szCs w:val="18"/>
          <w:lang w:val="ro-RO"/>
        </w:rPr>
        <w:t>aprobat de către CE pe data de 9 iulie 2015</w:t>
      </w:r>
    </w:p>
  </w:footnote>
  <w:footnote w:id="29">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 xml:space="preserve">aprobat de către CE pe data de 25 februarie 2015 </w:t>
      </w:r>
    </w:p>
  </w:footnote>
  <w:footnote w:id="30">
    <w:p w:rsidR="00A86CF1" w:rsidRPr="00935CCB" w:rsidRDefault="00A86CF1" w:rsidP="00BD4A3E">
      <w:pPr>
        <w:jc w:val="both"/>
        <w:rPr>
          <w:rFonts w:ascii="Arial Narrow" w:hAnsi="Arial Narrow" w:cs="Calibri"/>
          <w:sz w:val="18"/>
          <w:szCs w:val="18"/>
          <w:lang w:val="ro-RO"/>
        </w:rPr>
      </w:pPr>
      <w:r w:rsidRPr="00A47B25">
        <w:rPr>
          <w:rFonts w:ascii="Calibri" w:hAnsi="Calibri" w:cs="Calibri"/>
          <w:sz w:val="18"/>
          <w:szCs w:val="18"/>
          <w:vertAlign w:val="superscript"/>
          <w:lang w:val="ro-RO"/>
        </w:rPr>
        <w:footnoteRef/>
      </w:r>
      <w:r w:rsidRPr="00A47B25">
        <w:rPr>
          <w:rFonts w:ascii="Calibri" w:hAnsi="Calibri" w:cs="Calibri"/>
          <w:sz w:val="18"/>
          <w:szCs w:val="18"/>
          <w:lang w:val="ro-RO"/>
        </w:rPr>
        <w:t>aprobat de către CE pe data de 19 decembrie 2014</w:t>
      </w:r>
    </w:p>
  </w:footnote>
  <w:footnote w:id="31">
    <w:p w:rsidR="00A86CF1" w:rsidRPr="00A47B25" w:rsidRDefault="00A86CF1" w:rsidP="00BD4A3E">
      <w:pPr>
        <w:jc w:val="both"/>
        <w:rPr>
          <w:rFonts w:ascii="Calibri" w:hAnsi="Calibri" w:cs="Calibri"/>
          <w:lang w:val="ro-RO"/>
        </w:rPr>
      </w:pPr>
      <w:r w:rsidRPr="00A47B25">
        <w:rPr>
          <w:rFonts w:ascii="Calibri" w:hAnsi="Calibri" w:cs="Calibri"/>
          <w:sz w:val="18"/>
          <w:szCs w:val="18"/>
          <w:vertAlign w:val="superscript"/>
          <w:lang w:val="ro-RO"/>
        </w:rPr>
        <w:footnoteRef/>
      </w:r>
      <w:r w:rsidRPr="00A47B25">
        <w:rPr>
          <w:rFonts w:ascii="Calibri" w:hAnsi="Calibri" w:cs="Calibri"/>
          <w:sz w:val="18"/>
          <w:szCs w:val="18"/>
          <w:lang w:val="ro-RO"/>
        </w:rPr>
        <w:t>aprobat de către CE pe data de 18 decembrie 2014</w:t>
      </w:r>
    </w:p>
  </w:footnote>
  <w:footnote w:id="32">
    <w:p w:rsidR="00A86CF1" w:rsidRPr="00935CCB" w:rsidRDefault="00A86CF1" w:rsidP="00BD4A3E">
      <w:pPr>
        <w:jc w:val="both"/>
        <w:rPr>
          <w:rFonts w:ascii="Arial Narrow" w:hAnsi="Arial Narrow" w:cs="Calibri"/>
          <w:sz w:val="18"/>
          <w:szCs w:val="18"/>
          <w:lang w:val="ro-RO"/>
        </w:rPr>
      </w:pPr>
      <w:r w:rsidRPr="000114F3">
        <w:rPr>
          <w:rStyle w:val="FootnoteReference"/>
          <w:rFonts w:ascii="Arial Narrow" w:hAnsi="Arial Narrow"/>
        </w:rPr>
        <w:footnoteRef/>
      </w:r>
      <w:r w:rsidRPr="00935CCB">
        <w:rPr>
          <w:rFonts w:ascii="Arial Narrow" w:hAnsi="Arial Narrow" w:cs="Calibri"/>
          <w:sz w:val="18"/>
          <w:szCs w:val="18"/>
          <w:lang w:val="ro-RO"/>
        </w:rPr>
        <w:t>Ministerul Dezvoltării R</w:t>
      </w:r>
      <w:r>
        <w:rPr>
          <w:rFonts w:ascii="Arial Narrow" w:hAnsi="Arial Narrow" w:cs="Calibri"/>
          <w:sz w:val="18"/>
          <w:szCs w:val="18"/>
          <w:lang w:val="ro-RO"/>
        </w:rPr>
        <w:t xml:space="preserve">egionale </w:t>
      </w:r>
      <w:r w:rsidRPr="00935CCB">
        <w:rPr>
          <w:rFonts w:ascii="Arial Narrow" w:hAnsi="Arial Narrow" w:cs="Calibri"/>
          <w:sz w:val="18"/>
          <w:szCs w:val="18"/>
          <w:lang w:val="ro-RO"/>
        </w:rPr>
        <w:t>şi Administraţiei</w:t>
      </w:r>
      <w:r>
        <w:rPr>
          <w:rFonts w:ascii="Arial Narrow" w:hAnsi="Arial Narrow" w:cs="Calibri"/>
          <w:sz w:val="18"/>
          <w:szCs w:val="18"/>
          <w:lang w:val="ro-RO"/>
        </w:rPr>
        <w:t xml:space="preserve"> Publice</w:t>
      </w:r>
      <w:r w:rsidRPr="00935CCB">
        <w:rPr>
          <w:rFonts w:ascii="Arial Narrow" w:hAnsi="Arial Narrow" w:cs="Calibri"/>
          <w:sz w:val="18"/>
          <w:szCs w:val="18"/>
          <w:lang w:val="ro-RO"/>
        </w:rPr>
        <w:t xml:space="preserve"> (MDRAP) este Autoritate de Management pentru aceste Programe Operaţionale</w:t>
      </w:r>
    </w:p>
  </w:footnote>
  <w:footnote w:id="33">
    <w:p w:rsidR="00A86CF1" w:rsidRPr="00935CCB" w:rsidRDefault="00A86CF1" w:rsidP="00BD4A3E">
      <w:pPr>
        <w:jc w:val="both"/>
        <w:rPr>
          <w:rFonts w:ascii="Arial Narrow" w:hAnsi="Arial Narrow" w:cs="Calibri"/>
          <w:sz w:val="18"/>
          <w:szCs w:val="18"/>
          <w:lang w:val="ro-RO"/>
        </w:rPr>
      </w:pPr>
      <w:r w:rsidRPr="00935CCB">
        <w:rPr>
          <w:rFonts w:cs="Calibri"/>
          <w:sz w:val="18"/>
          <w:szCs w:val="18"/>
          <w:lang w:val="ro-RO"/>
        </w:rPr>
        <w:footnoteRef/>
      </w:r>
      <w:r w:rsidRPr="00935CCB">
        <w:rPr>
          <w:rFonts w:ascii="Arial Narrow" w:hAnsi="Arial Narrow" w:cs="Calibri"/>
          <w:sz w:val="18"/>
          <w:szCs w:val="18"/>
          <w:lang w:val="ro-RO"/>
        </w:rPr>
        <w:t xml:space="preserve"> aprobat de către CE pe data de 23 iunie 2015 </w:t>
      </w:r>
    </w:p>
  </w:footnote>
  <w:footnote w:id="34">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3C7016">
        <w:rPr>
          <w:rFonts w:ascii="Arial Narrow" w:hAnsi="Arial Narrow" w:cs="Calibri"/>
          <w:sz w:val="18"/>
          <w:szCs w:val="18"/>
          <w:lang w:val="ro-RO"/>
        </w:rPr>
        <w:t>aprobat de către CE pe data de 25 februarie 2015 prin Decizia C(2015) 1290</w:t>
      </w:r>
    </w:p>
  </w:footnote>
  <w:footnote w:id="35">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4"/>
          <w:szCs w:val="14"/>
        </w:rPr>
        <w:footnoteRef/>
      </w:r>
      <w:r w:rsidRPr="00A47B25">
        <w:rPr>
          <w:rFonts w:ascii="Calibri" w:hAnsi="Calibri" w:cs="Calibri"/>
          <w:sz w:val="14"/>
          <w:szCs w:val="14"/>
          <w:lang w:val="ro-RO"/>
        </w:rPr>
        <w:t>în calitate de Autoritate de Management</w:t>
      </w:r>
    </w:p>
  </w:footnote>
  <w:footnote w:id="36">
    <w:p w:rsidR="00A86CF1" w:rsidRPr="00A47B25" w:rsidRDefault="00A86CF1" w:rsidP="00BD4A3E">
      <w:pPr>
        <w:jc w:val="both"/>
        <w:rPr>
          <w:rFonts w:ascii="Calibri" w:hAnsi="Calibri" w:cs="Calibri"/>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în calitate de Autoritate de Management</w:t>
      </w:r>
    </w:p>
  </w:footnote>
  <w:footnote w:id="37">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 xml:space="preserve">în calitate de Autoritate Naţională </w:t>
      </w:r>
    </w:p>
  </w:footnote>
  <w:footnote w:id="38">
    <w:p w:rsidR="00A86CF1" w:rsidRPr="00935CCB" w:rsidRDefault="00A86CF1" w:rsidP="00BD4A3E">
      <w:pPr>
        <w:jc w:val="both"/>
        <w:rPr>
          <w:rFonts w:ascii="Arial Narrow" w:hAnsi="Arial Narrow"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în calitate de Autoritate Naţională</w:t>
      </w:r>
    </w:p>
  </w:footnote>
  <w:footnote w:id="39">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 xml:space="preserve">în calitate de Autoritate Naţională </w:t>
      </w:r>
    </w:p>
  </w:footnote>
  <w:footnote w:id="40">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 xml:space="preserve">în calitate de Autoritate Naţională </w:t>
      </w:r>
    </w:p>
  </w:footnote>
  <w:footnote w:id="41">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în calitate de Autoritate de Management</w:t>
      </w:r>
    </w:p>
  </w:footnote>
  <w:footnote w:id="42">
    <w:p w:rsidR="00A86CF1" w:rsidRPr="00935CCB" w:rsidRDefault="00A86CF1" w:rsidP="00BD4A3E">
      <w:pPr>
        <w:jc w:val="both"/>
        <w:rPr>
          <w:rFonts w:ascii="Arial Narrow" w:hAnsi="Arial Narrow"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în calitate de Autoritate de Management</w:t>
      </w:r>
    </w:p>
  </w:footnote>
  <w:footnote w:id="43">
    <w:p w:rsidR="00A86CF1" w:rsidRPr="00A47B25" w:rsidRDefault="00A86CF1" w:rsidP="00BD4A3E">
      <w:pPr>
        <w:jc w:val="both"/>
        <w:rPr>
          <w:rFonts w:ascii="Calibri" w:hAnsi="Calibri"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 xml:space="preserve">în calitate de Autoritate de Management </w:t>
      </w:r>
    </w:p>
  </w:footnote>
  <w:footnote w:id="44">
    <w:p w:rsidR="00A86CF1" w:rsidRPr="00935CCB" w:rsidRDefault="00A86CF1" w:rsidP="00BD4A3E">
      <w:pPr>
        <w:jc w:val="both"/>
        <w:rPr>
          <w:rFonts w:ascii="Arial Narrow" w:hAnsi="Arial Narrow" w:cs="Calibri"/>
          <w:sz w:val="18"/>
          <w:szCs w:val="18"/>
          <w:lang w:val="ro-RO"/>
        </w:rPr>
      </w:pPr>
      <w:r w:rsidRPr="00A47B25">
        <w:rPr>
          <w:rStyle w:val="FootnoteReference"/>
          <w:rFonts w:ascii="Calibri" w:hAnsi="Calibri"/>
          <w:sz w:val="18"/>
          <w:szCs w:val="18"/>
        </w:rPr>
        <w:footnoteRef/>
      </w:r>
      <w:r w:rsidRPr="00A47B25">
        <w:rPr>
          <w:rFonts w:ascii="Calibri" w:hAnsi="Calibri" w:cs="Calibri"/>
          <w:sz w:val="18"/>
          <w:szCs w:val="18"/>
          <w:lang w:val="ro-RO"/>
        </w:rPr>
        <w:t>în calitate de Autoritate de Management</w:t>
      </w:r>
    </w:p>
  </w:footnote>
  <w:footnote w:id="45">
    <w:p w:rsidR="00A86CF1" w:rsidRPr="00482CB3" w:rsidRDefault="00A86CF1" w:rsidP="005343F1">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46">
    <w:p w:rsidR="00A86CF1" w:rsidRPr="005343F1" w:rsidRDefault="00A86CF1">
      <w:pPr>
        <w:pStyle w:val="FootnoteText"/>
        <w:rPr>
          <w:lang w:val="ro-RO"/>
        </w:rPr>
      </w:pPr>
      <w:r>
        <w:rPr>
          <w:rStyle w:val="FootnoteReference"/>
        </w:rPr>
        <w:footnoteRef/>
      </w:r>
      <w:r>
        <w:t xml:space="preserve"> </w:t>
      </w:r>
      <w:r w:rsidRPr="00F83E08">
        <w:rPr>
          <w:i/>
          <w:sz w:val="16"/>
          <w:szCs w:val="16"/>
          <w:lang w:val="ro-RO"/>
        </w:rPr>
        <w:t>PIB actualizat conform comunicat INS din 7 martie 2019</w:t>
      </w:r>
    </w:p>
  </w:footnote>
  <w:footnote w:id="47">
    <w:p w:rsidR="00A86CF1" w:rsidRPr="005343F1" w:rsidRDefault="00A86CF1" w:rsidP="005343F1">
      <w:pPr>
        <w:pStyle w:val="FootnoteText"/>
        <w:jc w:val="both"/>
        <w:rPr>
          <w:rFonts w:ascii="Calibri" w:hAnsi="Calibri"/>
          <w:i/>
          <w:sz w:val="16"/>
          <w:szCs w:val="18"/>
          <w:lang w:val="ro-RO"/>
        </w:rPr>
      </w:pPr>
      <w:r>
        <w:rPr>
          <w:rStyle w:val="FootnoteReference"/>
        </w:rPr>
        <w:footnoteRef/>
      </w:r>
      <w:r>
        <w:t xml:space="preserve"> </w:t>
      </w:r>
      <w:r w:rsidRPr="003964D3">
        <w:rPr>
          <w:rFonts w:ascii="Calibri" w:hAnsi="Calibri" w:cs="Arial"/>
          <w:i/>
          <w:sz w:val="16"/>
          <w:szCs w:val="18"/>
          <w:lang w:val="fr-FR"/>
        </w:rPr>
        <w:t>Activele financiare se refera la urmatoarele instrumente : AF1 – aur şi DST, AF2 – depozite şi numerar, AF3- titluri de valoare, altele decât acţiuni, AF5 – acţiuni şi alte participaţii la capital, daca sunt cotate la bursă, inclusiv acţiunile fondurilor mutuale, conform metodologiei pentru Programul de Convergenta (Aprilie 2018). Pentru calculul indicatorului s-a utilizat valoarea activelor financiare lichide de la sfârșitul anului 2017.</w:t>
      </w:r>
    </w:p>
  </w:footnote>
  <w:footnote w:id="48">
    <w:p w:rsidR="00A86CF1" w:rsidRPr="003931B2" w:rsidRDefault="00A86CF1" w:rsidP="00382E21">
      <w:pPr>
        <w:pStyle w:val="FootnoteText"/>
        <w:rPr>
          <w:lang w:val="ro-RO"/>
        </w:rPr>
      </w:pPr>
      <w:r w:rsidRPr="000344FD">
        <w:rPr>
          <w:rStyle w:val="FootnoteReference"/>
          <w:i/>
        </w:rPr>
        <w:footnoteRef/>
      </w:r>
      <w:r w:rsidRPr="00871DFD">
        <w:rPr>
          <w:rFonts w:ascii="Arial" w:hAnsi="Arial" w:cs="Arial"/>
          <w:sz w:val="16"/>
          <w:szCs w:val="16"/>
          <w:lang w:val="ro-RO"/>
        </w:rPr>
        <w:t>Inclusiv titlurile de stat destinate populaţiei lansate în cadrul programului Tezaur</w:t>
      </w:r>
    </w:p>
  </w:footnote>
  <w:footnote w:id="49">
    <w:p w:rsidR="00A86CF1" w:rsidRPr="00482CB3" w:rsidRDefault="00A86CF1" w:rsidP="00F05408">
      <w:pPr>
        <w:pStyle w:val="FootnoteText"/>
        <w:rPr>
          <w:i/>
          <w:sz w:val="16"/>
          <w:szCs w:val="16"/>
          <w:lang w:val="ro-RO"/>
        </w:rPr>
      </w:pPr>
      <w:r w:rsidRPr="00482CB3">
        <w:rPr>
          <w:rStyle w:val="FootnoteReference"/>
          <w:i/>
          <w:sz w:val="16"/>
          <w:szCs w:val="16"/>
        </w:rPr>
        <w:footnoteRef/>
      </w:r>
      <w:r w:rsidRPr="00482CB3">
        <w:rPr>
          <w:i/>
          <w:sz w:val="16"/>
          <w:szCs w:val="16"/>
          <w:lang w:val="ro-RO"/>
        </w:rPr>
        <w:t>Toti indicatorii sunt calculati in conformitate cu metodologia UE</w:t>
      </w:r>
    </w:p>
  </w:footnote>
  <w:footnote w:id="50">
    <w:p w:rsidR="00A86CF1" w:rsidRPr="003931B2" w:rsidRDefault="00A86CF1" w:rsidP="005D4F92">
      <w:pPr>
        <w:pStyle w:val="FootnoteText"/>
        <w:rPr>
          <w:sz w:val="16"/>
          <w:szCs w:val="16"/>
          <w:lang w:val="ro-RO"/>
        </w:rPr>
      </w:pPr>
      <w:r w:rsidRPr="003931B2">
        <w:rPr>
          <w:rStyle w:val="FootnoteReference"/>
          <w:sz w:val="16"/>
          <w:szCs w:val="16"/>
        </w:rPr>
        <w:footnoteRef/>
      </w:r>
      <w:r w:rsidRPr="003964D3">
        <w:rPr>
          <w:sz w:val="16"/>
          <w:szCs w:val="16"/>
          <w:lang w:val="ro-RO"/>
        </w:rPr>
        <w:t xml:space="preserve"> Si celelalte valute în care este denominată datoria urmează aceeași tendința de apreciere</w:t>
      </w:r>
    </w:p>
  </w:footnote>
  <w:footnote w:id="51">
    <w:p w:rsidR="00A86CF1" w:rsidRPr="003964D3" w:rsidRDefault="00A86CF1" w:rsidP="005D4F92">
      <w:pPr>
        <w:pStyle w:val="FootnoteText"/>
        <w:jc w:val="both"/>
        <w:rPr>
          <w:sz w:val="16"/>
          <w:szCs w:val="16"/>
          <w:lang w:val="ro-RO"/>
        </w:rPr>
      </w:pPr>
      <w:r w:rsidRPr="003931B2">
        <w:rPr>
          <w:rStyle w:val="FootnoteReference"/>
          <w:rFonts w:eastAsia="Calibri"/>
          <w:sz w:val="16"/>
          <w:szCs w:val="16"/>
        </w:rPr>
        <w:footnoteRef/>
      </w:r>
      <w:r w:rsidRPr="003964D3">
        <w:rPr>
          <w:sz w:val="16"/>
          <w:szCs w:val="16"/>
          <w:lang w:val="ro-RO"/>
        </w:rPr>
        <w:t xml:space="preserve"> La determinarea acestui indicator s-a avut în vedere prognoza de vara a CE care estimează pentru 2019 un deficit ESA2010 de 3,8% din PIB</w:t>
      </w:r>
    </w:p>
  </w:footnote>
  <w:footnote w:id="52">
    <w:p w:rsidR="00A86CF1" w:rsidRPr="003964D3" w:rsidRDefault="00A86CF1" w:rsidP="009850A1">
      <w:pPr>
        <w:pStyle w:val="FootnoteText"/>
        <w:rPr>
          <w:sz w:val="16"/>
          <w:szCs w:val="16"/>
          <w:lang w:val="fr-FR"/>
        </w:rPr>
      </w:pPr>
      <w:r w:rsidRPr="003931B2">
        <w:rPr>
          <w:rStyle w:val="FootnoteCharacters"/>
          <w:sz w:val="16"/>
          <w:szCs w:val="16"/>
        </w:rPr>
        <w:footnoteRef/>
      </w:r>
      <w:r w:rsidRPr="003964D3">
        <w:rPr>
          <w:sz w:val="16"/>
          <w:szCs w:val="16"/>
          <w:lang w:val="fr-FR"/>
        </w:rPr>
        <w:t xml:space="preserve"> Si celelalte valute în care este denominată datoria urmează aceeași tendința de apreciere</w:t>
      </w:r>
      <w:r w:rsidRPr="003964D3">
        <w:rPr>
          <w:rFonts w:ascii="Calibri" w:hAnsi="Calibri" w:cs="Calibri"/>
          <w:sz w:val="16"/>
          <w:szCs w:val="16"/>
          <w:lang w:val="fr-FR"/>
        </w:rPr>
        <w:tab/>
      </w:r>
    </w:p>
  </w:footnote>
  <w:footnote w:id="53">
    <w:p w:rsidR="00A86CF1" w:rsidRPr="003964D3" w:rsidRDefault="00A86CF1" w:rsidP="00F05408">
      <w:pPr>
        <w:pStyle w:val="FootnoteText"/>
        <w:rPr>
          <w:i/>
          <w:sz w:val="18"/>
          <w:lang w:val="fr-FR"/>
        </w:rPr>
      </w:pPr>
      <w:r w:rsidRPr="00482CB3">
        <w:rPr>
          <w:rStyle w:val="FootnoteReference"/>
          <w:rFonts w:ascii="Calibri" w:eastAsia="Calibri" w:hAnsi="Calibri" w:cs="Calibri"/>
          <w:i/>
          <w:sz w:val="18"/>
        </w:rPr>
        <w:footnoteRef/>
      </w:r>
      <w:r w:rsidRPr="003964D3">
        <w:rPr>
          <w:rFonts w:ascii="Calibri" w:hAnsi="Calibri" w:cs="Calibri"/>
          <w:i/>
          <w:sz w:val="18"/>
          <w:lang w:val="fr-FR"/>
        </w:rPr>
        <w:t xml:space="preserve"> Eurostat – EUROPOP 2013</w:t>
      </w:r>
    </w:p>
  </w:footnote>
  <w:footnote w:id="54">
    <w:p w:rsidR="00A86CF1" w:rsidRPr="006C6624" w:rsidRDefault="00A86CF1" w:rsidP="00F05408">
      <w:pPr>
        <w:pStyle w:val="FootnoteText"/>
        <w:rPr>
          <w:lang w:val="ro-RO"/>
        </w:rPr>
      </w:pPr>
      <w:r>
        <w:rPr>
          <w:rStyle w:val="FootnoteReference"/>
        </w:rPr>
        <w:footnoteRef/>
      </w:r>
      <w:r w:rsidRPr="0037041D">
        <w:rPr>
          <w:i/>
          <w:lang w:val="ro-RO"/>
        </w:rPr>
        <w:t>Î</w:t>
      </w:r>
      <w:r w:rsidRPr="0037041D">
        <w:rPr>
          <w:i/>
          <w:sz w:val="16"/>
          <w:szCs w:val="16"/>
          <w:lang w:val="ro-RO"/>
        </w:rPr>
        <w:t>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footnote>
  <w:footnote w:id="55">
    <w:p w:rsidR="00A86CF1" w:rsidRPr="005672B4" w:rsidRDefault="00A86CF1" w:rsidP="00F05408">
      <w:pPr>
        <w:pStyle w:val="FootnoteText"/>
        <w:rPr>
          <w:lang w:val="ro-RO"/>
        </w:rPr>
      </w:pPr>
      <w:r>
        <w:rPr>
          <w:rStyle w:val="FootnoteReference"/>
        </w:rPr>
        <w:footnoteRef/>
      </w:r>
      <w:r w:rsidRPr="00552E46">
        <w:rPr>
          <w:rFonts w:ascii="Arial Narrow" w:hAnsi="Arial Narrow"/>
          <w:i/>
          <w:sz w:val="18"/>
          <w:lang w:val="ro-RO"/>
        </w:rPr>
        <w:t>Riscuri selectate pentru România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Pr="002D749E" w:rsidRDefault="00A86CF1" w:rsidP="00BD4A3E">
    <w:pPr>
      <w:pStyle w:val="Header"/>
      <w:jc w:val="right"/>
      <w:rPr>
        <w:i/>
      </w:rPr>
    </w:pPr>
  </w:p>
  <w:p w:rsidR="00A86CF1" w:rsidRDefault="00A86C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1" w:rsidRPr="002D749E" w:rsidRDefault="00A86CF1" w:rsidP="00BD4A3E">
    <w:pPr>
      <w:pStyle w:val="Header"/>
      <w:jc w:val="right"/>
      <w:rPr>
        <w:i/>
      </w:rPr>
    </w:pPr>
  </w:p>
  <w:p w:rsidR="00A86CF1" w:rsidRDefault="00A86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90"/>
      </v:shape>
    </w:pict>
  </w:numPicBullet>
  <w:abstractNum w:abstractNumId="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nsid w:val="FFFFFFFE"/>
    <w:multiLevelType w:val="singleLevel"/>
    <w:tmpl w:val="B374F8FC"/>
    <w:lvl w:ilvl="0">
      <w:numFmt w:val="bullet"/>
      <w:lvlText w:val="*"/>
      <w:lvlJc w:val="left"/>
    </w:lvl>
  </w:abstractNum>
  <w:abstractNum w:abstractNumId="4">
    <w:nsid w:val="00000001"/>
    <w:multiLevelType w:val="singleLevel"/>
    <w:tmpl w:val="00000001"/>
    <w:name w:val="WW8Num1"/>
    <w:lvl w:ilvl="0">
      <w:start w:val="1"/>
      <w:numFmt w:val="decimal"/>
      <w:lvlText w:val="%1."/>
      <w:lvlJc w:val="left"/>
      <w:pPr>
        <w:tabs>
          <w:tab w:val="num" w:pos="366"/>
        </w:tabs>
        <w:ind w:left="366" w:hanging="360"/>
      </w:pPr>
      <w:rPr>
        <w:rFonts w:ascii="Arial Narrow" w:hAnsi="Arial Narrow" w:cs="Arial" w:hint="default"/>
        <w:b/>
        <w:color w:val="000000"/>
        <w:sz w:val="24"/>
        <w:szCs w:val="24"/>
        <w:lang w:val="ro-RO"/>
      </w:rPr>
    </w:lvl>
  </w:abstractNum>
  <w:abstractNum w:abstractNumId="5">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4"/>
    <w:multiLevelType w:val="singleLevel"/>
    <w:tmpl w:val="00000004"/>
    <w:name w:val="WW8Num4"/>
    <w:lvl w:ilvl="0">
      <w:start w:val="1"/>
      <w:numFmt w:val="bullet"/>
      <w:lvlText w:val=""/>
      <w:lvlJc w:val="left"/>
      <w:pPr>
        <w:tabs>
          <w:tab w:val="num" w:pos="644"/>
        </w:tabs>
        <w:ind w:left="644" w:hanging="360"/>
      </w:pPr>
      <w:rPr>
        <w:rFonts w:ascii="Symbol" w:hAnsi="Symbol" w:cs="Symbol"/>
        <w:color w:val="000000"/>
        <w:sz w:val="24"/>
        <w:szCs w:val="24"/>
      </w:rPr>
    </w:lvl>
  </w:abstractNum>
  <w:abstractNum w:abstractNumId="8">
    <w:nsid w:val="00000005"/>
    <w:multiLevelType w:val="singleLevel"/>
    <w:tmpl w:val="00000005"/>
    <w:name w:val="WW8Num5"/>
    <w:lvl w:ilvl="0">
      <w:start w:val="1"/>
      <w:numFmt w:val="bullet"/>
      <w:lvlText w:val=""/>
      <w:lvlJc w:val="left"/>
      <w:pPr>
        <w:tabs>
          <w:tab w:val="num" w:pos="720"/>
        </w:tabs>
        <w:ind w:left="720" w:hanging="720"/>
      </w:pPr>
      <w:rPr>
        <w:rFonts w:ascii="Symbol" w:hAnsi="Symbol" w:cs="Symbol"/>
        <w:sz w:val="24"/>
        <w:szCs w:val="24"/>
        <w:lang w:eastAsia="zh-CN" w:bidi="ar-SA"/>
      </w:rPr>
    </w:lvl>
  </w:abstractNum>
  <w:abstractNum w:abstractNumId="9">
    <w:nsid w:val="00000006"/>
    <w:multiLevelType w:val="singleLevel"/>
    <w:tmpl w:val="00000006"/>
    <w:name w:val="WW8Num6"/>
    <w:lvl w:ilvl="0">
      <w:start w:val="1"/>
      <w:numFmt w:val="decimal"/>
      <w:lvlText w:val="%1.     "/>
      <w:lvlJc w:val="left"/>
      <w:pPr>
        <w:tabs>
          <w:tab w:val="num" w:pos="1080"/>
        </w:tabs>
        <w:ind w:left="360" w:firstLine="0"/>
      </w:pPr>
      <w:rPr>
        <w:b w:val="0"/>
      </w:rPr>
    </w:lvl>
  </w:abstractNum>
  <w:abstractNum w:abstractNumId="10">
    <w:nsid w:val="00000009"/>
    <w:multiLevelType w:val="multilevel"/>
    <w:tmpl w:val="00000009"/>
    <w:name w:val="WW8Num9"/>
    <w:lvl w:ilvl="0">
      <w:start w:val="3"/>
      <w:numFmt w:val="decimal"/>
      <w:lvlText w:val="%1."/>
      <w:lvlJc w:val="left"/>
      <w:pPr>
        <w:tabs>
          <w:tab w:val="num" w:pos="612"/>
        </w:tabs>
        <w:ind w:left="612" w:hanging="612"/>
      </w:pPr>
    </w:lvl>
    <w:lvl w:ilvl="1">
      <w:start w:val="2"/>
      <w:numFmt w:val="decimal"/>
      <w:lvlText w:val="%1.%2."/>
      <w:lvlJc w:val="left"/>
      <w:pPr>
        <w:tabs>
          <w:tab w:val="num" w:pos="612"/>
        </w:tabs>
        <w:ind w:left="612" w:hanging="612"/>
      </w:pPr>
    </w:lvl>
    <w:lvl w:ilvl="2">
      <w:start w:val="3"/>
      <w:numFmt w:val="decimal"/>
      <w:lvlText w:val="%1.%2.%3."/>
      <w:lvlJc w:val="left"/>
      <w:pPr>
        <w:tabs>
          <w:tab w:val="num" w:pos="720"/>
        </w:tabs>
        <w:ind w:left="720" w:hanging="720"/>
      </w:pPr>
      <w:rPr>
        <w:color w:val="00008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color w:val="auto"/>
      </w:rPr>
    </w:lvl>
  </w:abstractNum>
  <w:abstractNum w:abstractNumId="12">
    <w:nsid w:val="0000000B"/>
    <w:multiLevelType w:val="singleLevel"/>
    <w:tmpl w:val="B42EF9AC"/>
    <w:name w:val="WW8Num11"/>
    <w:lvl w:ilvl="0">
      <w:start w:val="1"/>
      <w:numFmt w:val="decimal"/>
      <w:lvlText w:val="%1)"/>
      <w:lvlJc w:val="left"/>
      <w:pPr>
        <w:tabs>
          <w:tab w:val="num" w:pos="0"/>
        </w:tabs>
        <w:ind w:left="720" w:hanging="720"/>
      </w:pPr>
      <w:rPr>
        <w:rFonts w:ascii="Arial" w:eastAsia="Times New Roman" w:hAnsi="Arial" w:cs="Times New Roman"/>
        <w:b/>
        <w:i/>
        <w:sz w:val="18"/>
        <w:szCs w:val="24"/>
        <w:lang w:eastAsia="ro-RO"/>
      </w:rPr>
    </w:lvl>
  </w:abstractNum>
  <w:abstractNum w:abstractNumId="13">
    <w:nsid w:val="0000000C"/>
    <w:multiLevelType w:val="singleLevel"/>
    <w:tmpl w:val="0000000C"/>
    <w:name w:val="WW8Num12"/>
    <w:lvl w:ilvl="0">
      <w:start w:val="1"/>
      <w:numFmt w:val="decimal"/>
      <w:lvlText w:val="%1)"/>
      <w:lvlJc w:val="left"/>
      <w:pPr>
        <w:tabs>
          <w:tab w:val="num" w:pos="0"/>
        </w:tabs>
        <w:ind w:left="1080" w:hanging="720"/>
      </w:pPr>
      <w:rPr>
        <w:rFonts w:ascii="Arial Narrow" w:eastAsia="Times New Roman" w:hAnsi="Arial Narrow" w:cs="Times New Roman"/>
        <w:b/>
        <w:bCs/>
        <w:i/>
        <w:color w:val="000000"/>
        <w:szCs w:val="24"/>
      </w:rPr>
    </w:lvl>
  </w:abstractNum>
  <w:abstractNum w:abstractNumId="14">
    <w:nsid w:val="0000000D"/>
    <w:multiLevelType w:val="singleLevel"/>
    <w:tmpl w:val="4A203CCA"/>
    <w:name w:val="WW8Num13"/>
    <w:lvl w:ilvl="0">
      <w:start w:val="1"/>
      <w:numFmt w:val="upperRoman"/>
      <w:lvlText w:val="%1."/>
      <w:lvlJc w:val="left"/>
      <w:pPr>
        <w:tabs>
          <w:tab w:val="num" w:pos="0"/>
        </w:tabs>
        <w:ind w:left="720" w:hanging="720"/>
      </w:pPr>
      <w:rPr>
        <w:rFonts w:ascii="Arial Narrow" w:hAnsi="Arial Narrow" w:cs="Arial Narrow"/>
        <w:b/>
        <w:i w:val="0"/>
      </w:rPr>
    </w:lvl>
  </w:abstractNum>
  <w:abstractNum w:abstractNumId="15">
    <w:nsid w:val="0000000E"/>
    <w:multiLevelType w:val="singleLevel"/>
    <w:tmpl w:val="0000000E"/>
    <w:name w:val="WW8Num14"/>
    <w:lvl w:ilvl="0">
      <w:start w:val="1"/>
      <w:numFmt w:val="upperLetter"/>
      <w:lvlText w:val="%1)"/>
      <w:lvlJc w:val="left"/>
      <w:pPr>
        <w:tabs>
          <w:tab w:val="num" w:pos="0"/>
        </w:tabs>
        <w:ind w:left="720" w:hanging="360"/>
      </w:pPr>
      <w:rPr>
        <w:rFonts w:ascii="Arial Narrow" w:eastAsia="Times New Roman" w:hAnsi="Arial Narrow" w:cs="Arial Narrow"/>
        <w:b/>
        <w:i/>
        <w:szCs w:val="24"/>
      </w:rPr>
    </w:lvl>
  </w:abstractNum>
  <w:abstractNum w:abstractNumId="16">
    <w:nsid w:val="00000010"/>
    <w:multiLevelType w:val="multilevel"/>
    <w:tmpl w:val="00000010"/>
    <w:name w:val="WW8Num16"/>
    <w:lvl w:ilvl="0">
      <w:start w:val="1"/>
      <w:numFmt w:val="bullet"/>
      <w:lvlText w:val=""/>
      <w:lvlJc w:val="left"/>
      <w:pPr>
        <w:tabs>
          <w:tab w:val="num" w:pos="0"/>
        </w:tabs>
        <w:ind w:left="644" w:hanging="360"/>
      </w:pPr>
      <w:rPr>
        <w:rFonts w:ascii="Wingdings" w:hAnsi="Wingdings" w:cs="OpenSymbol"/>
        <w:szCs w:val="24"/>
      </w:rPr>
    </w:lvl>
    <w:lvl w:ilvl="1">
      <w:start w:val="1"/>
      <w:numFmt w:val="bullet"/>
      <w:lvlText w:val="o"/>
      <w:lvlJc w:val="left"/>
      <w:pPr>
        <w:tabs>
          <w:tab w:val="num" w:pos="0"/>
        </w:tabs>
        <w:ind w:left="1440" w:hanging="360"/>
      </w:pPr>
      <w:rPr>
        <w:rFonts w:ascii="Courier New" w:hAnsi="Courier New" w:cs="Courier New"/>
        <w:sz w:val="24"/>
        <w:szCs w:val="24"/>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shd w:val="clear" w:color="auto" w:fill="auto"/>
      </w:rPr>
    </w:lvl>
    <w:lvl w:ilvl="4">
      <w:start w:val="1"/>
      <w:numFmt w:val="bullet"/>
      <w:lvlText w:val="o"/>
      <w:lvlJc w:val="left"/>
      <w:pPr>
        <w:tabs>
          <w:tab w:val="num" w:pos="0"/>
        </w:tabs>
        <w:ind w:left="3600" w:hanging="360"/>
      </w:pPr>
      <w:rPr>
        <w:rFonts w:ascii="Courier New" w:hAnsi="Courier New" w:cs="Courier New"/>
        <w:sz w:val="24"/>
        <w:szCs w:val="24"/>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shd w:val="clear" w:color="auto" w:fill="auto"/>
      </w:rPr>
    </w:lvl>
    <w:lvl w:ilvl="7">
      <w:start w:val="1"/>
      <w:numFmt w:val="bullet"/>
      <w:lvlText w:val="o"/>
      <w:lvlJc w:val="left"/>
      <w:pPr>
        <w:tabs>
          <w:tab w:val="num" w:pos="0"/>
        </w:tabs>
        <w:ind w:left="5760" w:hanging="360"/>
      </w:pPr>
      <w:rPr>
        <w:rFonts w:ascii="Courier New" w:hAnsi="Courier New" w:cs="Courier New"/>
        <w:sz w:val="24"/>
        <w:szCs w:val="24"/>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1"/>
    <w:multiLevelType w:val="multilevel"/>
    <w:tmpl w:val="00000011"/>
    <w:name w:val="WW8Num17"/>
    <w:lvl w:ilvl="0">
      <w:start w:val="1"/>
      <w:numFmt w:val="bullet"/>
      <w:lvlText w:val=""/>
      <w:lvlJc w:val="left"/>
      <w:pPr>
        <w:tabs>
          <w:tab w:val="num" w:pos="360"/>
        </w:tabs>
        <w:ind w:left="1800" w:hanging="360"/>
      </w:pPr>
      <w:rPr>
        <w:rFonts w:ascii="Symbol" w:hAnsi="Symbol" w:cs="OpenSymbol"/>
        <w:sz w:val="24"/>
        <w:szCs w:val="24"/>
        <w:shd w:val="clear" w:color="auto" w:fill="FFFFFF"/>
        <w:lang w:eastAsia="zh-CN" w:bidi="ar-SA"/>
      </w:rPr>
    </w:lvl>
    <w:lvl w:ilvl="1">
      <w:start w:val="1"/>
      <w:numFmt w:val="bullet"/>
      <w:lvlText w:val="o"/>
      <w:lvlJc w:val="left"/>
      <w:pPr>
        <w:tabs>
          <w:tab w:val="num" w:pos="360"/>
        </w:tabs>
        <w:ind w:left="2520" w:hanging="360"/>
      </w:pPr>
      <w:rPr>
        <w:rFonts w:ascii="Courier New" w:hAnsi="Courier New" w:cs="Courier New"/>
      </w:rPr>
    </w:lvl>
    <w:lvl w:ilvl="2">
      <w:start w:val="1"/>
      <w:numFmt w:val="bullet"/>
      <w:lvlText w:val=""/>
      <w:lvlJc w:val="left"/>
      <w:pPr>
        <w:tabs>
          <w:tab w:val="num" w:pos="360"/>
        </w:tabs>
        <w:ind w:left="3240" w:hanging="360"/>
      </w:pPr>
      <w:rPr>
        <w:rFonts w:ascii="Wingdings" w:hAnsi="Wingdings" w:cs="Wingdings"/>
        <w:sz w:val="24"/>
        <w:szCs w:val="24"/>
      </w:rPr>
    </w:lvl>
    <w:lvl w:ilvl="3">
      <w:start w:val="1"/>
      <w:numFmt w:val="bullet"/>
      <w:lvlText w:val=""/>
      <w:lvlJc w:val="left"/>
      <w:pPr>
        <w:tabs>
          <w:tab w:val="num" w:pos="360"/>
        </w:tabs>
        <w:ind w:left="3960" w:hanging="360"/>
      </w:pPr>
      <w:rPr>
        <w:rFonts w:ascii="Symbol" w:hAnsi="Symbol" w:cs="Symbol"/>
      </w:rPr>
    </w:lvl>
    <w:lvl w:ilvl="4">
      <w:start w:val="1"/>
      <w:numFmt w:val="bullet"/>
      <w:lvlText w:val="o"/>
      <w:lvlJc w:val="left"/>
      <w:pPr>
        <w:tabs>
          <w:tab w:val="num" w:pos="360"/>
        </w:tabs>
        <w:ind w:left="4680" w:hanging="360"/>
      </w:pPr>
      <w:rPr>
        <w:rFonts w:ascii="Courier New" w:hAnsi="Courier New" w:cs="Courier New"/>
      </w:rPr>
    </w:lvl>
    <w:lvl w:ilvl="5">
      <w:start w:val="1"/>
      <w:numFmt w:val="bullet"/>
      <w:lvlText w:val=""/>
      <w:lvlJc w:val="left"/>
      <w:pPr>
        <w:tabs>
          <w:tab w:val="num" w:pos="360"/>
        </w:tabs>
        <w:ind w:left="5400" w:hanging="360"/>
      </w:pPr>
      <w:rPr>
        <w:rFonts w:ascii="Wingdings" w:hAnsi="Wingdings" w:cs="Wingdings"/>
        <w:sz w:val="24"/>
        <w:szCs w:val="24"/>
      </w:rPr>
    </w:lvl>
    <w:lvl w:ilvl="6">
      <w:start w:val="1"/>
      <w:numFmt w:val="bullet"/>
      <w:lvlText w:val=""/>
      <w:lvlJc w:val="left"/>
      <w:pPr>
        <w:tabs>
          <w:tab w:val="num" w:pos="360"/>
        </w:tabs>
        <w:ind w:left="6120" w:hanging="360"/>
      </w:pPr>
      <w:rPr>
        <w:rFonts w:ascii="Symbol" w:hAnsi="Symbol" w:cs="Symbol"/>
      </w:rPr>
    </w:lvl>
    <w:lvl w:ilvl="7">
      <w:start w:val="1"/>
      <w:numFmt w:val="bullet"/>
      <w:lvlText w:val="o"/>
      <w:lvlJc w:val="left"/>
      <w:pPr>
        <w:tabs>
          <w:tab w:val="num" w:pos="360"/>
        </w:tabs>
        <w:ind w:left="6840" w:hanging="360"/>
      </w:pPr>
      <w:rPr>
        <w:rFonts w:ascii="Courier New" w:hAnsi="Courier New" w:cs="Courier New"/>
      </w:rPr>
    </w:lvl>
    <w:lvl w:ilvl="8">
      <w:start w:val="1"/>
      <w:numFmt w:val="bullet"/>
      <w:lvlText w:val=""/>
      <w:lvlJc w:val="left"/>
      <w:pPr>
        <w:tabs>
          <w:tab w:val="num" w:pos="360"/>
        </w:tabs>
        <w:ind w:left="7560" w:hanging="360"/>
      </w:pPr>
      <w:rPr>
        <w:rFonts w:ascii="Wingdings" w:hAnsi="Wingdings" w:cs="Wingdings"/>
        <w:sz w:val="24"/>
        <w:szCs w:val="24"/>
      </w:rPr>
    </w:lvl>
  </w:abstractNum>
  <w:abstractNum w:abstractNumId="18">
    <w:nsid w:val="00000012"/>
    <w:multiLevelType w:val="multilevel"/>
    <w:tmpl w:val="2A66CF7E"/>
    <w:name w:val="WW8Num1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3"/>
    <w:multiLevelType w:val="multilevel"/>
    <w:tmpl w:val="C22472F2"/>
    <w:name w:val="WW8Num19"/>
    <w:lvl w:ilvl="0">
      <w:start w:val="1"/>
      <w:numFmt w:val="bullet"/>
      <w:lvlText w:val=""/>
      <w:lvlJc w:val="left"/>
      <w:pPr>
        <w:tabs>
          <w:tab w:val="num" w:pos="765"/>
        </w:tabs>
        <w:ind w:left="765" w:hanging="360"/>
      </w:pPr>
      <w:rPr>
        <w:rFonts w:ascii="Symbol" w:hAnsi="Symbol" w:cs="OpenSymbol"/>
        <w:sz w:val="24"/>
        <w:szCs w:val="24"/>
      </w:rPr>
    </w:lvl>
    <w:lvl w:ilvl="1">
      <w:start w:val="1"/>
      <w:numFmt w:val="bullet"/>
      <w:lvlText w:val="◦"/>
      <w:lvlJc w:val="left"/>
      <w:pPr>
        <w:tabs>
          <w:tab w:val="num" w:pos="1125"/>
        </w:tabs>
        <w:ind w:left="1125" w:hanging="360"/>
      </w:pPr>
      <w:rPr>
        <w:rFonts w:ascii="OpenSymbol" w:hAnsi="OpenSymbol" w:cs="OpenSymbol"/>
      </w:rPr>
    </w:lvl>
    <w:lvl w:ilvl="2">
      <w:start w:val="1"/>
      <w:numFmt w:val="bullet"/>
      <w:lvlText w:val="▪"/>
      <w:lvlJc w:val="left"/>
      <w:pPr>
        <w:tabs>
          <w:tab w:val="num" w:pos="1485"/>
        </w:tabs>
        <w:ind w:left="1485" w:hanging="360"/>
      </w:pPr>
      <w:rPr>
        <w:rFonts w:ascii="OpenSymbol" w:hAnsi="OpenSymbol" w:cs="OpenSymbol"/>
      </w:rPr>
    </w:lvl>
    <w:lvl w:ilvl="3">
      <w:start w:val="1"/>
      <w:numFmt w:val="bullet"/>
      <w:lvlText w:val=""/>
      <w:lvlJc w:val="left"/>
      <w:pPr>
        <w:tabs>
          <w:tab w:val="num" w:pos="1845"/>
        </w:tabs>
        <w:ind w:left="1845" w:hanging="360"/>
      </w:pPr>
      <w:rPr>
        <w:rFonts w:ascii="Symbol" w:hAnsi="Symbol" w:cs="OpenSymbol"/>
        <w:szCs w:val="24"/>
      </w:rPr>
    </w:lvl>
    <w:lvl w:ilvl="4">
      <w:start w:val="1"/>
      <w:numFmt w:val="bullet"/>
      <w:lvlText w:val="◦"/>
      <w:lvlJc w:val="left"/>
      <w:pPr>
        <w:tabs>
          <w:tab w:val="num" w:pos="2205"/>
        </w:tabs>
        <w:ind w:left="2205" w:hanging="360"/>
      </w:pPr>
      <w:rPr>
        <w:rFonts w:ascii="OpenSymbol" w:hAnsi="OpenSymbol" w:cs="OpenSymbol"/>
      </w:rPr>
    </w:lvl>
    <w:lvl w:ilvl="5">
      <w:start w:val="1"/>
      <w:numFmt w:val="bullet"/>
      <w:lvlText w:val="▪"/>
      <w:lvlJc w:val="left"/>
      <w:pPr>
        <w:tabs>
          <w:tab w:val="num" w:pos="2565"/>
        </w:tabs>
        <w:ind w:left="2565" w:hanging="360"/>
      </w:pPr>
      <w:rPr>
        <w:rFonts w:ascii="OpenSymbol" w:hAnsi="OpenSymbol" w:cs="OpenSymbol"/>
      </w:rPr>
    </w:lvl>
    <w:lvl w:ilvl="6">
      <w:start w:val="1"/>
      <w:numFmt w:val="bullet"/>
      <w:lvlText w:val=""/>
      <w:lvlJc w:val="left"/>
      <w:pPr>
        <w:tabs>
          <w:tab w:val="num" w:pos="2925"/>
        </w:tabs>
        <w:ind w:left="2925" w:hanging="360"/>
      </w:pPr>
      <w:rPr>
        <w:rFonts w:ascii="Symbol" w:hAnsi="Symbol" w:cs="OpenSymbol"/>
        <w:szCs w:val="24"/>
      </w:rPr>
    </w:lvl>
    <w:lvl w:ilvl="7">
      <w:start w:val="1"/>
      <w:numFmt w:val="bullet"/>
      <w:lvlText w:val="◦"/>
      <w:lvlJc w:val="left"/>
      <w:pPr>
        <w:tabs>
          <w:tab w:val="num" w:pos="3285"/>
        </w:tabs>
        <w:ind w:left="3285" w:hanging="360"/>
      </w:pPr>
      <w:rPr>
        <w:rFonts w:ascii="OpenSymbol" w:hAnsi="OpenSymbol" w:cs="OpenSymbol"/>
      </w:rPr>
    </w:lvl>
    <w:lvl w:ilvl="8">
      <w:start w:val="1"/>
      <w:numFmt w:val="bullet"/>
      <w:lvlText w:val="▪"/>
      <w:lvlJc w:val="left"/>
      <w:pPr>
        <w:tabs>
          <w:tab w:val="num" w:pos="3645"/>
        </w:tabs>
        <w:ind w:left="3645" w:hanging="360"/>
      </w:pPr>
      <w:rPr>
        <w:rFonts w:ascii="OpenSymbol" w:hAnsi="OpenSymbol" w:cs="OpenSymbol"/>
      </w:rPr>
    </w:lvl>
  </w:abstractNum>
  <w:abstractNum w:abstractNumId="20">
    <w:nsid w:val="00000014"/>
    <w:multiLevelType w:val="multilevel"/>
    <w:tmpl w:val="2AF2F59E"/>
    <w:name w:val="WW8Num20"/>
    <w:lvl w:ilvl="0">
      <w:start w:val="1"/>
      <w:numFmt w:val="bullet"/>
      <w:lvlText w:val=""/>
      <w:lvlJc w:val="left"/>
      <w:pPr>
        <w:tabs>
          <w:tab w:val="num" w:pos="1004"/>
        </w:tabs>
        <w:ind w:left="1004" w:hanging="360"/>
      </w:pPr>
      <w:rPr>
        <w:rFonts w:ascii="Symbol" w:hAnsi="Symbol" w:hint="default"/>
        <w:szCs w:val="24"/>
      </w:rPr>
    </w:lvl>
    <w:lvl w:ilvl="1">
      <w:start w:val="1"/>
      <w:numFmt w:val="bullet"/>
      <w:lvlText w:val="◦"/>
      <w:lvlJc w:val="left"/>
      <w:pPr>
        <w:tabs>
          <w:tab w:val="num" w:pos="1364"/>
        </w:tabs>
        <w:ind w:left="1364" w:hanging="360"/>
      </w:pPr>
      <w:rPr>
        <w:rFonts w:ascii="OpenSymbol" w:hAnsi="OpenSymbol" w:cs="OpenSymbol"/>
      </w:rPr>
    </w:lvl>
    <w:lvl w:ilvl="2">
      <w:start w:val="1"/>
      <w:numFmt w:val="bullet"/>
      <w:lvlText w:val="▪"/>
      <w:lvlJc w:val="left"/>
      <w:pPr>
        <w:tabs>
          <w:tab w:val="num" w:pos="1724"/>
        </w:tabs>
        <w:ind w:left="1724" w:hanging="360"/>
      </w:pPr>
      <w:rPr>
        <w:rFonts w:ascii="OpenSymbol" w:hAnsi="OpenSymbol" w:cs="OpenSymbol"/>
      </w:rPr>
    </w:lvl>
    <w:lvl w:ilvl="3">
      <w:start w:val="1"/>
      <w:numFmt w:val="bullet"/>
      <w:lvlText w:val=""/>
      <w:lvlJc w:val="left"/>
      <w:pPr>
        <w:tabs>
          <w:tab w:val="num" w:pos="2084"/>
        </w:tabs>
        <w:ind w:left="2084" w:hanging="360"/>
      </w:pPr>
      <w:rPr>
        <w:rFonts w:ascii="Symbol" w:hAnsi="Symbol" w:cs="OpenSymbol"/>
        <w:szCs w:val="24"/>
        <w:shd w:val="clear" w:color="auto" w:fill="auto"/>
      </w:rPr>
    </w:lvl>
    <w:lvl w:ilvl="4">
      <w:start w:val="1"/>
      <w:numFmt w:val="bullet"/>
      <w:lvlText w:val="◦"/>
      <w:lvlJc w:val="left"/>
      <w:pPr>
        <w:tabs>
          <w:tab w:val="num" w:pos="2444"/>
        </w:tabs>
        <w:ind w:left="2444" w:hanging="360"/>
      </w:pPr>
      <w:rPr>
        <w:rFonts w:ascii="OpenSymbol" w:hAnsi="OpenSymbol" w:cs="OpenSymbol"/>
      </w:rPr>
    </w:lvl>
    <w:lvl w:ilvl="5">
      <w:start w:val="1"/>
      <w:numFmt w:val="bullet"/>
      <w:lvlText w:val="▪"/>
      <w:lvlJc w:val="left"/>
      <w:pPr>
        <w:tabs>
          <w:tab w:val="num" w:pos="2804"/>
        </w:tabs>
        <w:ind w:left="2804" w:hanging="360"/>
      </w:pPr>
      <w:rPr>
        <w:rFonts w:ascii="OpenSymbol" w:hAnsi="OpenSymbol" w:cs="OpenSymbol"/>
      </w:rPr>
    </w:lvl>
    <w:lvl w:ilvl="6">
      <w:start w:val="1"/>
      <w:numFmt w:val="bullet"/>
      <w:lvlText w:val=""/>
      <w:lvlJc w:val="left"/>
      <w:pPr>
        <w:tabs>
          <w:tab w:val="num" w:pos="3164"/>
        </w:tabs>
        <w:ind w:left="3164" w:hanging="360"/>
      </w:pPr>
      <w:rPr>
        <w:rFonts w:ascii="Symbol" w:hAnsi="Symbol" w:cs="OpenSymbol"/>
        <w:szCs w:val="24"/>
        <w:shd w:val="clear" w:color="auto" w:fill="auto"/>
      </w:rPr>
    </w:lvl>
    <w:lvl w:ilvl="7">
      <w:start w:val="1"/>
      <w:numFmt w:val="bullet"/>
      <w:lvlText w:val="◦"/>
      <w:lvlJc w:val="left"/>
      <w:pPr>
        <w:tabs>
          <w:tab w:val="num" w:pos="3524"/>
        </w:tabs>
        <w:ind w:left="3524" w:hanging="360"/>
      </w:pPr>
      <w:rPr>
        <w:rFonts w:ascii="OpenSymbol" w:hAnsi="OpenSymbol" w:cs="OpenSymbol"/>
      </w:rPr>
    </w:lvl>
    <w:lvl w:ilvl="8">
      <w:start w:val="1"/>
      <w:numFmt w:val="bullet"/>
      <w:lvlText w:val="▪"/>
      <w:lvlJc w:val="left"/>
      <w:pPr>
        <w:tabs>
          <w:tab w:val="num" w:pos="3884"/>
        </w:tabs>
        <w:ind w:left="3884" w:hanging="360"/>
      </w:pPr>
      <w:rPr>
        <w:rFonts w:ascii="OpenSymbol" w:hAnsi="OpenSymbol" w:cs="OpenSymbol"/>
      </w:rPr>
    </w:lvl>
  </w:abstractNum>
  <w:abstractNum w:abstractNumId="21">
    <w:nsid w:val="00000015"/>
    <w:multiLevelType w:val="multilevel"/>
    <w:tmpl w:val="00000015"/>
    <w:name w:val="WW8Num21"/>
    <w:lvl w:ilvl="0">
      <w:start w:val="1"/>
      <w:numFmt w:val="bullet"/>
      <w:lvlText w:val="-"/>
      <w:lvlJc w:val="left"/>
      <w:pPr>
        <w:tabs>
          <w:tab w:val="num" w:pos="0"/>
        </w:tabs>
        <w:ind w:left="1440" w:hanging="360"/>
      </w:pPr>
      <w:rPr>
        <w:rFonts w:ascii="Arial Narrow" w:hAnsi="Arial Narrow" w:cs="Arial Narrow"/>
        <w:color w:val="00000A"/>
        <w:szCs w:val="24"/>
        <w:shd w:val="clear" w:color="auto" w:fill="FFFFFF"/>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Courier New"/>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Courier New"/>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2">
    <w:nsid w:val="00000016"/>
    <w:multiLevelType w:val="multilevel"/>
    <w:tmpl w:val="00000016"/>
    <w:name w:val="WW8Num22"/>
    <w:lvl w:ilvl="0">
      <w:start w:val="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7"/>
    <w:multiLevelType w:val="multilevel"/>
    <w:tmpl w:val="00000017"/>
    <w:name w:val="WW8Num23"/>
    <w:lvl w:ilvl="0">
      <w:start w:val="1"/>
      <w:numFmt w:val="decimal"/>
      <w:lvlText w:val="%1."/>
      <w:lvlJc w:val="left"/>
      <w:pPr>
        <w:tabs>
          <w:tab w:val="num" w:pos="786"/>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18"/>
    <w:multiLevelType w:val="multilevel"/>
    <w:tmpl w:val="00000018"/>
    <w:name w:val="WW8Num24"/>
    <w:lvl w:ilvl="0">
      <w:start w:val="1"/>
      <w:numFmt w:val="bullet"/>
      <w:lvlText w:val=""/>
      <w:lvlJc w:val="left"/>
      <w:pPr>
        <w:tabs>
          <w:tab w:val="num" w:pos="808"/>
        </w:tabs>
        <w:ind w:left="808" w:hanging="360"/>
      </w:pPr>
      <w:rPr>
        <w:rFonts w:ascii="Wingdings" w:hAnsi="Wingdings" w:cs="OpenSymbol"/>
        <w:shd w:val="clear" w:color="auto" w:fill="auto"/>
      </w:rPr>
    </w:lvl>
    <w:lvl w:ilvl="1">
      <w:start w:val="1"/>
      <w:numFmt w:val="bullet"/>
      <w:lvlText w:val="◦"/>
      <w:lvlJc w:val="left"/>
      <w:pPr>
        <w:tabs>
          <w:tab w:val="num" w:pos="1168"/>
        </w:tabs>
        <w:ind w:left="1168" w:hanging="360"/>
      </w:pPr>
      <w:rPr>
        <w:rFonts w:ascii="OpenSymbol" w:hAnsi="OpenSymbol" w:cs="OpenSymbol"/>
      </w:rPr>
    </w:lvl>
    <w:lvl w:ilvl="2">
      <w:start w:val="1"/>
      <w:numFmt w:val="bullet"/>
      <w:lvlText w:val="▪"/>
      <w:lvlJc w:val="left"/>
      <w:pPr>
        <w:tabs>
          <w:tab w:val="num" w:pos="1528"/>
        </w:tabs>
        <w:ind w:left="1528" w:hanging="360"/>
      </w:pPr>
      <w:rPr>
        <w:rFonts w:ascii="OpenSymbol" w:hAnsi="OpenSymbol" w:cs="OpenSymbol"/>
      </w:rPr>
    </w:lvl>
    <w:lvl w:ilvl="3">
      <w:start w:val="1"/>
      <w:numFmt w:val="bullet"/>
      <w:lvlText w:val=""/>
      <w:lvlJc w:val="left"/>
      <w:pPr>
        <w:tabs>
          <w:tab w:val="num" w:pos="1888"/>
        </w:tabs>
        <w:ind w:left="1888" w:hanging="360"/>
      </w:pPr>
      <w:rPr>
        <w:rFonts w:ascii="Symbol" w:hAnsi="Symbol" w:cs="OpenSymbol"/>
      </w:rPr>
    </w:lvl>
    <w:lvl w:ilvl="4">
      <w:start w:val="1"/>
      <w:numFmt w:val="bullet"/>
      <w:lvlText w:val="◦"/>
      <w:lvlJc w:val="left"/>
      <w:pPr>
        <w:tabs>
          <w:tab w:val="num" w:pos="2248"/>
        </w:tabs>
        <w:ind w:left="2248" w:hanging="360"/>
      </w:pPr>
      <w:rPr>
        <w:rFonts w:ascii="OpenSymbol" w:hAnsi="OpenSymbol" w:cs="OpenSymbol"/>
      </w:rPr>
    </w:lvl>
    <w:lvl w:ilvl="5">
      <w:start w:val="1"/>
      <w:numFmt w:val="bullet"/>
      <w:lvlText w:val="▪"/>
      <w:lvlJc w:val="left"/>
      <w:pPr>
        <w:tabs>
          <w:tab w:val="num" w:pos="2608"/>
        </w:tabs>
        <w:ind w:left="2608" w:hanging="360"/>
      </w:pPr>
      <w:rPr>
        <w:rFonts w:ascii="OpenSymbol" w:hAnsi="OpenSymbol" w:cs="OpenSymbol"/>
      </w:rPr>
    </w:lvl>
    <w:lvl w:ilvl="6">
      <w:start w:val="1"/>
      <w:numFmt w:val="bullet"/>
      <w:lvlText w:val=""/>
      <w:lvlJc w:val="left"/>
      <w:pPr>
        <w:tabs>
          <w:tab w:val="num" w:pos="2968"/>
        </w:tabs>
        <w:ind w:left="2968" w:hanging="360"/>
      </w:pPr>
      <w:rPr>
        <w:rFonts w:ascii="Symbol" w:hAnsi="Symbol" w:cs="OpenSymbol"/>
      </w:rPr>
    </w:lvl>
    <w:lvl w:ilvl="7">
      <w:start w:val="1"/>
      <w:numFmt w:val="bullet"/>
      <w:lvlText w:val="◦"/>
      <w:lvlJc w:val="left"/>
      <w:pPr>
        <w:tabs>
          <w:tab w:val="num" w:pos="3328"/>
        </w:tabs>
        <w:ind w:left="3328" w:hanging="360"/>
      </w:pPr>
      <w:rPr>
        <w:rFonts w:ascii="OpenSymbol" w:hAnsi="OpenSymbol" w:cs="OpenSymbol"/>
      </w:rPr>
    </w:lvl>
    <w:lvl w:ilvl="8">
      <w:start w:val="1"/>
      <w:numFmt w:val="bullet"/>
      <w:lvlText w:val="▪"/>
      <w:lvlJc w:val="left"/>
      <w:pPr>
        <w:tabs>
          <w:tab w:val="num" w:pos="3688"/>
        </w:tabs>
        <w:ind w:left="3688" w:hanging="360"/>
      </w:pPr>
      <w:rPr>
        <w:rFonts w:ascii="OpenSymbol" w:hAnsi="OpenSymbol" w:cs="OpenSymbol"/>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27">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OpenSymbol"/>
        <w:color w:val="333333"/>
        <w:szCs w:val="24"/>
      </w:rPr>
    </w:lvl>
    <w:lvl w:ilvl="1">
      <w:start w:val="1"/>
      <w:numFmt w:val="bullet"/>
      <w:lvlText w:val=""/>
      <w:lvlJc w:val="left"/>
      <w:pPr>
        <w:tabs>
          <w:tab w:val="num" w:pos="1080"/>
        </w:tabs>
        <w:ind w:left="1080" w:hanging="360"/>
      </w:pPr>
      <w:rPr>
        <w:rFonts w:ascii="Wingdings" w:hAnsi="Wingdings" w:cs="OpenSymbol"/>
        <w:color w:val="333333"/>
        <w:szCs w:val="24"/>
      </w:rPr>
    </w:lvl>
    <w:lvl w:ilvl="2">
      <w:start w:val="1"/>
      <w:numFmt w:val="bullet"/>
      <w:lvlText w:val=""/>
      <w:lvlJc w:val="left"/>
      <w:pPr>
        <w:tabs>
          <w:tab w:val="num" w:pos="1440"/>
        </w:tabs>
        <w:ind w:left="1440" w:hanging="360"/>
      </w:pPr>
      <w:rPr>
        <w:rFonts w:ascii="Wingdings" w:hAnsi="Wingdings" w:cs="OpenSymbol"/>
        <w:color w:val="333333"/>
        <w:szCs w:val="24"/>
      </w:rPr>
    </w:lvl>
    <w:lvl w:ilvl="3">
      <w:start w:val="1"/>
      <w:numFmt w:val="bullet"/>
      <w:lvlText w:val=""/>
      <w:lvlJc w:val="left"/>
      <w:pPr>
        <w:tabs>
          <w:tab w:val="num" w:pos="1800"/>
        </w:tabs>
        <w:ind w:left="1800" w:hanging="360"/>
      </w:pPr>
      <w:rPr>
        <w:rFonts w:ascii="Wingdings" w:hAnsi="Wingdings" w:cs="OpenSymbol"/>
        <w:color w:val="333333"/>
        <w:szCs w:val="24"/>
      </w:rPr>
    </w:lvl>
    <w:lvl w:ilvl="4">
      <w:start w:val="1"/>
      <w:numFmt w:val="bullet"/>
      <w:lvlText w:val=""/>
      <w:lvlJc w:val="left"/>
      <w:pPr>
        <w:tabs>
          <w:tab w:val="num" w:pos="2160"/>
        </w:tabs>
        <w:ind w:left="2160" w:hanging="360"/>
      </w:pPr>
      <w:rPr>
        <w:rFonts w:ascii="Wingdings" w:hAnsi="Wingdings" w:cs="OpenSymbol"/>
        <w:color w:val="333333"/>
        <w:szCs w:val="24"/>
      </w:rPr>
    </w:lvl>
    <w:lvl w:ilvl="5">
      <w:start w:val="1"/>
      <w:numFmt w:val="bullet"/>
      <w:lvlText w:val=""/>
      <w:lvlJc w:val="left"/>
      <w:pPr>
        <w:tabs>
          <w:tab w:val="num" w:pos="2520"/>
        </w:tabs>
        <w:ind w:left="2520" w:hanging="360"/>
      </w:pPr>
      <w:rPr>
        <w:rFonts w:ascii="Wingdings" w:hAnsi="Wingdings" w:cs="OpenSymbol"/>
        <w:color w:val="333333"/>
        <w:szCs w:val="24"/>
      </w:rPr>
    </w:lvl>
    <w:lvl w:ilvl="6">
      <w:start w:val="1"/>
      <w:numFmt w:val="bullet"/>
      <w:lvlText w:val=""/>
      <w:lvlJc w:val="left"/>
      <w:pPr>
        <w:tabs>
          <w:tab w:val="num" w:pos="2880"/>
        </w:tabs>
        <w:ind w:left="2880" w:hanging="360"/>
      </w:pPr>
      <w:rPr>
        <w:rFonts w:ascii="Wingdings" w:hAnsi="Wingdings" w:cs="OpenSymbol"/>
        <w:color w:val="333333"/>
        <w:szCs w:val="24"/>
      </w:rPr>
    </w:lvl>
    <w:lvl w:ilvl="7">
      <w:start w:val="1"/>
      <w:numFmt w:val="bullet"/>
      <w:lvlText w:val=""/>
      <w:lvlJc w:val="left"/>
      <w:pPr>
        <w:tabs>
          <w:tab w:val="num" w:pos="3240"/>
        </w:tabs>
        <w:ind w:left="3240" w:hanging="360"/>
      </w:pPr>
      <w:rPr>
        <w:rFonts w:ascii="Wingdings" w:hAnsi="Wingdings" w:cs="OpenSymbol"/>
        <w:color w:val="333333"/>
        <w:szCs w:val="24"/>
      </w:rPr>
    </w:lvl>
    <w:lvl w:ilvl="8">
      <w:start w:val="1"/>
      <w:numFmt w:val="bullet"/>
      <w:lvlText w:val=""/>
      <w:lvlJc w:val="left"/>
      <w:pPr>
        <w:tabs>
          <w:tab w:val="num" w:pos="3600"/>
        </w:tabs>
        <w:ind w:left="3600" w:hanging="360"/>
      </w:pPr>
      <w:rPr>
        <w:rFonts w:ascii="Wingdings" w:hAnsi="Wingdings" w:cs="OpenSymbol"/>
        <w:color w:val="333333"/>
        <w:szCs w:val="24"/>
      </w:rPr>
    </w:lvl>
  </w:abstractNum>
  <w:abstractNum w:abstractNumId="2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D"/>
    <w:multiLevelType w:val="multilevel"/>
    <w:tmpl w:val="0000001D"/>
    <w:name w:val="WW8Num29"/>
    <w:lvl w:ilvl="0">
      <w:start w:val="1"/>
      <w:numFmt w:val="bullet"/>
      <w:lvlText w:val=""/>
      <w:lvlJc w:val="left"/>
      <w:pPr>
        <w:tabs>
          <w:tab w:val="num" w:pos="648"/>
        </w:tabs>
        <w:ind w:left="648" w:hanging="360"/>
      </w:pPr>
      <w:rPr>
        <w:rFonts w:ascii="Symbol" w:hAnsi="Symbol" w:cs="OpenSymbol"/>
        <w:color w:val="000000"/>
        <w:lang w:bidi="ar-SA"/>
      </w:rPr>
    </w:lvl>
    <w:lvl w:ilvl="1">
      <w:start w:val="1"/>
      <w:numFmt w:val="bullet"/>
      <w:lvlText w:val="◦"/>
      <w:lvlJc w:val="left"/>
      <w:pPr>
        <w:tabs>
          <w:tab w:val="num" w:pos="1008"/>
        </w:tabs>
        <w:ind w:left="1008" w:hanging="360"/>
      </w:pPr>
      <w:rPr>
        <w:rFonts w:ascii="OpenSymbol" w:hAnsi="OpenSymbol" w:cs="OpenSymbol"/>
      </w:rPr>
    </w:lvl>
    <w:lvl w:ilvl="2">
      <w:start w:val="1"/>
      <w:numFmt w:val="bullet"/>
      <w:lvlText w:val="▪"/>
      <w:lvlJc w:val="left"/>
      <w:pPr>
        <w:tabs>
          <w:tab w:val="num" w:pos="1368"/>
        </w:tabs>
        <w:ind w:left="1368" w:hanging="360"/>
      </w:pPr>
      <w:rPr>
        <w:rFonts w:ascii="OpenSymbol" w:hAnsi="OpenSymbol" w:cs="OpenSymbol"/>
      </w:rPr>
    </w:lvl>
    <w:lvl w:ilvl="3">
      <w:start w:val="1"/>
      <w:numFmt w:val="bullet"/>
      <w:lvlText w:val=""/>
      <w:lvlJc w:val="left"/>
      <w:pPr>
        <w:tabs>
          <w:tab w:val="num" w:pos="1728"/>
        </w:tabs>
        <w:ind w:left="1728" w:hanging="360"/>
      </w:pPr>
      <w:rPr>
        <w:rFonts w:ascii="Symbol" w:hAnsi="Symbol" w:cs="OpenSymbol"/>
        <w:color w:val="000000"/>
        <w:lang w:bidi="ar-SA"/>
      </w:rPr>
    </w:lvl>
    <w:lvl w:ilvl="4">
      <w:start w:val="1"/>
      <w:numFmt w:val="bullet"/>
      <w:lvlText w:val="◦"/>
      <w:lvlJc w:val="left"/>
      <w:pPr>
        <w:tabs>
          <w:tab w:val="num" w:pos="2088"/>
        </w:tabs>
        <w:ind w:left="2088" w:hanging="360"/>
      </w:pPr>
      <w:rPr>
        <w:rFonts w:ascii="OpenSymbol" w:hAnsi="OpenSymbol" w:cs="OpenSymbol"/>
      </w:rPr>
    </w:lvl>
    <w:lvl w:ilvl="5">
      <w:start w:val="1"/>
      <w:numFmt w:val="bullet"/>
      <w:lvlText w:val="▪"/>
      <w:lvlJc w:val="left"/>
      <w:pPr>
        <w:tabs>
          <w:tab w:val="num" w:pos="2448"/>
        </w:tabs>
        <w:ind w:left="2448" w:hanging="360"/>
      </w:pPr>
      <w:rPr>
        <w:rFonts w:ascii="OpenSymbol" w:hAnsi="OpenSymbol" w:cs="OpenSymbol"/>
      </w:rPr>
    </w:lvl>
    <w:lvl w:ilvl="6">
      <w:start w:val="1"/>
      <w:numFmt w:val="bullet"/>
      <w:lvlText w:val=""/>
      <w:lvlJc w:val="left"/>
      <w:pPr>
        <w:tabs>
          <w:tab w:val="num" w:pos="2808"/>
        </w:tabs>
        <w:ind w:left="2808" w:hanging="360"/>
      </w:pPr>
      <w:rPr>
        <w:rFonts w:ascii="Symbol" w:hAnsi="Symbol" w:cs="OpenSymbol"/>
        <w:color w:val="000000"/>
        <w:lang w:bidi="ar-SA"/>
      </w:rPr>
    </w:lvl>
    <w:lvl w:ilvl="7">
      <w:start w:val="1"/>
      <w:numFmt w:val="bullet"/>
      <w:lvlText w:val="◦"/>
      <w:lvlJc w:val="left"/>
      <w:pPr>
        <w:tabs>
          <w:tab w:val="num" w:pos="3168"/>
        </w:tabs>
        <w:ind w:left="3168" w:hanging="360"/>
      </w:pPr>
      <w:rPr>
        <w:rFonts w:ascii="OpenSymbol" w:hAnsi="OpenSymbol" w:cs="OpenSymbol"/>
      </w:rPr>
    </w:lvl>
    <w:lvl w:ilvl="8">
      <w:start w:val="1"/>
      <w:numFmt w:val="bullet"/>
      <w:lvlText w:val="▪"/>
      <w:lvlJc w:val="left"/>
      <w:pPr>
        <w:tabs>
          <w:tab w:val="num" w:pos="3528"/>
        </w:tabs>
        <w:ind w:left="3528" w:hanging="360"/>
      </w:pPr>
      <w:rPr>
        <w:rFonts w:ascii="OpenSymbol" w:hAnsi="OpenSymbol" w:cs="OpenSymbol"/>
      </w:rPr>
    </w:lvl>
  </w:abstractNum>
  <w:abstractNum w:abstractNumId="30">
    <w:nsid w:val="00973E74"/>
    <w:multiLevelType w:val="hybridMultilevel"/>
    <w:tmpl w:val="07CC99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00B67F27"/>
    <w:multiLevelType w:val="hybridMultilevel"/>
    <w:tmpl w:val="E56C22C4"/>
    <w:lvl w:ilvl="0" w:tplc="23E8C792">
      <w:start w:val="1"/>
      <w:numFmt w:val="decimal"/>
      <w:lvlText w:val="%1."/>
      <w:lvlJc w:val="left"/>
      <w:pPr>
        <w:ind w:left="1635" w:hanging="360"/>
      </w:pPr>
      <w:rPr>
        <w:rFonts w:hint="default"/>
        <w:b w:val="0"/>
      </w:rPr>
    </w:lvl>
    <w:lvl w:ilvl="1" w:tplc="C9B609C2">
      <w:numFmt w:val="bullet"/>
      <w:lvlText w:val="•"/>
      <w:lvlJc w:val="left"/>
      <w:pPr>
        <w:ind w:left="2355" w:hanging="360"/>
      </w:pPr>
      <w:rPr>
        <w:rFonts w:ascii="Trebuchet MS" w:eastAsiaTheme="minorHAnsi" w:hAnsi="Trebuchet MS" w:cstheme="minorBidi"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32">
    <w:nsid w:val="00CC429D"/>
    <w:multiLevelType w:val="hybridMultilevel"/>
    <w:tmpl w:val="37320632"/>
    <w:lvl w:ilvl="0" w:tplc="1278D8BC">
      <w:start w:val="1"/>
      <w:numFmt w:val="bullet"/>
      <w:lvlText w:val=""/>
      <w:lvlJc w:val="left"/>
      <w:pPr>
        <w:ind w:left="1440" w:hanging="360"/>
      </w:pPr>
      <w:rPr>
        <w:rFonts w:ascii="Symbol" w:hAnsi="Symbol" w:hint="default"/>
        <w:b/>
        <w:color w:val="000080"/>
        <w:sz w:val="24"/>
        <w:szCs w:val="24"/>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01C17B77"/>
    <w:multiLevelType w:val="hybridMultilevel"/>
    <w:tmpl w:val="15606DA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022E5AFE"/>
    <w:multiLevelType w:val="hybridMultilevel"/>
    <w:tmpl w:val="1E065588"/>
    <w:lvl w:ilvl="0" w:tplc="CFD0E6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2622249"/>
    <w:multiLevelType w:val="hybridMultilevel"/>
    <w:tmpl w:val="5C4C3D1A"/>
    <w:lvl w:ilvl="0" w:tplc="0418000D">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36">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03201AE6"/>
    <w:multiLevelType w:val="multilevel"/>
    <w:tmpl w:val="51266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32E2442"/>
    <w:multiLevelType w:val="hybridMultilevel"/>
    <w:tmpl w:val="B2E6BB7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nsid w:val="034D49BC"/>
    <w:multiLevelType w:val="multilevel"/>
    <w:tmpl w:val="0298BCB0"/>
    <w:lvl w:ilvl="0">
      <w:start w:val="1"/>
      <w:numFmt w:val="decimal"/>
      <w:lvlText w:val="%1."/>
      <w:lvlJc w:val="left"/>
      <w:pPr>
        <w:ind w:left="720" w:hanging="360"/>
      </w:pPr>
      <w:rPr>
        <w:rFonts w:hint="default"/>
      </w:rPr>
    </w:lvl>
    <w:lvl w:ilvl="1">
      <w:start w:val="4"/>
      <w:numFmt w:val="decimal"/>
      <w:isLgl/>
      <w:lvlText w:val="%1.%2."/>
      <w:lvlJc w:val="left"/>
      <w:pPr>
        <w:ind w:left="975" w:hanging="615"/>
      </w:pPr>
      <w:rPr>
        <w:rFonts w:ascii="Times New Roman" w:hAnsi="Times New Roman" w:cs="Times New Roman" w:hint="default"/>
        <w:color w:val="auto"/>
      </w:rPr>
    </w:lvl>
    <w:lvl w:ilvl="2">
      <w:start w:val="1"/>
      <w:numFmt w:val="decimal"/>
      <w:isLgl/>
      <w:lvlText w:val="%1.%2.%3."/>
      <w:lvlJc w:val="left"/>
      <w:pPr>
        <w:ind w:left="1080" w:hanging="720"/>
      </w:pPr>
      <w:rPr>
        <w:rFonts w:ascii="Times New Roman" w:hAnsi="Times New Roman" w:cs="Times New Roman" w:hint="default"/>
        <w:color w:val="auto"/>
      </w:rPr>
    </w:lvl>
    <w:lvl w:ilvl="3">
      <w:start w:val="1"/>
      <w:numFmt w:val="decimal"/>
      <w:isLgl/>
      <w:lvlText w:val="%1.%2.%3.%4."/>
      <w:lvlJc w:val="left"/>
      <w:pPr>
        <w:ind w:left="1080" w:hanging="720"/>
      </w:pPr>
      <w:rPr>
        <w:rFonts w:ascii="Times New Roman" w:hAnsi="Times New Roman" w:cs="Times New Roman" w:hint="default"/>
        <w:color w:val="auto"/>
      </w:rPr>
    </w:lvl>
    <w:lvl w:ilvl="4">
      <w:start w:val="1"/>
      <w:numFmt w:val="decimal"/>
      <w:isLgl/>
      <w:lvlText w:val="%1.%2.%3.%4.%5."/>
      <w:lvlJc w:val="left"/>
      <w:pPr>
        <w:ind w:left="1440" w:hanging="1080"/>
      </w:pPr>
      <w:rPr>
        <w:rFonts w:ascii="Times New Roman" w:hAnsi="Times New Roman" w:cs="Times New Roman" w:hint="default"/>
        <w:color w:val="auto"/>
      </w:rPr>
    </w:lvl>
    <w:lvl w:ilvl="5">
      <w:start w:val="1"/>
      <w:numFmt w:val="decimal"/>
      <w:isLgl/>
      <w:lvlText w:val="%1.%2.%3.%4.%5.%6."/>
      <w:lvlJc w:val="left"/>
      <w:pPr>
        <w:ind w:left="1440" w:hanging="1080"/>
      </w:pPr>
      <w:rPr>
        <w:rFonts w:ascii="Times New Roman" w:hAnsi="Times New Roman" w:cs="Times New Roman" w:hint="default"/>
        <w:color w:val="auto"/>
      </w:rPr>
    </w:lvl>
    <w:lvl w:ilvl="6">
      <w:start w:val="1"/>
      <w:numFmt w:val="decimal"/>
      <w:isLgl/>
      <w:lvlText w:val="%1.%2.%3.%4.%5.%6.%7."/>
      <w:lvlJc w:val="left"/>
      <w:pPr>
        <w:ind w:left="1800" w:hanging="1440"/>
      </w:pPr>
      <w:rPr>
        <w:rFonts w:ascii="Times New Roman" w:hAnsi="Times New Roman" w:cs="Times New Roman" w:hint="default"/>
        <w:color w:val="auto"/>
      </w:rPr>
    </w:lvl>
    <w:lvl w:ilvl="7">
      <w:start w:val="1"/>
      <w:numFmt w:val="decimal"/>
      <w:isLgl/>
      <w:lvlText w:val="%1.%2.%3.%4.%5.%6.%7.%8."/>
      <w:lvlJc w:val="left"/>
      <w:pPr>
        <w:ind w:left="1800" w:hanging="1440"/>
      </w:pPr>
      <w:rPr>
        <w:rFonts w:ascii="Times New Roman" w:hAnsi="Times New Roman" w:cs="Times New Roman" w:hint="default"/>
        <w:color w:val="auto"/>
      </w:rPr>
    </w:lvl>
    <w:lvl w:ilvl="8">
      <w:start w:val="1"/>
      <w:numFmt w:val="decimal"/>
      <w:isLgl/>
      <w:lvlText w:val="%1.%2.%3.%4.%5.%6.%7.%8.%9."/>
      <w:lvlJc w:val="left"/>
      <w:pPr>
        <w:ind w:left="2160" w:hanging="1800"/>
      </w:pPr>
      <w:rPr>
        <w:rFonts w:ascii="Times New Roman" w:hAnsi="Times New Roman" w:cs="Times New Roman" w:hint="default"/>
        <w:color w:val="auto"/>
      </w:rPr>
    </w:lvl>
  </w:abstractNum>
  <w:abstractNum w:abstractNumId="40">
    <w:nsid w:val="035E6029"/>
    <w:multiLevelType w:val="hybridMultilevel"/>
    <w:tmpl w:val="7EF8649C"/>
    <w:lvl w:ilvl="0" w:tplc="C4A4653A">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nsid w:val="04D33E12"/>
    <w:multiLevelType w:val="hybridMultilevel"/>
    <w:tmpl w:val="026A0360"/>
    <w:lvl w:ilvl="0" w:tplc="0418000B">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04EE4864"/>
    <w:multiLevelType w:val="hybridMultilevel"/>
    <w:tmpl w:val="C0B44AA4"/>
    <w:lvl w:ilvl="0" w:tplc="17103556">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04F02A80"/>
    <w:multiLevelType w:val="hybridMultilevel"/>
    <w:tmpl w:val="37BECDB8"/>
    <w:lvl w:ilvl="0" w:tplc="2544FE0C">
      <w:start w:val="5"/>
      <w:numFmt w:val="bullet"/>
      <w:lvlText w:val="-"/>
      <w:lvlJc w:val="left"/>
      <w:pPr>
        <w:ind w:left="1428" w:hanging="360"/>
      </w:pPr>
      <w:rPr>
        <w:rFonts w:ascii="Arial" w:eastAsia="Times New Roman" w:hAnsi="Arial" w:cs="Arial" w:hint="default"/>
      </w:rPr>
    </w:lvl>
    <w:lvl w:ilvl="1" w:tplc="04090003">
      <w:start w:val="1"/>
      <w:numFmt w:val="bullet"/>
      <w:lvlText w:val="o"/>
      <w:lvlJc w:val="left"/>
      <w:pPr>
        <w:ind w:left="3339"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06604CBD"/>
    <w:multiLevelType w:val="multilevel"/>
    <w:tmpl w:val="666E2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067E2FD4"/>
    <w:multiLevelType w:val="hybridMultilevel"/>
    <w:tmpl w:val="3DD0C560"/>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46">
    <w:nsid w:val="072C5791"/>
    <w:multiLevelType w:val="hybridMultilevel"/>
    <w:tmpl w:val="32FC574E"/>
    <w:lvl w:ilvl="0" w:tplc="8EF4BEB0">
      <w:numFmt w:val="bullet"/>
      <w:lvlText w:val=""/>
      <w:lvlJc w:val="left"/>
      <w:pPr>
        <w:ind w:left="1800" w:hanging="360"/>
      </w:pPr>
      <w:rPr>
        <w:rFonts w:ascii="Wingdings" w:hAnsi="Wingdings" w:hint="default"/>
        <w:b w:val="0"/>
        <w:color w:val="0E015F"/>
        <w:sz w:val="24"/>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7">
    <w:nsid w:val="074F1181"/>
    <w:multiLevelType w:val="hybridMultilevel"/>
    <w:tmpl w:val="202EF398"/>
    <w:lvl w:ilvl="0" w:tplc="0418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48">
    <w:nsid w:val="075F772D"/>
    <w:multiLevelType w:val="hybridMultilevel"/>
    <w:tmpl w:val="A622E91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07865083"/>
    <w:multiLevelType w:val="hybridMultilevel"/>
    <w:tmpl w:val="E572F9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08612EE2"/>
    <w:multiLevelType w:val="hybridMultilevel"/>
    <w:tmpl w:val="87540CF6"/>
    <w:lvl w:ilvl="0" w:tplc="302691A6">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08B82BE7"/>
    <w:multiLevelType w:val="hybridMultilevel"/>
    <w:tmpl w:val="F5205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8CB0CD7"/>
    <w:multiLevelType w:val="hybridMultilevel"/>
    <w:tmpl w:val="9AD67CB0"/>
    <w:lvl w:ilvl="0" w:tplc="D79C3B3A">
      <w:start w:val="1"/>
      <w:numFmt w:val="bullet"/>
      <w:lvlText w:val="•"/>
      <w:lvlJc w:val="left"/>
      <w:pPr>
        <w:tabs>
          <w:tab w:val="num" w:pos="1069"/>
        </w:tabs>
        <w:ind w:left="1069" w:hanging="360"/>
      </w:pPr>
      <w:rPr>
        <w:rFonts w:ascii="Times New Roman" w:hAnsi="Times New Roman" w:hint="default"/>
      </w:rPr>
    </w:lvl>
    <w:lvl w:ilvl="1" w:tplc="A2901630" w:tentative="1">
      <w:start w:val="1"/>
      <w:numFmt w:val="bullet"/>
      <w:lvlText w:val="•"/>
      <w:lvlJc w:val="left"/>
      <w:pPr>
        <w:tabs>
          <w:tab w:val="num" w:pos="1789"/>
        </w:tabs>
        <w:ind w:left="1789" w:hanging="360"/>
      </w:pPr>
      <w:rPr>
        <w:rFonts w:ascii="Times New Roman" w:hAnsi="Times New Roman" w:hint="default"/>
      </w:rPr>
    </w:lvl>
    <w:lvl w:ilvl="2" w:tplc="8D86CA3E" w:tentative="1">
      <w:start w:val="1"/>
      <w:numFmt w:val="bullet"/>
      <w:lvlText w:val="•"/>
      <w:lvlJc w:val="left"/>
      <w:pPr>
        <w:tabs>
          <w:tab w:val="num" w:pos="2509"/>
        </w:tabs>
        <w:ind w:left="2509" w:hanging="360"/>
      </w:pPr>
      <w:rPr>
        <w:rFonts w:ascii="Times New Roman" w:hAnsi="Times New Roman" w:hint="default"/>
      </w:rPr>
    </w:lvl>
    <w:lvl w:ilvl="3" w:tplc="4CC6D246" w:tentative="1">
      <w:start w:val="1"/>
      <w:numFmt w:val="bullet"/>
      <w:lvlText w:val="•"/>
      <w:lvlJc w:val="left"/>
      <w:pPr>
        <w:tabs>
          <w:tab w:val="num" w:pos="3229"/>
        </w:tabs>
        <w:ind w:left="3229" w:hanging="360"/>
      </w:pPr>
      <w:rPr>
        <w:rFonts w:ascii="Times New Roman" w:hAnsi="Times New Roman" w:hint="default"/>
      </w:rPr>
    </w:lvl>
    <w:lvl w:ilvl="4" w:tplc="6694CF3E" w:tentative="1">
      <w:start w:val="1"/>
      <w:numFmt w:val="bullet"/>
      <w:lvlText w:val="•"/>
      <w:lvlJc w:val="left"/>
      <w:pPr>
        <w:tabs>
          <w:tab w:val="num" w:pos="3949"/>
        </w:tabs>
        <w:ind w:left="3949" w:hanging="360"/>
      </w:pPr>
      <w:rPr>
        <w:rFonts w:ascii="Times New Roman" w:hAnsi="Times New Roman" w:hint="default"/>
      </w:rPr>
    </w:lvl>
    <w:lvl w:ilvl="5" w:tplc="15C4579A" w:tentative="1">
      <w:start w:val="1"/>
      <w:numFmt w:val="bullet"/>
      <w:lvlText w:val="•"/>
      <w:lvlJc w:val="left"/>
      <w:pPr>
        <w:tabs>
          <w:tab w:val="num" w:pos="4669"/>
        </w:tabs>
        <w:ind w:left="4669" w:hanging="360"/>
      </w:pPr>
      <w:rPr>
        <w:rFonts w:ascii="Times New Roman" w:hAnsi="Times New Roman" w:hint="default"/>
      </w:rPr>
    </w:lvl>
    <w:lvl w:ilvl="6" w:tplc="3E161E8E" w:tentative="1">
      <w:start w:val="1"/>
      <w:numFmt w:val="bullet"/>
      <w:lvlText w:val="•"/>
      <w:lvlJc w:val="left"/>
      <w:pPr>
        <w:tabs>
          <w:tab w:val="num" w:pos="5389"/>
        </w:tabs>
        <w:ind w:left="5389" w:hanging="360"/>
      </w:pPr>
      <w:rPr>
        <w:rFonts w:ascii="Times New Roman" w:hAnsi="Times New Roman" w:hint="default"/>
      </w:rPr>
    </w:lvl>
    <w:lvl w:ilvl="7" w:tplc="ABB6052C" w:tentative="1">
      <w:start w:val="1"/>
      <w:numFmt w:val="bullet"/>
      <w:lvlText w:val="•"/>
      <w:lvlJc w:val="left"/>
      <w:pPr>
        <w:tabs>
          <w:tab w:val="num" w:pos="6109"/>
        </w:tabs>
        <w:ind w:left="6109" w:hanging="360"/>
      </w:pPr>
      <w:rPr>
        <w:rFonts w:ascii="Times New Roman" w:hAnsi="Times New Roman" w:hint="default"/>
      </w:rPr>
    </w:lvl>
    <w:lvl w:ilvl="8" w:tplc="A1467C7C" w:tentative="1">
      <w:start w:val="1"/>
      <w:numFmt w:val="bullet"/>
      <w:lvlText w:val="•"/>
      <w:lvlJc w:val="left"/>
      <w:pPr>
        <w:tabs>
          <w:tab w:val="num" w:pos="6829"/>
        </w:tabs>
        <w:ind w:left="6829" w:hanging="360"/>
      </w:pPr>
      <w:rPr>
        <w:rFonts w:ascii="Times New Roman" w:hAnsi="Times New Roman" w:hint="default"/>
      </w:rPr>
    </w:lvl>
  </w:abstractNum>
  <w:abstractNum w:abstractNumId="53">
    <w:nsid w:val="08DE5837"/>
    <w:multiLevelType w:val="hybridMultilevel"/>
    <w:tmpl w:val="E05CA8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08F83015"/>
    <w:multiLevelType w:val="multilevel"/>
    <w:tmpl w:val="31C748D0"/>
    <w:lvl w:ilvl="0">
      <w:numFmt w:val="bullet"/>
      <w:lvlText w:val="-"/>
      <w:lvlJc w:val="left"/>
      <w:pPr>
        <w:tabs>
          <w:tab w:val="num" w:pos="720"/>
        </w:tabs>
        <w:ind w:left="720" w:hanging="360"/>
      </w:pPr>
      <w:rPr>
        <w:rFonts w:ascii="Calibri" w:hAnsi="Calibri" w:cs="Calibri"/>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nsid w:val="095F3950"/>
    <w:multiLevelType w:val="multilevel"/>
    <w:tmpl w:val="EA6A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9DB57AA"/>
    <w:multiLevelType w:val="hybridMultilevel"/>
    <w:tmpl w:val="DB98F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0A127A20"/>
    <w:multiLevelType w:val="multilevel"/>
    <w:tmpl w:val="DB644ED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0ADA732C"/>
    <w:multiLevelType w:val="multilevel"/>
    <w:tmpl w:val="439E7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BB66E6D"/>
    <w:multiLevelType w:val="multilevel"/>
    <w:tmpl w:val="291A504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nsid w:val="0BCF45C0"/>
    <w:multiLevelType w:val="hybridMultilevel"/>
    <w:tmpl w:val="16A2AF1E"/>
    <w:lvl w:ilvl="0" w:tplc="04180005">
      <w:start w:val="1"/>
      <w:numFmt w:val="bullet"/>
      <w:lvlText w:val=""/>
      <w:lvlJc w:val="left"/>
      <w:pPr>
        <w:ind w:left="1881" w:hanging="360"/>
      </w:pPr>
      <w:rPr>
        <w:rFonts w:ascii="Wingdings" w:hAnsi="Wingdings" w:hint="default"/>
      </w:rPr>
    </w:lvl>
    <w:lvl w:ilvl="1" w:tplc="04180003" w:tentative="1">
      <w:start w:val="1"/>
      <w:numFmt w:val="bullet"/>
      <w:lvlText w:val="o"/>
      <w:lvlJc w:val="left"/>
      <w:pPr>
        <w:ind w:left="2601" w:hanging="360"/>
      </w:pPr>
      <w:rPr>
        <w:rFonts w:ascii="Courier New" w:hAnsi="Courier New" w:cs="Courier New" w:hint="default"/>
      </w:rPr>
    </w:lvl>
    <w:lvl w:ilvl="2" w:tplc="04180005" w:tentative="1">
      <w:start w:val="1"/>
      <w:numFmt w:val="bullet"/>
      <w:lvlText w:val=""/>
      <w:lvlJc w:val="left"/>
      <w:pPr>
        <w:ind w:left="3321" w:hanging="360"/>
      </w:pPr>
      <w:rPr>
        <w:rFonts w:ascii="Wingdings" w:hAnsi="Wingdings" w:hint="default"/>
      </w:rPr>
    </w:lvl>
    <w:lvl w:ilvl="3" w:tplc="04180001" w:tentative="1">
      <w:start w:val="1"/>
      <w:numFmt w:val="bullet"/>
      <w:lvlText w:val=""/>
      <w:lvlJc w:val="left"/>
      <w:pPr>
        <w:ind w:left="4041" w:hanging="360"/>
      </w:pPr>
      <w:rPr>
        <w:rFonts w:ascii="Symbol" w:hAnsi="Symbol" w:hint="default"/>
      </w:rPr>
    </w:lvl>
    <w:lvl w:ilvl="4" w:tplc="04180003" w:tentative="1">
      <w:start w:val="1"/>
      <w:numFmt w:val="bullet"/>
      <w:lvlText w:val="o"/>
      <w:lvlJc w:val="left"/>
      <w:pPr>
        <w:ind w:left="4761" w:hanging="360"/>
      </w:pPr>
      <w:rPr>
        <w:rFonts w:ascii="Courier New" w:hAnsi="Courier New" w:cs="Courier New" w:hint="default"/>
      </w:rPr>
    </w:lvl>
    <w:lvl w:ilvl="5" w:tplc="04180005" w:tentative="1">
      <w:start w:val="1"/>
      <w:numFmt w:val="bullet"/>
      <w:lvlText w:val=""/>
      <w:lvlJc w:val="left"/>
      <w:pPr>
        <w:ind w:left="5481" w:hanging="360"/>
      </w:pPr>
      <w:rPr>
        <w:rFonts w:ascii="Wingdings" w:hAnsi="Wingdings" w:hint="default"/>
      </w:rPr>
    </w:lvl>
    <w:lvl w:ilvl="6" w:tplc="04180001" w:tentative="1">
      <w:start w:val="1"/>
      <w:numFmt w:val="bullet"/>
      <w:lvlText w:val=""/>
      <w:lvlJc w:val="left"/>
      <w:pPr>
        <w:ind w:left="6201" w:hanging="360"/>
      </w:pPr>
      <w:rPr>
        <w:rFonts w:ascii="Symbol" w:hAnsi="Symbol" w:hint="default"/>
      </w:rPr>
    </w:lvl>
    <w:lvl w:ilvl="7" w:tplc="04180003" w:tentative="1">
      <w:start w:val="1"/>
      <w:numFmt w:val="bullet"/>
      <w:lvlText w:val="o"/>
      <w:lvlJc w:val="left"/>
      <w:pPr>
        <w:ind w:left="6921" w:hanging="360"/>
      </w:pPr>
      <w:rPr>
        <w:rFonts w:ascii="Courier New" w:hAnsi="Courier New" w:cs="Courier New" w:hint="default"/>
      </w:rPr>
    </w:lvl>
    <w:lvl w:ilvl="8" w:tplc="04180005" w:tentative="1">
      <w:start w:val="1"/>
      <w:numFmt w:val="bullet"/>
      <w:lvlText w:val=""/>
      <w:lvlJc w:val="left"/>
      <w:pPr>
        <w:ind w:left="7641" w:hanging="360"/>
      </w:pPr>
      <w:rPr>
        <w:rFonts w:ascii="Wingdings" w:hAnsi="Wingdings" w:hint="default"/>
      </w:rPr>
    </w:lvl>
  </w:abstractNum>
  <w:abstractNum w:abstractNumId="61">
    <w:nsid w:val="0C0673DC"/>
    <w:multiLevelType w:val="multilevel"/>
    <w:tmpl w:val="3528939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nsid w:val="0C8F00DF"/>
    <w:multiLevelType w:val="hybridMultilevel"/>
    <w:tmpl w:val="F54055B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0DAE70D8"/>
    <w:multiLevelType w:val="multilevel"/>
    <w:tmpl w:val="C98EFB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nsid w:val="0EC71968"/>
    <w:multiLevelType w:val="multilevel"/>
    <w:tmpl w:val="C3BA5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0FF27A9B"/>
    <w:multiLevelType w:val="hybridMultilevel"/>
    <w:tmpl w:val="C28E6A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10995DB2"/>
    <w:multiLevelType w:val="hybridMultilevel"/>
    <w:tmpl w:val="04A8FB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nsid w:val="126F57AB"/>
    <w:multiLevelType w:val="hybridMultilevel"/>
    <w:tmpl w:val="626C59B8"/>
    <w:lvl w:ilvl="0" w:tplc="B7F4AE1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12880EF6"/>
    <w:multiLevelType w:val="hybridMultilevel"/>
    <w:tmpl w:val="30E6734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13F37729"/>
    <w:multiLevelType w:val="multilevel"/>
    <w:tmpl w:val="3F805C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6BC4C81"/>
    <w:multiLevelType w:val="hybridMultilevel"/>
    <w:tmpl w:val="45C858F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179E3F49"/>
    <w:multiLevelType w:val="hybridMultilevel"/>
    <w:tmpl w:val="749AB328"/>
    <w:lvl w:ilvl="0" w:tplc="40686B36">
      <w:start w:val="2014"/>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17EB4ED1"/>
    <w:multiLevelType w:val="hybridMultilevel"/>
    <w:tmpl w:val="0EDC77F2"/>
    <w:lvl w:ilvl="0" w:tplc="8ADA3BFE">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4">
    <w:nsid w:val="185D66C6"/>
    <w:multiLevelType w:val="multilevel"/>
    <w:tmpl w:val="F30E21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5">
    <w:nsid w:val="186879E0"/>
    <w:multiLevelType w:val="hybridMultilevel"/>
    <w:tmpl w:val="C86C7D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77">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8">
    <w:nsid w:val="19F9089B"/>
    <w:multiLevelType w:val="hybridMultilevel"/>
    <w:tmpl w:val="99EEBC5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9">
    <w:nsid w:val="1B4A09CB"/>
    <w:multiLevelType w:val="hybridMultilevel"/>
    <w:tmpl w:val="C1B2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B693D3E"/>
    <w:multiLevelType w:val="hybridMultilevel"/>
    <w:tmpl w:val="71A403E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1BA24006"/>
    <w:multiLevelType w:val="hybridMultilevel"/>
    <w:tmpl w:val="4582216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nsid w:val="1BE71EC5"/>
    <w:multiLevelType w:val="hybridMultilevel"/>
    <w:tmpl w:val="64C0A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nsid w:val="1C4713C5"/>
    <w:multiLevelType w:val="hybridMultilevel"/>
    <w:tmpl w:val="2A044BA8"/>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1C6330E6"/>
    <w:multiLevelType w:val="hybridMultilevel"/>
    <w:tmpl w:val="2D6C02C6"/>
    <w:lvl w:ilvl="0" w:tplc="04180007">
      <w:start w:val="1"/>
      <w:numFmt w:val="bullet"/>
      <w:lvlText w:val=""/>
      <w:lvlPicBulletId w:val="0"/>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5">
    <w:nsid w:val="1D493119"/>
    <w:multiLevelType w:val="multilevel"/>
    <w:tmpl w:val="AA40D0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1E6B141B"/>
    <w:multiLevelType w:val="hybridMultilevel"/>
    <w:tmpl w:val="F6F4B064"/>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1FC62401"/>
    <w:multiLevelType w:val="hybridMultilevel"/>
    <w:tmpl w:val="CE9844AA"/>
    <w:lvl w:ilvl="0" w:tplc="73B4236E">
      <w:start w:val="1"/>
      <w:numFmt w:val="bullet"/>
      <w:lvlText w:val=""/>
      <w:lvlJc w:val="left"/>
      <w:pPr>
        <w:ind w:left="720" w:hanging="360"/>
      </w:pPr>
      <w:rPr>
        <w:rFonts w:ascii="Symbol" w:hAnsi="Symbol" w:hint="default"/>
        <w:sz w:val="24"/>
        <w:szCs w:val="24"/>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206D1E4D"/>
    <w:multiLevelType w:val="multilevel"/>
    <w:tmpl w:val="4E044BE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21057D95"/>
    <w:multiLevelType w:val="hybridMultilevel"/>
    <w:tmpl w:val="3D58D87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3A77982"/>
    <w:multiLevelType w:val="hybridMultilevel"/>
    <w:tmpl w:val="84E84E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241D3669"/>
    <w:multiLevelType w:val="hybridMultilevel"/>
    <w:tmpl w:val="52A2A7C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2">
    <w:nsid w:val="24AA4E42"/>
    <w:multiLevelType w:val="hybridMultilevel"/>
    <w:tmpl w:val="2336197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nsid w:val="25155D39"/>
    <w:multiLevelType w:val="hybridMultilevel"/>
    <w:tmpl w:val="4BAC8F3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4">
    <w:nsid w:val="251E2375"/>
    <w:multiLevelType w:val="hybridMultilevel"/>
    <w:tmpl w:val="DD300B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253C356E"/>
    <w:multiLevelType w:val="hybridMultilevel"/>
    <w:tmpl w:val="AB100B12"/>
    <w:lvl w:ilvl="0" w:tplc="5F2A4C90">
      <w:start w:val="1"/>
      <w:numFmt w:val="upperRoman"/>
      <w:lvlText w:val="%1."/>
      <w:lvlJc w:val="left"/>
      <w:pPr>
        <w:ind w:left="1080" w:hanging="720"/>
      </w:pPr>
      <w:rPr>
        <w:rFonts w:cs="Calibri" w:hint="default"/>
        <w:b/>
        <w:color w:val="00206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nsid w:val="259214B6"/>
    <w:multiLevelType w:val="hybridMultilevel"/>
    <w:tmpl w:val="5D34F3A2"/>
    <w:lvl w:ilvl="0" w:tplc="302691A6">
      <w:numFmt w:val="bullet"/>
      <w:lvlText w:val="-"/>
      <w:lvlJc w:val="left"/>
      <w:pPr>
        <w:ind w:left="1069" w:hanging="360"/>
      </w:pPr>
      <w:rPr>
        <w:rFonts w:ascii="Calibri" w:eastAsia="Times New Roman" w:hAnsi="Calibri" w:cs="Calibri"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7">
    <w:nsid w:val="266C3273"/>
    <w:multiLevelType w:val="hybridMultilevel"/>
    <w:tmpl w:val="D4A43B88"/>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27400193"/>
    <w:multiLevelType w:val="multilevel"/>
    <w:tmpl w:val="0D3AC28C"/>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9">
    <w:nsid w:val="2AA8395F"/>
    <w:multiLevelType w:val="hybridMultilevel"/>
    <w:tmpl w:val="693228D8"/>
    <w:lvl w:ilvl="0" w:tplc="2CE6DE6E">
      <w:start w:val="1"/>
      <w:numFmt w:val="bullet"/>
      <w:lvlText w:val=""/>
      <w:lvlJc w:val="left"/>
      <w:pPr>
        <w:ind w:left="1492" w:hanging="360"/>
      </w:pPr>
      <w:rPr>
        <w:rFonts w:ascii="Symbol" w:hAnsi="Symbol" w:hint="default"/>
        <w:sz w:val="22"/>
      </w:rPr>
    </w:lvl>
    <w:lvl w:ilvl="1" w:tplc="04180003">
      <w:start w:val="1"/>
      <w:numFmt w:val="bullet"/>
      <w:lvlText w:val="o"/>
      <w:lvlJc w:val="left"/>
      <w:pPr>
        <w:ind w:left="2212" w:hanging="360"/>
      </w:pPr>
      <w:rPr>
        <w:rFonts w:ascii="Courier New" w:hAnsi="Courier New" w:cs="Courier New" w:hint="default"/>
      </w:rPr>
    </w:lvl>
    <w:lvl w:ilvl="2" w:tplc="04180005" w:tentative="1">
      <w:start w:val="1"/>
      <w:numFmt w:val="bullet"/>
      <w:lvlText w:val=""/>
      <w:lvlJc w:val="left"/>
      <w:pPr>
        <w:ind w:left="2932" w:hanging="360"/>
      </w:pPr>
      <w:rPr>
        <w:rFonts w:ascii="Wingdings" w:hAnsi="Wingdings" w:hint="default"/>
      </w:rPr>
    </w:lvl>
    <w:lvl w:ilvl="3" w:tplc="04180001" w:tentative="1">
      <w:start w:val="1"/>
      <w:numFmt w:val="bullet"/>
      <w:lvlText w:val=""/>
      <w:lvlJc w:val="left"/>
      <w:pPr>
        <w:ind w:left="3652" w:hanging="360"/>
      </w:pPr>
      <w:rPr>
        <w:rFonts w:ascii="Symbol" w:hAnsi="Symbol" w:hint="default"/>
      </w:rPr>
    </w:lvl>
    <w:lvl w:ilvl="4" w:tplc="04180003" w:tentative="1">
      <w:start w:val="1"/>
      <w:numFmt w:val="bullet"/>
      <w:lvlText w:val="o"/>
      <w:lvlJc w:val="left"/>
      <w:pPr>
        <w:ind w:left="4372" w:hanging="360"/>
      </w:pPr>
      <w:rPr>
        <w:rFonts w:ascii="Courier New" w:hAnsi="Courier New" w:cs="Courier New" w:hint="default"/>
      </w:rPr>
    </w:lvl>
    <w:lvl w:ilvl="5" w:tplc="04180005" w:tentative="1">
      <w:start w:val="1"/>
      <w:numFmt w:val="bullet"/>
      <w:lvlText w:val=""/>
      <w:lvlJc w:val="left"/>
      <w:pPr>
        <w:ind w:left="5092" w:hanging="360"/>
      </w:pPr>
      <w:rPr>
        <w:rFonts w:ascii="Wingdings" w:hAnsi="Wingdings" w:hint="default"/>
      </w:rPr>
    </w:lvl>
    <w:lvl w:ilvl="6" w:tplc="04180001" w:tentative="1">
      <w:start w:val="1"/>
      <w:numFmt w:val="bullet"/>
      <w:lvlText w:val=""/>
      <w:lvlJc w:val="left"/>
      <w:pPr>
        <w:ind w:left="5812" w:hanging="360"/>
      </w:pPr>
      <w:rPr>
        <w:rFonts w:ascii="Symbol" w:hAnsi="Symbol" w:hint="default"/>
      </w:rPr>
    </w:lvl>
    <w:lvl w:ilvl="7" w:tplc="04180003" w:tentative="1">
      <w:start w:val="1"/>
      <w:numFmt w:val="bullet"/>
      <w:lvlText w:val="o"/>
      <w:lvlJc w:val="left"/>
      <w:pPr>
        <w:ind w:left="6532" w:hanging="360"/>
      </w:pPr>
      <w:rPr>
        <w:rFonts w:ascii="Courier New" w:hAnsi="Courier New" w:cs="Courier New" w:hint="default"/>
      </w:rPr>
    </w:lvl>
    <w:lvl w:ilvl="8" w:tplc="04180005" w:tentative="1">
      <w:start w:val="1"/>
      <w:numFmt w:val="bullet"/>
      <w:lvlText w:val=""/>
      <w:lvlJc w:val="left"/>
      <w:pPr>
        <w:ind w:left="7252" w:hanging="360"/>
      </w:pPr>
      <w:rPr>
        <w:rFonts w:ascii="Wingdings" w:hAnsi="Wingdings" w:hint="default"/>
      </w:rPr>
    </w:lvl>
  </w:abstractNum>
  <w:abstractNum w:abstractNumId="100">
    <w:nsid w:val="2AC62D4B"/>
    <w:multiLevelType w:val="multilevel"/>
    <w:tmpl w:val="A8FC5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2B964AEF"/>
    <w:multiLevelType w:val="hybridMultilevel"/>
    <w:tmpl w:val="091E3A4E"/>
    <w:lvl w:ilvl="0" w:tplc="302691A6">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3">
    <w:nsid w:val="2B9E014D"/>
    <w:multiLevelType w:val="multilevel"/>
    <w:tmpl w:val="4BDE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4715"/>
    <w:multiLevelType w:val="hybridMultilevel"/>
    <w:tmpl w:val="4D16BDA6"/>
    <w:lvl w:ilvl="0" w:tplc="0409000D">
      <w:start w:val="1"/>
      <w:numFmt w:val="bullet"/>
      <w:lvlText w:val=""/>
      <w:lvlJc w:val="left"/>
      <w:pPr>
        <w:ind w:left="720" w:hanging="360"/>
      </w:pPr>
      <w:rPr>
        <w:rFonts w:ascii="Wingdings" w:hAnsi="Wingdings" w:hint="default"/>
      </w:rPr>
    </w:lvl>
    <w:lvl w:ilvl="1" w:tplc="7084DA62">
      <w:start w:val="1"/>
      <w:numFmt w:val="bullet"/>
      <w:lvlText w:val="o"/>
      <w:lvlJc w:val="left"/>
      <w:pPr>
        <w:tabs>
          <w:tab w:val="num" w:pos="1440"/>
        </w:tabs>
        <w:ind w:left="1440" w:hanging="360"/>
      </w:pPr>
      <w:rPr>
        <w:rFonts w:ascii="Courier New" w:hAnsi="Courier New"/>
      </w:rPr>
    </w:lvl>
    <w:lvl w:ilvl="2" w:tplc="9FAE4FF0">
      <w:start w:val="1"/>
      <w:numFmt w:val="bullet"/>
      <w:lvlText w:val=""/>
      <w:lvlJc w:val="left"/>
      <w:pPr>
        <w:tabs>
          <w:tab w:val="num" w:pos="2160"/>
        </w:tabs>
        <w:ind w:left="2160" w:hanging="360"/>
      </w:pPr>
      <w:rPr>
        <w:rFonts w:ascii="Wingdings" w:hAnsi="Wingdings"/>
      </w:rPr>
    </w:lvl>
    <w:lvl w:ilvl="3" w:tplc="24D21738">
      <w:start w:val="1"/>
      <w:numFmt w:val="bullet"/>
      <w:lvlText w:val=""/>
      <w:lvlJc w:val="left"/>
      <w:pPr>
        <w:tabs>
          <w:tab w:val="num" w:pos="2880"/>
        </w:tabs>
        <w:ind w:left="2880" w:hanging="360"/>
      </w:pPr>
      <w:rPr>
        <w:rFonts w:ascii="Symbol" w:hAnsi="Symbol"/>
      </w:rPr>
    </w:lvl>
    <w:lvl w:ilvl="4" w:tplc="00DA0796">
      <w:start w:val="1"/>
      <w:numFmt w:val="bullet"/>
      <w:lvlText w:val="o"/>
      <w:lvlJc w:val="left"/>
      <w:pPr>
        <w:tabs>
          <w:tab w:val="num" w:pos="3600"/>
        </w:tabs>
        <w:ind w:left="3600" w:hanging="360"/>
      </w:pPr>
      <w:rPr>
        <w:rFonts w:ascii="Courier New" w:hAnsi="Courier New"/>
      </w:rPr>
    </w:lvl>
    <w:lvl w:ilvl="5" w:tplc="5C127D3C">
      <w:start w:val="1"/>
      <w:numFmt w:val="bullet"/>
      <w:lvlText w:val=""/>
      <w:lvlJc w:val="left"/>
      <w:pPr>
        <w:tabs>
          <w:tab w:val="num" w:pos="4320"/>
        </w:tabs>
        <w:ind w:left="4320" w:hanging="360"/>
      </w:pPr>
      <w:rPr>
        <w:rFonts w:ascii="Wingdings" w:hAnsi="Wingdings"/>
      </w:rPr>
    </w:lvl>
    <w:lvl w:ilvl="6" w:tplc="F5A8AF1A">
      <w:start w:val="1"/>
      <w:numFmt w:val="bullet"/>
      <w:lvlText w:val=""/>
      <w:lvlJc w:val="left"/>
      <w:pPr>
        <w:tabs>
          <w:tab w:val="num" w:pos="5040"/>
        </w:tabs>
        <w:ind w:left="5040" w:hanging="360"/>
      </w:pPr>
      <w:rPr>
        <w:rFonts w:ascii="Symbol" w:hAnsi="Symbol"/>
      </w:rPr>
    </w:lvl>
    <w:lvl w:ilvl="7" w:tplc="EE480840">
      <w:start w:val="1"/>
      <w:numFmt w:val="bullet"/>
      <w:lvlText w:val="o"/>
      <w:lvlJc w:val="left"/>
      <w:pPr>
        <w:tabs>
          <w:tab w:val="num" w:pos="5760"/>
        </w:tabs>
        <w:ind w:left="5760" w:hanging="360"/>
      </w:pPr>
      <w:rPr>
        <w:rFonts w:ascii="Courier New" w:hAnsi="Courier New"/>
      </w:rPr>
    </w:lvl>
    <w:lvl w:ilvl="8" w:tplc="C18A3DD2">
      <w:start w:val="1"/>
      <w:numFmt w:val="bullet"/>
      <w:lvlText w:val=""/>
      <w:lvlJc w:val="left"/>
      <w:pPr>
        <w:tabs>
          <w:tab w:val="num" w:pos="6480"/>
        </w:tabs>
        <w:ind w:left="6480" w:hanging="360"/>
      </w:pPr>
      <w:rPr>
        <w:rFonts w:ascii="Wingdings" w:hAnsi="Wingdings"/>
      </w:rPr>
    </w:lvl>
  </w:abstractNum>
  <w:abstractNum w:abstractNumId="105">
    <w:nsid w:val="2E465F09"/>
    <w:multiLevelType w:val="multilevel"/>
    <w:tmpl w:val="63C26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E552D35"/>
    <w:multiLevelType w:val="multilevel"/>
    <w:tmpl w:val="084A4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F4F186D"/>
    <w:multiLevelType w:val="multilevel"/>
    <w:tmpl w:val="7CE0FD36"/>
    <w:lvl w:ilvl="0">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8">
    <w:nsid w:val="2F6C7010"/>
    <w:multiLevelType w:val="multilevel"/>
    <w:tmpl w:val="D3807A5E"/>
    <w:lvl w:ilvl="0">
      <w:start w:val="1"/>
      <w:numFmt w:val="decimal"/>
      <w:lvlText w:val="%1"/>
      <w:lvlJc w:val="left"/>
      <w:pPr>
        <w:ind w:left="384" w:hanging="384"/>
      </w:pPr>
      <w:rPr>
        <w:rFonts w:hint="default"/>
        <w:b/>
        <w:i w:val="0"/>
      </w:rPr>
    </w:lvl>
    <w:lvl w:ilvl="1">
      <w:start w:val="1"/>
      <w:numFmt w:val="decimal"/>
      <w:lvlText w:val="%1.%2"/>
      <w:lvlJc w:val="left"/>
      <w:pPr>
        <w:ind w:left="384" w:hanging="38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9">
    <w:nsid w:val="2FF15E2C"/>
    <w:multiLevelType w:val="multilevel"/>
    <w:tmpl w:val="216C86DE"/>
    <w:lvl w:ilvl="0">
      <w:start w:val="4"/>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30AB59ED"/>
    <w:multiLevelType w:val="hybridMultilevel"/>
    <w:tmpl w:val="346C899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1">
    <w:nsid w:val="30D50C63"/>
    <w:multiLevelType w:val="hybridMultilevel"/>
    <w:tmpl w:val="5462AA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nsid w:val="30FC780B"/>
    <w:multiLevelType w:val="multilevel"/>
    <w:tmpl w:val="29F0672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3">
    <w:nsid w:val="317104ED"/>
    <w:multiLevelType w:val="multilevel"/>
    <w:tmpl w:val="3BB27FCC"/>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4">
    <w:nsid w:val="32010973"/>
    <w:multiLevelType w:val="hybridMultilevel"/>
    <w:tmpl w:val="ED66EE0E"/>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5">
    <w:nsid w:val="325B04D2"/>
    <w:multiLevelType w:val="hybridMultilevel"/>
    <w:tmpl w:val="EE6C2CB0"/>
    <w:lvl w:ilvl="0" w:tplc="C226D6C6">
      <w:start w:val="3"/>
      <w:numFmt w:val="bullet"/>
      <w:lvlText w:val="-"/>
      <w:lvlJc w:val="left"/>
      <w:pPr>
        <w:ind w:left="-207" w:hanging="360"/>
      </w:pPr>
      <w:rPr>
        <w:rFonts w:ascii="Calibri" w:eastAsia="SimSun" w:hAnsi="Calibri" w:cs="Mangal" w:hint="default"/>
      </w:rPr>
    </w:lvl>
    <w:lvl w:ilvl="1" w:tplc="04180003" w:tentative="1">
      <w:start w:val="1"/>
      <w:numFmt w:val="bullet"/>
      <w:lvlText w:val="o"/>
      <w:lvlJc w:val="left"/>
      <w:pPr>
        <w:ind w:left="513" w:hanging="360"/>
      </w:pPr>
      <w:rPr>
        <w:rFonts w:ascii="Courier New" w:hAnsi="Courier New" w:cs="Courier New" w:hint="default"/>
      </w:rPr>
    </w:lvl>
    <w:lvl w:ilvl="2" w:tplc="04180005" w:tentative="1">
      <w:start w:val="1"/>
      <w:numFmt w:val="bullet"/>
      <w:lvlText w:val=""/>
      <w:lvlJc w:val="left"/>
      <w:pPr>
        <w:ind w:left="1233" w:hanging="360"/>
      </w:pPr>
      <w:rPr>
        <w:rFonts w:ascii="Wingdings" w:hAnsi="Wingdings" w:hint="default"/>
      </w:rPr>
    </w:lvl>
    <w:lvl w:ilvl="3" w:tplc="04180001" w:tentative="1">
      <w:start w:val="1"/>
      <w:numFmt w:val="bullet"/>
      <w:lvlText w:val=""/>
      <w:lvlJc w:val="left"/>
      <w:pPr>
        <w:ind w:left="1953" w:hanging="360"/>
      </w:pPr>
      <w:rPr>
        <w:rFonts w:ascii="Symbol" w:hAnsi="Symbol" w:hint="default"/>
      </w:rPr>
    </w:lvl>
    <w:lvl w:ilvl="4" w:tplc="04180003" w:tentative="1">
      <w:start w:val="1"/>
      <w:numFmt w:val="bullet"/>
      <w:lvlText w:val="o"/>
      <w:lvlJc w:val="left"/>
      <w:pPr>
        <w:ind w:left="2673" w:hanging="360"/>
      </w:pPr>
      <w:rPr>
        <w:rFonts w:ascii="Courier New" w:hAnsi="Courier New" w:cs="Courier New" w:hint="default"/>
      </w:rPr>
    </w:lvl>
    <w:lvl w:ilvl="5" w:tplc="04180005" w:tentative="1">
      <w:start w:val="1"/>
      <w:numFmt w:val="bullet"/>
      <w:lvlText w:val=""/>
      <w:lvlJc w:val="left"/>
      <w:pPr>
        <w:ind w:left="3393" w:hanging="360"/>
      </w:pPr>
      <w:rPr>
        <w:rFonts w:ascii="Wingdings" w:hAnsi="Wingdings" w:hint="default"/>
      </w:rPr>
    </w:lvl>
    <w:lvl w:ilvl="6" w:tplc="04180001" w:tentative="1">
      <w:start w:val="1"/>
      <w:numFmt w:val="bullet"/>
      <w:lvlText w:val=""/>
      <w:lvlJc w:val="left"/>
      <w:pPr>
        <w:ind w:left="4113" w:hanging="360"/>
      </w:pPr>
      <w:rPr>
        <w:rFonts w:ascii="Symbol" w:hAnsi="Symbol" w:hint="default"/>
      </w:rPr>
    </w:lvl>
    <w:lvl w:ilvl="7" w:tplc="04180003" w:tentative="1">
      <w:start w:val="1"/>
      <w:numFmt w:val="bullet"/>
      <w:lvlText w:val="o"/>
      <w:lvlJc w:val="left"/>
      <w:pPr>
        <w:ind w:left="4833" w:hanging="360"/>
      </w:pPr>
      <w:rPr>
        <w:rFonts w:ascii="Courier New" w:hAnsi="Courier New" w:cs="Courier New" w:hint="default"/>
      </w:rPr>
    </w:lvl>
    <w:lvl w:ilvl="8" w:tplc="04180005" w:tentative="1">
      <w:start w:val="1"/>
      <w:numFmt w:val="bullet"/>
      <w:lvlText w:val=""/>
      <w:lvlJc w:val="left"/>
      <w:pPr>
        <w:ind w:left="5553" w:hanging="360"/>
      </w:pPr>
      <w:rPr>
        <w:rFonts w:ascii="Wingdings" w:hAnsi="Wingdings" w:hint="default"/>
      </w:rPr>
    </w:lvl>
  </w:abstractNum>
  <w:abstractNum w:abstractNumId="116">
    <w:nsid w:val="328F472F"/>
    <w:multiLevelType w:val="hybridMultilevel"/>
    <w:tmpl w:val="342A7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nsid w:val="334F2B13"/>
    <w:multiLevelType w:val="hybridMultilevel"/>
    <w:tmpl w:val="569E661C"/>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388217B"/>
    <w:multiLevelType w:val="hybridMultilevel"/>
    <w:tmpl w:val="29FAD5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0">
    <w:nsid w:val="33975838"/>
    <w:multiLevelType w:val="hybridMultilevel"/>
    <w:tmpl w:val="B35A1A88"/>
    <w:lvl w:ilvl="0" w:tplc="5C7C6E8E">
      <w:start w:val="1"/>
      <w:numFmt w:val="decimal"/>
      <w:lvlText w:val="%1."/>
      <w:lvlJc w:val="left"/>
      <w:pPr>
        <w:ind w:left="720" w:hanging="360"/>
      </w:pPr>
      <w:rPr>
        <w:rFonts w:asciiTheme="minorHAnsi" w:hAnsiTheme="minorHAnsi"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1">
    <w:nsid w:val="33EE75F2"/>
    <w:multiLevelType w:val="hybridMultilevel"/>
    <w:tmpl w:val="18108D4A"/>
    <w:lvl w:ilvl="0" w:tplc="2544FE0C">
      <w:start w:val="5"/>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3522211B"/>
    <w:multiLevelType w:val="hybridMultilevel"/>
    <w:tmpl w:val="A15E0710"/>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354A1FB7"/>
    <w:multiLevelType w:val="hybridMultilevel"/>
    <w:tmpl w:val="BB3C91A8"/>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5775082"/>
    <w:multiLevelType w:val="hybridMultilevel"/>
    <w:tmpl w:val="1B5A9914"/>
    <w:lvl w:ilvl="0" w:tplc="041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35914955"/>
    <w:multiLevelType w:val="hybridMultilevel"/>
    <w:tmpl w:val="4184D99E"/>
    <w:lvl w:ilvl="0" w:tplc="04180007">
      <w:start w:val="1"/>
      <w:numFmt w:val="bullet"/>
      <w:lvlText w:val=""/>
      <w:lvlPicBulletId w:val="0"/>
      <w:lvlJc w:val="left"/>
      <w:pPr>
        <w:ind w:left="720" w:hanging="360"/>
      </w:pPr>
      <w:rPr>
        <w:rFonts w:ascii="Symbol" w:hAnsi="Symbol" w:hint="default"/>
      </w:rPr>
    </w:lvl>
    <w:lvl w:ilvl="1" w:tplc="04180007">
      <w:start w:val="1"/>
      <w:numFmt w:val="bullet"/>
      <w:lvlText w:val=""/>
      <w:lvlPicBulletId w:val="0"/>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7">
      <w:start w:val="1"/>
      <w:numFmt w:val="bullet"/>
      <w:lvlText w:val=""/>
      <w:lvlPicBulletId w:val="0"/>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nsid w:val="35DC7F67"/>
    <w:multiLevelType w:val="hybridMultilevel"/>
    <w:tmpl w:val="CEF080E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37189989"/>
    <w:multiLevelType w:val="multilevel"/>
    <w:tmpl w:val="45BBDAB4"/>
    <w:lvl w:ilvl="0">
      <w:start w:val="1"/>
      <w:numFmt w:val="decimal"/>
      <w:lvlText w:val="%1."/>
      <w:lvlJc w:val="left"/>
      <w:pPr>
        <w:tabs>
          <w:tab w:val="num" w:pos="525"/>
        </w:tabs>
        <w:ind w:left="30" w:firstLine="135"/>
      </w:pPr>
      <w:rPr>
        <w:rFonts w:ascii="Times New Roman" w:hAnsi="Times New Roman" w:cs="Times New Roman"/>
        <w:i/>
        <w:iCs/>
        <w:color w:val="000080"/>
        <w:sz w:val="24"/>
        <w:szCs w:val="24"/>
      </w:rPr>
    </w:lvl>
    <w:lvl w:ilvl="1">
      <w:start w:val="1"/>
      <w:numFmt w:val="lowerLetter"/>
      <w:lvlText w:val="%2."/>
      <w:lvlJc w:val="left"/>
      <w:pPr>
        <w:tabs>
          <w:tab w:val="num" w:pos="1110"/>
        </w:tabs>
        <w:ind w:left="1110" w:hanging="360"/>
      </w:pPr>
      <w:rPr>
        <w:rFonts w:ascii="Times New Roman" w:hAnsi="Times New Roman" w:cs="Times New Roman"/>
        <w:sz w:val="24"/>
        <w:szCs w:val="24"/>
      </w:rPr>
    </w:lvl>
    <w:lvl w:ilvl="2">
      <w:start w:val="1"/>
      <w:numFmt w:val="lowerRoman"/>
      <w:lvlText w:val="%3."/>
      <w:lvlJc w:val="right"/>
      <w:pPr>
        <w:tabs>
          <w:tab w:val="num" w:pos="1830"/>
        </w:tabs>
        <w:ind w:left="1830" w:hanging="180"/>
      </w:pPr>
      <w:rPr>
        <w:rFonts w:ascii="Times New Roman" w:hAnsi="Times New Roman" w:cs="Times New Roman"/>
        <w:sz w:val="24"/>
        <w:szCs w:val="24"/>
      </w:rPr>
    </w:lvl>
    <w:lvl w:ilvl="3">
      <w:start w:val="1"/>
      <w:numFmt w:val="decimal"/>
      <w:lvlText w:val="%4."/>
      <w:lvlJc w:val="left"/>
      <w:pPr>
        <w:tabs>
          <w:tab w:val="num" w:pos="2550"/>
        </w:tabs>
        <w:ind w:left="2550" w:hanging="360"/>
      </w:pPr>
      <w:rPr>
        <w:rFonts w:ascii="Times New Roman" w:hAnsi="Times New Roman" w:cs="Times New Roman"/>
        <w:sz w:val="24"/>
        <w:szCs w:val="24"/>
      </w:rPr>
    </w:lvl>
    <w:lvl w:ilvl="4">
      <w:start w:val="1"/>
      <w:numFmt w:val="lowerLetter"/>
      <w:lvlText w:val="%5."/>
      <w:lvlJc w:val="left"/>
      <w:pPr>
        <w:tabs>
          <w:tab w:val="num" w:pos="3270"/>
        </w:tabs>
        <w:ind w:left="3270" w:hanging="360"/>
      </w:pPr>
      <w:rPr>
        <w:rFonts w:ascii="Times New Roman" w:hAnsi="Times New Roman" w:cs="Times New Roman"/>
        <w:sz w:val="24"/>
        <w:szCs w:val="24"/>
      </w:rPr>
    </w:lvl>
    <w:lvl w:ilvl="5">
      <w:start w:val="1"/>
      <w:numFmt w:val="lowerRoman"/>
      <w:lvlText w:val="%6."/>
      <w:lvlJc w:val="right"/>
      <w:pPr>
        <w:tabs>
          <w:tab w:val="num" w:pos="3990"/>
        </w:tabs>
        <w:ind w:left="3990" w:hanging="180"/>
      </w:pPr>
      <w:rPr>
        <w:rFonts w:ascii="Times New Roman" w:hAnsi="Times New Roman" w:cs="Times New Roman"/>
        <w:sz w:val="24"/>
        <w:szCs w:val="24"/>
      </w:rPr>
    </w:lvl>
    <w:lvl w:ilvl="6">
      <w:start w:val="1"/>
      <w:numFmt w:val="decimal"/>
      <w:lvlText w:val="%7."/>
      <w:lvlJc w:val="left"/>
      <w:pPr>
        <w:tabs>
          <w:tab w:val="num" w:pos="4710"/>
        </w:tabs>
        <w:ind w:left="4710" w:hanging="360"/>
      </w:pPr>
      <w:rPr>
        <w:rFonts w:ascii="Times New Roman" w:hAnsi="Times New Roman" w:cs="Times New Roman"/>
        <w:sz w:val="24"/>
        <w:szCs w:val="24"/>
      </w:rPr>
    </w:lvl>
    <w:lvl w:ilvl="7">
      <w:start w:val="1"/>
      <w:numFmt w:val="lowerLetter"/>
      <w:lvlText w:val="%8."/>
      <w:lvlJc w:val="left"/>
      <w:pPr>
        <w:tabs>
          <w:tab w:val="num" w:pos="5430"/>
        </w:tabs>
        <w:ind w:left="5430" w:hanging="360"/>
      </w:pPr>
      <w:rPr>
        <w:rFonts w:ascii="Times New Roman" w:hAnsi="Times New Roman" w:cs="Times New Roman"/>
        <w:sz w:val="24"/>
        <w:szCs w:val="24"/>
      </w:rPr>
    </w:lvl>
    <w:lvl w:ilvl="8">
      <w:start w:val="1"/>
      <w:numFmt w:val="lowerRoman"/>
      <w:lvlText w:val="%9."/>
      <w:lvlJc w:val="right"/>
      <w:pPr>
        <w:tabs>
          <w:tab w:val="num" w:pos="6150"/>
        </w:tabs>
        <w:ind w:left="6150" w:hanging="180"/>
      </w:pPr>
      <w:rPr>
        <w:rFonts w:ascii="Times New Roman" w:hAnsi="Times New Roman" w:cs="Times New Roman"/>
        <w:sz w:val="24"/>
        <w:szCs w:val="24"/>
      </w:rPr>
    </w:lvl>
  </w:abstractNum>
  <w:abstractNum w:abstractNumId="128">
    <w:nsid w:val="383F0291"/>
    <w:multiLevelType w:val="hybridMultilevel"/>
    <w:tmpl w:val="5D24BF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9">
    <w:nsid w:val="387807AC"/>
    <w:multiLevelType w:val="hybridMultilevel"/>
    <w:tmpl w:val="134802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38A715F4"/>
    <w:multiLevelType w:val="hybridMultilevel"/>
    <w:tmpl w:val="AC34BBE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95E0750"/>
    <w:multiLevelType w:val="hybridMultilevel"/>
    <w:tmpl w:val="816C6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9792415"/>
    <w:multiLevelType w:val="hybridMultilevel"/>
    <w:tmpl w:val="F82650F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3">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nsid w:val="3A4E0809"/>
    <w:multiLevelType w:val="hybridMultilevel"/>
    <w:tmpl w:val="C034061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3AB31539"/>
    <w:multiLevelType w:val="hybridMultilevel"/>
    <w:tmpl w:val="CE0ACC26"/>
    <w:lvl w:ilvl="0" w:tplc="2EA4BD4E">
      <w:start w:val="1"/>
      <w:numFmt w:val="bullet"/>
      <w:lvlText w:val="•"/>
      <w:lvlJc w:val="left"/>
      <w:pPr>
        <w:tabs>
          <w:tab w:val="num" w:pos="720"/>
        </w:tabs>
        <w:ind w:left="720" w:hanging="360"/>
      </w:pPr>
      <w:rPr>
        <w:rFonts w:ascii="Arial" w:hAnsi="Arial" w:cs="Times New Roman" w:hint="default"/>
      </w:rPr>
    </w:lvl>
    <w:lvl w:ilvl="1" w:tplc="6E74D21A">
      <w:numFmt w:val="bullet"/>
      <w:lvlText w:val="–"/>
      <w:lvlJc w:val="left"/>
      <w:pPr>
        <w:ind w:left="1440" w:hanging="360"/>
      </w:pPr>
      <w:rPr>
        <w:rFonts w:ascii="Arial Narrow" w:eastAsia="Calibri" w:hAnsi="Arial Narrow" w:cs="Times New Roman" w:hint="default"/>
      </w:rPr>
    </w:lvl>
    <w:lvl w:ilvl="2" w:tplc="CF046B80">
      <w:start w:val="1"/>
      <w:numFmt w:val="bullet"/>
      <w:lvlText w:val="•"/>
      <w:lvlJc w:val="left"/>
      <w:pPr>
        <w:tabs>
          <w:tab w:val="num" w:pos="2160"/>
        </w:tabs>
        <w:ind w:left="2160" w:hanging="360"/>
      </w:pPr>
      <w:rPr>
        <w:rFonts w:ascii="Arial" w:hAnsi="Arial" w:cs="Times New Roman" w:hint="default"/>
      </w:rPr>
    </w:lvl>
    <w:lvl w:ilvl="3" w:tplc="83B0969A">
      <w:start w:val="1"/>
      <w:numFmt w:val="bullet"/>
      <w:lvlText w:val="•"/>
      <w:lvlJc w:val="left"/>
      <w:pPr>
        <w:tabs>
          <w:tab w:val="num" w:pos="2880"/>
        </w:tabs>
        <w:ind w:left="2880" w:hanging="360"/>
      </w:pPr>
      <w:rPr>
        <w:rFonts w:ascii="Arial" w:hAnsi="Arial" w:cs="Times New Roman" w:hint="default"/>
      </w:rPr>
    </w:lvl>
    <w:lvl w:ilvl="4" w:tplc="1692377C">
      <w:start w:val="1"/>
      <w:numFmt w:val="bullet"/>
      <w:lvlText w:val="•"/>
      <w:lvlJc w:val="left"/>
      <w:pPr>
        <w:tabs>
          <w:tab w:val="num" w:pos="3600"/>
        </w:tabs>
        <w:ind w:left="3600" w:hanging="360"/>
      </w:pPr>
      <w:rPr>
        <w:rFonts w:ascii="Arial" w:hAnsi="Arial" w:cs="Times New Roman" w:hint="default"/>
      </w:rPr>
    </w:lvl>
    <w:lvl w:ilvl="5" w:tplc="FEA00572">
      <w:start w:val="1"/>
      <w:numFmt w:val="bullet"/>
      <w:lvlText w:val="•"/>
      <w:lvlJc w:val="left"/>
      <w:pPr>
        <w:tabs>
          <w:tab w:val="num" w:pos="4320"/>
        </w:tabs>
        <w:ind w:left="4320" w:hanging="360"/>
      </w:pPr>
      <w:rPr>
        <w:rFonts w:ascii="Arial" w:hAnsi="Arial" w:cs="Times New Roman" w:hint="default"/>
      </w:rPr>
    </w:lvl>
    <w:lvl w:ilvl="6" w:tplc="5992BC30">
      <w:start w:val="1"/>
      <w:numFmt w:val="bullet"/>
      <w:lvlText w:val="•"/>
      <w:lvlJc w:val="left"/>
      <w:pPr>
        <w:tabs>
          <w:tab w:val="num" w:pos="5040"/>
        </w:tabs>
        <w:ind w:left="5040" w:hanging="360"/>
      </w:pPr>
      <w:rPr>
        <w:rFonts w:ascii="Arial" w:hAnsi="Arial" w:cs="Times New Roman" w:hint="default"/>
      </w:rPr>
    </w:lvl>
    <w:lvl w:ilvl="7" w:tplc="1F9C07B2">
      <w:start w:val="1"/>
      <w:numFmt w:val="bullet"/>
      <w:lvlText w:val="•"/>
      <w:lvlJc w:val="left"/>
      <w:pPr>
        <w:tabs>
          <w:tab w:val="num" w:pos="5760"/>
        </w:tabs>
        <w:ind w:left="5760" w:hanging="360"/>
      </w:pPr>
      <w:rPr>
        <w:rFonts w:ascii="Arial" w:hAnsi="Arial" w:cs="Times New Roman" w:hint="default"/>
      </w:rPr>
    </w:lvl>
    <w:lvl w:ilvl="8" w:tplc="9502F6A4">
      <w:start w:val="1"/>
      <w:numFmt w:val="bullet"/>
      <w:lvlText w:val="•"/>
      <w:lvlJc w:val="left"/>
      <w:pPr>
        <w:tabs>
          <w:tab w:val="num" w:pos="6480"/>
        </w:tabs>
        <w:ind w:left="6480" w:hanging="360"/>
      </w:pPr>
      <w:rPr>
        <w:rFonts w:ascii="Arial" w:hAnsi="Arial" w:cs="Times New Roman" w:hint="default"/>
      </w:rPr>
    </w:lvl>
  </w:abstractNum>
  <w:abstractNum w:abstractNumId="136">
    <w:nsid w:val="3AB561AD"/>
    <w:multiLevelType w:val="hybridMultilevel"/>
    <w:tmpl w:val="0C903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3B130A86"/>
    <w:multiLevelType w:val="hybridMultilevel"/>
    <w:tmpl w:val="C158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BA60035"/>
    <w:multiLevelType w:val="hybridMultilevel"/>
    <w:tmpl w:val="8F6CA22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9">
    <w:nsid w:val="3C832E56"/>
    <w:multiLevelType w:val="hybridMultilevel"/>
    <w:tmpl w:val="0DDC1A0A"/>
    <w:lvl w:ilvl="0" w:tplc="0418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4F9A1740">
      <w:start w:val="55"/>
      <w:numFmt w:val="bullet"/>
      <w:lvlText w:val="–"/>
      <w:lvlJc w:val="left"/>
      <w:pPr>
        <w:ind w:left="2160" w:hanging="360"/>
      </w:pPr>
      <w:rPr>
        <w:rFonts w:ascii="Calibri" w:eastAsia="Times New Roman" w:hAnsi="Calibri" w:cs="Calibr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nsid w:val="3DBF0F00"/>
    <w:multiLevelType w:val="multilevel"/>
    <w:tmpl w:val="299C8FA8"/>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41">
    <w:nsid w:val="3E2F619D"/>
    <w:multiLevelType w:val="hybridMultilevel"/>
    <w:tmpl w:val="3ECEBACC"/>
    <w:lvl w:ilvl="0" w:tplc="9460B8AE">
      <w:start w:val="1"/>
      <w:numFmt w:val="bullet"/>
      <w:lvlText w:val=""/>
      <w:lvlJc w:val="left"/>
      <w:pPr>
        <w:tabs>
          <w:tab w:val="num" w:pos="720"/>
        </w:tabs>
        <w:ind w:left="720" w:hanging="360"/>
      </w:pPr>
      <w:rPr>
        <w:rFonts w:ascii="Wingdings" w:hAnsi="Wingdings" w:hint="default"/>
      </w:rPr>
    </w:lvl>
    <w:lvl w:ilvl="1" w:tplc="9F1A4248" w:tentative="1">
      <w:start w:val="1"/>
      <w:numFmt w:val="bullet"/>
      <w:lvlText w:val=""/>
      <w:lvlJc w:val="left"/>
      <w:pPr>
        <w:tabs>
          <w:tab w:val="num" w:pos="1440"/>
        </w:tabs>
        <w:ind w:left="1440" w:hanging="360"/>
      </w:pPr>
      <w:rPr>
        <w:rFonts w:ascii="Wingdings" w:hAnsi="Wingdings" w:hint="default"/>
      </w:rPr>
    </w:lvl>
    <w:lvl w:ilvl="2" w:tplc="467C79BA" w:tentative="1">
      <w:start w:val="1"/>
      <w:numFmt w:val="bullet"/>
      <w:lvlText w:val=""/>
      <w:lvlJc w:val="left"/>
      <w:pPr>
        <w:tabs>
          <w:tab w:val="num" w:pos="2160"/>
        </w:tabs>
        <w:ind w:left="2160" w:hanging="360"/>
      </w:pPr>
      <w:rPr>
        <w:rFonts w:ascii="Wingdings" w:hAnsi="Wingdings" w:hint="default"/>
      </w:rPr>
    </w:lvl>
    <w:lvl w:ilvl="3" w:tplc="6A780A6C" w:tentative="1">
      <w:start w:val="1"/>
      <w:numFmt w:val="bullet"/>
      <w:lvlText w:val=""/>
      <w:lvlJc w:val="left"/>
      <w:pPr>
        <w:tabs>
          <w:tab w:val="num" w:pos="2880"/>
        </w:tabs>
        <w:ind w:left="2880" w:hanging="360"/>
      </w:pPr>
      <w:rPr>
        <w:rFonts w:ascii="Wingdings" w:hAnsi="Wingdings" w:hint="default"/>
      </w:rPr>
    </w:lvl>
    <w:lvl w:ilvl="4" w:tplc="4B067388" w:tentative="1">
      <w:start w:val="1"/>
      <w:numFmt w:val="bullet"/>
      <w:lvlText w:val=""/>
      <w:lvlJc w:val="left"/>
      <w:pPr>
        <w:tabs>
          <w:tab w:val="num" w:pos="3600"/>
        </w:tabs>
        <w:ind w:left="3600" w:hanging="360"/>
      </w:pPr>
      <w:rPr>
        <w:rFonts w:ascii="Wingdings" w:hAnsi="Wingdings" w:hint="default"/>
      </w:rPr>
    </w:lvl>
    <w:lvl w:ilvl="5" w:tplc="B82C0E22" w:tentative="1">
      <w:start w:val="1"/>
      <w:numFmt w:val="bullet"/>
      <w:lvlText w:val=""/>
      <w:lvlJc w:val="left"/>
      <w:pPr>
        <w:tabs>
          <w:tab w:val="num" w:pos="4320"/>
        </w:tabs>
        <w:ind w:left="4320" w:hanging="360"/>
      </w:pPr>
      <w:rPr>
        <w:rFonts w:ascii="Wingdings" w:hAnsi="Wingdings" w:hint="default"/>
      </w:rPr>
    </w:lvl>
    <w:lvl w:ilvl="6" w:tplc="A96ADDF2" w:tentative="1">
      <w:start w:val="1"/>
      <w:numFmt w:val="bullet"/>
      <w:lvlText w:val=""/>
      <w:lvlJc w:val="left"/>
      <w:pPr>
        <w:tabs>
          <w:tab w:val="num" w:pos="5040"/>
        </w:tabs>
        <w:ind w:left="5040" w:hanging="360"/>
      </w:pPr>
      <w:rPr>
        <w:rFonts w:ascii="Wingdings" w:hAnsi="Wingdings" w:hint="default"/>
      </w:rPr>
    </w:lvl>
    <w:lvl w:ilvl="7" w:tplc="46327B88" w:tentative="1">
      <w:start w:val="1"/>
      <w:numFmt w:val="bullet"/>
      <w:lvlText w:val=""/>
      <w:lvlJc w:val="left"/>
      <w:pPr>
        <w:tabs>
          <w:tab w:val="num" w:pos="5760"/>
        </w:tabs>
        <w:ind w:left="5760" w:hanging="360"/>
      </w:pPr>
      <w:rPr>
        <w:rFonts w:ascii="Wingdings" w:hAnsi="Wingdings" w:hint="default"/>
      </w:rPr>
    </w:lvl>
    <w:lvl w:ilvl="8" w:tplc="834C58D2" w:tentative="1">
      <w:start w:val="1"/>
      <w:numFmt w:val="bullet"/>
      <w:lvlText w:val=""/>
      <w:lvlJc w:val="left"/>
      <w:pPr>
        <w:tabs>
          <w:tab w:val="num" w:pos="6480"/>
        </w:tabs>
        <w:ind w:left="6480" w:hanging="360"/>
      </w:pPr>
      <w:rPr>
        <w:rFonts w:ascii="Wingdings" w:hAnsi="Wingdings" w:hint="default"/>
      </w:rPr>
    </w:lvl>
  </w:abstractNum>
  <w:abstractNum w:abstractNumId="142">
    <w:nsid w:val="3EB5644C"/>
    <w:multiLevelType w:val="hybridMultilevel"/>
    <w:tmpl w:val="683667B2"/>
    <w:lvl w:ilvl="0" w:tplc="04180001">
      <w:start w:val="1"/>
      <w:numFmt w:val="bullet"/>
      <w:lvlText w:val=""/>
      <w:lvlJc w:val="left"/>
      <w:pPr>
        <w:ind w:left="1068" w:hanging="360"/>
      </w:pPr>
      <w:rPr>
        <w:rFonts w:ascii="Symbol" w:hAnsi="Symbol" w:hint="default"/>
        <w:strike w:val="0"/>
      </w:rPr>
    </w:lvl>
    <w:lvl w:ilvl="1" w:tplc="04180003" w:tentative="1">
      <w:start w:val="1"/>
      <w:numFmt w:val="bullet"/>
      <w:lvlText w:val="o"/>
      <w:lvlJc w:val="left"/>
      <w:pPr>
        <w:ind w:left="2063" w:hanging="360"/>
      </w:pPr>
      <w:rPr>
        <w:rFonts w:ascii="Courier New" w:hAnsi="Courier New" w:cs="Courier New" w:hint="default"/>
      </w:rPr>
    </w:lvl>
    <w:lvl w:ilvl="2" w:tplc="04180005" w:tentative="1">
      <w:start w:val="1"/>
      <w:numFmt w:val="bullet"/>
      <w:lvlText w:val=""/>
      <w:lvlJc w:val="left"/>
      <w:pPr>
        <w:ind w:left="2783" w:hanging="360"/>
      </w:pPr>
      <w:rPr>
        <w:rFonts w:ascii="Wingdings" w:hAnsi="Wingdings" w:hint="default"/>
      </w:rPr>
    </w:lvl>
    <w:lvl w:ilvl="3" w:tplc="04180001" w:tentative="1">
      <w:start w:val="1"/>
      <w:numFmt w:val="bullet"/>
      <w:lvlText w:val=""/>
      <w:lvlJc w:val="left"/>
      <w:pPr>
        <w:ind w:left="3503" w:hanging="360"/>
      </w:pPr>
      <w:rPr>
        <w:rFonts w:ascii="Symbol" w:hAnsi="Symbol" w:hint="default"/>
      </w:rPr>
    </w:lvl>
    <w:lvl w:ilvl="4" w:tplc="04180003" w:tentative="1">
      <w:start w:val="1"/>
      <w:numFmt w:val="bullet"/>
      <w:lvlText w:val="o"/>
      <w:lvlJc w:val="left"/>
      <w:pPr>
        <w:ind w:left="4223" w:hanging="360"/>
      </w:pPr>
      <w:rPr>
        <w:rFonts w:ascii="Courier New" w:hAnsi="Courier New" w:cs="Courier New" w:hint="default"/>
      </w:rPr>
    </w:lvl>
    <w:lvl w:ilvl="5" w:tplc="04180005" w:tentative="1">
      <w:start w:val="1"/>
      <w:numFmt w:val="bullet"/>
      <w:lvlText w:val=""/>
      <w:lvlJc w:val="left"/>
      <w:pPr>
        <w:ind w:left="4943" w:hanging="360"/>
      </w:pPr>
      <w:rPr>
        <w:rFonts w:ascii="Wingdings" w:hAnsi="Wingdings" w:hint="default"/>
      </w:rPr>
    </w:lvl>
    <w:lvl w:ilvl="6" w:tplc="04180001" w:tentative="1">
      <w:start w:val="1"/>
      <w:numFmt w:val="bullet"/>
      <w:lvlText w:val=""/>
      <w:lvlJc w:val="left"/>
      <w:pPr>
        <w:ind w:left="5663" w:hanging="360"/>
      </w:pPr>
      <w:rPr>
        <w:rFonts w:ascii="Symbol" w:hAnsi="Symbol" w:hint="default"/>
      </w:rPr>
    </w:lvl>
    <w:lvl w:ilvl="7" w:tplc="04180003" w:tentative="1">
      <w:start w:val="1"/>
      <w:numFmt w:val="bullet"/>
      <w:lvlText w:val="o"/>
      <w:lvlJc w:val="left"/>
      <w:pPr>
        <w:ind w:left="6383" w:hanging="360"/>
      </w:pPr>
      <w:rPr>
        <w:rFonts w:ascii="Courier New" w:hAnsi="Courier New" w:cs="Courier New" w:hint="default"/>
      </w:rPr>
    </w:lvl>
    <w:lvl w:ilvl="8" w:tplc="04180005" w:tentative="1">
      <w:start w:val="1"/>
      <w:numFmt w:val="bullet"/>
      <w:lvlText w:val=""/>
      <w:lvlJc w:val="left"/>
      <w:pPr>
        <w:ind w:left="7103" w:hanging="360"/>
      </w:pPr>
      <w:rPr>
        <w:rFonts w:ascii="Wingdings" w:hAnsi="Wingdings" w:hint="default"/>
      </w:rPr>
    </w:lvl>
  </w:abstractNum>
  <w:abstractNum w:abstractNumId="143">
    <w:nsid w:val="3ECA11A5"/>
    <w:multiLevelType w:val="hybridMultilevel"/>
    <w:tmpl w:val="1BCCD3B4"/>
    <w:lvl w:ilvl="0" w:tplc="04180001">
      <w:start w:val="1"/>
      <w:numFmt w:val="bullet"/>
      <w:lvlText w:val=""/>
      <w:lvlJc w:val="left"/>
      <w:pPr>
        <w:ind w:left="1495" w:hanging="360"/>
      </w:pPr>
      <w:rPr>
        <w:rFonts w:ascii="Symbol" w:hAnsi="Symbol" w:hint="default"/>
        <w:sz w:val="24"/>
      </w:rPr>
    </w:lvl>
    <w:lvl w:ilvl="1" w:tplc="04180003">
      <w:start w:val="1"/>
      <w:numFmt w:val="bullet"/>
      <w:lvlText w:val="o"/>
      <w:lvlJc w:val="left"/>
      <w:pPr>
        <w:ind w:left="2215" w:hanging="360"/>
      </w:pPr>
      <w:rPr>
        <w:rFonts w:ascii="Courier New" w:hAnsi="Courier New" w:cs="Courier New" w:hint="default"/>
      </w:rPr>
    </w:lvl>
    <w:lvl w:ilvl="2" w:tplc="04180005" w:tentative="1">
      <w:start w:val="1"/>
      <w:numFmt w:val="bullet"/>
      <w:lvlText w:val=""/>
      <w:lvlJc w:val="left"/>
      <w:pPr>
        <w:ind w:left="2935" w:hanging="360"/>
      </w:pPr>
      <w:rPr>
        <w:rFonts w:ascii="Wingdings" w:hAnsi="Wingdings" w:hint="default"/>
      </w:rPr>
    </w:lvl>
    <w:lvl w:ilvl="3" w:tplc="04180001" w:tentative="1">
      <w:start w:val="1"/>
      <w:numFmt w:val="bullet"/>
      <w:lvlText w:val=""/>
      <w:lvlJc w:val="left"/>
      <w:pPr>
        <w:ind w:left="3655" w:hanging="360"/>
      </w:pPr>
      <w:rPr>
        <w:rFonts w:ascii="Symbol" w:hAnsi="Symbol" w:hint="default"/>
      </w:rPr>
    </w:lvl>
    <w:lvl w:ilvl="4" w:tplc="04180003" w:tentative="1">
      <w:start w:val="1"/>
      <w:numFmt w:val="bullet"/>
      <w:lvlText w:val="o"/>
      <w:lvlJc w:val="left"/>
      <w:pPr>
        <w:ind w:left="4375" w:hanging="360"/>
      </w:pPr>
      <w:rPr>
        <w:rFonts w:ascii="Courier New" w:hAnsi="Courier New" w:cs="Courier New" w:hint="default"/>
      </w:rPr>
    </w:lvl>
    <w:lvl w:ilvl="5" w:tplc="04180005" w:tentative="1">
      <w:start w:val="1"/>
      <w:numFmt w:val="bullet"/>
      <w:lvlText w:val=""/>
      <w:lvlJc w:val="left"/>
      <w:pPr>
        <w:ind w:left="5095" w:hanging="360"/>
      </w:pPr>
      <w:rPr>
        <w:rFonts w:ascii="Wingdings" w:hAnsi="Wingdings" w:hint="default"/>
      </w:rPr>
    </w:lvl>
    <w:lvl w:ilvl="6" w:tplc="04180001" w:tentative="1">
      <w:start w:val="1"/>
      <w:numFmt w:val="bullet"/>
      <w:lvlText w:val=""/>
      <w:lvlJc w:val="left"/>
      <w:pPr>
        <w:ind w:left="5815" w:hanging="360"/>
      </w:pPr>
      <w:rPr>
        <w:rFonts w:ascii="Symbol" w:hAnsi="Symbol" w:hint="default"/>
      </w:rPr>
    </w:lvl>
    <w:lvl w:ilvl="7" w:tplc="04180003" w:tentative="1">
      <w:start w:val="1"/>
      <w:numFmt w:val="bullet"/>
      <w:lvlText w:val="o"/>
      <w:lvlJc w:val="left"/>
      <w:pPr>
        <w:ind w:left="6535" w:hanging="360"/>
      </w:pPr>
      <w:rPr>
        <w:rFonts w:ascii="Courier New" w:hAnsi="Courier New" w:cs="Courier New" w:hint="default"/>
      </w:rPr>
    </w:lvl>
    <w:lvl w:ilvl="8" w:tplc="04180005" w:tentative="1">
      <w:start w:val="1"/>
      <w:numFmt w:val="bullet"/>
      <w:lvlText w:val=""/>
      <w:lvlJc w:val="left"/>
      <w:pPr>
        <w:ind w:left="7255" w:hanging="360"/>
      </w:pPr>
      <w:rPr>
        <w:rFonts w:ascii="Wingdings" w:hAnsi="Wingdings" w:hint="default"/>
      </w:rPr>
    </w:lvl>
  </w:abstractNum>
  <w:abstractNum w:abstractNumId="144">
    <w:nsid w:val="3F491B0F"/>
    <w:multiLevelType w:val="hybridMultilevel"/>
    <w:tmpl w:val="6A5A9C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nsid w:val="40053E09"/>
    <w:multiLevelType w:val="hybridMultilevel"/>
    <w:tmpl w:val="A3964AC4"/>
    <w:lvl w:ilvl="0" w:tplc="04180001">
      <w:start w:val="1"/>
      <w:numFmt w:val="bullet"/>
      <w:lvlText w:val=""/>
      <w:lvlJc w:val="left"/>
      <w:pPr>
        <w:ind w:left="2201" w:hanging="360"/>
      </w:pPr>
      <w:rPr>
        <w:rFonts w:ascii="Symbol" w:hAnsi="Symbol" w:hint="default"/>
      </w:rPr>
    </w:lvl>
    <w:lvl w:ilvl="1" w:tplc="04180003" w:tentative="1">
      <w:start w:val="1"/>
      <w:numFmt w:val="bullet"/>
      <w:lvlText w:val="o"/>
      <w:lvlJc w:val="left"/>
      <w:pPr>
        <w:ind w:left="2921" w:hanging="360"/>
      </w:pPr>
      <w:rPr>
        <w:rFonts w:ascii="Courier New" w:hAnsi="Courier New" w:cs="Courier New" w:hint="default"/>
      </w:rPr>
    </w:lvl>
    <w:lvl w:ilvl="2" w:tplc="04180005" w:tentative="1">
      <w:start w:val="1"/>
      <w:numFmt w:val="bullet"/>
      <w:lvlText w:val=""/>
      <w:lvlJc w:val="left"/>
      <w:pPr>
        <w:ind w:left="3641" w:hanging="360"/>
      </w:pPr>
      <w:rPr>
        <w:rFonts w:ascii="Wingdings" w:hAnsi="Wingdings" w:hint="default"/>
      </w:rPr>
    </w:lvl>
    <w:lvl w:ilvl="3" w:tplc="04180001" w:tentative="1">
      <w:start w:val="1"/>
      <w:numFmt w:val="bullet"/>
      <w:lvlText w:val=""/>
      <w:lvlJc w:val="left"/>
      <w:pPr>
        <w:ind w:left="4361" w:hanging="360"/>
      </w:pPr>
      <w:rPr>
        <w:rFonts w:ascii="Symbol" w:hAnsi="Symbol" w:hint="default"/>
      </w:rPr>
    </w:lvl>
    <w:lvl w:ilvl="4" w:tplc="04180003" w:tentative="1">
      <w:start w:val="1"/>
      <w:numFmt w:val="bullet"/>
      <w:lvlText w:val="o"/>
      <w:lvlJc w:val="left"/>
      <w:pPr>
        <w:ind w:left="5081" w:hanging="360"/>
      </w:pPr>
      <w:rPr>
        <w:rFonts w:ascii="Courier New" w:hAnsi="Courier New" w:cs="Courier New" w:hint="default"/>
      </w:rPr>
    </w:lvl>
    <w:lvl w:ilvl="5" w:tplc="04180005" w:tentative="1">
      <w:start w:val="1"/>
      <w:numFmt w:val="bullet"/>
      <w:lvlText w:val=""/>
      <w:lvlJc w:val="left"/>
      <w:pPr>
        <w:ind w:left="5801" w:hanging="360"/>
      </w:pPr>
      <w:rPr>
        <w:rFonts w:ascii="Wingdings" w:hAnsi="Wingdings" w:hint="default"/>
      </w:rPr>
    </w:lvl>
    <w:lvl w:ilvl="6" w:tplc="04180001" w:tentative="1">
      <w:start w:val="1"/>
      <w:numFmt w:val="bullet"/>
      <w:lvlText w:val=""/>
      <w:lvlJc w:val="left"/>
      <w:pPr>
        <w:ind w:left="6521" w:hanging="360"/>
      </w:pPr>
      <w:rPr>
        <w:rFonts w:ascii="Symbol" w:hAnsi="Symbol" w:hint="default"/>
      </w:rPr>
    </w:lvl>
    <w:lvl w:ilvl="7" w:tplc="04180003" w:tentative="1">
      <w:start w:val="1"/>
      <w:numFmt w:val="bullet"/>
      <w:lvlText w:val="o"/>
      <w:lvlJc w:val="left"/>
      <w:pPr>
        <w:ind w:left="7241" w:hanging="360"/>
      </w:pPr>
      <w:rPr>
        <w:rFonts w:ascii="Courier New" w:hAnsi="Courier New" w:cs="Courier New" w:hint="default"/>
      </w:rPr>
    </w:lvl>
    <w:lvl w:ilvl="8" w:tplc="04180005" w:tentative="1">
      <w:start w:val="1"/>
      <w:numFmt w:val="bullet"/>
      <w:lvlText w:val=""/>
      <w:lvlJc w:val="left"/>
      <w:pPr>
        <w:ind w:left="7961" w:hanging="360"/>
      </w:pPr>
      <w:rPr>
        <w:rFonts w:ascii="Wingdings" w:hAnsi="Wingdings" w:hint="default"/>
      </w:rPr>
    </w:lvl>
  </w:abstractNum>
  <w:abstractNum w:abstractNumId="146">
    <w:nsid w:val="408F6378"/>
    <w:multiLevelType w:val="hybridMultilevel"/>
    <w:tmpl w:val="70CA8916"/>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42113632"/>
    <w:multiLevelType w:val="hybridMultilevel"/>
    <w:tmpl w:val="3EFA4682"/>
    <w:lvl w:ilvl="0" w:tplc="8EF4BEB0">
      <w:numFmt w:val="bullet"/>
      <w:lvlText w:val=""/>
      <w:lvlJc w:val="left"/>
      <w:pPr>
        <w:ind w:left="720" w:hanging="360"/>
      </w:pPr>
      <w:rPr>
        <w:rFonts w:ascii="Wingdings" w:hAnsi="Wingdings" w:hint="default"/>
        <w:b w:val="0"/>
        <w:color w:val="0E015F"/>
        <w:sz w:val="24"/>
      </w:rPr>
    </w:lvl>
    <w:lvl w:ilvl="1" w:tplc="8EF4BEB0">
      <w:numFmt w:val="bullet"/>
      <w:lvlText w:val=""/>
      <w:lvlJc w:val="left"/>
      <w:pPr>
        <w:ind w:left="1440" w:hanging="360"/>
      </w:pPr>
      <w:rPr>
        <w:rFonts w:ascii="Wingdings" w:hAnsi="Wingdings" w:hint="default"/>
        <w:b w:val="0"/>
        <w:color w:val="0E015F"/>
        <w:sz w:val="24"/>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nsid w:val="42FC701C"/>
    <w:multiLevelType w:val="hybridMultilevel"/>
    <w:tmpl w:val="8396953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360003F"/>
    <w:multiLevelType w:val="multilevel"/>
    <w:tmpl w:val="5D48F0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nsid w:val="436947A4"/>
    <w:multiLevelType w:val="hybridMultilevel"/>
    <w:tmpl w:val="E9505690"/>
    <w:lvl w:ilvl="0" w:tplc="22B28C40">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43AF6526"/>
    <w:multiLevelType w:val="hybridMultilevel"/>
    <w:tmpl w:val="39EC68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443F65B3"/>
    <w:multiLevelType w:val="multilevel"/>
    <w:tmpl w:val="896A3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DD1100"/>
    <w:multiLevelType w:val="hybridMultilevel"/>
    <w:tmpl w:val="DC58B69A"/>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525704F"/>
    <w:multiLevelType w:val="hybridMultilevel"/>
    <w:tmpl w:val="93DA7C06"/>
    <w:lvl w:ilvl="0" w:tplc="8EF4BEB0">
      <w:numFmt w:val="bullet"/>
      <w:lvlText w:val=""/>
      <w:lvlPicBulletId w:val="0"/>
      <w:lvlJc w:val="left"/>
      <w:pPr>
        <w:ind w:left="720" w:hanging="360"/>
      </w:pPr>
      <w:rPr>
        <w:rFonts w:ascii="Wingdings" w:hAnsi="Wingdings" w:hint="default"/>
        <w:b w:val="0"/>
        <w:color w:val="0E015F"/>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nsid w:val="45797700"/>
    <w:multiLevelType w:val="hybridMultilevel"/>
    <w:tmpl w:val="0B6A456A"/>
    <w:lvl w:ilvl="0" w:tplc="7B0C12EA">
      <w:start w:val="1"/>
      <w:numFmt w:val="upperRoman"/>
      <w:lvlText w:val="%1."/>
      <w:lvlJc w:val="left"/>
      <w:pPr>
        <w:ind w:left="1710" w:hanging="720"/>
      </w:pPr>
      <w:rPr>
        <w:rFonts w:ascii="Arial" w:hAnsi="Arial" w:cs="Arial"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156">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nsid w:val="45B43B1D"/>
    <w:multiLevelType w:val="hybridMultilevel"/>
    <w:tmpl w:val="01C2B338"/>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nsid w:val="45CB3329"/>
    <w:multiLevelType w:val="hybridMultilevel"/>
    <w:tmpl w:val="F2287F4C"/>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45D41796"/>
    <w:multiLevelType w:val="hybridMultilevel"/>
    <w:tmpl w:val="D32CC46C"/>
    <w:lvl w:ilvl="0" w:tplc="E10E8090">
      <w:numFmt w:val="bullet"/>
      <w:lvlText w:val=""/>
      <w:lvlJc w:val="left"/>
      <w:pPr>
        <w:tabs>
          <w:tab w:val="num" w:pos="360"/>
        </w:tabs>
        <w:ind w:left="360" w:hanging="360"/>
      </w:pPr>
      <w:rPr>
        <w:rFonts w:ascii="Wingdings" w:hAnsi="Wingdings" w:hint="default"/>
        <w:strike w:val="0"/>
        <w:color w:val="auto"/>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160">
    <w:nsid w:val="471B23CF"/>
    <w:multiLevelType w:val="hybridMultilevel"/>
    <w:tmpl w:val="45FEB6C2"/>
    <w:lvl w:ilvl="0" w:tplc="8EF4BEB0">
      <w:numFmt w:val="bullet"/>
      <w:lvlText w:val=""/>
      <w:lvlJc w:val="left"/>
      <w:pPr>
        <w:ind w:left="1440" w:hanging="360"/>
      </w:pPr>
      <w:rPr>
        <w:rFonts w:ascii="Wingdings" w:hAnsi="Wingdings" w:hint="default"/>
        <w:b w:val="0"/>
        <w:color w:val="0E015F"/>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1">
    <w:nsid w:val="478D25D9"/>
    <w:multiLevelType w:val="hybridMultilevel"/>
    <w:tmpl w:val="7C36906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2">
    <w:nsid w:val="4952156B"/>
    <w:multiLevelType w:val="hybridMultilevel"/>
    <w:tmpl w:val="C002816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3">
    <w:nsid w:val="498C3149"/>
    <w:multiLevelType w:val="multilevel"/>
    <w:tmpl w:val="1414A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nsid w:val="49F03C49"/>
    <w:multiLevelType w:val="hybridMultilevel"/>
    <w:tmpl w:val="D42EAA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5">
    <w:nsid w:val="4A44596A"/>
    <w:multiLevelType w:val="hybridMultilevel"/>
    <w:tmpl w:val="F2D8E86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6">
    <w:nsid w:val="4AF26918"/>
    <w:multiLevelType w:val="hybridMultilevel"/>
    <w:tmpl w:val="F20AED2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BDB5EF6"/>
    <w:multiLevelType w:val="hybridMultilevel"/>
    <w:tmpl w:val="86FE41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8">
    <w:nsid w:val="4BE13346"/>
    <w:multiLevelType w:val="hybridMultilevel"/>
    <w:tmpl w:val="7152FB0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nsid w:val="4C7F63EF"/>
    <w:multiLevelType w:val="hybridMultilevel"/>
    <w:tmpl w:val="23DE5C8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C966E2F"/>
    <w:multiLevelType w:val="multilevel"/>
    <w:tmpl w:val="C700BE7E"/>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nsid w:val="4E695F7E"/>
    <w:multiLevelType w:val="hybridMultilevel"/>
    <w:tmpl w:val="3A5C41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2">
    <w:nsid w:val="4EC80E6D"/>
    <w:multiLevelType w:val="multilevel"/>
    <w:tmpl w:val="40986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F0B1C84"/>
    <w:multiLevelType w:val="hybridMultilevel"/>
    <w:tmpl w:val="4E382770"/>
    <w:lvl w:ilvl="0" w:tplc="2544FE0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F0B1E7D"/>
    <w:multiLevelType w:val="hybridMultilevel"/>
    <w:tmpl w:val="8BC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nsid w:val="4F27641D"/>
    <w:multiLevelType w:val="hybridMultilevel"/>
    <w:tmpl w:val="EA069EA4"/>
    <w:lvl w:ilvl="0" w:tplc="8EF4BEB0">
      <w:numFmt w:val="bullet"/>
      <w:lvlText w:val=""/>
      <w:lvlJc w:val="left"/>
      <w:pPr>
        <w:ind w:left="1428" w:hanging="360"/>
      </w:pPr>
      <w:rPr>
        <w:rFonts w:ascii="Wingdings" w:hAnsi="Wingdings" w:hint="default"/>
        <w:b w:val="0"/>
        <w:color w:val="0E015F"/>
        <w:sz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6">
    <w:nsid w:val="4F8E4F9F"/>
    <w:multiLevelType w:val="hybridMultilevel"/>
    <w:tmpl w:val="92DEF0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nsid w:val="50191174"/>
    <w:multiLevelType w:val="hybridMultilevel"/>
    <w:tmpl w:val="6E02E590"/>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78">
    <w:nsid w:val="50A87CEA"/>
    <w:multiLevelType w:val="hybridMultilevel"/>
    <w:tmpl w:val="89D40E8A"/>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79">
    <w:nsid w:val="50DC5C57"/>
    <w:multiLevelType w:val="hybridMultilevel"/>
    <w:tmpl w:val="7BB2CA54"/>
    <w:lvl w:ilvl="0" w:tplc="B7F4AE18">
      <w:numFmt w:val="bullet"/>
      <w:lvlText w:val="-"/>
      <w:lvlJc w:val="left"/>
      <w:pPr>
        <w:ind w:left="720" w:hanging="360"/>
      </w:pPr>
      <w:rPr>
        <w:rFonts w:ascii="Calibri" w:eastAsia="Calibri" w:hAnsi="Calibri" w:cs="Times New Roman"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51B9737B"/>
    <w:multiLevelType w:val="hybridMultilevel"/>
    <w:tmpl w:val="FEAEDD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1">
    <w:nsid w:val="52413FBB"/>
    <w:multiLevelType w:val="hybridMultilevel"/>
    <w:tmpl w:val="670827E0"/>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2">
    <w:nsid w:val="525C4DF5"/>
    <w:multiLevelType w:val="hybridMultilevel"/>
    <w:tmpl w:val="0E90FD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3">
    <w:nsid w:val="52DD3711"/>
    <w:multiLevelType w:val="multilevel"/>
    <w:tmpl w:val="7D7ECB92"/>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84">
    <w:nsid w:val="52F42AD2"/>
    <w:multiLevelType w:val="hybridMultilevel"/>
    <w:tmpl w:val="6052BFCC"/>
    <w:lvl w:ilvl="0" w:tplc="F9FE4D9A">
      <w:start w:val="1"/>
      <w:numFmt w:val="low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5">
    <w:nsid w:val="53B64226"/>
    <w:multiLevelType w:val="hybridMultilevel"/>
    <w:tmpl w:val="F064DAD4"/>
    <w:lvl w:ilvl="0" w:tplc="70644274">
      <w:numFmt w:val="bullet"/>
      <w:lvlText w:val=""/>
      <w:lvlJc w:val="left"/>
      <w:pPr>
        <w:ind w:left="1117" w:hanging="360"/>
      </w:pPr>
      <w:rPr>
        <w:rFonts w:ascii="Wingdings" w:hAnsi="Wingdings" w:hint="default"/>
        <w:color w:val="000080"/>
      </w:rPr>
    </w:lvl>
    <w:lvl w:ilvl="1" w:tplc="04180003" w:tentative="1">
      <w:start w:val="1"/>
      <w:numFmt w:val="bullet"/>
      <w:lvlText w:val="o"/>
      <w:lvlJc w:val="left"/>
      <w:pPr>
        <w:ind w:left="1837" w:hanging="360"/>
      </w:pPr>
      <w:rPr>
        <w:rFonts w:ascii="Courier New" w:hAnsi="Courier New" w:cs="Courier New" w:hint="default"/>
      </w:rPr>
    </w:lvl>
    <w:lvl w:ilvl="2" w:tplc="04180005" w:tentative="1">
      <w:start w:val="1"/>
      <w:numFmt w:val="bullet"/>
      <w:lvlText w:val=""/>
      <w:lvlJc w:val="left"/>
      <w:pPr>
        <w:ind w:left="2557" w:hanging="360"/>
      </w:pPr>
      <w:rPr>
        <w:rFonts w:ascii="Wingdings" w:hAnsi="Wingdings" w:hint="default"/>
      </w:rPr>
    </w:lvl>
    <w:lvl w:ilvl="3" w:tplc="04180001" w:tentative="1">
      <w:start w:val="1"/>
      <w:numFmt w:val="bullet"/>
      <w:lvlText w:val=""/>
      <w:lvlJc w:val="left"/>
      <w:pPr>
        <w:ind w:left="3277" w:hanging="360"/>
      </w:pPr>
      <w:rPr>
        <w:rFonts w:ascii="Symbol" w:hAnsi="Symbol" w:hint="default"/>
      </w:rPr>
    </w:lvl>
    <w:lvl w:ilvl="4" w:tplc="04180003" w:tentative="1">
      <w:start w:val="1"/>
      <w:numFmt w:val="bullet"/>
      <w:lvlText w:val="o"/>
      <w:lvlJc w:val="left"/>
      <w:pPr>
        <w:ind w:left="3997" w:hanging="360"/>
      </w:pPr>
      <w:rPr>
        <w:rFonts w:ascii="Courier New" w:hAnsi="Courier New" w:cs="Courier New" w:hint="default"/>
      </w:rPr>
    </w:lvl>
    <w:lvl w:ilvl="5" w:tplc="04180005" w:tentative="1">
      <w:start w:val="1"/>
      <w:numFmt w:val="bullet"/>
      <w:lvlText w:val=""/>
      <w:lvlJc w:val="left"/>
      <w:pPr>
        <w:ind w:left="4717" w:hanging="360"/>
      </w:pPr>
      <w:rPr>
        <w:rFonts w:ascii="Wingdings" w:hAnsi="Wingdings" w:hint="default"/>
      </w:rPr>
    </w:lvl>
    <w:lvl w:ilvl="6" w:tplc="04180001" w:tentative="1">
      <w:start w:val="1"/>
      <w:numFmt w:val="bullet"/>
      <w:lvlText w:val=""/>
      <w:lvlJc w:val="left"/>
      <w:pPr>
        <w:ind w:left="5437" w:hanging="360"/>
      </w:pPr>
      <w:rPr>
        <w:rFonts w:ascii="Symbol" w:hAnsi="Symbol" w:hint="default"/>
      </w:rPr>
    </w:lvl>
    <w:lvl w:ilvl="7" w:tplc="04180003" w:tentative="1">
      <w:start w:val="1"/>
      <w:numFmt w:val="bullet"/>
      <w:lvlText w:val="o"/>
      <w:lvlJc w:val="left"/>
      <w:pPr>
        <w:ind w:left="6157" w:hanging="360"/>
      </w:pPr>
      <w:rPr>
        <w:rFonts w:ascii="Courier New" w:hAnsi="Courier New" w:cs="Courier New" w:hint="default"/>
      </w:rPr>
    </w:lvl>
    <w:lvl w:ilvl="8" w:tplc="04180005" w:tentative="1">
      <w:start w:val="1"/>
      <w:numFmt w:val="bullet"/>
      <w:lvlText w:val=""/>
      <w:lvlJc w:val="left"/>
      <w:pPr>
        <w:ind w:left="6877" w:hanging="360"/>
      </w:pPr>
      <w:rPr>
        <w:rFonts w:ascii="Wingdings" w:hAnsi="Wingdings" w:hint="default"/>
      </w:rPr>
    </w:lvl>
  </w:abstractNum>
  <w:abstractNum w:abstractNumId="186">
    <w:nsid w:val="54767BF6"/>
    <w:multiLevelType w:val="multilevel"/>
    <w:tmpl w:val="B20C25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7">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188">
    <w:nsid w:val="56CA57D5"/>
    <w:multiLevelType w:val="hybridMultilevel"/>
    <w:tmpl w:val="B82849CE"/>
    <w:lvl w:ilvl="0" w:tplc="7236DA48">
      <w:start w:val="1"/>
      <w:numFmt w:val="decimal"/>
      <w:lvlText w:val="%1."/>
      <w:lvlJc w:val="left"/>
      <w:pPr>
        <w:ind w:left="1068" w:hanging="360"/>
      </w:pPr>
      <w:rPr>
        <w:rFonts w:hint="default"/>
        <w:b/>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89">
    <w:nsid w:val="56FC38A8"/>
    <w:multiLevelType w:val="hybridMultilevel"/>
    <w:tmpl w:val="3782D02C"/>
    <w:lvl w:ilvl="0" w:tplc="F4FC09C6">
      <w:start w:val="5"/>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0">
    <w:nsid w:val="576E5A55"/>
    <w:multiLevelType w:val="hybridMultilevel"/>
    <w:tmpl w:val="27D6B96E"/>
    <w:lvl w:ilvl="0" w:tplc="04180001">
      <w:start w:val="1"/>
      <w:numFmt w:val="bullet"/>
      <w:lvlText w:val=""/>
      <w:lvlJc w:val="left"/>
      <w:pPr>
        <w:ind w:left="720" w:hanging="360"/>
      </w:pPr>
      <w:rPr>
        <w:rFonts w:ascii="Symbol" w:hAnsi="Symbol" w:hint="default"/>
      </w:rPr>
    </w:lvl>
    <w:lvl w:ilvl="1" w:tplc="405C64D6">
      <w:start w:val="1"/>
      <w:numFmt w:val="bullet"/>
      <w:lvlText w:val=""/>
      <w:lvlJc w:val="left"/>
      <w:pPr>
        <w:ind w:left="1440" w:hanging="360"/>
      </w:pPr>
      <w:rPr>
        <w:rFonts w:ascii="Symbol" w:hAnsi="Symbol" w:hint="default"/>
        <w:b/>
        <w:color w:val="000080"/>
        <w:sz w:val="24"/>
        <w:szCs w:val="24"/>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1">
    <w:nsid w:val="57D84DD3"/>
    <w:multiLevelType w:val="hybridMultilevel"/>
    <w:tmpl w:val="DE8A09B4"/>
    <w:lvl w:ilvl="0" w:tplc="371EECAE">
      <w:start w:val="1"/>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2">
    <w:nsid w:val="58092928"/>
    <w:multiLevelType w:val="hybridMultilevel"/>
    <w:tmpl w:val="163E9D20"/>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3">
    <w:nsid w:val="5868619D"/>
    <w:multiLevelType w:val="multilevel"/>
    <w:tmpl w:val="224883E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4">
    <w:nsid w:val="58B43C86"/>
    <w:multiLevelType w:val="hybridMultilevel"/>
    <w:tmpl w:val="654A5396"/>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8EA4F25"/>
    <w:multiLevelType w:val="hybridMultilevel"/>
    <w:tmpl w:val="ED1CFA3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9235149"/>
    <w:multiLevelType w:val="hybridMultilevel"/>
    <w:tmpl w:val="5F744C02"/>
    <w:lvl w:ilvl="0" w:tplc="04180007">
      <w:start w:val="1"/>
      <w:numFmt w:val="bullet"/>
      <w:lvlText w:val=""/>
      <w:lvlPicBulletId w:val="0"/>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nsid w:val="5935A2F5"/>
    <w:multiLevelType w:val="multilevel"/>
    <w:tmpl w:val="72CEEEFD"/>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98">
    <w:nsid w:val="59E14EDD"/>
    <w:multiLevelType w:val="hybridMultilevel"/>
    <w:tmpl w:val="81369558"/>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9">
    <w:nsid w:val="5A0003BD"/>
    <w:multiLevelType w:val="multilevel"/>
    <w:tmpl w:val="408C8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0">
    <w:nsid w:val="5B580D84"/>
    <w:multiLevelType w:val="hybridMultilevel"/>
    <w:tmpl w:val="589E083A"/>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nsid w:val="5B591C89"/>
    <w:multiLevelType w:val="hybridMultilevel"/>
    <w:tmpl w:val="C49E63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2">
    <w:nsid w:val="5B907CC7"/>
    <w:multiLevelType w:val="hybridMultilevel"/>
    <w:tmpl w:val="E17A9528"/>
    <w:lvl w:ilvl="0" w:tplc="0409000F">
      <w:start w:val="1"/>
      <w:numFmt w:val="decimal"/>
      <w:lvlText w:val="%1."/>
      <w:lvlJc w:val="left"/>
      <w:pPr>
        <w:ind w:left="360" w:hanging="360"/>
      </w:pPr>
      <w:rPr>
        <w:rFonts w:hint="default"/>
        <w:b/>
      </w:rPr>
    </w:lvl>
    <w:lvl w:ilvl="1" w:tplc="0418000F">
      <w:start w:val="1"/>
      <w:numFmt w:val="decimal"/>
      <w:lvlText w:val="%2."/>
      <w:lvlJc w:val="left"/>
      <w:pPr>
        <w:ind w:left="1080" w:hanging="360"/>
      </w:pPr>
      <w:rPr>
        <w:rFonts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3">
    <w:nsid w:val="5B9D5AF4"/>
    <w:multiLevelType w:val="hybridMultilevel"/>
    <w:tmpl w:val="1BC49C10"/>
    <w:lvl w:ilvl="0" w:tplc="1710355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BB73879"/>
    <w:multiLevelType w:val="hybridMultilevel"/>
    <w:tmpl w:val="736C98B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5">
    <w:nsid w:val="5C0449B2"/>
    <w:multiLevelType w:val="hybridMultilevel"/>
    <w:tmpl w:val="CAA6BC4C"/>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6">
    <w:nsid w:val="5C612DDE"/>
    <w:multiLevelType w:val="hybridMultilevel"/>
    <w:tmpl w:val="92CE587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7">
    <w:nsid w:val="5CC36255"/>
    <w:multiLevelType w:val="hybridMultilevel"/>
    <w:tmpl w:val="4DE819DC"/>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08">
    <w:nsid w:val="5D67153C"/>
    <w:multiLevelType w:val="multilevel"/>
    <w:tmpl w:val="BF9EA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nsid w:val="5DCE7EEF"/>
    <w:multiLevelType w:val="hybridMultilevel"/>
    <w:tmpl w:val="E3B40532"/>
    <w:lvl w:ilvl="0" w:tplc="98F67DB4">
      <w:start w:val="1"/>
      <w:numFmt w:val="bullet"/>
      <w:lvlText w:val="•"/>
      <w:lvlJc w:val="left"/>
      <w:pPr>
        <w:tabs>
          <w:tab w:val="num" w:pos="1260"/>
        </w:tabs>
        <w:ind w:left="1260" w:hanging="360"/>
      </w:pPr>
      <w:rPr>
        <w:rFonts w:ascii="Times New Roman" w:hAnsi="Times New Roman" w:hint="default"/>
      </w:rPr>
    </w:lvl>
    <w:lvl w:ilvl="1" w:tplc="D1EA9E70" w:tentative="1">
      <w:start w:val="1"/>
      <w:numFmt w:val="bullet"/>
      <w:lvlText w:val="•"/>
      <w:lvlJc w:val="left"/>
      <w:pPr>
        <w:tabs>
          <w:tab w:val="num" w:pos="1980"/>
        </w:tabs>
        <w:ind w:left="1980" w:hanging="360"/>
      </w:pPr>
      <w:rPr>
        <w:rFonts w:ascii="Times New Roman" w:hAnsi="Times New Roman" w:hint="default"/>
      </w:rPr>
    </w:lvl>
    <w:lvl w:ilvl="2" w:tplc="B3D451CA" w:tentative="1">
      <w:start w:val="1"/>
      <w:numFmt w:val="bullet"/>
      <w:lvlText w:val="•"/>
      <w:lvlJc w:val="left"/>
      <w:pPr>
        <w:tabs>
          <w:tab w:val="num" w:pos="2700"/>
        </w:tabs>
        <w:ind w:left="2700" w:hanging="360"/>
      </w:pPr>
      <w:rPr>
        <w:rFonts w:ascii="Times New Roman" w:hAnsi="Times New Roman" w:hint="default"/>
      </w:rPr>
    </w:lvl>
    <w:lvl w:ilvl="3" w:tplc="12C0BC74" w:tentative="1">
      <w:start w:val="1"/>
      <w:numFmt w:val="bullet"/>
      <w:lvlText w:val="•"/>
      <w:lvlJc w:val="left"/>
      <w:pPr>
        <w:tabs>
          <w:tab w:val="num" w:pos="3420"/>
        </w:tabs>
        <w:ind w:left="3420" w:hanging="360"/>
      </w:pPr>
      <w:rPr>
        <w:rFonts w:ascii="Times New Roman" w:hAnsi="Times New Roman" w:hint="default"/>
      </w:rPr>
    </w:lvl>
    <w:lvl w:ilvl="4" w:tplc="3A8804D6" w:tentative="1">
      <w:start w:val="1"/>
      <w:numFmt w:val="bullet"/>
      <w:lvlText w:val="•"/>
      <w:lvlJc w:val="left"/>
      <w:pPr>
        <w:tabs>
          <w:tab w:val="num" w:pos="4140"/>
        </w:tabs>
        <w:ind w:left="4140" w:hanging="360"/>
      </w:pPr>
      <w:rPr>
        <w:rFonts w:ascii="Times New Roman" w:hAnsi="Times New Roman" w:hint="default"/>
      </w:rPr>
    </w:lvl>
    <w:lvl w:ilvl="5" w:tplc="C0D64A38" w:tentative="1">
      <w:start w:val="1"/>
      <w:numFmt w:val="bullet"/>
      <w:lvlText w:val="•"/>
      <w:lvlJc w:val="left"/>
      <w:pPr>
        <w:tabs>
          <w:tab w:val="num" w:pos="4860"/>
        </w:tabs>
        <w:ind w:left="4860" w:hanging="360"/>
      </w:pPr>
      <w:rPr>
        <w:rFonts w:ascii="Times New Roman" w:hAnsi="Times New Roman" w:hint="default"/>
      </w:rPr>
    </w:lvl>
    <w:lvl w:ilvl="6" w:tplc="CF92D26C" w:tentative="1">
      <w:start w:val="1"/>
      <w:numFmt w:val="bullet"/>
      <w:lvlText w:val="•"/>
      <w:lvlJc w:val="left"/>
      <w:pPr>
        <w:tabs>
          <w:tab w:val="num" w:pos="5580"/>
        </w:tabs>
        <w:ind w:left="5580" w:hanging="360"/>
      </w:pPr>
      <w:rPr>
        <w:rFonts w:ascii="Times New Roman" w:hAnsi="Times New Roman" w:hint="default"/>
      </w:rPr>
    </w:lvl>
    <w:lvl w:ilvl="7" w:tplc="0BEEEA7E" w:tentative="1">
      <w:start w:val="1"/>
      <w:numFmt w:val="bullet"/>
      <w:lvlText w:val="•"/>
      <w:lvlJc w:val="left"/>
      <w:pPr>
        <w:tabs>
          <w:tab w:val="num" w:pos="6300"/>
        </w:tabs>
        <w:ind w:left="6300" w:hanging="360"/>
      </w:pPr>
      <w:rPr>
        <w:rFonts w:ascii="Times New Roman" w:hAnsi="Times New Roman" w:hint="default"/>
      </w:rPr>
    </w:lvl>
    <w:lvl w:ilvl="8" w:tplc="A95CCB84" w:tentative="1">
      <w:start w:val="1"/>
      <w:numFmt w:val="bullet"/>
      <w:lvlText w:val="•"/>
      <w:lvlJc w:val="left"/>
      <w:pPr>
        <w:tabs>
          <w:tab w:val="num" w:pos="7020"/>
        </w:tabs>
        <w:ind w:left="7020" w:hanging="360"/>
      </w:pPr>
      <w:rPr>
        <w:rFonts w:ascii="Times New Roman" w:hAnsi="Times New Roman" w:hint="default"/>
      </w:rPr>
    </w:lvl>
  </w:abstractNum>
  <w:abstractNum w:abstractNumId="210">
    <w:nsid w:val="5E0A787A"/>
    <w:multiLevelType w:val="hybridMultilevel"/>
    <w:tmpl w:val="63ECB2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1">
    <w:nsid w:val="5F492EDD"/>
    <w:multiLevelType w:val="multilevel"/>
    <w:tmpl w:val="723CFC78"/>
    <w:lvl w:ilvl="0">
      <w:start w:val="1"/>
      <w:numFmt w:val="bullet"/>
      <w:lvlText w:val=""/>
      <w:lvlJc w:val="left"/>
      <w:pPr>
        <w:ind w:left="384" w:hanging="384"/>
      </w:pPr>
      <w:rPr>
        <w:rFonts w:ascii="Symbol" w:hAnsi="Symbol" w:hint="default"/>
        <w:b/>
        <w:i w:val="0"/>
      </w:rPr>
    </w:lvl>
    <w:lvl w:ilvl="1">
      <w:start w:val="1"/>
      <w:numFmt w:val="decimal"/>
      <w:lvlText w:val="%1.%2"/>
      <w:lvlJc w:val="left"/>
      <w:pPr>
        <w:ind w:left="384" w:hanging="38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2">
    <w:nsid w:val="61815B88"/>
    <w:multiLevelType w:val="multilevel"/>
    <w:tmpl w:val="930CDF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3">
    <w:nsid w:val="6305706E"/>
    <w:multiLevelType w:val="hybridMultilevel"/>
    <w:tmpl w:val="D428B3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nsid w:val="635E6259"/>
    <w:multiLevelType w:val="multilevel"/>
    <w:tmpl w:val="548E65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5">
    <w:nsid w:val="63BF5645"/>
    <w:multiLevelType w:val="hybridMultilevel"/>
    <w:tmpl w:val="08723EC6"/>
    <w:lvl w:ilvl="0" w:tplc="0409000B">
      <w:start w:val="1"/>
      <w:numFmt w:val="bullet"/>
      <w:lvlText w:val=""/>
      <w:lvlJc w:val="left"/>
      <w:pPr>
        <w:ind w:left="357" w:hanging="360"/>
      </w:pPr>
      <w:rPr>
        <w:rFonts w:ascii="Wingdings" w:hAnsi="Wingdings"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16">
    <w:nsid w:val="645C6C60"/>
    <w:multiLevelType w:val="hybridMultilevel"/>
    <w:tmpl w:val="BB36BACE"/>
    <w:lvl w:ilvl="0" w:tplc="603EB578">
      <w:start w:val="81"/>
      <w:numFmt w:val="bullet"/>
      <w:lvlText w:val="-"/>
      <w:lvlJc w:val="left"/>
      <w:pPr>
        <w:ind w:left="5039" w:hanging="360"/>
      </w:pPr>
      <w:rPr>
        <w:rFonts w:ascii="Calibri" w:eastAsia="Times New Roman" w:hAnsi="Calibri" w:cs="Times New Roman"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217">
    <w:nsid w:val="645D7E1E"/>
    <w:multiLevelType w:val="hybridMultilevel"/>
    <w:tmpl w:val="0EBEF0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8">
    <w:nsid w:val="64D33A30"/>
    <w:multiLevelType w:val="hybridMultilevel"/>
    <w:tmpl w:val="F65CF222"/>
    <w:lvl w:ilvl="0" w:tplc="8EF4BEB0">
      <w:numFmt w:val="bullet"/>
      <w:lvlText w:val=""/>
      <w:lvlJc w:val="left"/>
      <w:pPr>
        <w:ind w:left="720" w:hanging="360"/>
      </w:pPr>
      <w:rPr>
        <w:rFonts w:ascii="Wingdings" w:hAnsi="Wingdings" w:hint="default"/>
        <w:b w:val="0"/>
        <w:color w:val="0E015F"/>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9">
    <w:nsid w:val="66533C74"/>
    <w:multiLevelType w:val="multilevel"/>
    <w:tmpl w:val="BD90C0DE"/>
    <w:lvl w:ilvl="0">
      <w:start w:val="5"/>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0">
    <w:nsid w:val="674343BD"/>
    <w:multiLevelType w:val="hybridMultilevel"/>
    <w:tmpl w:val="D7AECAD0"/>
    <w:name w:val="WW8Num112"/>
    <w:lvl w:ilvl="0" w:tplc="2326D146">
      <w:start w:val="1"/>
      <w:numFmt w:val="decimal"/>
      <w:lvlText w:val="%1)"/>
      <w:lvlJc w:val="left"/>
      <w:pPr>
        <w:tabs>
          <w:tab w:val="num" w:pos="0"/>
        </w:tabs>
        <w:ind w:left="720" w:hanging="720"/>
      </w:pPr>
      <w:rPr>
        <w:rFonts w:ascii="Calibri" w:eastAsia="Times New Roman" w:hAnsi="Calibri" w:cs="Times New Roman" w:hint="default"/>
        <w:b/>
        <w:i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1">
    <w:nsid w:val="674D4C19"/>
    <w:multiLevelType w:val="multilevel"/>
    <w:tmpl w:val="665650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2">
    <w:nsid w:val="678B055F"/>
    <w:multiLevelType w:val="hybridMultilevel"/>
    <w:tmpl w:val="6B6475F2"/>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nsid w:val="681533E4"/>
    <w:multiLevelType w:val="hybridMultilevel"/>
    <w:tmpl w:val="4AD8A59E"/>
    <w:lvl w:ilvl="0" w:tplc="DFBEFA94">
      <w:start w:val="1"/>
      <w:numFmt w:val="bullet"/>
      <w:lvlText w:val=""/>
      <w:lvlJc w:val="left"/>
      <w:pPr>
        <w:tabs>
          <w:tab w:val="num" w:pos="720"/>
        </w:tabs>
        <w:ind w:left="720" w:hanging="360"/>
      </w:pPr>
      <w:rPr>
        <w:rFonts w:ascii="Wingdings 2" w:hAnsi="Wingdings 2" w:hint="default"/>
      </w:rPr>
    </w:lvl>
    <w:lvl w:ilvl="1" w:tplc="96BE612E">
      <w:start w:val="1"/>
      <w:numFmt w:val="bullet"/>
      <w:lvlText w:val=""/>
      <w:lvlJc w:val="left"/>
      <w:pPr>
        <w:tabs>
          <w:tab w:val="num" w:pos="1440"/>
        </w:tabs>
        <w:ind w:left="1440" w:hanging="360"/>
      </w:pPr>
      <w:rPr>
        <w:rFonts w:ascii="Wingdings 2" w:hAnsi="Wingdings 2" w:hint="default"/>
      </w:rPr>
    </w:lvl>
    <w:lvl w:ilvl="2" w:tplc="AC360F56">
      <w:start w:val="1"/>
      <w:numFmt w:val="bullet"/>
      <w:lvlText w:val=""/>
      <w:lvlJc w:val="left"/>
      <w:pPr>
        <w:tabs>
          <w:tab w:val="num" w:pos="2160"/>
        </w:tabs>
        <w:ind w:left="2160" w:hanging="360"/>
      </w:pPr>
      <w:rPr>
        <w:rFonts w:ascii="Wingdings 2" w:hAnsi="Wingdings 2" w:hint="default"/>
      </w:rPr>
    </w:lvl>
    <w:lvl w:ilvl="3" w:tplc="9F16993E">
      <w:start w:val="1"/>
      <w:numFmt w:val="bullet"/>
      <w:lvlText w:val=""/>
      <w:lvlJc w:val="left"/>
      <w:pPr>
        <w:tabs>
          <w:tab w:val="num" w:pos="2880"/>
        </w:tabs>
        <w:ind w:left="2880" w:hanging="360"/>
      </w:pPr>
      <w:rPr>
        <w:rFonts w:ascii="Wingdings 2" w:hAnsi="Wingdings 2" w:hint="default"/>
      </w:rPr>
    </w:lvl>
    <w:lvl w:ilvl="4" w:tplc="5D202F22">
      <w:start w:val="1"/>
      <w:numFmt w:val="bullet"/>
      <w:lvlText w:val=""/>
      <w:lvlJc w:val="left"/>
      <w:pPr>
        <w:tabs>
          <w:tab w:val="num" w:pos="3600"/>
        </w:tabs>
        <w:ind w:left="3600" w:hanging="360"/>
      </w:pPr>
      <w:rPr>
        <w:rFonts w:ascii="Wingdings 2" w:hAnsi="Wingdings 2" w:hint="default"/>
      </w:rPr>
    </w:lvl>
    <w:lvl w:ilvl="5" w:tplc="94DADC20">
      <w:start w:val="1"/>
      <w:numFmt w:val="bullet"/>
      <w:lvlText w:val=""/>
      <w:lvlJc w:val="left"/>
      <w:pPr>
        <w:tabs>
          <w:tab w:val="num" w:pos="4320"/>
        </w:tabs>
        <w:ind w:left="4320" w:hanging="360"/>
      </w:pPr>
      <w:rPr>
        <w:rFonts w:ascii="Wingdings 2" w:hAnsi="Wingdings 2" w:hint="default"/>
      </w:rPr>
    </w:lvl>
    <w:lvl w:ilvl="6" w:tplc="5B868868">
      <w:start w:val="1"/>
      <w:numFmt w:val="bullet"/>
      <w:lvlText w:val=""/>
      <w:lvlJc w:val="left"/>
      <w:pPr>
        <w:tabs>
          <w:tab w:val="num" w:pos="5040"/>
        </w:tabs>
        <w:ind w:left="5040" w:hanging="360"/>
      </w:pPr>
      <w:rPr>
        <w:rFonts w:ascii="Wingdings 2" w:hAnsi="Wingdings 2" w:hint="default"/>
      </w:rPr>
    </w:lvl>
    <w:lvl w:ilvl="7" w:tplc="5E2E877C">
      <w:start w:val="1"/>
      <w:numFmt w:val="bullet"/>
      <w:lvlText w:val=""/>
      <w:lvlJc w:val="left"/>
      <w:pPr>
        <w:tabs>
          <w:tab w:val="num" w:pos="5760"/>
        </w:tabs>
        <w:ind w:left="5760" w:hanging="360"/>
      </w:pPr>
      <w:rPr>
        <w:rFonts w:ascii="Wingdings 2" w:hAnsi="Wingdings 2" w:hint="default"/>
      </w:rPr>
    </w:lvl>
    <w:lvl w:ilvl="8" w:tplc="2B40C056">
      <w:start w:val="1"/>
      <w:numFmt w:val="bullet"/>
      <w:lvlText w:val=""/>
      <w:lvlJc w:val="left"/>
      <w:pPr>
        <w:tabs>
          <w:tab w:val="num" w:pos="6480"/>
        </w:tabs>
        <w:ind w:left="6480" w:hanging="360"/>
      </w:pPr>
      <w:rPr>
        <w:rFonts w:ascii="Wingdings 2" w:hAnsi="Wingdings 2" w:hint="default"/>
      </w:rPr>
    </w:lvl>
  </w:abstractNum>
  <w:abstractNum w:abstractNumId="224">
    <w:nsid w:val="68AA17D4"/>
    <w:multiLevelType w:val="hybridMultilevel"/>
    <w:tmpl w:val="AE8A5620"/>
    <w:lvl w:ilvl="0" w:tplc="75C22320">
      <w:start w:val="1"/>
      <w:numFmt w:val="bullet"/>
      <w:lvlText w:val="•"/>
      <w:lvlJc w:val="left"/>
      <w:pPr>
        <w:tabs>
          <w:tab w:val="num" w:pos="1260"/>
        </w:tabs>
        <w:ind w:left="1260" w:hanging="360"/>
      </w:pPr>
      <w:rPr>
        <w:rFonts w:ascii="Times New Roman" w:hAnsi="Times New Roman" w:hint="default"/>
      </w:rPr>
    </w:lvl>
    <w:lvl w:ilvl="1" w:tplc="DE4CABD2" w:tentative="1">
      <w:start w:val="1"/>
      <w:numFmt w:val="bullet"/>
      <w:lvlText w:val="•"/>
      <w:lvlJc w:val="left"/>
      <w:pPr>
        <w:tabs>
          <w:tab w:val="num" w:pos="1980"/>
        </w:tabs>
        <w:ind w:left="1980" w:hanging="360"/>
      </w:pPr>
      <w:rPr>
        <w:rFonts w:ascii="Times New Roman" w:hAnsi="Times New Roman" w:hint="default"/>
      </w:rPr>
    </w:lvl>
    <w:lvl w:ilvl="2" w:tplc="4008CC60" w:tentative="1">
      <w:start w:val="1"/>
      <w:numFmt w:val="bullet"/>
      <w:lvlText w:val="•"/>
      <w:lvlJc w:val="left"/>
      <w:pPr>
        <w:tabs>
          <w:tab w:val="num" w:pos="2700"/>
        </w:tabs>
        <w:ind w:left="2700" w:hanging="360"/>
      </w:pPr>
      <w:rPr>
        <w:rFonts w:ascii="Times New Roman" w:hAnsi="Times New Roman" w:hint="default"/>
      </w:rPr>
    </w:lvl>
    <w:lvl w:ilvl="3" w:tplc="F342D49A" w:tentative="1">
      <w:start w:val="1"/>
      <w:numFmt w:val="bullet"/>
      <w:lvlText w:val="•"/>
      <w:lvlJc w:val="left"/>
      <w:pPr>
        <w:tabs>
          <w:tab w:val="num" w:pos="3420"/>
        </w:tabs>
        <w:ind w:left="3420" w:hanging="360"/>
      </w:pPr>
      <w:rPr>
        <w:rFonts w:ascii="Times New Roman" w:hAnsi="Times New Roman" w:hint="default"/>
      </w:rPr>
    </w:lvl>
    <w:lvl w:ilvl="4" w:tplc="B7DC211C" w:tentative="1">
      <w:start w:val="1"/>
      <w:numFmt w:val="bullet"/>
      <w:lvlText w:val="•"/>
      <w:lvlJc w:val="left"/>
      <w:pPr>
        <w:tabs>
          <w:tab w:val="num" w:pos="4140"/>
        </w:tabs>
        <w:ind w:left="4140" w:hanging="360"/>
      </w:pPr>
      <w:rPr>
        <w:rFonts w:ascii="Times New Roman" w:hAnsi="Times New Roman" w:hint="default"/>
      </w:rPr>
    </w:lvl>
    <w:lvl w:ilvl="5" w:tplc="8DFEF61C" w:tentative="1">
      <w:start w:val="1"/>
      <w:numFmt w:val="bullet"/>
      <w:lvlText w:val="•"/>
      <w:lvlJc w:val="left"/>
      <w:pPr>
        <w:tabs>
          <w:tab w:val="num" w:pos="4860"/>
        </w:tabs>
        <w:ind w:left="4860" w:hanging="360"/>
      </w:pPr>
      <w:rPr>
        <w:rFonts w:ascii="Times New Roman" w:hAnsi="Times New Roman" w:hint="default"/>
      </w:rPr>
    </w:lvl>
    <w:lvl w:ilvl="6" w:tplc="2A543998" w:tentative="1">
      <w:start w:val="1"/>
      <w:numFmt w:val="bullet"/>
      <w:lvlText w:val="•"/>
      <w:lvlJc w:val="left"/>
      <w:pPr>
        <w:tabs>
          <w:tab w:val="num" w:pos="5580"/>
        </w:tabs>
        <w:ind w:left="5580" w:hanging="360"/>
      </w:pPr>
      <w:rPr>
        <w:rFonts w:ascii="Times New Roman" w:hAnsi="Times New Roman" w:hint="default"/>
      </w:rPr>
    </w:lvl>
    <w:lvl w:ilvl="7" w:tplc="F18E56A4" w:tentative="1">
      <w:start w:val="1"/>
      <w:numFmt w:val="bullet"/>
      <w:lvlText w:val="•"/>
      <w:lvlJc w:val="left"/>
      <w:pPr>
        <w:tabs>
          <w:tab w:val="num" w:pos="6300"/>
        </w:tabs>
        <w:ind w:left="6300" w:hanging="360"/>
      </w:pPr>
      <w:rPr>
        <w:rFonts w:ascii="Times New Roman" w:hAnsi="Times New Roman" w:hint="default"/>
      </w:rPr>
    </w:lvl>
    <w:lvl w:ilvl="8" w:tplc="46D4815E" w:tentative="1">
      <w:start w:val="1"/>
      <w:numFmt w:val="bullet"/>
      <w:lvlText w:val="•"/>
      <w:lvlJc w:val="left"/>
      <w:pPr>
        <w:tabs>
          <w:tab w:val="num" w:pos="7020"/>
        </w:tabs>
        <w:ind w:left="7020" w:hanging="360"/>
      </w:pPr>
      <w:rPr>
        <w:rFonts w:ascii="Times New Roman" w:hAnsi="Times New Roman" w:hint="default"/>
      </w:rPr>
    </w:lvl>
  </w:abstractNum>
  <w:abstractNum w:abstractNumId="225">
    <w:nsid w:val="6C635D1C"/>
    <w:multiLevelType w:val="multilevel"/>
    <w:tmpl w:val="EAA42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nsid w:val="6CDD2E17"/>
    <w:multiLevelType w:val="hybridMultilevel"/>
    <w:tmpl w:val="5E9E2FDC"/>
    <w:lvl w:ilvl="0" w:tplc="73B4236E">
      <w:start w:val="1"/>
      <w:numFmt w:val="bullet"/>
      <w:lvlText w:val=""/>
      <w:lvlJc w:val="left"/>
      <w:pPr>
        <w:ind w:left="720" w:hanging="360"/>
      </w:pPr>
      <w:rPr>
        <w:rFonts w:ascii="Symbol" w:hAnsi="Symbol" w:hint="default"/>
        <w:sz w:val="24"/>
        <w:szCs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nsid w:val="6D372C70"/>
    <w:multiLevelType w:val="multilevel"/>
    <w:tmpl w:val="E042F07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8">
    <w:nsid w:val="6D87227B"/>
    <w:multiLevelType w:val="multilevel"/>
    <w:tmpl w:val="045A28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229">
    <w:nsid w:val="6DAF1DEA"/>
    <w:multiLevelType w:val="multilevel"/>
    <w:tmpl w:val="86E2F8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0">
    <w:nsid w:val="6E586C8E"/>
    <w:multiLevelType w:val="hybridMultilevel"/>
    <w:tmpl w:val="154ED9D4"/>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F142B5E"/>
    <w:multiLevelType w:val="hybridMultilevel"/>
    <w:tmpl w:val="AB64C5FA"/>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2">
    <w:nsid w:val="6FE450B2"/>
    <w:multiLevelType w:val="hybridMultilevel"/>
    <w:tmpl w:val="5290E9BC"/>
    <w:lvl w:ilvl="0" w:tplc="70644274">
      <w:numFmt w:val="bullet"/>
      <w:lvlText w:val=""/>
      <w:lvlJc w:val="left"/>
      <w:pPr>
        <w:ind w:left="720" w:hanging="360"/>
      </w:pPr>
      <w:rPr>
        <w:rFonts w:ascii="Wingdings" w:hAnsi="Wingdings" w:hint="default"/>
        <w:b w:val="0"/>
        <w:color w:val="00008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3">
    <w:nsid w:val="701A5C81"/>
    <w:multiLevelType w:val="hybridMultilevel"/>
    <w:tmpl w:val="1A3E23B0"/>
    <w:lvl w:ilvl="0" w:tplc="04180001">
      <w:start w:val="1"/>
      <w:numFmt w:val="bullet"/>
      <w:lvlText w:val=""/>
      <w:lvlJc w:val="left"/>
      <w:pPr>
        <w:ind w:left="1146" w:hanging="360"/>
      </w:pPr>
      <w:rPr>
        <w:rFonts w:ascii="Symbol" w:hAnsi="Symbol" w:hint="default"/>
        <w:color w:val="000080"/>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34">
    <w:nsid w:val="70320EF5"/>
    <w:multiLevelType w:val="hybridMultilevel"/>
    <w:tmpl w:val="E5580776"/>
    <w:lvl w:ilvl="0" w:tplc="C4A4653A">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5">
    <w:nsid w:val="704F4EF2"/>
    <w:multiLevelType w:val="hybridMultilevel"/>
    <w:tmpl w:val="D1DEB5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6">
    <w:nsid w:val="70A23F17"/>
    <w:multiLevelType w:val="multilevel"/>
    <w:tmpl w:val="4C4E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nsid w:val="711929D5"/>
    <w:multiLevelType w:val="hybridMultilevel"/>
    <w:tmpl w:val="44A87286"/>
    <w:lvl w:ilvl="0" w:tplc="04090001">
      <w:start w:val="1"/>
      <w:numFmt w:val="bullet"/>
      <w:lvlText w:val=""/>
      <w:lvlJc w:val="left"/>
      <w:pPr>
        <w:ind w:left="1020" w:hanging="360"/>
      </w:pPr>
      <w:rPr>
        <w:rFonts w:ascii="Symbol" w:hAnsi="Symbol" w:cs="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cs="Wingdings" w:hint="default"/>
      </w:rPr>
    </w:lvl>
    <w:lvl w:ilvl="3" w:tplc="04090001">
      <w:start w:val="1"/>
      <w:numFmt w:val="bullet"/>
      <w:lvlText w:val=""/>
      <w:lvlJc w:val="left"/>
      <w:pPr>
        <w:ind w:left="3180" w:hanging="360"/>
      </w:pPr>
      <w:rPr>
        <w:rFonts w:ascii="Symbol" w:hAnsi="Symbol" w:cs="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cs="Wingdings" w:hint="default"/>
      </w:rPr>
    </w:lvl>
    <w:lvl w:ilvl="6" w:tplc="04090001">
      <w:start w:val="1"/>
      <w:numFmt w:val="bullet"/>
      <w:lvlText w:val=""/>
      <w:lvlJc w:val="left"/>
      <w:pPr>
        <w:ind w:left="5340" w:hanging="360"/>
      </w:pPr>
      <w:rPr>
        <w:rFonts w:ascii="Symbol" w:hAnsi="Symbol" w:cs="Symbol" w:hint="default"/>
      </w:rPr>
    </w:lvl>
    <w:lvl w:ilvl="7" w:tplc="04090003">
      <w:start w:val="1"/>
      <w:numFmt w:val="bullet"/>
      <w:lvlText w:val="o"/>
      <w:lvlJc w:val="left"/>
      <w:pPr>
        <w:ind w:left="6060" w:hanging="360"/>
      </w:pPr>
      <w:rPr>
        <w:rFonts w:ascii="Courier New" w:hAnsi="Courier New" w:cs="Courier New" w:hint="default"/>
      </w:rPr>
    </w:lvl>
    <w:lvl w:ilvl="8" w:tplc="04090005">
      <w:start w:val="1"/>
      <w:numFmt w:val="bullet"/>
      <w:lvlText w:val=""/>
      <w:lvlJc w:val="left"/>
      <w:pPr>
        <w:ind w:left="6780" w:hanging="360"/>
      </w:pPr>
      <w:rPr>
        <w:rFonts w:ascii="Wingdings" w:hAnsi="Wingdings" w:cs="Wingdings" w:hint="default"/>
      </w:rPr>
    </w:lvl>
  </w:abstractNum>
  <w:abstractNum w:abstractNumId="238">
    <w:nsid w:val="729338E4"/>
    <w:multiLevelType w:val="multilevel"/>
    <w:tmpl w:val="77BCF11A"/>
    <w:lvl w:ilvl="0">
      <w:start w:val="5"/>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39">
    <w:nsid w:val="72C836EB"/>
    <w:multiLevelType w:val="hybridMultilevel"/>
    <w:tmpl w:val="4C12B6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1">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2">
    <w:nsid w:val="736660C5"/>
    <w:multiLevelType w:val="hybridMultilevel"/>
    <w:tmpl w:val="84320D6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nsid w:val="73D222FF"/>
    <w:multiLevelType w:val="hybridMultilevel"/>
    <w:tmpl w:val="943A0796"/>
    <w:lvl w:ilvl="0" w:tplc="764A93FE">
      <w:start w:val="1"/>
      <w:numFmt w:val="bullet"/>
      <w:lvlText w:val=""/>
      <w:lvlJc w:val="left"/>
      <w:pPr>
        <w:ind w:left="502" w:hanging="360"/>
      </w:pPr>
      <w:rPr>
        <w:rFonts w:ascii="Wingdings" w:hAnsi="Wingdings" w:hint="default"/>
        <w:strike w:val="0"/>
        <w:color w:val="000000" w:themeColor="text1"/>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244">
    <w:nsid w:val="748431FD"/>
    <w:multiLevelType w:val="hybridMultilevel"/>
    <w:tmpl w:val="FDFEBE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5">
    <w:nsid w:val="755A3EEF"/>
    <w:multiLevelType w:val="hybridMultilevel"/>
    <w:tmpl w:val="A3D4A6E8"/>
    <w:lvl w:ilvl="0" w:tplc="04180007">
      <w:start w:val="1"/>
      <w:numFmt w:val="bullet"/>
      <w:lvlText w:val=""/>
      <w:lvlPicBulletId w:val="0"/>
      <w:lvlJc w:val="left"/>
      <w:pPr>
        <w:ind w:left="1146" w:hanging="360"/>
      </w:pPr>
      <w:rPr>
        <w:rFonts w:ascii="Symbol" w:hAnsi="Symbol" w:hint="default"/>
        <w:color w:val="000080"/>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46">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47">
    <w:nsid w:val="75D116F9"/>
    <w:multiLevelType w:val="hybridMultilevel"/>
    <w:tmpl w:val="2CAE8A6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6B97A07"/>
    <w:multiLevelType w:val="hybridMultilevel"/>
    <w:tmpl w:val="7640F472"/>
    <w:lvl w:ilvl="0" w:tplc="2544FE0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7856C80"/>
    <w:multiLevelType w:val="hybridMultilevel"/>
    <w:tmpl w:val="4FC460B0"/>
    <w:lvl w:ilvl="0" w:tplc="D922742C">
      <w:start w:val="1"/>
      <w:numFmt w:val="bullet"/>
      <w:lvlText w:val="•"/>
      <w:lvlJc w:val="left"/>
      <w:pPr>
        <w:tabs>
          <w:tab w:val="num" w:pos="720"/>
        </w:tabs>
        <w:ind w:left="720" w:hanging="360"/>
      </w:pPr>
      <w:rPr>
        <w:rFonts w:ascii="Times New Roman" w:hAnsi="Times New Roman" w:hint="default"/>
      </w:rPr>
    </w:lvl>
    <w:lvl w:ilvl="1" w:tplc="5D4A39E2" w:tentative="1">
      <w:start w:val="1"/>
      <w:numFmt w:val="bullet"/>
      <w:lvlText w:val="•"/>
      <w:lvlJc w:val="left"/>
      <w:pPr>
        <w:tabs>
          <w:tab w:val="num" w:pos="1440"/>
        </w:tabs>
        <w:ind w:left="1440" w:hanging="360"/>
      </w:pPr>
      <w:rPr>
        <w:rFonts w:ascii="Times New Roman" w:hAnsi="Times New Roman" w:hint="default"/>
      </w:rPr>
    </w:lvl>
    <w:lvl w:ilvl="2" w:tplc="EB8857B6" w:tentative="1">
      <w:start w:val="1"/>
      <w:numFmt w:val="bullet"/>
      <w:lvlText w:val="•"/>
      <w:lvlJc w:val="left"/>
      <w:pPr>
        <w:tabs>
          <w:tab w:val="num" w:pos="2160"/>
        </w:tabs>
        <w:ind w:left="2160" w:hanging="360"/>
      </w:pPr>
      <w:rPr>
        <w:rFonts w:ascii="Times New Roman" w:hAnsi="Times New Roman" w:hint="default"/>
      </w:rPr>
    </w:lvl>
    <w:lvl w:ilvl="3" w:tplc="5C780506" w:tentative="1">
      <w:start w:val="1"/>
      <w:numFmt w:val="bullet"/>
      <w:lvlText w:val="•"/>
      <w:lvlJc w:val="left"/>
      <w:pPr>
        <w:tabs>
          <w:tab w:val="num" w:pos="2880"/>
        </w:tabs>
        <w:ind w:left="2880" w:hanging="360"/>
      </w:pPr>
      <w:rPr>
        <w:rFonts w:ascii="Times New Roman" w:hAnsi="Times New Roman" w:hint="default"/>
      </w:rPr>
    </w:lvl>
    <w:lvl w:ilvl="4" w:tplc="F2565880" w:tentative="1">
      <w:start w:val="1"/>
      <w:numFmt w:val="bullet"/>
      <w:lvlText w:val="•"/>
      <w:lvlJc w:val="left"/>
      <w:pPr>
        <w:tabs>
          <w:tab w:val="num" w:pos="3600"/>
        </w:tabs>
        <w:ind w:left="3600" w:hanging="360"/>
      </w:pPr>
      <w:rPr>
        <w:rFonts w:ascii="Times New Roman" w:hAnsi="Times New Roman" w:hint="default"/>
      </w:rPr>
    </w:lvl>
    <w:lvl w:ilvl="5" w:tplc="947619EE" w:tentative="1">
      <w:start w:val="1"/>
      <w:numFmt w:val="bullet"/>
      <w:lvlText w:val="•"/>
      <w:lvlJc w:val="left"/>
      <w:pPr>
        <w:tabs>
          <w:tab w:val="num" w:pos="4320"/>
        </w:tabs>
        <w:ind w:left="4320" w:hanging="360"/>
      </w:pPr>
      <w:rPr>
        <w:rFonts w:ascii="Times New Roman" w:hAnsi="Times New Roman" w:hint="default"/>
      </w:rPr>
    </w:lvl>
    <w:lvl w:ilvl="6" w:tplc="054EEE78" w:tentative="1">
      <w:start w:val="1"/>
      <w:numFmt w:val="bullet"/>
      <w:lvlText w:val="•"/>
      <w:lvlJc w:val="left"/>
      <w:pPr>
        <w:tabs>
          <w:tab w:val="num" w:pos="5040"/>
        </w:tabs>
        <w:ind w:left="5040" w:hanging="360"/>
      </w:pPr>
      <w:rPr>
        <w:rFonts w:ascii="Times New Roman" w:hAnsi="Times New Roman" w:hint="default"/>
      </w:rPr>
    </w:lvl>
    <w:lvl w:ilvl="7" w:tplc="0726BA36" w:tentative="1">
      <w:start w:val="1"/>
      <w:numFmt w:val="bullet"/>
      <w:lvlText w:val="•"/>
      <w:lvlJc w:val="left"/>
      <w:pPr>
        <w:tabs>
          <w:tab w:val="num" w:pos="5760"/>
        </w:tabs>
        <w:ind w:left="5760" w:hanging="360"/>
      </w:pPr>
      <w:rPr>
        <w:rFonts w:ascii="Times New Roman" w:hAnsi="Times New Roman" w:hint="default"/>
      </w:rPr>
    </w:lvl>
    <w:lvl w:ilvl="8" w:tplc="4A308790" w:tentative="1">
      <w:start w:val="1"/>
      <w:numFmt w:val="bullet"/>
      <w:lvlText w:val="•"/>
      <w:lvlJc w:val="left"/>
      <w:pPr>
        <w:tabs>
          <w:tab w:val="num" w:pos="6480"/>
        </w:tabs>
        <w:ind w:left="6480" w:hanging="360"/>
      </w:pPr>
      <w:rPr>
        <w:rFonts w:ascii="Times New Roman" w:hAnsi="Times New Roman" w:hint="default"/>
      </w:rPr>
    </w:lvl>
  </w:abstractNum>
  <w:abstractNum w:abstractNumId="250">
    <w:nsid w:val="79951EE1"/>
    <w:multiLevelType w:val="hybridMultilevel"/>
    <w:tmpl w:val="92589DAA"/>
    <w:lvl w:ilvl="0" w:tplc="04180001">
      <w:start w:val="1"/>
      <w:numFmt w:val="bullet"/>
      <w:lvlText w:val=""/>
      <w:lvlJc w:val="left"/>
      <w:pPr>
        <w:ind w:left="1440" w:hanging="360"/>
      </w:pPr>
      <w:rPr>
        <w:rFonts w:ascii="Symbol" w:hAnsi="Symbol" w:hint="default"/>
        <w:b w:val="0"/>
        <w:color w:val="000080"/>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1">
    <w:nsid w:val="7A735F00"/>
    <w:multiLevelType w:val="hybridMultilevel"/>
    <w:tmpl w:val="DFF8BE5C"/>
    <w:lvl w:ilvl="0" w:tplc="04180001">
      <w:start w:val="1"/>
      <w:numFmt w:val="bullet"/>
      <w:lvlText w:val=""/>
      <w:lvlJc w:val="left"/>
      <w:pPr>
        <w:ind w:left="786" w:hanging="360"/>
      </w:pPr>
      <w:rPr>
        <w:rFonts w:ascii="Symbol" w:hAnsi="Symbol" w:hint="default"/>
        <w:b w:val="0"/>
        <w:color w:val="000080"/>
        <w:sz w:val="2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2">
    <w:nsid w:val="7A7C4798"/>
    <w:multiLevelType w:val="hybridMultilevel"/>
    <w:tmpl w:val="A7DE944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3">
    <w:nsid w:val="7A957F4F"/>
    <w:multiLevelType w:val="hybridMultilevel"/>
    <w:tmpl w:val="81FAD0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4">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55">
    <w:nsid w:val="7BD321E6"/>
    <w:multiLevelType w:val="hybridMultilevel"/>
    <w:tmpl w:val="7D42F42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C290720"/>
    <w:multiLevelType w:val="multilevel"/>
    <w:tmpl w:val="1D58F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C6C2007"/>
    <w:multiLevelType w:val="hybridMultilevel"/>
    <w:tmpl w:val="E7FA1692"/>
    <w:lvl w:ilvl="0" w:tplc="C4A4653A">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8">
    <w:nsid w:val="7CFC2757"/>
    <w:multiLevelType w:val="hybridMultilevel"/>
    <w:tmpl w:val="88E2D354"/>
    <w:lvl w:ilvl="0" w:tplc="FC96D2A4">
      <w:numFmt w:val="bullet"/>
      <w:lvlText w:val="-"/>
      <w:lvlJc w:val="left"/>
      <w:pPr>
        <w:ind w:left="-207" w:hanging="360"/>
      </w:pPr>
      <w:rPr>
        <w:rFonts w:ascii="Calibri" w:eastAsia="SimSun" w:hAnsi="Calibri" w:cs="Mangal" w:hint="default"/>
      </w:rPr>
    </w:lvl>
    <w:lvl w:ilvl="1" w:tplc="04180003" w:tentative="1">
      <w:start w:val="1"/>
      <w:numFmt w:val="bullet"/>
      <w:lvlText w:val="o"/>
      <w:lvlJc w:val="left"/>
      <w:pPr>
        <w:ind w:left="513" w:hanging="360"/>
      </w:pPr>
      <w:rPr>
        <w:rFonts w:ascii="Courier New" w:hAnsi="Courier New" w:cs="Courier New" w:hint="default"/>
      </w:rPr>
    </w:lvl>
    <w:lvl w:ilvl="2" w:tplc="04180005" w:tentative="1">
      <w:start w:val="1"/>
      <w:numFmt w:val="bullet"/>
      <w:lvlText w:val=""/>
      <w:lvlJc w:val="left"/>
      <w:pPr>
        <w:ind w:left="1233" w:hanging="360"/>
      </w:pPr>
      <w:rPr>
        <w:rFonts w:ascii="Wingdings" w:hAnsi="Wingdings" w:hint="default"/>
      </w:rPr>
    </w:lvl>
    <w:lvl w:ilvl="3" w:tplc="04180001" w:tentative="1">
      <w:start w:val="1"/>
      <w:numFmt w:val="bullet"/>
      <w:lvlText w:val=""/>
      <w:lvlJc w:val="left"/>
      <w:pPr>
        <w:ind w:left="1953" w:hanging="360"/>
      </w:pPr>
      <w:rPr>
        <w:rFonts w:ascii="Symbol" w:hAnsi="Symbol" w:hint="default"/>
      </w:rPr>
    </w:lvl>
    <w:lvl w:ilvl="4" w:tplc="04180003" w:tentative="1">
      <w:start w:val="1"/>
      <w:numFmt w:val="bullet"/>
      <w:lvlText w:val="o"/>
      <w:lvlJc w:val="left"/>
      <w:pPr>
        <w:ind w:left="2673" w:hanging="360"/>
      </w:pPr>
      <w:rPr>
        <w:rFonts w:ascii="Courier New" w:hAnsi="Courier New" w:cs="Courier New" w:hint="default"/>
      </w:rPr>
    </w:lvl>
    <w:lvl w:ilvl="5" w:tplc="04180005" w:tentative="1">
      <w:start w:val="1"/>
      <w:numFmt w:val="bullet"/>
      <w:lvlText w:val=""/>
      <w:lvlJc w:val="left"/>
      <w:pPr>
        <w:ind w:left="3393" w:hanging="360"/>
      </w:pPr>
      <w:rPr>
        <w:rFonts w:ascii="Wingdings" w:hAnsi="Wingdings" w:hint="default"/>
      </w:rPr>
    </w:lvl>
    <w:lvl w:ilvl="6" w:tplc="04180001" w:tentative="1">
      <w:start w:val="1"/>
      <w:numFmt w:val="bullet"/>
      <w:lvlText w:val=""/>
      <w:lvlJc w:val="left"/>
      <w:pPr>
        <w:ind w:left="4113" w:hanging="360"/>
      </w:pPr>
      <w:rPr>
        <w:rFonts w:ascii="Symbol" w:hAnsi="Symbol" w:hint="default"/>
      </w:rPr>
    </w:lvl>
    <w:lvl w:ilvl="7" w:tplc="04180003" w:tentative="1">
      <w:start w:val="1"/>
      <w:numFmt w:val="bullet"/>
      <w:lvlText w:val="o"/>
      <w:lvlJc w:val="left"/>
      <w:pPr>
        <w:ind w:left="4833" w:hanging="360"/>
      </w:pPr>
      <w:rPr>
        <w:rFonts w:ascii="Courier New" w:hAnsi="Courier New" w:cs="Courier New" w:hint="default"/>
      </w:rPr>
    </w:lvl>
    <w:lvl w:ilvl="8" w:tplc="04180005" w:tentative="1">
      <w:start w:val="1"/>
      <w:numFmt w:val="bullet"/>
      <w:lvlText w:val=""/>
      <w:lvlJc w:val="left"/>
      <w:pPr>
        <w:ind w:left="5553" w:hanging="360"/>
      </w:pPr>
      <w:rPr>
        <w:rFonts w:ascii="Wingdings" w:hAnsi="Wingdings" w:hint="default"/>
      </w:rPr>
    </w:lvl>
  </w:abstractNum>
  <w:abstractNum w:abstractNumId="259">
    <w:nsid w:val="7D684B37"/>
    <w:multiLevelType w:val="hybridMultilevel"/>
    <w:tmpl w:val="293A1382"/>
    <w:lvl w:ilvl="0" w:tplc="4BF2F75C">
      <w:numFmt w:val="bullet"/>
      <w:lvlText w:val="-"/>
      <w:lvlJc w:val="left"/>
      <w:pPr>
        <w:ind w:left="1068" w:hanging="360"/>
      </w:pPr>
      <w:rPr>
        <w:rFonts w:ascii="Arial" w:eastAsia="Calibr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60">
    <w:nsid w:val="7D8525FE"/>
    <w:multiLevelType w:val="hybridMultilevel"/>
    <w:tmpl w:val="6524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0"/>
  </w:num>
  <w:num w:numId="2">
    <w:abstractNumId w:val="2"/>
  </w:num>
  <w:num w:numId="3">
    <w:abstractNumId w:val="254"/>
  </w:num>
  <w:num w:numId="4">
    <w:abstractNumId w:val="101"/>
  </w:num>
  <w:num w:numId="5">
    <w:abstractNumId w:val="1"/>
  </w:num>
  <w:num w:numId="6">
    <w:abstractNumId w:val="0"/>
  </w:num>
  <w:num w:numId="7">
    <w:abstractNumId w:val="102"/>
  </w:num>
  <w:num w:numId="8">
    <w:abstractNumId w:val="223"/>
  </w:num>
  <w:num w:numId="9">
    <w:abstractNumId w:val="135"/>
  </w:num>
  <w:num w:numId="10">
    <w:abstractNumId w:val="51"/>
  </w:num>
  <w:num w:numId="11">
    <w:abstractNumId w:val="161"/>
  </w:num>
  <w:num w:numId="12">
    <w:abstractNumId w:val="156"/>
  </w:num>
  <w:num w:numId="13">
    <w:abstractNumId w:val="65"/>
  </w:num>
  <w:num w:numId="14">
    <w:abstractNumId w:val="217"/>
  </w:num>
  <w:num w:numId="15">
    <w:abstractNumId w:val="96"/>
  </w:num>
  <w:num w:numId="16">
    <w:abstractNumId w:val="75"/>
  </w:num>
  <w:num w:numId="17">
    <w:abstractNumId w:val="157"/>
  </w:num>
  <w:num w:numId="18">
    <w:abstractNumId w:val="205"/>
  </w:num>
  <w:num w:numId="19">
    <w:abstractNumId w:val="83"/>
  </w:num>
  <w:num w:numId="20">
    <w:abstractNumId w:val="113"/>
  </w:num>
  <w:num w:numId="21">
    <w:abstractNumId w:val="49"/>
  </w:num>
  <w:num w:numId="22">
    <w:abstractNumId w:val="181"/>
  </w:num>
  <w:num w:numId="23">
    <w:abstractNumId w:val="41"/>
  </w:num>
  <w:num w:numId="24">
    <w:abstractNumId w:val="68"/>
  </w:num>
  <w:num w:numId="25">
    <w:abstractNumId w:val="82"/>
  </w:num>
  <w:num w:numId="26">
    <w:abstractNumId w:val="260"/>
  </w:num>
  <w:num w:numId="27">
    <w:abstractNumId w:val="174"/>
  </w:num>
  <w:num w:numId="28">
    <w:abstractNumId w:val="144"/>
  </w:num>
  <w:num w:numId="29">
    <w:abstractNumId w:val="155"/>
  </w:num>
  <w:num w:numId="30">
    <w:abstractNumId w:val="241"/>
  </w:num>
  <w:num w:numId="31">
    <w:abstractNumId w:val="77"/>
  </w:num>
  <w:num w:numId="32">
    <w:abstractNumId w:val="114"/>
  </w:num>
  <w:num w:numId="33">
    <w:abstractNumId w:val="127"/>
  </w:num>
  <w:num w:numId="34">
    <w:abstractNumId w:val="197"/>
  </w:num>
  <w:num w:numId="35">
    <w:abstractNumId w:val="54"/>
  </w:num>
  <w:num w:numId="36">
    <w:abstractNumId w:val="39"/>
  </w:num>
  <w:num w:numId="37">
    <w:abstractNumId w:val="73"/>
  </w:num>
  <w:num w:numId="38">
    <w:abstractNumId w:val="76"/>
  </w:num>
  <w:num w:numId="39">
    <w:abstractNumId w:val="31"/>
  </w:num>
  <w:num w:numId="40">
    <w:abstractNumId w:val="40"/>
  </w:num>
  <w:num w:numId="41">
    <w:abstractNumId w:val="202"/>
  </w:num>
  <w:num w:numId="42">
    <w:abstractNumId w:val="234"/>
  </w:num>
  <w:num w:numId="43">
    <w:abstractNumId w:val="257"/>
  </w:num>
  <w:num w:numId="44">
    <w:abstractNumId w:val="115"/>
  </w:num>
  <w:num w:numId="45">
    <w:abstractNumId w:val="53"/>
  </w:num>
  <w:num w:numId="46">
    <w:abstractNumId w:val="60"/>
  </w:num>
  <w:num w:numId="47">
    <w:abstractNumId w:val="108"/>
  </w:num>
  <w:num w:numId="48">
    <w:abstractNumId w:val="225"/>
  </w:num>
  <w:num w:numId="49">
    <w:abstractNumId w:val="88"/>
  </w:num>
  <w:num w:numId="50">
    <w:abstractNumId w:val="238"/>
  </w:num>
  <w:num w:numId="51">
    <w:abstractNumId w:val="246"/>
  </w:num>
  <w:num w:numId="52">
    <w:abstractNumId w:val="211"/>
  </w:num>
  <w:num w:numId="53">
    <w:abstractNumId w:val="244"/>
  </w:num>
  <w:num w:numId="54">
    <w:abstractNumId w:val="253"/>
  </w:num>
  <w:num w:numId="55">
    <w:abstractNumId w:val="90"/>
  </w:num>
  <w:num w:numId="56">
    <w:abstractNumId w:val="129"/>
  </w:num>
  <w:num w:numId="57">
    <w:abstractNumId w:val="164"/>
  </w:num>
  <w:num w:numId="58">
    <w:abstractNumId w:val="235"/>
  </w:num>
  <w:num w:numId="59">
    <w:abstractNumId w:val="239"/>
  </w:num>
  <w:num w:numId="60">
    <w:abstractNumId w:val="167"/>
  </w:num>
  <w:num w:numId="61">
    <w:abstractNumId w:val="116"/>
  </w:num>
  <w:num w:numId="62">
    <w:abstractNumId w:val="188"/>
  </w:num>
  <w:num w:numId="63">
    <w:abstractNumId w:val="258"/>
  </w:num>
  <w:num w:numId="64">
    <w:abstractNumId w:val="79"/>
  </w:num>
  <w:num w:numId="65">
    <w:abstractNumId w:val="189"/>
  </w:num>
  <w:num w:numId="66">
    <w:abstractNumId w:val="95"/>
  </w:num>
  <w:num w:numId="67">
    <w:abstractNumId w:val="150"/>
  </w:num>
  <w:num w:numId="68">
    <w:abstractNumId w:val="141"/>
  </w:num>
  <w:num w:numId="69">
    <w:abstractNumId w:val="72"/>
  </w:num>
  <w:num w:numId="70">
    <w:abstractNumId w:val="48"/>
  </w:num>
  <w:num w:numId="71">
    <w:abstractNumId w:val="131"/>
  </w:num>
  <w:num w:numId="72">
    <w:abstractNumId w:val="206"/>
  </w:num>
  <w:num w:numId="73">
    <w:abstractNumId w:val="240"/>
  </w:num>
  <w:num w:numId="74">
    <w:abstractNumId w:val="119"/>
  </w:num>
  <w:num w:numId="75">
    <w:abstractNumId w:val="180"/>
  </w:num>
  <w:num w:numId="76">
    <w:abstractNumId w:val="237"/>
  </w:num>
  <w:num w:numId="77">
    <w:abstractNumId w:val="151"/>
  </w:num>
  <w:num w:numId="78">
    <w:abstractNumId w:val="213"/>
  </w:num>
  <w:num w:numId="79">
    <w:abstractNumId w:val="171"/>
  </w:num>
  <w:num w:numId="80">
    <w:abstractNumId w:val="62"/>
  </w:num>
  <w:num w:numId="81">
    <w:abstractNumId w:val="187"/>
  </w:num>
  <w:num w:numId="82">
    <w:abstractNumId w:val="145"/>
  </w:num>
  <w:num w:numId="83">
    <w:abstractNumId w:val="35"/>
  </w:num>
  <w:num w:numId="84">
    <w:abstractNumId w:val="216"/>
  </w:num>
  <w:num w:numId="85">
    <w:abstractNumId w:val="4"/>
  </w:num>
  <w:num w:numId="86">
    <w:abstractNumId w:val="256"/>
  </w:num>
  <w:num w:numId="87">
    <w:abstractNumId w:val="37"/>
  </w:num>
  <w:num w:numId="88">
    <w:abstractNumId w:val="55"/>
  </w:num>
  <w:num w:numId="89">
    <w:abstractNumId w:val="106"/>
  </w:num>
  <w:num w:numId="90">
    <w:abstractNumId w:val="58"/>
  </w:num>
  <w:num w:numId="91">
    <w:abstractNumId w:val="172"/>
  </w:num>
  <w:num w:numId="92">
    <w:abstractNumId w:val="100"/>
  </w:num>
  <w:num w:numId="93">
    <w:abstractNumId w:val="105"/>
  </w:num>
  <w:num w:numId="94">
    <w:abstractNumId w:val="103"/>
  </w:num>
  <w:num w:numId="95">
    <w:abstractNumId w:val="152"/>
  </w:num>
  <w:num w:numId="96">
    <w:abstractNumId w:val="198"/>
  </w:num>
  <w:num w:numId="97">
    <w:abstractNumId w:val="52"/>
  </w:num>
  <w:num w:numId="98">
    <w:abstractNumId w:val="249"/>
  </w:num>
  <w:num w:numId="99">
    <w:abstractNumId w:val="209"/>
  </w:num>
  <w:num w:numId="100">
    <w:abstractNumId w:val="224"/>
  </w:num>
  <w:num w:numId="101">
    <w:abstractNumId w:val="259"/>
  </w:num>
  <w:num w:numId="102">
    <w:abstractNumId w:val="194"/>
  </w:num>
  <w:num w:numId="103">
    <w:abstractNumId w:val="230"/>
  </w:num>
  <w:num w:numId="104">
    <w:abstractNumId w:val="44"/>
  </w:num>
  <w:num w:numId="105">
    <w:abstractNumId w:val="81"/>
  </w:num>
  <w:num w:numId="106">
    <w:abstractNumId w:val="67"/>
  </w:num>
  <w:num w:numId="107">
    <w:abstractNumId w:val="204"/>
  </w:num>
  <w:num w:numId="108">
    <w:abstractNumId w:val="143"/>
  </w:num>
  <w:num w:numId="109">
    <w:abstractNumId w:val="111"/>
  </w:num>
  <w:num w:numId="110">
    <w:abstractNumId w:val="168"/>
  </w:num>
  <w:num w:numId="111">
    <w:abstractNumId w:val="176"/>
  </w:num>
  <w:num w:numId="112">
    <w:abstractNumId w:val="162"/>
  </w:num>
  <w:num w:numId="113">
    <w:abstractNumId w:val="165"/>
  </w:num>
  <w:num w:numId="114">
    <w:abstractNumId w:val="201"/>
  </w:num>
  <w:num w:numId="115">
    <w:abstractNumId w:val="99"/>
  </w:num>
  <w:num w:numId="116">
    <w:abstractNumId w:val="252"/>
  </w:num>
  <w:num w:numId="117">
    <w:abstractNumId w:val="93"/>
  </w:num>
  <w:num w:numId="118">
    <w:abstractNumId w:val="179"/>
  </w:num>
  <w:num w:numId="119">
    <w:abstractNumId w:val="43"/>
  </w:num>
  <w:num w:numId="120">
    <w:abstractNumId w:val="248"/>
  </w:num>
  <w:num w:numId="121">
    <w:abstractNumId w:val="121"/>
  </w:num>
  <w:num w:numId="122">
    <w:abstractNumId w:val="50"/>
  </w:num>
  <w:num w:numId="123">
    <w:abstractNumId w:val="146"/>
  </w:num>
  <w:num w:numId="124">
    <w:abstractNumId w:val="200"/>
  </w:num>
  <w:num w:numId="125">
    <w:abstractNumId w:val="153"/>
  </w:num>
  <w:num w:numId="126">
    <w:abstractNumId w:val="86"/>
  </w:num>
  <w:num w:numId="127">
    <w:abstractNumId w:val="173"/>
  </w:num>
  <w:num w:numId="128">
    <w:abstractNumId w:val="139"/>
  </w:num>
  <w:num w:numId="129">
    <w:abstractNumId w:val="104"/>
  </w:num>
  <w:num w:numId="130">
    <w:abstractNumId w:val="231"/>
  </w:num>
  <w:num w:numId="131">
    <w:abstractNumId w:val="57"/>
  </w:num>
  <w:num w:numId="132">
    <w:abstractNumId w:val="59"/>
  </w:num>
  <w:num w:numId="133">
    <w:abstractNumId w:val="98"/>
  </w:num>
  <w:num w:numId="134">
    <w:abstractNumId w:val="63"/>
  </w:num>
  <w:num w:numId="135">
    <w:abstractNumId w:val="186"/>
  </w:num>
  <w:num w:numId="136">
    <w:abstractNumId w:val="149"/>
  </w:num>
  <w:num w:numId="137">
    <w:abstractNumId w:val="112"/>
  </w:num>
  <w:num w:numId="138">
    <w:abstractNumId w:val="193"/>
  </w:num>
  <w:num w:numId="139">
    <w:abstractNumId w:val="212"/>
  </w:num>
  <w:num w:numId="140">
    <w:abstractNumId w:val="74"/>
  </w:num>
  <w:num w:numId="141">
    <w:abstractNumId w:val="199"/>
  </w:num>
  <w:num w:numId="142">
    <w:abstractNumId w:val="64"/>
  </w:num>
  <w:num w:numId="143">
    <w:abstractNumId w:val="236"/>
  </w:num>
  <w:num w:numId="144">
    <w:abstractNumId w:val="61"/>
  </w:num>
  <w:num w:numId="145">
    <w:abstractNumId w:val="227"/>
  </w:num>
  <w:num w:numId="146">
    <w:abstractNumId w:val="229"/>
  </w:num>
  <w:num w:numId="147">
    <w:abstractNumId w:val="228"/>
  </w:num>
  <w:num w:numId="148">
    <w:abstractNumId w:val="221"/>
  </w:num>
  <w:num w:numId="149">
    <w:abstractNumId w:val="214"/>
  </w:num>
  <w:num w:numId="150">
    <w:abstractNumId w:val="107"/>
  </w:num>
  <w:num w:numId="151">
    <w:abstractNumId w:val="183"/>
  </w:num>
  <w:num w:numId="152">
    <w:abstractNumId w:val="69"/>
  </w:num>
  <w:num w:numId="153">
    <w:abstractNumId w:val="170"/>
  </w:num>
  <w:num w:numId="154">
    <w:abstractNumId w:val="140"/>
  </w:num>
  <w:num w:numId="155">
    <w:abstractNumId w:val="163"/>
  </w:num>
  <w:num w:numId="156">
    <w:abstractNumId w:val="85"/>
  </w:num>
  <w:num w:numId="157">
    <w:abstractNumId w:val="219"/>
  </w:num>
  <w:num w:numId="158">
    <w:abstractNumId w:val="208"/>
  </w:num>
  <w:num w:numId="159">
    <w:abstractNumId w:val="109"/>
  </w:num>
  <w:num w:numId="160">
    <w:abstractNumId w:val="133"/>
  </w:num>
  <w:num w:numId="161">
    <w:abstractNumId w:val="36"/>
  </w:num>
  <w:num w:numId="162">
    <w:abstractNumId w:val="215"/>
  </w:num>
  <w:num w:numId="163">
    <w:abstractNumId w:val="138"/>
  </w:num>
  <w:num w:numId="164">
    <w:abstractNumId w:val="207"/>
  </w:num>
  <w:num w:numId="165">
    <w:abstractNumId w:val="177"/>
  </w:num>
  <w:num w:numId="166">
    <w:abstractNumId w:val="45"/>
  </w:num>
  <w:num w:numId="167">
    <w:abstractNumId w:val="120"/>
  </w:num>
  <w:num w:numId="168">
    <w:abstractNumId w:val="251"/>
  </w:num>
  <w:num w:numId="169">
    <w:abstractNumId w:val="66"/>
  </w:num>
  <w:num w:numId="170">
    <w:abstractNumId w:val="226"/>
  </w:num>
  <w:num w:numId="171">
    <w:abstractNumId w:val="47"/>
  </w:num>
  <w:num w:numId="172">
    <w:abstractNumId w:val="243"/>
  </w:num>
  <w:num w:numId="173">
    <w:abstractNumId w:val="233"/>
  </w:num>
  <w:num w:numId="174">
    <w:abstractNumId w:val="185"/>
  </w:num>
  <w:num w:numId="175">
    <w:abstractNumId w:val="232"/>
  </w:num>
  <w:num w:numId="176">
    <w:abstractNumId w:val="142"/>
  </w:num>
  <w:num w:numId="177">
    <w:abstractNumId w:val="124"/>
  </w:num>
  <w:num w:numId="178">
    <w:abstractNumId w:val="94"/>
  </w:num>
  <w:num w:numId="179">
    <w:abstractNumId w:val="118"/>
  </w:num>
  <w:num w:numId="180">
    <w:abstractNumId w:val="84"/>
  </w:num>
  <w:num w:numId="181">
    <w:abstractNumId w:val="125"/>
  </w:num>
  <w:num w:numId="182">
    <w:abstractNumId w:val="134"/>
  </w:num>
  <w:num w:numId="183">
    <w:abstractNumId w:val="80"/>
  </w:num>
  <w:num w:numId="184">
    <w:abstractNumId w:val="92"/>
  </w:num>
  <w:num w:numId="185">
    <w:abstractNumId w:val="126"/>
  </w:num>
  <w:num w:numId="186">
    <w:abstractNumId w:val="136"/>
  </w:num>
  <w:num w:numId="187">
    <w:abstractNumId w:val="245"/>
  </w:num>
  <w:num w:numId="188">
    <w:abstractNumId w:val="196"/>
  </w:num>
  <w:num w:numId="189">
    <w:abstractNumId w:val="71"/>
  </w:num>
  <w:num w:numId="190">
    <w:abstractNumId w:val="154"/>
  </w:num>
  <w:num w:numId="191">
    <w:abstractNumId w:val="147"/>
  </w:num>
  <w:num w:numId="192">
    <w:abstractNumId w:val="175"/>
  </w:num>
  <w:num w:numId="193">
    <w:abstractNumId w:val="218"/>
  </w:num>
  <w:num w:numId="194">
    <w:abstractNumId w:val="46"/>
  </w:num>
  <w:num w:numId="195">
    <w:abstractNumId w:val="160"/>
  </w:num>
  <w:num w:numId="196">
    <w:abstractNumId w:val="242"/>
  </w:num>
  <w:num w:numId="197">
    <w:abstractNumId w:val="190"/>
  </w:num>
  <w:num w:numId="198">
    <w:abstractNumId w:val="32"/>
  </w:num>
  <w:num w:numId="199">
    <w:abstractNumId w:val="191"/>
  </w:num>
  <w:num w:numId="200">
    <w:abstractNumId w:val="159"/>
  </w:num>
  <w:num w:numId="201">
    <w:abstractNumId w:val="3"/>
    <w:lvlOverride w:ilvl="0">
      <w:lvl w:ilvl="0">
        <w:numFmt w:val="bullet"/>
        <w:lvlText w:val=""/>
        <w:legacy w:legacy="1" w:legacySpace="0" w:legacyIndent="360"/>
        <w:lvlJc w:val="left"/>
        <w:rPr>
          <w:rFonts w:ascii="Symbol" w:hAnsi="Symbol" w:hint="default"/>
        </w:rPr>
      </w:lvl>
    </w:lvlOverride>
  </w:num>
  <w:num w:numId="202">
    <w:abstractNumId w:val="128"/>
  </w:num>
  <w:num w:numId="203">
    <w:abstractNumId w:val="122"/>
  </w:num>
  <w:num w:numId="204">
    <w:abstractNumId w:val="56"/>
  </w:num>
  <w:num w:numId="205">
    <w:abstractNumId w:val="132"/>
  </w:num>
  <w:num w:numId="206">
    <w:abstractNumId w:val="78"/>
  </w:num>
  <w:num w:numId="207">
    <w:abstractNumId w:val="33"/>
  </w:num>
  <w:num w:numId="208">
    <w:abstractNumId w:val="110"/>
  </w:num>
  <w:num w:numId="209">
    <w:abstractNumId w:val="210"/>
  </w:num>
  <w:num w:numId="210">
    <w:abstractNumId w:val="91"/>
  </w:num>
  <w:num w:numId="211">
    <w:abstractNumId w:val="137"/>
  </w:num>
  <w:num w:numId="212">
    <w:abstractNumId w:val="6"/>
  </w:num>
  <w:num w:numId="213">
    <w:abstractNumId w:val="192"/>
  </w:num>
  <w:num w:numId="214">
    <w:abstractNumId w:val="250"/>
  </w:num>
  <w:num w:numId="215">
    <w:abstractNumId w:val="184"/>
  </w:num>
  <w:num w:numId="216">
    <w:abstractNumId w:val="255"/>
  </w:num>
  <w:num w:numId="217">
    <w:abstractNumId w:val="169"/>
  </w:num>
  <w:num w:numId="218">
    <w:abstractNumId w:val="222"/>
  </w:num>
  <w:num w:numId="219">
    <w:abstractNumId w:val="148"/>
  </w:num>
  <w:num w:numId="220">
    <w:abstractNumId w:val="123"/>
  </w:num>
  <w:num w:numId="221">
    <w:abstractNumId w:val="158"/>
  </w:num>
  <w:num w:numId="222">
    <w:abstractNumId w:val="97"/>
  </w:num>
  <w:num w:numId="223">
    <w:abstractNumId w:val="203"/>
  </w:num>
  <w:num w:numId="224">
    <w:abstractNumId w:val="117"/>
  </w:num>
  <w:num w:numId="225">
    <w:abstractNumId w:val="89"/>
  </w:num>
  <w:num w:numId="226">
    <w:abstractNumId w:val="247"/>
  </w:num>
  <w:num w:numId="227">
    <w:abstractNumId w:val="130"/>
  </w:num>
  <w:num w:numId="228">
    <w:abstractNumId w:val="42"/>
  </w:num>
  <w:num w:numId="229">
    <w:abstractNumId w:val="166"/>
  </w:num>
  <w:num w:numId="230">
    <w:abstractNumId w:val="195"/>
  </w:num>
  <w:num w:numId="231">
    <w:abstractNumId w:val="87"/>
  </w:num>
  <w:num w:numId="232">
    <w:abstractNumId w:val="178"/>
  </w:num>
  <w:num w:numId="233">
    <w:abstractNumId w:val="30"/>
  </w:num>
  <w:num w:numId="234">
    <w:abstractNumId w:val="38"/>
  </w:num>
  <w:num w:numId="235">
    <w:abstractNumId w:val="34"/>
  </w:num>
  <w:num w:numId="236">
    <w:abstractNumId w:val="182"/>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73477"/>
    <w:rsid w:val="00000130"/>
    <w:rsid w:val="000004A4"/>
    <w:rsid w:val="00000514"/>
    <w:rsid w:val="00000BAF"/>
    <w:rsid w:val="00000C83"/>
    <w:rsid w:val="00000E9F"/>
    <w:rsid w:val="0000132A"/>
    <w:rsid w:val="000013CC"/>
    <w:rsid w:val="000016A8"/>
    <w:rsid w:val="00001B72"/>
    <w:rsid w:val="00001DAA"/>
    <w:rsid w:val="00002AC0"/>
    <w:rsid w:val="00002BCA"/>
    <w:rsid w:val="00002BCD"/>
    <w:rsid w:val="00002DAB"/>
    <w:rsid w:val="00002E19"/>
    <w:rsid w:val="000035E4"/>
    <w:rsid w:val="000036BB"/>
    <w:rsid w:val="0000398A"/>
    <w:rsid w:val="00003F1F"/>
    <w:rsid w:val="000045C4"/>
    <w:rsid w:val="00004E30"/>
    <w:rsid w:val="000050E5"/>
    <w:rsid w:val="000058BD"/>
    <w:rsid w:val="00005BAF"/>
    <w:rsid w:val="00005FD0"/>
    <w:rsid w:val="00006439"/>
    <w:rsid w:val="00006827"/>
    <w:rsid w:val="00006FAB"/>
    <w:rsid w:val="0000729C"/>
    <w:rsid w:val="00007960"/>
    <w:rsid w:val="00007989"/>
    <w:rsid w:val="000079D0"/>
    <w:rsid w:val="00007D3A"/>
    <w:rsid w:val="00010401"/>
    <w:rsid w:val="0001050A"/>
    <w:rsid w:val="00010602"/>
    <w:rsid w:val="00010B2A"/>
    <w:rsid w:val="000118AF"/>
    <w:rsid w:val="00011E93"/>
    <w:rsid w:val="0001200E"/>
    <w:rsid w:val="00012045"/>
    <w:rsid w:val="00012103"/>
    <w:rsid w:val="000128D3"/>
    <w:rsid w:val="00012CCD"/>
    <w:rsid w:val="00012D34"/>
    <w:rsid w:val="00012DB8"/>
    <w:rsid w:val="00012F67"/>
    <w:rsid w:val="00013264"/>
    <w:rsid w:val="00013359"/>
    <w:rsid w:val="00013360"/>
    <w:rsid w:val="000135A1"/>
    <w:rsid w:val="0001367E"/>
    <w:rsid w:val="00013A83"/>
    <w:rsid w:val="00013AED"/>
    <w:rsid w:val="000146ED"/>
    <w:rsid w:val="000148EA"/>
    <w:rsid w:val="0001492B"/>
    <w:rsid w:val="00014D3F"/>
    <w:rsid w:val="000153AB"/>
    <w:rsid w:val="00015515"/>
    <w:rsid w:val="00015EB9"/>
    <w:rsid w:val="00016116"/>
    <w:rsid w:val="0001619B"/>
    <w:rsid w:val="000161F9"/>
    <w:rsid w:val="00016358"/>
    <w:rsid w:val="00016435"/>
    <w:rsid w:val="00016550"/>
    <w:rsid w:val="00016BB7"/>
    <w:rsid w:val="00016F69"/>
    <w:rsid w:val="000176B8"/>
    <w:rsid w:val="00017A4D"/>
    <w:rsid w:val="00017C35"/>
    <w:rsid w:val="000200AF"/>
    <w:rsid w:val="00020274"/>
    <w:rsid w:val="000202FF"/>
    <w:rsid w:val="000203C7"/>
    <w:rsid w:val="00020444"/>
    <w:rsid w:val="00020596"/>
    <w:rsid w:val="000207A9"/>
    <w:rsid w:val="0002095F"/>
    <w:rsid w:val="00020B45"/>
    <w:rsid w:val="00020BB1"/>
    <w:rsid w:val="000212E3"/>
    <w:rsid w:val="00021698"/>
    <w:rsid w:val="000219DE"/>
    <w:rsid w:val="0002237B"/>
    <w:rsid w:val="000226D2"/>
    <w:rsid w:val="00023FA7"/>
    <w:rsid w:val="0002401E"/>
    <w:rsid w:val="0002440C"/>
    <w:rsid w:val="00024A3B"/>
    <w:rsid w:val="00024D60"/>
    <w:rsid w:val="00024DC6"/>
    <w:rsid w:val="00025566"/>
    <w:rsid w:val="00025802"/>
    <w:rsid w:val="0002580B"/>
    <w:rsid w:val="00025BC4"/>
    <w:rsid w:val="00026214"/>
    <w:rsid w:val="00026443"/>
    <w:rsid w:val="000266C3"/>
    <w:rsid w:val="000267FB"/>
    <w:rsid w:val="0002690B"/>
    <w:rsid w:val="000271CE"/>
    <w:rsid w:val="000276D3"/>
    <w:rsid w:val="00027913"/>
    <w:rsid w:val="00030876"/>
    <w:rsid w:val="00030ED3"/>
    <w:rsid w:val="0003119B"/>
    <w:rsid w:val="00031426"/>
    <w:rsid w:val="0003154E"/>
    <w:rsid w:val="0003170E"/>
    <w:rsid w:val="00031863"/>
    <w:rsid w:val="0003189D"/>
    <w:rsid w:val="00031B79"/>
    <w:rsid w:val="000321A4"/>
    <w:rsid w:val="00032723"/>
    <w:rsid w:val="00033480"/>
    <w:rsid w:val="00033799"/>
    <w:rsid w:val="00033965"/>
    <w:rsid w:val="00033A87"/>
    <w:rsid w:val="00033C0E"/>
    <w:rsid w:val="000340E2"/>
    <w:rsid w:val="0003426A"/>
    <w:rsid w:val="000357B3"/>
    <w:rsid w:val="000360F0"/>
    <w:rsid w:val="0003614F"/>
    <w:rsid w:val="000365E6"/>
    <w:rsid w:val="000367E7"/>
    <w:rsid w:val="00036A71"/>
    <w:rsid w:val="00037594"/>
    <w:rsid w:val="000376ED"/>
    <w:rsid w:val="0003775C"/>
    <w:rsid w:val="00037A17"/>
    <w:rsid w:val="00037A20"/>
    <w:rsid w:val="00037DD6"/>
    <w:rsid w:val="00040790"/>
    <w:rsid w:val="00040924"/>
    <w:rsid w:val="0004124D"/>
    <w:rsid w:val="000419AF"/>
    <w:rsid w:val="00042D88"/>
    <w:rsid w:val="00042E6D"/>
    <w:rsid w:val="00044421"/>
    <w:rsid w:val="00044B96"/>
    <w:rsid w:val="00044F48"/>
    <w:rsid w:val="000455F6"/>
    <w:rsid w:val="00045D63"/>
    <w:rsid w:val="00046108"/>
    <w:rsid w:val="00046150"/>
    <w:rsid w:val="00046247"/>
    <w:rsid w:val="00046381"/>
    <w:rsid w:val="00046D01"/>
    <w:rsid w:val="00046D77"/>
    <w:rsid w:val="0004740B"/>
    <w:rsid w:val="000478D0"/>
    <w:rsid w:val="00047CCE"/>
    <w:rsid w:val="00047F18"/>
    <w:rsid w:val="00050AAD"/>
    <w:rsid w:val="00050B3C"/>
    <w:rsid w:val="00051862"/>
    <w:rsid w:val="000518E9"/>
    <w:rsid w:val="00051A43"/>
    <w:rsid w:val="00051D7B"/>
    <w:rsid w:val="00051FBE"/>
    <w:rsid w:val="0005254A"/>
    <w:rsid w:val="000531F0"/>
    <w:rsid w:val="00053446"/>
    <w:rsid w:val="00053C1C"/>
    <w:rsid w:val="00054010"/>
    <w:rsid w:val="0005407E"/>
    <w:rsid w:val="000543F2"/>
    <w:rsid w:val="00054991"/>
    <w:rsid w:val="00054C65"/>
    <w:rsid w:val="00054EF5"/>
    <w:rsid w:val="00055154"/>
    <w:rsid w:val="0005537C"/>
    <w:rsid w:val="000553D3"/>
    <w:rsid w:val="00055677"/>
    <w:rsid w:val="000558BB"/>
    <w:rsid w:val="00055BDE"/>
    <w:rsid w:val="00055CC4"/>
    <w:rsid w:val="00055E4F"/>
    <w:rsid w:val="0005612C"/>
    <w:rsid w:val="00056415"/>
    <w:rsid w:val="000565C6"/>
    <w:rsid w:val="00056862"/>
    <w:rsid w:val="00056B82"/>
    <w:rsid w:val="00056F03"/>
    <w:rsid w:val="000571D8"/>
    <w:rsid w:val="00057B15"/>
    <w:rsid w:val="000609E3"/>
    <w:rsid w:val="00060B2F"/>
    <w:rsid w:val="0006123D"/>
    <w:rsid w:val="00061A9D"/>
    <w:rsid w:val="00061C89"/>
    <w:rsid w:val="00061DE7"/>
    <w:rsid w:val="0006212D"/>
    <w:rsid w:val="0006322B"/>
    <w:rsid w:val="00063279"/>
    <w:rsid w:val="00063292"/>
    <w:rsid w:val="0006338B"/>
    <w:rsid w:val="00063D30"/>
    <w:rsid w:val="000644FC"/>
    <w:rsid w:val="000650A0"/>
    <w:rsid w:val="000653FB"/>
    <w:rsid w:val="00065705"/>
    <w:rsid w:val="00065CFC"/>
    <w:rsid w:val="0006603B"/>
    <w:rsid w:val="0006672D"/>
    <w:rsid w:val="00066834"/>
    <w:rsid w:val="00066A32"/>
    <w:rsid w:val="00067139"/>
    <w:rsid w:val="00067244"/>
    <w:rsid w:val="000673B4"/>
    <w:rsid w:val="000677C3"/>
    <w:rsid w:val="000679BB"/>
    <w:rsid w:val="00067B38"/>
    <w:rsid w:val="0007030D"/>
    <w:rsid w:val="00070B6E"/>
    <w:rsid w:val="00070EFF"/>
    <w:rsid w:val="0007183C"/>
    <w:rsid w:val="000719DE"/>
    <w:rsid w:val="000719DF"/>
    <w:rsid w:val="00071A85"/>
    <w:rsid w:val="00071D31"/>
    <w:rsid w:val="00072266"/>
    <w:rsid w:val="00072537"/>
    <w:rsid w:val="00072947"/>
    <w:rsid w:val="00072E48"/>
    <w:rsid w:val="00073134"/>
    <w:rsid w:val="00073477"/>
    <w:rsid w:val="000736BC"/>
    <w:rsid w:val="0007376C"/>
    <w:rsid w:val="000737BB"/>
    <w:rsid w:val="00073D42"/>
    <w:rsid w:val="000746D1"/>
    <w:rsid w:val="0007480D"/>
    <w:rsid w:val="00074C29"/>
    <w:rsid w:val="00074F3C"/>
    <w:rsid w:val="000752FE"/>
    <w:rsid w:val="00075715"/>
    <w:rsid w:val="00075C3C"/>
    <w:rsid w:val="00076162"/>
    <w:rsid w:val="00076554"/>
    <w:rsid w:val="00076840"/>
    <w:rsid w:val="00076C1C"/>
    <w:rsid w:val="00077624"/>
    <w:rsid w:val="00077679"/>
    <w:rsid w:val="00077748"/>
    <w:rsid w:val="00077E4F"/>
    <w:rsid w:val="00080088"/>
    <w:rsid w:val="00080481"/>
    <w:rsid w:val="00080593"/>
    <w:rsid w:val="00080A69"/>
    <w:rsid w:val="00080C4B"/>
    <w:rsid w:val="000820B6"/>
    <w:rsid w:val="000828FE"/>
    <w:rsid w:val="00082AC9"/>
    <w:rsid w:val="00082B5F"/>
    <w:rsid w:val="00082BAA"/>
    <w:rsid w:val="00082D66"/>
    <w:rsid w:val="00083573"/>
    <w:rsid w:val="0008369C"/>
    <w:rsid w:val="00083A6D"/>
    <w:rsid w:val="00083DD7"/>
    <w:rsid w:val="00083E39"/>
    <w:rsid w:val="000840F4"/>
    <w:rsid w:val="00084737"/>
    <w:rsid w:val="000850D7"/>
    <w:rsid w:val="0008512A"/>
    <w:rsid w:val="00085565"/>
    <w:rsid w:val="0008574F"/>
    <w:rsid w:val="00086202"/>
    <w:rsid w:val="0008652F"/>
    <w:rsid w:val="0008665E"/>
    <w:rsid w:val="00086909"/>
    <w:rsid w:val="00086942"/>
    <w:rsid w:val="00086AEF"/>
    <w:rsid w:val="000871AD"/>
    <w:rsid w:val="0008735C"/>
    <w:rsid w:val="00087A76"/>
    <w:rsid w:val="00087F2F"/>
    <w:rsid w:val="0009007F"/>
    <w:rsid w:val="000901CD"/>
    <w:rsid w:val="00090275"/>
    <w:rsid w:val="000902D9"/>
    <w:rsid w:val="00090EE5"/>
    <w:rsid w:val="00091029"/>
    <w:rsid w:val="00091674"/>
    <w:rsid w:val="00092C61"/>
    <w:rsid w:val="00092D35"/>
    <w:rsid w:val="00092E15"/>
    <w:rsid w:val="000938FC"/>
    <w:rsid w:val="00093D60"/>
    <w:rsid w:val="000940ED"/>
    <w:rsid w:val="00094580"/>
    <w:rsid w:val="000947A4"/>
    <w:rsid w:val="00094E10"/>
    <w:rsid w:val="00095EE5"/>
    <w:rsid w:val="00096203"/>
    <w:rsid w:val="000962B2"/>
    <w:rsid w:val="00096314"/>
    <w:rsid w:val="00096762"/>
    <w:rsid w:val="00096D35"/>
    <w:rsid w:val="00096F5D"/>
    <w:rsid w:val="00097416"/>
    <w:rsid w:val="00097B6C"/>
    <w:rsid w:val="00097EE2"/>
    <w:rsid w:val="000A02EA"/>
    <w:rsid w:val="000A0465"/>
    <w:rsid w:val="000A0C80"/>
    <w:rsid w:val="000A1059"/>
    <w:rsid w:val="000A15A5"/>
    <w:rsid w:val="000A160D"/>
    <w:rsid w:val="000A162C"/>
    <w:rsid w:val="000A1F2F"/>
    <w:rsid w:val="000A1FEC"/>
    <w:rsid w:val="000A2260"/>
    <w:rsid w:val="000A249D"/>
    <w:rsid w:val="000A2527"/>
    <w:rsid w:val="000A27E0"/>
    <w:rsid w:val="000A2958"/>
    <w:rsid w:val="000A2998"/>
    <w:rsid w:val="000A2B70"/>
    <w:rsid w:val="000A2BD6"/>
    <w:rsid w:val="000A2D1F"/>
    <w:rsid w:val="000A2D34"/>
    <w:rsid w:val="000A33BE"/>
    <w:rsid w:val="000A3BB5"/>
    <w:rsid w:val="000A3E7B"/>
    <w:rsid w:val="000A4228"/>
    <w:rsid w:val="000A437D"/>
    <w:rsid w:val="000A4617"/>
    <w:rsid w:val="000A4A4E"/>
    <w:rsid w:val="000A4C6D"/>
    <w:rsid w:val="000A4CE5"/>
    <w:rsid w:val="000A4FD4"/>
    <w:rsid w:val="000A55EA"/>
    <w:rsid w:val="000A5877"/>
    <w:rsid w:val="000A5D2F"/>
    <w:rsid w:val="000A66C2"/>
    <w:rsid w:val="000A681B"/>
    <w:rsid w:val="000A6850"/>
    <w:rsid w:val="000A6BF9"/>
    <w:rsid w:val="000A6DAB"/>
    <w:rsid w:val="000A7282"/>
    <w:rsid w:val="000A7292"/>
    <w:rsid w:val="000A7472"/>
    <w:rsid w:val="000A7686"/>
    <w:rsid w:val="000A7FC8"/>
    <w:rsid w:val="000B075F"/>
    <w:rsid w:val="000B0CE2"/>
    <w:rsid w:val="000B0EAB"/>
    <w:rsid w:val="000B0F9B"/>
    <w:rsid w:val="000B11EE"/>
    <w:rsid w:val="000B147E"/>
    <w:rsid w:val="000B16BD"/>
    <w:rsid w:val="000B1713"/>
    <w:rsid w:val="000B18BE"/>
    <w:rsid w:val="000B1E8C"/>
    <w:rsid w:val="000B2138"/>
    <w:rsid w:val="000B23F5"/>
    <w:rsid w:val="000B23FA"/>
    <w:rsid w:val="000B261C"/>
    <w:rsid w:val="000B27D8"/>
    <w:rsid w:val="000B287D"/>
    <w:rsid w:val="000B2DAB"/>
    <w:rsid w:val="000B4403"/>
    <w:rsid w:val="000B4F0D"/>
    <w:rsid w:val="000B5015"/>
    <w:rsid w:val="000B5349"/>
    <w:rsid w:val="000B566D"/>
    <w:rsid w:val="000B5B01"/>
    <w:rsid w:val="000B5FE9"/>
    <w:rsid w:val="000B6B97"/>
    <w:rsid w:val="000B6C31"/>
    <w:rsid w:val="000B6C7D"/>
    <w:rsid w:val="000B6F8C"/>
    <w:rsid w:val="000B7213"/>
    <w:rsid w:val="000B7A8D"/>
    <w:rsid w:val="000B7C03"/>
    <w:rsid w:val="000C115C"/>
    <w:rsid w:val="000C11C7"/>
    <w:rsid w:val="000C1336"/>
    <w:rsid w:val="000C18B4"/>
    <w:rsid w:val="000C1B5F"/>
    <w:rsid w:val="000C2010"/>
    <w:rsid w:val="000C28C1"/>
    <w:rsid w:val="000C28E8"/>
    <w:rsid w:val="000C2E7D"/>
    <w:rsid w:val="000C383D"/>
    <w:rsid w:val="000C4053"/>
    <w:rsid w:val="000C4680"/>
    <w:rsid w:val="000C4DA5"/>
    <w:rsid w:val="000C4F29"/>
    <w:rsid w:val="000C4F95"/>
    <w:rsid w:val="000C550A"/>
    <w:rsid w:val="000C5EAD"/>
    <w:rsid w:val="000C5F2D"/>
    <w:rsid w:val="000C6377"/>
    <w:rsid w:val="000C6542"/>
    <w:rsid w:val="000C7893"/>
    <w:rsid w:val="000C7C26"/>
    <w:rsid w:val="000D006F"/>
    <w:rsid w:val="000D02D6"/>
    <w:rsid w:val="000D034F"/>
    <w:rsid w:val="000D044B"/>
    <w:rsid w:val="000D0B2B"/>
    <w:rsid w:val="000D14A5"/>
    <w:rsid w:val="000D155C"/>
    <w:rsid w:val="000D15E3"/>
    <w:rsid w:val="000D186A"/>
    <w:rsid w:val="000D1946"/>
    <w:rsid w:val="000D21BA"/>
    <w:rsid w:val="000D2207"/>
    <w:rsid w:val="000D2B1B"/>
    <w:rsid w:val="000D2DB9"/>
    <w:rsid w:val="000D309A"/>
    <w:rsid w:val="000D32AF"/>
    <w:rsid w:val="000D361A"/>
    <w:rsid w:val="000D44A7"/>
    <w:rsid w:val="000D4C41"/>
    <w:rsid w:val="000D4FEE"/>
    <w:rsid w:val="000D517F"/>
    <w:rsid w:val="000D53B8"/>
    <w:rsid w:val="000D5CEA"/>
    <w:rsid w:val="000D61C3"/>
    <w:rsid w:val="000D69C5"/>
    <w:rsid w:val="000D6DC6"/>
    <w:rsid w:val="000D708A"/>
    <w:rsid w:val="000D73B5"/>
    <w:rsid w:val="000D73C8"/>
    <w:rsid w:val="000D77E1"/>
    <w:rsid w:val="000D78AA"/>
    <w:rsid w:val="000D7E0B"/>
    <w:rsid w:val="000D7FC7"/>
    <w:rsid w:val="000E0619"/>
    <w:rsid w:val="000E0FB3"/>
    <w:rsid w:val="000E1177"/>
    <w:rsid w:val="000E1535"/>
    <w:rsid w:val="000E15EA"/>
    <w:rsid w:val="000E16C3"/>
    <w:rsid w:val="000E2327"/>
    <w:rsid w:val="000E34AA"/>
    <w:rsid w:val="000E3722"/>
    <w:rsid w:val="000E4101"/>
    <w:rsid w:val="000E41A7"/>
    <w:rsid w:val="000E4280"/>
    <w:rsid w:val="000E44C9"/>
    <w:rsid w:val="000E47CA"/>
    <w:rsid w:val="000E51CF"/>
    <w:rsid w:val="000E54B3"/>
    <w:rsid w:val="000E5990"/>
    <w:rsid w:val="000E5C0F"/>
    <w:rsid w:val="000E5DB8"/>
    <w:rsid w:val="000E61A1"/>
    <w:rsid w:val="000E676C"/>
    <w:rsid w:val="000E6E0A"/>
    <w:rsid w:val="000E7643"/>
    <w:rsid w:val="000E764C"/>
    <w:rsid w:val="000E7E25"/>
    <w:rsid w:val="000F0031"/>
    <w:rsid w:val="000F13D4"/>
    <w:rsid w:val="000F186B"/>
    <w:rsid w:val="000F1C9A"/>
    <w:rsid w:val="000F1D17"/>
    <w:rsid w:val="000F20A9"/>
    <w:rsid w:val="000F2948"/>
    <w:rsid w:val="000F2C8A"/>
    <w:rsid w:val="000F2E4F"/>
    <w:rsid w:val="000F3B21"/>
    <w:rsid w:val="000F3B8B"/>
    <w:rsid w:val="000F42B2"/>
    <w:rsid w:val="000F443B"/>
    <w:rsid w:val="000F4A4B"/>
    <w:rsid w:val="000F4CF8"/>
    <w:rsid w:val="000F59BD"/>
    <w:rsid w:val="000F5BD9"/>
    <w:rsid w:val="000F665F"/>
    <w:rsid w:val="000F66DC"/>
    <w:rsid w:val="000F6B4C"/>
    <w:rsid w:val="000F75DA"/>
    <w:rsid w:val="000F75FD"/>
    <w:rsid w:val="000F7718"/>
    <w:rsid w:val="000F77B6"/>
    <w:rsid w:val="000F7BFE"/>
    <w:rsid w:val="000F7E54"/>
    <w:rsid w:val="00100345"/>
    <w:rsid w:val="001005AE"/>
    <w:rsid w:val="001005EC"/>
    <w:rsid w:val="001009E8"/>
    <w:rsid w:val="00100AF2"/>
    <w:rsid w:val="00100B63"/>
    <w:rsid w:val="00100E1F"/>
    <w:rsid w:val="0010109D"/>
    <w:rsid w:val="00101C4A"/>
    <w:rsid w:val="00102175"/>
    <w:rsid w:val="00102FBD"/>
    <w:rsid w:val="001031DF"/>
    <w:rsid w:val="00103E48"/>
    <w:rsid w:val="00104202"/>
    <w:rsid w:val="0010425E"/>
    <w:rsid w:val="001042AE"/>
    <w:rsid w:val="001049B7"/>
    <w:rsid w:val="00104FC0"/>
    <w:rsid w:val="00105669"/>
    <w:rsid w:val="00105963"/>
    <w:rsid w:val="00106B8D"/>
    <w:rsid w:val="00106F26"/>
    <w:rsid w:val="0010788A"/>
    <w:rsid w:val="00107DA5"/>
    <w:rsid w:val="0011052F"/>
    <w:rsid w:val="00110990"/>
    <w:rsid w:val="00110A22"/>
    <w:rsid w:val="00110AEE"/>
    <w:rsid w:val="00110C03"/>
    <w:rsid w:val="00111047"/>
    <w:rsid w:val="001110A9"/>
    <w:rsid w:val="0011139C"/>
    <w:rsid w:val="00111765"/>
    <w:rsid w:val="001118F2"/>
    <w:rsid w:val="001124FA"/>
    <w:rsid w:val="0011286C"/>
    <w:rsid w:val="001128CD"/>
    <w:rsid w:val="00112BBE"/>
    <w:rsid w:val="00112EF8"/>
    <w:rsid w:val="001136F3"/>
    <w:rsid w:val="00113A03"/>
    <w:rsid w:val="00113C28"/>
    <w:rsid w:val="00114032"/>
    <w:rsid w:val="0011411B"/>
    <w:rsid w:val="00114382"/>
    <w:rsid w:val="001145A8"/>
    <w:rsid w:val="00114687"/>
    <w:rsid w:val="00114693"/>
    <w:rsid w:val="001146CB"/>
    <w:rsid w:val="00115B9C"/>
    <w:rsid w:val="0011607D"/>
    <w:rsid w:val="00116815"/>
    <w:rsid w:val="00116BD3"/>
    <w:rsid w:val="00116D47"/>
    <w:rsid w:val="00116F20"/>
    <w:rsid w:val="0011737B"/>
    <w:rsid w:val="001174B1"/>
    <w:rsid w:val="001174B4"/>
    <w:rsid w:val="00120187"/>
    <w:rsid w:val="00120F77"/>
    <w:rsid w:val="001222E1"/>
    <w:rsid w:val="0012297C"/>
    <w:rsid w:val="00123159"/>
    <w:rsid w:val="00123217"/>
    <w:rsid w:val="00123390"/>
    <w:rsid w:val="00123447"/>
    <w:rsid w:val="0012365F"/>
    <w:rsid w:val="00123992"/>
    <w:rsid w:val="00123C11"/>
    <w:rsid w:val="00123F1D"/>
    <w:rsid w:val="001244DB"/>
    <w:rsid w:val="001249C0"/>
    <w:rsid w:val="001249E6"/>
    <w:rsid w:val="00124CE1"/>
    <w:rsid w:val="0012537E"/>
    <w:rsid w:val="001257CC"/>
    <w:rsid w:val="001258C5"/>
    <w:rsid w:val="00125D4F"/>
    <w:rsid w:val="00125E1A"/>
    <w:rsid w:val="00126C5F"/>
    <w:rsid w:val="00126F09"/>
    <w:rsid w:val="00126F5E"/>
    <w:rsid w:val="001270CF"/>
    <w:rsid w:val="00127E86"/>
    <w:rsid w:val="00127F29"/>
    <w:rsid w:val="00127FDF"/>
    <w:rsid w:val="0013021E"/>
    <w:rsid w:val="00130368"/>
    <w:rsid w:val="00130393"/>
    <w:rsid w:val="001303A9"/>
    <w:rsid w:val="00130613"/>
    <w:rsid w:val="00130F34"/>
    <w:rsid w:val="0013110D"/>
    <w:rsid w:val="001312B3"/>
    <w:rsid w:val="001314A0"/>
    <w:rsid w:val="001315AD"/>
    <w:rsid w:val="00131688"/>
    <w:rsid w:val="00131A07"/>
    <w:rsid w:val="00131B42"/>
    <w:rsid w:val="00131CB9"/>
    <w:rsid w:val="00132FF0"/>
    <w:rsid w:val="0013364D"/>
    <w:rsid w:val="001336D0"/>
    <w:rsid w:val="001337BC"/>
    <w:rsid w:val="001337C2"/>
    <w:rsid w:val="001339BE"/>
    <w:rsid w:val="00133A8D"/>
    <w:rsid w:val="00135031"/>
    <w:rsid w:val="0013505F"/>
    <w:rsid w:val="00135233"/>
    <w:rsid w:val="0013599B"/>
    <w:rsid w:val="00135CA3"/>
    <w:rsid w:val="00136293"/>
    <w:rsid w:val="00136569"/>
    <w:rsid w:val="001366C1"/>
    <w:rsid w:val="001366F3"/>
    <w:rsid w:val="00136822"/>
    <w:rsid w:val="00136996"/>
    <w:rsid w:val="00136ACD"/>
    <w:rsid w:val="00136F11"/>
    <w:rsid w:val="001374AA"/>
    <w:rsid w:val="0013772B"/>
    <w:rsid w:val="0013784E"/>
    <w:rsid w:val="001379E8"/>
    <w:rsid w:val="00137FC4"/>
    <w:rsid w:val="00140039"/>
    <w:rsid w:val="001400E2"/>
    <w:rsid w:val="001401F4"/>
    <w:rsid w:val="001406A8"/>
    <w:rsid w:val="001409D1"/>
    <w:rsid w:val="001409D2"/>
    <w:rsid w:val="00140F75"/>
    <w:rsid w:val="00141226"/>
    <w:rsid w:val="001412B8"/>
    <w:rsid w:val="00141CEC"/>
    <w:rsid w:val="00141ED1"/>
    <w:rsid w:val="00142569"/>
    <w:rsid w:val="00142588"/>
    <w:rsid w:val="0014259B"/>
    <w:rsid w:val="0014283B"/>
    <w:rsid w:val="0014286B"/>
    <w:rsid w:val="00142BA9"/>
    <w:rsid w:val="00142BB5"/>
    <w:rsid w:val="00142C3C"/>
    <w:rsid w:val="00142FA1"/>
    <w:rsid w:val="0014307B"/>
    <w:rsid w:val="001430B4"/>
    <w:rsid w:val="00143291"/>
    <w:rsid w:val="00143392"/>
    <w:rsid w:val="001435F1"/>
    <w:rsid w:val="00144435"/>
    <w:rsid w:val="00144C50"/>
    <w:rsid w:val="001451C8"/>
    <w:rsid w:val="001451D0"/>
    <w:rsid w:val="00145858"/>
    <w:rsid w:val="00145A8B"/>
    <w:rsid w:val="00145BC1"/>
    <w:rsid w:val="0014658F"/>
    <w:rsid w:val="00146AD2"/>
    <w:rsid w:val="00146DCD"/>
    <w:rsid w:val="00146E94"/>
    <w:rsid w:val="001475AA"/>
    <w:rsid w:val="001475F2"/>
    <w:rsid w:val="00150998"/>
    <w:rsid w:val="00150A36"/>
    <w:rsid w:val="00150AA8"/>
    <w:rsid w:val="00150BB7"/>
    <w:rsid w:val="00150F49"/>
    <w:rsid w:val="00150FC0"/>
    <w:rsid w:val="0015113F"/>
    <w:rsid w:val="001511E1"/>
    <w:rsid w:val="001517C1"/>
    <w:rsid w:val="00151AFD"/>
    <w:rsid w:val="00151CF4"/>
    <w:rsid w:val="00152726"/>
    <w:rsid w:val="00152DF0"/>
    <w:rsid w:val="00153552"/>
    <w:rsid w:val="00153615"/>
    <w:rsid w:val="001536B6"/>
    <w:rsid w:val="001539F4"/>
    <w:rsid w:val="00153FD7"/>
    <w:rsid w:val="00153FE5"/>
    <w:rsid w:val="00154272"/>
    <w:rsid w:val="001548E4"/>
    <w:rsid w:val="00154A79"/>
    <w:rsid w:val="00154A9B"/>
    <w:rsid w:val="0015505C"/>
    <w:rsid w:val="0015577D"/>
    <w:rsid w:val="00155967"/>
    <w:rsid w:val="00155ADA"/>
    <w:rsid w:val="00155BE1"/>
    <w:rsid w:val="00155E01"/>
    <w:rsid w:val="00156055"/>
    <w:rsid w:val="00156984"/>
    <w:rsid w:val="00156F4E"/>
    <w:rsid w:val="0015763F"/>
    <w:rsid w:val="00157652"/>
    <w:rsid w:val="00157845"/>
    <w:rsid w:val="00160479"/>
    <w:rsid w:val="001604D6"/>
    <w:rsid w:val="00160857"/>
    <w:rsid w:val="00160953"/>
    <w:rsid w:val="00160B41"/>
    <w:rsid w:val="0016111D"/>
    <w:rsid w:val="00161A9A"/>
    <w:rsid w:val="00161CBA"/>
    <w:rsid w:val="00162317"/>
    <w:rsid w:val="00162632"/>
    <w:rsid w:val="00162652"/>
    <w:rsid w:val="00162F6D"/>
    <w:rsid w:val="001630B1"/>
    <w:rsid w:val="00163489"/>
    <w:rsid w:val="00163600"/>
    <w:rsid w:val="00163862"/>
    <w:rsid w:val="00163909"/>
    <w:rsid w:val="00163D6B"/>
    <w:rsid w:val="00164899"/>
    <w:rsid w:val="00164E8F"/>
    <w:rsid w:val="001650BB"/>
    <w:rsid w:val="00165268"/>
    <w:rsid w:val="001655BB"/>
    <w:rsid w:val="0016576B"/>
    <w:rsid w:val="00165BBB"/>
    <w:rsid w:val="00165C63"/>
    <w:rsid w:val="00165D02"/>
    <w:rsid w:val="00165D5E"/>
    <w:rsid w:val="00165E19"/>
    <w:rsid w:val="00165FE3"/>
    <w:rsid w:val="00166597"/>
    <w:rsid w:val="00166DA5"/>
    <w:rsid w:val="00166F1F"/>
    <w:rsid w:val="001670B7"/>
    <w:rsid w:val="0016728C"/>
    <w:rsid w:val="00167594"/>
    <w:rsid w:val="0016767E"/>
    <w:rsid w:val="0016794C"/>
    <w:rsid w:val="00167CF2"/>
    <w:rsid w:val="00167D30"/>
    <w:rsid w:val="00167F78"/>
    <w:rsid w:val="00167FA5"/>
    <w:rsid w:val="001704F1"/>
    <w:rsid w:val="00170906"/>
    <w:rsid w:val="00170AB5"/>
    <w:rsid w:val="00170C3C"/>
    <w:rsid w:val="00170F21"/>
    <w:rsid w:val="00171696"/>
    <w:rsid w:val="00171A13"/>
    <w:rsid w:val="00171C3A"/>
    <w:rsid w:val="0017208B"/>
    <w:rsid w:val="0017209A"/>
    <w:rsid w:val="0017221A"/>
    <w:rsid w:val="00172394"/>
    <w:rsid w:val="00172890"/>
    <w:rsid w:val="001728BB"/>
    <w:rsid w:val="0017293C"/>
    <w:rsid w:val="00172C0D"/>
    <w:rsid w:val="00172C9C"/>
    <w:rsid w:val="00172CB7"/>
    <w:rsid w:val="0017365C"/>
    <w:rsid w:val="0017389C"/>
    <w:rsid w:val="00173F24"/>
    <w:rsid w:val="00174FEC"/>
    <w:rsid w:val="00175230"/>
    <w:rsid w:val="00175A99"/>
    <w:rsid w:val="001760AA"/>
    <w:rsid w:val="001760B2"/>
    <w:rsid w:val="00176282"/>
    <w:rsid w:val="001762B5"/>
    <w:rsid w:val="00176688"/>
    <w:rsid w:val="001766BD"/>
    <w:rsid w:val="0017780B"/>
    <w:rsid w:val="0017796D"/>
    <w:rsid w:val="00177B82"/>
    <w:rsid w:val="00177C49"/>
    <w:rsid w:val="00177D33"/>
    <w:rsid w:val="00177F5E"/>
    <w:rsid w:val="001806AC"/>
    <w:rsid w:val="00180F22"/>
    <w:rsid w:val="001814DC"/>
    <w:rsid w:val="00181757"/>
    <w:rsid w:val="0018179F"/>
    <w:rsid w:val="001817E1"/>
    <w:rsid w:val="00181D49"/>
    <w:rsid w:val="00181EBE"/>
    <w:rsid w:val="00182088"/>
    <w:rsid w:val="0018228E"/>
    <w:rsid w:val="001823BC"/>
    <w:rsid w:val="001824B1"/>
    <w:rsid w:val="00182704"/>
    <w:rsid w:val="00182D34"/>
    <w:rsid w:val="00182EF2"/>
    <w:rsid w:val="00183323"/>
    <w:rsid w:val="00183789"/>
    <w:rsid w:val="00183967"/>
    <w:rsid w:val="00183B16"/>
    <w:rsid w:val="00183E23"/>
    <w:rsid w:val="001844CC"/>
    <w:rsid w:val="001844FB"/>
    <w:rsid w:val="00184797"/>
    <w:rsid w:val="00185125"/>
    <w:rsid w:val="001858F4"/>
    <w:rsid w:val="001859EA"/>
    <w:rsid w:val="00185BE1"/>
    <w:rsid w:val="00186D80"/>
    <w:rsid w:val="0018701A"/>
    <w:rsid w:val="00187024"/>
    <w:rsid w:val="0018702C"/>
    <w:rsid w:val="001871EE"/>
    <w:rsid w:val="00187B7B"/>
    <w:rsid w:val="00187C9C"/>
    <w:rsid w:val="00187D55"/>
    <w:rsid w:val="00190AB4"/>
    <w:rsid w:val="00190DDE"/>
    <w:rsid w:val="001910D7"/>
    <w:rsid w:val="00191182"/>
    <w:rsid w:val="0019127F"/>
    <w:rsid w:val="001918D5"/>
    <w:rsid w:val="00191D97"/>
    <w:rsid w:val="0019217D"/>
    <w:rsid w:val="001922AD"/>
    <w:rsid w:val="0019295A"/>
    <w:rsid w:val="00193033"/>
    <w:rsid w:val="001930D6"/>
    <w:rsid w:val="0019327B"/>
    <w:rsid w:val="00193608"/>
    <w:rsid w:val="00193900"/>
    <w:rsid w:val="00193AD0"/>
    <w:rsid w:val="001941B2"/>
    <w:rsid w:val="00194245"/>
    <w:rsid w:val="001946CD"/>
    <w:rsid w:val="001947BE"/>
    <w:rsid w:val="00194818"/>
    <w:rsid w:val="00194D65"/>
    <w:rsid w:val="0019528E"/>
    <w:rsid w:val="00195488"/>
    <w:rsid w:val="00195D8B"/>
    <w:rsid w:val="00195F9C"/>
    <w:rsid w:val="0019660B"/>
    <w:rsid w:val="00196DDD"/>
    <w:rsid w:val="0019713C"/>
    <w:rsid w:val="001973A1"/>
    <w:rsid w:val="001975A7"/>
    <w:rsid w:val="00197865"/>
    <w:rsid w:val="00197EF4"/>
    <w:rsid w:val="001A00A1"/>
    <w:rsid w:val="001A043D"/>
    <w:rsid w:val="001A0CAD"/>
    <w:rsid w:val="001A0E89"/>
    <w:rsid w:val="001A0E8F"/>
    <w:rsid w:val="001A14E0"/>
    <w:rsid w:val="001A19DF"/>
    <w:rsid w:val="001A1A21"/>
    <w:rsid w:val="001A1CDD"/>
    <w:rsid w:val="001A1FB5"/>
    <w:rsid w:val="001A2373"/>
    <w:rsid w:val="001A29A9"/>
    <w:rsid w:val="001A29CE"/>
    <w:rsid w:val="001A2D4F"/>
    <w:rsid w:val="001A2F08"/>
    <w:rsid w:val="001A31CE"/>
    <w:rsid w:val="001A3302"/>
    <w:rsid w:val="001A3633"/>
    <w:rsid w:val="001A385B"/>
    <w:rsid w:val="001A3B01"/>
    <w:rsid w:val="001A3C7E"/>
    <w:rsid w:val="001A4887"/>
    <w:rsid w:val="001A48F5"/>
    <w:rsid w:val="001A4A44"/>
    <w:rsid w:val="001A4A9F"/>
    <w:rsid w:val="001A4ADC"/>
    <w:rsid w:val="001A4D09"/>
    <w:rsid w:val="001A4FA0"/>
    <w:rsid w:val="001A5342"/>
    <w:rsid w:val="001A57E1"/>
    <w:rsid w:val="001A5E9B"/>
    <w:rsid w:val="001A67E5"/>
    <w:rsid w:val="001A6962"/>
    <w:rsid w:val="001A722E"/>
    <w:rsid w:val="001A734B"/>
    <w:rsid w:val="001A7614"/>
    <w:rsid w:val="001A776B"/>
    <w:rsid w:val="001A7785"/>
    <w:rsid w:val="001A7D2C"/>
    <w:rsid w:val="001B053B"/>
    <w:rsid w:val="001B05B4"/>
    <w:rsid w:val="001B0844"/>
    <w:rsid w:val="001B0ECF"/>
    <w:rsid w:val="001B174E"/>
    <w:rsid w:val="001B1961"/>
    <w:rsid w:val="001B1E22"/>
    <w:rsid w:val="001B1FA1"/>
    <w:rsid w:val="001B1FCC"/>
    <w:rsid w:val="001B20DC"/>
    <w:rsid w:val="001B246A"/>
    <w:rsid w:val="001B253C"/>
    <w:rsid w:val="001B283C"/>
    <w:rsid w:val="001B2A31"/>
    <w:rsid w:val="001B2BE0"/>
    <w:rsid w:val="001B2DE7"/>
    <w:rsid w:val="001B2FAC"/>
    <w:rsid w:val="001B30D9"/>
    <w:rsid w:val="001B31BC"/>
    <w:rsid w:val="001B38AA"/>
    <w:rsid w:val="001B3EF7"/>
    <w:rsid w:val="001B4108"/>
    <w:rsid w:val="001B48AC"/>
    <w:rsid w:val="001B4B41"/>
    <w:rsid w:val="001B4F95"/>
    <w:rsid w:val="001B57CE"/>
    <w:rsid w:val="001B5948"/>
    <w:rsid w:val="001B650F"/>
    <w:rsid w:val="001B6AD8"/>
    <w:rsid w:val="001B6DA0"/>
    <w:rsid w:val="001B6FB4"/>
    <w:rsid w:val="001B72DD"/>
    <w:rsid w:val="001B72F1"/>
    <w:rsid w:val="001B736B"/>
    <w:rsid w:val="001B7EB7"/>
    <w:rsid w:val="001B7F30"/>
    <w:rsid w:val="001C00CE"/>
    <w:rsid w:val="001C02D4"/>
    <w:rsid w:val="001C02E1"/>
    <w:rsid w:val="001C04B5"/>
    <w:rsid w:val="001C154D"/>
    <w:rsid w:val="001C19AF"/>
    <w:rsid w:val="001C1D55"/>
    <w:rsid w:val="001C1F53"/>
    <w:rsid w:val="001C2373"/>
    <w:rsid w:val="001C2878"/>
    <w:rsid w:val="001C2E12"/>
    <w:rsid w:val="001C3097"/>
    <w:rsid w:val="001C31E9"/>
    <w:rsid w:val="001C380C"/>
    <w:rsid w:val="001C3F8B"/>
    <w:rsid w:val="001C4F89"/>
    <w:rsid w:val="001C4FE7"/>
    <w:rsid w:val="001C500C"/>
    <w:rsid w:val="001C53CE"/>
    <w:rsid w:val="001C551E"/>
    <w:rsid w:val="001C559A"/>
    <w:rsid w:val="001C559B"/>
    <w:rsid w:val="001C5797"/>
    <w:rsid w:val="001C683B"/>
    <w:rsid w:val="001C7118"/>
    <w:rsid w:val="001C768B"/>
    <w:rsid w:val="001C772F"/>
    <w:rsid w:val="001C7FB1"/>
    <w:rsid w:val="001D012C"/>
    <w:rsid w:val="001D01B2"/>
    <w:rsid w:val="001D01BA"/>
    <w:rsid w:val="001D02E2"/>
    <w:rsid w:val="001D0671"/>
    <w:rsid w:val="001D06AF"/>
    <w:rsid w:val="001D0B3A"/>
    <w:rsid w:val="001D1771"/>
    <w:rsid w:val="001D1A2A"/>
    <w:rsid w:val="001D1F8B"/>
    <w:rsid w:val="001D21E1"/>
    <w:rsid w:val="001D2282"/>
    <w:rsid w:val="001D268D"/>
    <w:rsid w:val="001D2831"/>
    <w:rsid w:val="001D29BA"/>
    <w:rsid w:val="001D2CF3"/>
    <w:rsid w:val="001D3686"/>
    <w:rsid w:val="001D37FE"/>
    <w:rsid w:val="001D4068"/>
    <w:rsid w:val="001D4DAC"/>
    <w:rsid w:val="001D4E51"/>
    <w:rsid w:val="001D5C02"/>
    <w:rsid w:val="001D5EB6"/>
    <w:rsid w:val="001D6A04"/>
    <w:rsid w:val="001D6DF4"/>
    <w:rsid w:val="001D7352"/>
    <w:rsid w:val="001D785D"/>
    <w:rsid w:val="001D7887"/>
    <w:rsid w:val="001E0012"/>
    <w:rsid w:val="001E03C9"/>
    <w:rsid w:val="001E092B"/>
    <w:rsid w:val="001E0AAD"/>
    <w:rsid w:val="001E0BEF"/>
    <w:rsid w:val="001E0CD8"/>
    <w:rsid w:val="001E0D47"/>
    <w:rsid w:val="001E0FA9"/>
    <w:rsid w:val="001E1118"/>
    <w:rsid w:val="001E1218"/>
    <w:rsid w:val="001E1773"/>
    <w:rsid w:val="001E232C"/>
    <w:rsid w:val="001E2477"/>
    <w:rsid w:val="001E2648"/>
    <w:rsid w:val="001E280D"/>
    <w:rsid w:val="001E2EF7"/>
    <w:rsid w:val="001E2F84"/>
    <w:rsid w:val="001E2F8B"/>
    <w:rsid w:val="001E3273"/>
    <w:rsid w:val="001E333D"/>
    <w:rsid w:val="001E3586"/>
    <w:rsid w:val="001E3729"/>
    <w:rsid w:val="001E3BC7"/>
    <w:rsid w:val="001E3F56"/>
    <w:rsid w:val="001E480C"/>
    <w:rsid w:val="001E4A9A"/>
    <w:rsid w:val="001E4BAE"/>
    <w:rsid w:val="001E4D75"/>
    <w:rsid w:val="001E52EF"/>
    <w:rsid w:val="001E5380"/>
    <w:rsid w:val="001E56CD"/>
    <w:rsid w:val="001E571E"/>
    <w:rsid w:val="001E5FEC"/>
    <w:rsid w:val="001E6F1A"/>
    <w:rsid w:val="001E7197"/>
    <w:rsid w:val="001E7646"/>
    <w:rsid w:val="001E7A46"/>
    <w:rsid w:val="001F00E3"/>
    <w:rsid w:val="001F03AC"/>
    <w:rsid w:val="001F0694"/>
    <w:rsid w:val="001F07DF"/>
    <w:rsid w:val="001F0F08"/>
    <w:rsid w:val="001F14CE"/>
    <w:rsid w:val="001F14D1"/>
    <w:rsid w:val="001F154F"/>
    <w:rsid w:val="001F1885"/>
    <w:rsid w:val="001F1AE5"/>
    <w:rsid w:val="001F1D51"/>
    <w:rsid w:val="001F2253"/>
    <w:rsid w:val="001F26E5"/>
    <w:rsid w:val="001F2853"/>
    <w:rsid w:val="001F35A8"/>
    <w:rsid w:val="001F376B"/>
    <w:rsid w:val="001F3A7D"/>
    <w:rsid w:val="001F3A99"/>
    <w:rsid w:val="001F3FEC"/>
    <w:rsid w:val="001F4166"/>
    <w:rsid w:val="001F42D2"/>
    <w:rsid w:val="001F42D7"/>
    <w:rsid w:val="001F4350"/>
    <w:rsid w:val="001F4477"/>
    <w:rsid w:val="001F478D"/>
    <w:rsid w:val="001F47D5"/>
    <w:rsid w:val="001F4AEA"/>
    <w:rsid w:val="001F5723"/>
    <w:rsid w:val="001F636D"/>
    <w:rsid w:val="001F6430"/>
    <w:rsid w:val="001F6751"/>
    <w:rsid w:val="001F6771"/>
    <w:rsid w:val="001F6A36"/>
    <w:rsid w:val="001F717D"/>
    <w:rsid w:val="001F7825"/>
    <w:rsid w:val="001F7B24"/>
    <w:rsid w:val="001F7B61"/>
    <w:rsid w:val="001F7CA9"/>
    <w:rsid w:val="001F7D87"/>
    <w:rsid w:val="001F7EDD"/>
    <w:rsid w:val="0020062F"/>
    <w:rsid w:val="00201478"/>
    <w:rsid w:val="002015E3"/>
    <w:rsid w:val="00201684"/>
    <w:rsid w:val="00201C12"/>
    <w:rsid w:val="00203579"/>
    <w:rsid w:val="00203685"/>
    <w:rsid w:val="002038E0"/>
    <w:rsid w:val="00203E79"/>
    <w:rsid w:val="002041BA"/>
    <w:rsid w:val="002041BD"/>
    <w:rsid w:val="002042DD"/>
    <w:rsid w:val="002047D3"/>
    <w:rsid w:val="00204E72"/>
    <w:rsid w:val="00205428"/>
    <w:rsid w:val="00205A26"/>
    <w:rsid w:val="00205D39"/>
    <w:rsid w:val="002064B2"/>
    <w:rsid w:val="00206B65"/>
    <w:rsid w:val="0021042D"/>
    <w:rsid w:val="002104E3"/>
    <w:rsid w:val="00210B8A"/>
    <w:rsid w:val="00210DAA"/>
    <w:rsid w:val="00210E5F"/>
    <w:rsid w:val="00210F5A"/>
    <w:rsid w:val="00211B4B"/>
    <w:rsid w:val="00211E56"/>
    <w:rsid w:val="0021224D"/>
    <w:rsid w:val="00212897"/>
    <w:rsid w:val="00213A3E"/>
    <w:rsid w:val="0021402A"/>
    <w:rsid w:val="00214032"/>
    <w:rsid w:val="002141C2"/>
    <w:rsid w:val="0021468D"/>
    <w:rsid w:val="002151D2"/>
    <w:rsid w:val="00215ADF"/>
    <w:rsid w:val="00215E90"/>
    <w:rsid w:val="002164A8"/>
    <w:rsid w:val="002165A2"/>
    <w:rsid w:val="00216C32"/>
    <w:rsid w:val="00217009"/>
    <w:rsid w:val="00217043"/>
    <w:rsid w:val="002174F0"/>
    <w:rsid w:val="00217C25"/>
    <w:rsid w:val="00217D49"/>
    <w:rsid w:val="00220C3B"/>
    <w:rsid w:val="002210B4"/>
    <w:rsid w:val="002211DF"/>
    <w:rsid w:val="00221454"/>
    <w:rsid w:val="002217DC"/>
    <w:rsid w:val="00221922"/>
    <w:rsid w:val="00221B8C"/>
    <w:rsid w:val="00221D36"/>
    <w:rsid w:val="0022238E"/>
    <w:rsid w:val="002223D1"/>
    <w:rsid w:val="0022240C"/>
    <w:rsid w:val="0022244E"/>
    <w:rsid w:val="0022270D"/>
    <w:rsid w:val="002228B6"/>
    <w:rsid w:val="00222C11"/>
    <w:rsid w:val="0022462F"/>
    <w:rsid w:val="00224710"/>
    <w:rsid w:val="00224C59"/>
    <w:rsid w:val="00224D08"/>
    <w:rsid w:val="0022500E"/>
    <w:rsid w:val="00225068"/>
    <w:rsid w:val="002251A4"/>
    <w:rsid w:val="0022523C"/>
    <w:rsid w:val="00225737"/>
    <w:rsid w:val="00225738"/>
    <w:rsid w:val="002259D5"/>
    <w:rsid w:val="00225DD4"/>
    <w:rsid w:val="002260A7"/>
    <w:rsid w:val="002261D5"/>
    <w:rsid w:val="002268DD"/>
    <w:rsid w:val="00226FB7"/>
    <w:rsid w:val="00227033"/>
    <w:rsid w:val="002271B4"/>
    <w:rsid w:val="002275EF"/>
    <w:rsid w:val="00230104"/>
    <w:rsid w:val="0023028A"/>
    <w:rsid w:val="00230380"/>
    <w:rsid w:val="002303F6"/>
    <w:rsid w:val="002306AE"/>
    <w:rsid w:val="002313B2"/>
    <w:rsid w:val="00231EEC"/>
    <w:rsid w:val="00232104"/>
    <w:rsid w:val="002322E9"/>
    <w:rsid w:val="00232420"/>
    <w:rsid w:val="00232AE0"/>
    <w:rsid w:val="00233163"/>
    <w:rsid w:val="002334A4"/>
    <w:rsid w:val="002336C9"/>
    <w:rsid w:val="0023401F"/>
    <w:rsid w:val="00234239"/>
    <w:rsid w:val="002346E7"/>
    <w:rsid w:val="00234FF0"/>
    <w:rsid w:val="0023577C"/>
    <w:rsid w:val="00235D98"/>
    <w:rsid w:val="00235F48"/>
    <w:rsid w:val="00236AA3"/>
    <w:rsid w:val="00236D84"/>
    <w:rsid w:val="00236EB8"/>
    <w:rsid w:val="0023723A"/>
    <w:rsid w:val="0023798A"/>
    <w:rsid w:val="00240C34"/>
    <w:rsid w:val="00241310"/>
    <w:rsid w:val="002414C9"/>
    <w:rsid w:val="0024152B"/>
    <w:rsid w:val="002417FC"/>
    <w:rsid w:val="00241B37"/>
    <w:rsid w:val="00242176"/>
    <w:rsid w:val="002422D2"/>
    <w:rsid w:val="00242372"/>
    <w:rsid w:val="00242447"/>
    <w:rsid w:val="0024279A"/>
    <w:rsid w:val="00242B8E"/>
    <w:rsid w:val="00242CB3"/>
    <w:rsid w:val="00242D77"/>
    <w:rsid w:val="00242DBB"/>
    <w:rsid w:val="00242E1F"/>
    <w:rsid w:val="00242E73"/>
    <w:rsid w:val="0024351A"/>
    <w:rsid w:val="00243545"/>
    <w:rsid w:val="002436B5"/>
    <w:rsid w:val="00244591"/>
    <w:rsid w:val="002445C9"/>
    <w:rsid w:val="002448F7"/>
    <w:rsid w:val="00244C6F"/>
    <w:rsid w:val="00245002"/>
    <w:rsid w:val="002452A5"/>
    <w:rsid w:val="0024537E"/>
    <w:rsid w:val="00245645"/>
    <w:rsid w:val="0024594D"/>
    <w:rsid w:val="00245DFF"/>
    <w:rsid w:val="00245F9F"/>
    <w:rsid w:val="00245FA7"/>
    <w:rsid w:val="002469F7"/>
    <w:rsid w:val="0024716F"/>
    <w:rsid w:val="00247D20"/>
    <w:rsid w:val="0025053B"/>
    <w:rsid w:val="0025091C"/>
    <w:rsid w:val="002516D3"/>
    <w:rsid w:val="00251FCE"/>
    <w:rsid w:val="00252E2F"/>
    <w:rsid w:val="00253385"/>
    <w:rsid w:val="00253486"/>
    <w:rsid w:val="00253811"/>
    <w:rsid w:val="00253856"/>
    <w:rsid w:val="00253B7A"/>
    <w:rsid w:val="00254265"/>
    <w:rsid w:val="002543A2"/>
    <w:rsid w:val="0025454C"/>
    <w:rsid w:val="002547EA"/>
    <w:rsid w:val="002548D5"/>
    <w:rsid w:val="002549C3"/>
    <w:rsid w:val="00254B07"/>
    <w:rsid w:val="00254BAB"/>
    <w:rsid w:val="00255153"/>
    <w:rsid w:val="00255536"/>
    <w:rsid w:val="00256725"/>
    <w:rsid w:val="00256DCF"/>
    <w:rsid w:val="00256F44"/>
    <w:rsid w:val="00257035"/>
    <w:rsid w:val="00257238"/>
    <w:rsid w:val="00260002"/>
    <w:rsid w:val="00260EE7"/>
    <w:rsid w:val="00261431"/>
    <w:rsid w:val="002616EC"/>
    <w:rsid w:val="00261ABF"/>
    <w:rsid w:val="00261BE5"/>
    <w:rsid w:val="00261F37"/>
    <w:rsid w:val="00261F83"/>
    <w:rsid w:val="002624C1"/>
    <w:rsid w:val="002628EC"/>
    <w:rsid w:val="00263241"/>
    <w:rsid w:val="0026339F"/>
    <w:rsid w:val="002634C3"/>
    <w:rsid w:val="0026356E"/>
    <w:rsid w:val="002636EB"/>
    <w:rsid w:val="00263A16"/>
    <w:rsid w:val="00263C5C"/>
    <w:rsid w:val="00264004"/>
    <w:rsid w:val="0026474E"/>
    <w:rsid w:val="00264FAD"/>
    <w:rsid w:val="002651C9"/>
    <w:rsid w:val="0026534E"/>
    <w:rsid w:val="00265BA6"/>
    <w:rsid w:val="00265FD6"/>
    <w:rsid w:val="0026614D"/>
    <w:rsid w:val="0026622F"/>
    <w:rsid w:val="0026667A"/>
    <w:rsid w:val="0026674B"/>
    <w:rsid w:val="00266812"/>
    <w:rsid w:val="0026687B"/>
    <w:rsid w:val="00266B31"/>
    <w:rsid w:val="00266E90"/>
    <w:rsid w:val="0026710C"/>
    <w:rsid w:val="00267358"/>
    <w:rsid w:val="0026769D"/>
    <w:rsid w:val="00267881"/>
    <w:rsid w:val="0026791F"/>
    <w:rsid w:val="00267CF6"/>
    <w:rsid w:val="0027033C"/>
    <w:rsid w:val="0027036A"/>
    <w:rsid w:val="00270839"/>
    <w:rsid w:val="0027087D"/>
    <w:rsid w:val="002712EB"/>
    <w:rsid w:val="00271AE1"/>
    <w:rsid w:val="00271FCC"/>
    <w:rsid w:val="002720DC"/>
    <w:rsid w:val="002725FB"/>
    <w:rsid w:val="00272F06"/>
    <w:rsid w:val="002730A5"/>
    <w:rsid w:val="00273911"/>
    <w:rsid w:val="002748F1"/>
    <w:rsid w:val="00274A3A"/>
    <w:rsid w:val="00274B73"/>
    <w:rsid w:val="002751AC"/>
    <w:rsid w:val="002754A1"/>
    <w:rsid w:val="00275C2D"/>
    <w:rsid w:val="00276206"/>
    <w:rsid w:val="00276F04"/>
    <w:rsid w:val="0027732E"/>
    <w:rsid w:val="0027735A"/>
    <w:rsid w:val="002774A6"/>
    <w:rsid w:val="00277BEF"/>
    <w:rsid w:val="00280F89"/>
    <w:rsid w:val="002813AE"/>
    <w:rsid w:val="00281ADD"/>
    <w:rsid w:val="0028214A"/>
    <w:rsid w:val="0028241A"/>
    <w:rsid w:val="0028247C"/>
    <w:rsid w:val="002825BB"/>
    <w:rsid w:val="0028267D"/>
    <w:rsid w:val="0028284D"/>
    <w:rsid w:val="00282BBC"/>
    <w:rsid w:val="00282DDC"/>
    <w:rsid w:val="0028399F"/>
    <w:rsid w:val="00283E0E"/>
    <w:rsid w:val="00284260"/>
    <w:rsid w:val="00284763"/>
    <w:rsid w:val="0028478F"/>
    <w:rsid w:val="00284AD3"/>
    <w:rsid w:val="00284D11"/>
    <w:rsid w:val="00284D5C"/>
    <w:rsid w:val="00284EFE"/>
    <w:rsid w:val="0028521C"/>
    <w:rsid w:val="00285649"/>
    <w:rsid w:val="00285AB9"/>
    <w:rsid w:val="00285E18"/>
    <w:rsid w:val="00285FD5"/>
    <w:rsid w:val="0028639D"/>
    <w:rsid w:val="00286500"/>
    <w:rsid w:val="00286CC1"/>
    <w:rsid w:val="00286D5A"/>
    <w:rsid w:val="00287471"/>
    <w:rsid w:val="00287A35"/>
    <w:rsid w:val="00287B8C"/>
    <w:rsid w:val="002901F1"/>
    <w:rsid w:val="0029051B"/>
    <w:rsid w:val="002909FA"/>
    <w:rsid w:val="00290D8F"/>
    <w:rsid w:val="00290F04"/>
    <w:rsid w:val="002919CE"/>
    <w:rsid w:val="00291ABF"/>
    <w:rsid w:val="00291AD4"/>
    <w:rsid w:val="00291D11"/>
    <w:rsid w:val="00291EF8"/>
    <w:rsid w:val="00291FB1"/>
    <w:rsid w:val="00292425"/>
    <w:rsid w:val="00292DCF"/>
    <w:rsid w:val="0029318E"/>
    <w:rsid w:val="00293606"/>
    <w:rsid w:val="00293ED1"/>
    <w:rsid w:val="002942EE"/>
    <w:rsid w:val="00294929"/>
    <w:rsid w:val="00294F6A"/>
    <w:rsid w:val="00294F92"/>
    <w:rsid w:val="00295027"/>
    <w:rsid w:val="00295059"/>
    <w:rsid w:val="00295BC5"/>
    <w:rsid w:val="002963EA"/>
    <w:rsid w:val="00296551"/>
    <w:rsid w:val="00296920"/>
    <w:rsid w:val="002975B1"/>
    <w:rsid w:val="00297B67"/>
    <w:rsid w:val="002A0381"/>
    <w:rsid w:val="002A0E9B"/>
    <w:rsid w:val="002A0FFF"/>
    <w:rsid w:val="002A124A"/>
    <w:rsid w:val="002A1494"/>
    <w:rsid w:val="002A18CE"/>
    <w:rsid w:val="002A2D0B"/>
    <w:rsid w:val="002A301E"/>
    <w:rsid w:val="002A35DB"/>
    <w:rsid w:val="002A3963"/>
    <w:rsid w:val="002A4090"/>
    <w:rsid w:val="002A4A30"/>
    <w:rsid w:val="002A4FC7"/>
    <w:rsid w:val="002A52FC"/>
    <w:rsid w:val="002A569E"/>
    <w:rsid w:val="002A5EA0"/>
    <w:rsid w:val="002A5EA3"/>
    <w:rsid w:val="002A618B"/>
    <w:rsid w:val="002A63DF"/>
    <w:rsid w:val="002A6433"/>
    <w:rsid w:val="002A66A2"/>
    <w:rsid w:val="002A6948"/>
    <w:rsid w:val="002A6AFF"/>
    <w:rsid w:val="002A6DC5"/>
    <w:rsid w:val="002A7761"/>
    <w:rsid w:val="002A7A3F"/>
    <w:rsid w:val="002B042C"/>
    <w:rsid w:val="002B06AA"/>
    <w:rsid w:val="002B0BF6"/>
    <w:rsid w:val="002B0D4F"/>
    <w:rsid w:val="002B1A0B"/>
    <w:rsid w:val="002B1A14"/>
    <w:rsid w:val="002B1B5C"/>
    <w:rsid w:val="002B24EA"/>
    <w:rsid w:val="002B2799"/>
    <w:rsid w:val="002B2AB9"/>
    <w:rsid w:val="002B2C79"/>
    <w:rsid w:val="002B2CCC"/>
    <w:rsid w:val="002B30A2"/>
    <w:rsid w:val="002B3192"/>
    <w:rsid w:val="002B31A9"/>
    <w:rsid w:val="002B3540"/>
    <w:rsid w:val="002B3830"/>
    <w:rsid w:val="002B39C3"/>
    <w:rsid w:val="002B39FD"/>
    <w:rsid w:val="002B3A6A"/>
    <w:rsid w:val="002B3F34"/>
    <w:rsid w:val="002B4512"/>
    <w:rsid w:val="002B464D"/>
    <w:rsid w:val="002B522D"/>
    <w:rsid w:val="002B54E1"/>
    <w:rsid w:val="002B5C21"/>
    <w:rsid w:val="002B6840"/>
    <w:rsid w:val="002B71D9"/>
    <w:rsid w:val="002B7FB4"/>
    <w:rsid w:val="002C0646"/>
    <w:rsid w:val="002C0C93"/>
    <w:rsid w:val="002C142C"/>
    <w:rsid w:val="002C1741"/>
    <w:rsid w:val="002C1C5F"/>
    <w:rsid w:val="002C21DD"/>
    <w:rsid w:val="002C24FE"/>
    <w:rsid w:val="002C25B8"/>
    <w:rsid w:val="002C2630"/>
    <w:rsid w:val="002C2C04"/>
    <w:rsid w:val="002C3567"/>
    <w:rsid w:val="002C398D"/>
    <w:rsid w:val="002C3E8C"/>
    <w:rsid w:val="002C40A4"/>
    <w:rsid w:val="002C487B"/>
    <w:rsid w:val="002C4B23"/>
    <w:rsid w:val="002C4CBA"/>
    <w:rsid w:val="002C4DA7"/>
    <w:rsid w:val="002C5173"/>
    <w:rsid w:val="002C5320"/>
    <w:rsid w:val="002C659D"/>
    <w:rsid w:val="002C6EFC"/>
    <w:rsid w:val="002C72E4"/>
    <w:rsid w:val="002C7619"/>
    <w:rsid w:val="002C786C"/>
    <w:rsid w:val="002C78BB"/>
    <w:rsid w:val="002C7B3E"/>
    <w:rsid w:val="002C7BE3"/>
    <w:rsid w:val="002D059E"/>
    <w:rsid w:val="002D0687"/>
    <w:rsid w:val="002D09C2"/>
    <w:rsid w:val="002D0C89"/>
    <w:rsid w:val="002D1269"/>
    <w:rsid w:val="002D1E66"/>
    <w:rsid w:val="002D2996"/>
    <w:rsid w:val="002D2A28"/>
    <w:rsid w:val="002D2F3B"/>
    <w:rsid w:val="002D3425"/>
    <w:rsid w:val="002D40DE"/>
    <w:rsid w:val="002D41B7"/>
    <w:rsid w:val="002D41FA"/>
    <w:rsid w:val="002D4281"/>
    <w:rsid w:val="002D4796"/>
    <w:rsid w:val="002D4974"/>
    <w:rsid w:val="002D49B0"/>
    <w:rsid w:val="002D4A19"/>
    <w:rsid w:val="002D4DFC"/>
    <w:rsid w:val="002D502E"/>
    <w:rsid w:val="002D50F7"/>
    <w:rsid w:val="002D5411"/>
    <w:rsid w:val="002D555A"/>
    <w:rsid w:val="002D6C69"/>
    <w:rsid w:val="002D6CEC"/>
    <w:rsid w:val="002D71A9"/>
    <w:rsid w:val="002D71AF"/>
    <w:rsid w:val="002D724C"/>
    <w:rsid w:val="002D7398"/>
    <w:rsid w:val="002E0442"/>
    <w:rsid w:val="002E0C19"/>
    <w:rsid w:val="002E0D5A"/>
    <w:rsid w:val="002E0F3D"/>
    <w:rsid w:val="002E13DF"/>
    <w:rsid w:val="002E14B6"/>
    <w:rsid w:val="002E150A"/>
    <w:rsid w:val="002E1B52"/>
    <w:rsid w:val="002E24B8"/>
    <w:rsid w:val="002E28C0"/>
    <w:rsid w:val="002E29A3"/>
    <w:rsid w:val="002E2F5E"/>
    <w:rsid w:val="002E30FD"/>
    <w:rsid w:val="002E3537"/>
    <w:rsid w:val="002E3DAF"/>
    <w:rsid w:val="002E4098"/>
    <w:rsid w:val="002E41A5"/>
    <w:rsid w:val="002E4710"/>
    <w:rsid w:val="002E4765"/>
    <w:rsid w:val="002E5A03"/>
    <w:rsid w:val="002E5CD2"/>
    <w:rsid w:val="002E66E3"/>
    <w:rsid w:val="002E6DDA"/>
    <w:rsid w:val="002E6E93"/>
    <w:rsid w:val="002E7805"/>
    <w:rsid w:val="002E7A9B"/>
    <w:rsid w:val="002E7C3A"/>
    <w:rsid w:val="002F050A"/>
    <w:rsid w:val="002F054C"/>
    <w:rsid w:val="002F0CAF"/>
    <w:rsid w:val="002F129C"/>
    <w:rsid w:val="002F1AFB"/>
    <w:rsid w:val="002F1F99"/>
    <w:rsid w:val="002F238B"/>
    <w:rsid w:val="002F241F"/>
    <w:rsid w:val="002F28D5"/>
    <w:rsid w:val="002F2C5E"/>
    <w:rsid w:val="002F2DB2"/>
    <w:rsid w:val="002F309E"/>
    <w:rsid w:val="002F32FF"/>
    <w:rsid w:val="002F3654"/>
    <w:rsid w:val="002F3A73"/>
    <w:rsid w:val="002F3A9C"/>
    <w:rsid w:val="002F3B72"/>
    <w:rsid w:val="002F3CDA"/>
    <w:rsid w:val="002F3FDC"/>
    <w:rsid w:val="002F4004"/>
    <w:rsid w:val="002F4065"/>
    <w:rsid w:val="002F40A2"/>
    <w:rsid w:val="002F41B7"/>
    <w:rsid w:val="002F45AD"/>
    <w:rsid w:val="002F4F99"/>
    <w:rsid w:val="002F5159"/>
    <w:rsid w:val="002F51C6"/>
    <w:rsid w:val="002F5C9F"/>
    <w:rsid w:val="002F5DED"/>
    <w:rsid w:val="002F5EAD"/>
    <w:rsid w:val="002F5F00"/>
    <w:rsid w:val="002F6127"/>
    <w:rsid w:val="002F6153"/>
    <w:rsid w:val="002F632F"/>
    <w:rsid w:val="002F64C6"/>
    <w:rsid w:val="002F6581"/>
    <w:rsid w:val="002F6AF8"/>
    <w:rsid w:val="002F6E86"/>
    <w:rsid w:val="002F6EE2"/>
    <w:rsid w:val="002F7180"/>
    <w:rsid w:val="002F739B"/>
    <w:rsid w:val="002F7977"/>
    <w:rsid w:val="002F7982"/>
    <w:rsid w:val="003000AC"/>
    <w:rsid w:val="0030014C"/>
    <w:rsid w:val="00300393"/>
    <w:rsid w:val="00300602"/>
    <w:rsid w:val="0030138F"/>
    <w:rsid w:val="0030142E"/>
    <w:rsid w:val="00301ADF"/>
    <w:rsid w:val="00301BE7"/>
    <w:rsid w:val="00302451"/>
    <w:rsid w:val="00302D2B"/>
    <w:rsid w:val="00302D91"/>
    <w:rsid w:val="003030BA"/>
    <w:rsid w:val="00303627"/>
    <w:rsid w:val="003037EA"/>
    <w:rsid w:val="00303D11"/>
    <w:rsid w:val="003045C9"/>
    <w:rsid w:val="0030468A"/>
    <w:rsid w:val="00304E82"/>
    <w:rsid w:val="00304F1C"/>
    <w:rsid w:val="00305224"/>
    <w:rsid w:val="0030537B"/>
    <w:rsid w:val="00305666"/>
    <w:rsid w:val="003056A2"/>
    <w:rsid w:val="00305C63"/>
    <w:rsid w:val="00306210"/>
    <w:rsid w:val="00306637"/>
    <w:rsid w:val="00306CD7"/>
    <w:rsid w:val="0030757A"/>
    <w:rsid w:val="003077BE"/>
    <w:rsid w:val="00307D70"/>
    <w:rsid w:val="003105F6"/>
    <w:rsid w:val="0031085E"/>
    <w:rsid w:val="00311403"/>
    <w:rsid w:val="0031192C"/>
    <w:rsid w:val="00311D99"/>
    <w:rsid w:val="00312617"/>
    <w:rsid w:val="00312CCC"/>
    <w:rsid w:val="00312D83"/>
    <w:rsid w:val="0031347F"/>
    <w:rsid w:val="003138D1"/>
    <w:rsid w:val="00313B85"/>
    <w:rsid w:val="00314669"/>
    <w:rsid w:val="00314CEA"/>
    <w:rsid w:val="00315051"/>
    <w:rsid w:val="00315411"/>
    <w:rsid w:val="0031560A"/>
    <w:rsid w:val="003159A9"/>
    <w:rsid w:val="00315C10"/>
    <w:rsid w:val="00315D95"/>
    <w:rsid w:val="00315DB3"/>
    <w:rsid w:val="003162BF"/>
    <w:rsid w:val="003164C6"/>
    <w:rsid w:val="0031673F"/>
    <w:rsid w:val="0031679E"/>
    <w:rsid w:val="00316824"/>
    <w:rsid w:val="0031731A"/>
    <w:rsid w:val="00320196"/>
    <w:rsid w:val="00320207"/>
    <w:rsid w:val="003209F0"/>
    <w:rsid w:val="00320CA3"/>
    <w:rsid w:val="00320D36"/>
    <w:rsid w:val="00320E8A"/>
    <w:rsid w:val="0032124B"/>
    <w:rsid w:val="00321456"/>
    <w:rsid w:val="0032161E"/>
    <w:rsid w:val="003216DE"/>
    <w:rsid w:val="00321F7D"/>
    <w:rsid w:val="003220F1"/>
    <w:rsid w:val="003221FD"/>
    <w:rsid w:val="0032229F"/>
    <w:rsid w:val="00322391"/>
    <w:rsid w:val="003224CA"/>
    <w:rsid w:val="0032289E"/>
    <w:rsid w:val="00322BCC"/>
    <w:rsid w:val="00322D1A"/>
    <w:rsid w:val="0032451B"/>
    <w:rsid w:val="003247C7"/>
    <w:rsid w:val="00324B1D"/>
    <w:rsid w:val="00324FB0"/>
    <w:rsid w:val="00325177"/>
    <w:rsid w:val="0032532F"/>
    <w:rsid w:val="003254D0"/>
    <w:rsid w:val="003259D3"/>
    <w:rsid w:val="00325E70"/>
    <w:rsid w:val="003261D4"/>
    <w:rsid w:val="0032665D"/>
    <w:rsid w:val="00326961"/>
    <w:rsid w:val="00326AC3"/>
    <w:rsid w:val="003277D7"/>
    <w:rsid w:val="00327983"/>
    <w:rsid w:val="00327FC5"/>
    <w:rsid w:val="003300E7"/>
    <w:rsid w:val="003304F3"/>
    <w:rsid w:val="003305F2"/>
    <w:rsid w:val="00330726"/>
    <w:rsid w:val="00330C68"/>
    <w:rsid w:val="00331293"/>
    <w:rsid w:val="00331503"/>
    <w:rsid w:val="0033251E"/>
    <w:rsid w:val="003329F0"/>
    <w:rsid w:val="003329F7"/>
    <w:rsid w:val="00332B7A"/>
    <w:rsid w:val="00332BDF"/>
    <w:rsid w:val="00332C09"/>
    <w:rsid w:val="0033317B"/>
    <w:rsid w:val="003332AB"/>
    <w:rsid w:val="00333BA8"/>
    <w:rsid w:val="00333C3D"/>
    <w:rsid w:val="00333F84"/>
    <w:rsid w:val="00334916"/>
    <w:rsid w:val="00334ADB"/>
    <w:rsid w:val="003350EC"/>
    <w:rsid w:val="003352C1"/>
    <w:rsid w:val="0033568F"/>
    <w:rsid w:val="00335747"/>
    <w:rsid w:val="003359ED"/>
    <w:rsid w:val="00335B80"/>
    <w:rsid w:val="00335EA5"/>
    <w:rsid w:val="00335F22"/>
    <w:rsid w:val="00335FD9"/>
    <w:rsid w:val="00336312"/>
    <w:rsid w:val="00336541"/>
    <w:rsid w:val="00336FE8"/>
    <w:rsid w:val="003370B3"/>
    <w:rsid w:val="003371AE"/>
    <w:rsid w:val="003373C8"/>
    <w:rsid w:val="0034073B"/>
    <w:rsid w:val="00340E32"/>
    <w:rsid w:val="00340F52"/>
    <w:rsid w:val="00341620"/>
    <w:rsid w:val="0034169E"/>
    <w:rsid w:val="00341FCE"/>
    <w:rsid w:val="003420F5"/>
    <w:rsid w:val="00342389"/>
    <w:rsid w:val="0034249A"/>
    <w:rsid w:val="003426CA"/>
    <w:rsid w:val="00342C05"/>
    <w:rsid w:val="003431E3"/>
    <w:rsid w:val="0034327C"/>
    <w:rsid w:val="00343969"/>
    <w:rsid w:val="00343CD2"/>
    <w:rsid w:val="00344EB9"/>
    <w:rsid w:val="00344EFA"/>
    <w:rsid w:val="0034570F"/>
    <w:rsid w:val="00345BC2"/>
    <w:rsid w:val="00346460"/>
    <w:rsid w:val="00346675"/>
    <w:rsid w:val="003468F0"/>
    <w:rsid w:val="00346E90"/>
    <w:rsid w:val="003470D9"/>
    <w:rsid w:val="003472B3"/>
    <w:rsid w:val="003476B4"/>
    <w:rsid w:val="0034794F"/>
    <w:rsid w:val="00350320"/>
    <w:rsid w:val="003504DA"/>
    <w:rsid w:val="003505E0"/>
    <w:rsid w:val="00350CD5"/>
    <w:rsid w:val="00350DAD"/>
    <w:rsid w:val="00350FE1"/>
    <w:rsid w:val="0035218A"/>
    <w:rsid w:val="0035246A"/>
    <w:rsid w:val="003528CC"/>
    <w:rsid w:val="00352A0B"/>
    <w:rsid w:val="00352B52"/>
    <w:rsid w:val="00352DF7"/>
    <w:rsid w:val="003534AF"/>
    <w:rsid w:val="003537B1"/>
    <w:rsid w:val="003538B3"/>
    <w:rsid w:val="00353930"/>
    <w:rsid w:val="003541B3"/>
    <w:rsid w:val="00354347"/>
    <w:rsid w:val="00354754"/>
    <w:rsid w:val="00355015"/>
    <w:rsid w:val="00355265"/>
    <w:rsid w:val="003554A4"/>
    <w:rsid w:val="0035592E"/>
    <w:rsid w:val="0035593E"/>
    <w:rsid w:val="0035604D"/>
    <w:rsid w:val="00356901"/>
    <w:rsid w:val="0035693D"/>
    <w:rsid w:val="0035699A"/>
    <w:rsid w:val="003569CF"/>
    <w:rsid w:val="00356EFE"/>
    <w:rsid w:val="00357058"/>
    <w:rsid w:val="003570E2"/>
    <w:rsid w:val="00357EB4"/>
    <w:rsid w:val="0036023E"/>
    <w:rsid w:val="00360A56"/>
    <w:rsid w:val="00360A8C"/>
    <w:rsid w:val="00360C26"/>
    <w:rsid w:val="00360F34"/>
    <w:rsid w:val="0036124D"/>
    <w:rsid w:val="0036130D"/>
    <w:rsid w:val="00361464"/>
    <w:rsid w:val="00361621"/>
    <w:rsid w:val="003617E2"/>
    <w:rsid w:val="0036190B"/>
    <w:rsid w:val="00361E1A"/>
    <w:rsid w:val="00361E82"/>
    <w:rsid w:val="0036243F"/>
    <w:rsid w:val="003626CA"/>
    <w:rsid w:val="00362FEE"/>
    <w:rsid w:val="0036307A"/>
    <w:rsid w:val="00363088"/>
    <w:rsid w:val="003635E6"/>
    <w:rsid w:val="00364073"/>
    <w:rsid w:val="0036436A"/>
    <w:rsid w:val="0036453A"/>
    <w:rsid w:val="00364743"/>
    <w:rsid w:val="00364968"/>
    <w:rsid w:val="00364B63"/>
    <w:rsid w:val="00364C26"/>
    <w:rsid w:val="00364D11"/>
    <w:rsid w:val="00365159"/>
    <w:rsid w:val="0036525D"/>
    <w:rsid w:val="0036551D"/>
    <w:rsid w:val="003656D8"/>
    <w:rsid w:val="003657A0"/>
    <w:rsid w:val="003658A7"/>
    <w:rsid w:val="003658DE"/>
    <w:rsid w:val="00365BAA"/>
    <w:rsid w:val="0036637A"/>
    <w:rsid w:val="0036659E"/>
    <w:rsid w:val="0036681F"/>
    <w:rsid w:val="0036689B"/>
    <w:rsid w:val="003669FB"/>
    <w:rsid w:val="00366B20"/>
    <w:rsid w:val="00366C2D"/>
    <w:rsid w:val="00367893"/>
    <w:rsid w:val="00370565"/>
    <w:rsid w:val="00370675"/>
    <w:rsid w:val="003706B9"/>
    <w:rsid w:val="00370C90"/>
    <w:rsid w:val="003713CF"/>
    <w:rsid w:val="00371C8A"/>
    <w:rsid w:val="00371F7C"/>
    <w:rsid w:val="003722F9"/>
    <w:rsid w:val="003724F6"/>
    <w:rsid w:val="00372BA6"/>
    <w:rsid w:val="00373776"/>
    <w:rsid w:val="003737B6"/>
    <w:rsid w:val="00373B35"/>
    <w:rsid w:val="00373CCE"/>
    <w:rsid w:val="00373FC2"/>
    <w:rsid w:val="00374A98"/>
    <w:rsid w:val="00374C18"/>
    <w:rsid w:val="00375103"/>
    <w:rsid w:val="0037528A"/>
    <w:rsid w:val="003753B9"/>
    <w:rsid w:val="00375628"/>
    <w:rsid w:val="0037565A"/>
    <w:rsid w:val="00375C83"/>
    <w:rsid w:val="00375E9B"/>
    <w:rsid w:val="003762E7"/>
    <w:rsid w:val="00376365"/>
    <w:rsid w:val="00376496"/>
    <w:rsid w:val="00376728"/>
    <w:rsid w:val="00376AE9"/>
    <w:rsid w:val="00376FDB"/>
    <w:rsid w:val="0037738B"/>
    <w:rsid w:val="003801F3"/>
    <w:rsid w:val="00380220"/>
    <w:rsid w:val="00380259"/>
    <w:rsid w:val="00380910"/>
    <w:rsid w:val="0038104C"/>
    <w:rsid w:val="0038187A"/>
    <w:rsid w:val="00381C57"/>
    <w:rsid w:val="00381FFA"/>
    <w:rsid w:val="00382113"/>
    <w:rsid w:val="003823B1"/>
    <w:rsid w:val="00382752"/>
    <w:rsid w:val="00382C28"/>
    <w:rsid w:val="00382E21"/>
    <w:rsid w:val="00383959"/>
    <w:rsid w:val="003841CF"/>
    <w:rsid w:val="003843D5"/>
    <w:rsid w:val="003846E2"/>
    <w:rsid w:val="003848AB"/>
    <w:rsid w:val="003850C5"/>
    <w:rsid w:val="003856DB"/>
    <w:rsid w:val="00385C06"/>
    <w:rsid w:val="00385F12"/>
    <w:rsid w:val="003862D9"/>
    <w:rsid w:val="00386E53"/>
    <w:rsid w:val="003871C0"/>
    <w:rsid w:val="00387672"/>
    <w:rsid w:val="00387A1E"/>
    <w:rsid w:val="00387B6F"/>
    <w:rsid w:val="00387DE8"/>
    <w:rsid w:val="0039032D"/>
    <w:rsid w:val="003904E0"/>
    <w:rsid w:val="0039094C"/>
    <w:rsid w:val="00390D74"/>
    <w:rsid w:val="00391322"/>
    <w:rsid w:val="0039175F"/>
    <w:rsid w:val="003926BA"/>
    <w:rsid w:val="00392817"/>
    <w:rsid w:val="00392A11"/>
    <w:rsid w:val="00392CD6"/>
    <w:rsid w:val="00392D95"/>
    <w:rsid w:val="00392F65"/>
    <w:rsid w:val="00393151"/>
    <w:rsid w:val="00393C4C"/>
    <w:rsid w:val="00394224"/>
    <w:rsid w:val="0039441A"/>
    <w:rsid w:val="00394517"/>
    <w:rsid w:val="00394E4D"/>
    <w:rsid w:val="0039508B"/>
    <w:rsid w:val="00395741"/>
    <w:rsid w:val="00395AF4"/>
    <w:rsid w:val="0039605F"/>
    <w:rsid w:val="003962B5"/>
    <w:rsid w:val="003964D3"/>
    <w:rsid w:val="00396BAC"/>
    <w:rsid w:val="003972C8"/>
    <w:rsid w:val="003974EE"/>
    <w:rsid w:val="003A0A2E"/>
    <w:rsid w:val="003A0F8E"/>
    <w:rsid w:val="003A1595"/>
    <w:rsid w:val="003A1C3F"/>
    <w:rsid w:val="003A1CDA"/>
    <w:rsid w:val="003A2538"/>
    <w:rsid w:val="003A26B2"/>
    <w:rsid w:val="003A2B14"/>
    <w:rsid w:val="003A2C21"/>
    <w:rsid w:val="003A2D39"/>
    <w:rsid w:val="003A3471"/>
    <w:rsid w:val="003A3AB9"/>
    <w:rsid w:val="003A45BF"/>
    <w:rsid w:val="003A49A2"/>
    <w:rsid w:val="003A49AE"/>
    <w:rsid w:val="003A4CDB"/>
    <w:rsid w:val="003A5183"/>
    <w:rsid w:val="003A5964"/>
    <w:rsid w:val="003A6735"/>
    <w:rsid w:val="003A68F9"/>
    <w:rsid w:val="003A6ACD"/>
    <w:rsid w:val="003A6C57"/>
    <w:rsid w:val="003A6E15"/>
    <w:rsid w:val="003A7750"/>
    <w:rsid w:val="003A7AA6"/>
    <w:rsid w:val="003A7EE3"/>
    <w:rsid w:val="003B01D1"/>
    <w:rsid w:val="003B0682"/>
    <w:rsid w:val="003B07B4"/>
    <w:rsid w:val="003B083D"/>
    <w:rsid w:val="003B0981"/>
    <w:rsid w:val="003B17AE"/>
    <w:rsid w:val="003B1E40"/>
    <w:rsid w:val="003B1FD9"/>
    <w:rsid w:val="003B21B1"/>
    <w:rsid w:val="003B22A9"/>
    <w:rsid w:val="003B2357"/>
    <w:rsid w:val="003B2865"/>
    <w:rsid w:val="003B2ECE"/>
    <w:rsid w:val="003B32B6"/>
    <w:rsid w:val="003B33D8"/>
    <w:rsid w:val="003B3A4E"/>
    <w:rsid w:val="003B4010"/>
    <w:rsid w:val="003B40AA"/>
    <w:rsid w:val="003B4CD2"/>
    <w:rsid w:val="003B5714"/>
    <w:rsid w:val="003B5E92"/>
    <w:rsid w:val="003B6549"/>
    <w:rsid w:val="003B66F2"/>
    <w:rsid w:val="003B6F3A"/>
    <w:rsid w:val="003B7352"/>
    <w:rsid w:val="003B7564"/>
    <w:rsid w:val="003B776A"/>
    <w:rsid w:val="003B7D13"/>
    <w:rsid w:val="003B7F87"/>
    <w:rsid w:val="003B7F88"/>
    <w:rsid w:val="003C0975"/>
    <w:rsid w:val="003C0BA0"/>
    <w:rsid w:val="003C15BF"/>
    <w:rsid w:val="003C1D62"/>
    <w:rsid w:val="003C2988"/>
    <w:rsid w:val="003C2E35"/>
    <w:rsid w:val="003C2E7C"/>
    <w:rsid w:val="003C30DC"/>
    <w:rsid w:val="003C33EF"/>
    <w:rsid w:val="003C3535"/>
    <w:rsid w:val="003C3AB0"/>
    <w:rsid w:val="003C3CBB"/>
    <w:rsid w:val="003C4194"/>
    <w:rsid w:val="003C41D2"/>
    <w:rsid w:val="003C4238"/>
    <w:rsid w:val="003C4397"/>
    <w:rsid w:val="003C4D8A"/>
    <w:rsid w:val="003C4E60"/>
    <w:rsid w:val="003C5034"/>
    <w:rsid w:val="003C5135"/>
    <w:rsid w:val="003C5513"/>
    <w:rsid w:val="003C55EE"/>
    <w:rsid w:val="003C5A50"/>
    <w:rsid w:val="003C5DCD"/>
    <w:rsid w:val="003C5F67"/>
    <w:rsid w:val="003C624E"/>
    <w:rsid w:val="003C6617"/>
    <w:rsid w:val="003C6B10"/>
    <w:rsid w:val="003C6EAA"/>
    <w:rsid w:val="003C6F21"/>
    <w:rsid w:val="003C6F71"/>
    <w:rsid w:val="003C7725"/>
    <w:rsid w:val="003C772A"/>
    <w:rsid w:val="003C7743"/>
    <w:rsid w:val="003D00CD"/>
    <w:rsid w:val="003D06D4"/>
    <w:rsid w:val="003D0972"/>
    <w:rsid w:val="003D09AE"/>
    <w:rsid w:val="003D0C10"/>
    <w:rsid w:val="003D0F6A"/>
    <w:rsid w:val="003D14FE"/>
    <w:rsid w:val="003D162C"/>
    <w:rsid w:val="003D1801"/>
    <w:rsid w:val="003D1910"/>
    <w:rsid w:val="003D1BE8"/>
    <w:rsid w:val="003D1D56"/>
    <w:rsid w:val="003D20E3"/>
    <w:rsid w:val="003D22F9"/>
    <w:rsid w:val="003D2534"/>
    <w:rsid w:val="003D2E5C"/>
    <w:rsid w:val="003D37D9"/>
    <w:rsid w:val="003D3A6E"/>
    <w:rsid w:val="003D3BF6"/>
    <w:rsid w:val="003D4666"/>
    <w:rsid w:val="003D4A3B"/>
    <w:rsid w:val="003D4AE3"/>
    <w:rsid w:val="003D4C99"/>
    <w:rsid w:val="003D58F4"/>
    <w:rsid w:val="003D5F68"/>
    <w:rsid w:val="003D6094"/>
    <w:rsid w:val="003D6261"/>
    <w:rsid w:val="003D62E0"/>
    <w:rsid w:val="003D6952"/>
    <w:rsid w:val="003D6AB9"/>
    <w:rsid w:val="003D70F0"/>
    <w:rsid w:val="003D7121"/>
    <w:rsid w:val="003D73F4"/>
    <w:rsid w:val="003D73FE"/>
    <w:rsid w:val="003D789A"/>
    <w:rsid w:val="003D7FBA"/>
    <w:rsid w:val="003E06D8"/>
    <w:rsid w:val="003E0969"/>
    <w:rsid w:val="003E1211"/>
    <w:rsid w:val="003E176B"/>
    <w:rsid w:val="003E26CB"/>
    <w:rsid w:val="003E2FD0"/>
    <w:rsid w:val="003E315C"/>
    <w:rsid w:val="003E32AD"/>
    <w:rsid w:val="003E34A0"/>
    <w:rsid w:val="003E495F"/>
    <w:rsid w:val="003E561A"/>
    <w:rsid w:val="003E5BE7"/>
    <w:rsid w:val="003E5D38"/>
    <w:rsid w:val="003E5DB8"/>
    <w:rsid w:val="003E722B"/>
    <w:rsid w:val="003E76BF"/>
    <w:rsid w:val="003E7B23"/>
    <w:rsid w:val="003E7B2A"/>
    <w:rsid w:val="003E7E69"/>
    <w:rsid w:val="003F1AFA"/>
    <w:rsid w:val="003F1B84"/>
    <w:rsid w:val="003F1D79"/>
    <w:rsid w:val="003F2355"/>
    <w:rsid w:val="003F262A"/>
    <w:rsid w:val="003F2B59"/>
    <w:rsid w:val="003F2C0C"/>
    <w:rsid w:val="003F2DE2"/>
    <w:rsid w:val="003F3415"/>
    <w:rsid w:val="003F3525"/>
    <w:rsid w:val="003F3A9C"/>
    <w:rsid w:val="003F3B10"/>
    <w:rsid w:val="003F3B1B"/>
    <w:rsid w:val="003F3FAD"/>
    <w:rsid w:val="003F405F"/>
    <w:rsid w:val="003F4B97"/>
    <w:rsid w:val="003F4D42"/>
    <w:rsid w:val="003F5050"/>
    <w:rsid w:val="003F52AD"/>
    <w:rsid w:val="003F547D"/>
    <w:rsid w:val="003F615A"/>
    <w:rsid w:val="003F6552"/>
    <w:rsid w:val="003F7C4D"/>
    <w:rsid w:val="00400A12"/>
    <w:rsid w:val="00400D17"/>
    <w:rsid w:val="004010C8"/>
    <w:rsid w:val="004012BA"/>
    <w:rsid w:val="004013C4"/>
    <w:rsid w:val="00402308"/>
    <w:rsid w:val="004031FB"/>
    <w:rsid w:val="00403247"/>
    <w:rsid w:val="00403752"/>
    <w:rsid w:val="00403A9D"/>
    <w:rsid w:val="004040C6"/>
    <w:rsid w:val="00404325"/>
    <w:rsid w:val="00404776"/>
    <w:rsid w:val="00404CA0"/>
    <w:rsid w:val="00404F42"/>
    <w:rsid w:val="00405060"/>
    <w:rsid w:val="00405212"/>
    <w:rsid w:val="00405A31"/>
    <w:rsid w:val="00405D92"/>
    <w:rsid w:val="004061C1"/>
    <w:rsid w:val="0040622C"/>
    <w:rsid w:val="004069F1"/>
    <w:rsid w:val="00406E8C"/>
    <w:rsid w:val="004074D5"/>
    <w:rsid w:val="00407D3A"/>
    <w:rsid w:val="00407E27"/>
    <w:rsid w:val="00410235"/>
    <w:rsid w:val="004104AA"/>
    <w:rsid w:val="00410547"/>
    <w:rsid w:val="00410912"/>
    <w:rsid w:val="004114DC"/>
    <w:rsid w:val="0041169A"/>
    <w:rsid w:val="00411E95"/>
    <w:rsid w:val="0041236D"/>
    <w:rsid w:val="00412395"/>
    <w:rsid w:val="0041244C"/>
    <w:rsid w:val="004124B9"/>
    <w:rsid w:val="00413247"/>
    <w:rsid w:val="00413333"/>
    <w:rsid w:val="00413499"/>
    <w:rsid w:val="00414014"/>
    <w:rsid w:val="00414206"/>
    <w:rsid w:val="00414D4C"/>
    <w:rsid w:val="00414DBC"/>
    <w:rsid w:val="0041503E"/>
    <w:rsid w:val="00415EF7"/>
    <w:rsid w:val="004165E2"/>
    <w:rsid w:val="00416678"/>
    <w:rsid w:val="00416DFD"/>
    <w:rsid w:val="00416E8C"/>
    <w:rsid w:val="00416F8F"/>
    <w:rsid w:val="00417171"/>
    <w:rsid w:val="004171DA"/>
    <w:rsid w:val="004179FC"/>
    <w:rsid w:val="00420070"/>
    <w:rsid w:val="0042020D"/>
    <w:rsid w:val="004202E6"/>
    <w:rsid w:val="0042063E"/>
    <w:rsid w:val="00420765"/>
    <w:rsid w:val="004210FC"/>
    <w:rsid w:val="00421C8C"/>
    <w:rsid w:val="00421DF8"/>
    <w:rsid w:val="004226AC"/>
    <w:rsid w:val="00422E64"/>
    <w:rsid w:val="00423A81"/>
    <w:rsid w:val="00424766"/>
    <w:rsid w:val="0042487D"/>
    <w:rsid w:val="0042519B"/>
    <w:rsid w:val="00425245"/>
    <w:rsid w:val="00425449"/>
    <w:rsid w:val="00425593"/>
    <w:rsid w:val="00425778"/>
    <w:rsid w:val="00425CD8"/>
    <w:rsid w:val="00425D8F"/>
    <w:rsid w:val="00425DE3"/>
    <w:rsid w:val="00425E7C"/>
    <w:rsid w:val="004263C5"/>
    <w:rsid w:val="0042679A"/>
    <w:rsid w:val="0042708F"/>
    <w:rsid w:val="00427160"/>
    <w:rsid w:val="004273D0"/>
    <w:rsid w:val="00427810"/>
    <w:rsid w:val="004279A4"/>
    <w:rsid w:val="00427F97"/>
    <w:rsid w:val="004305FB"/>
    <w:rsid w:val="004306D6"/>
    <w:rsid w:val="00430AFC"/>
    <w:rsid w:val="00430E6A"/>
    <w:rsid w:val="00431176"/>
    <w:rsid w:val="004314D5"/>
    <w:rsid w:val="00431700"/>
    <w:rsid w:val="00431C01"/>
    <w:rsid w:val="00431C8B"/>
    <w:rsid w:val="00431E36"/>
    <w:rsid w:val="00431FA6"/>
    <w:rsid w:val="0043203B"/>
    <w:rsid w:val="00432096"/>
    <w:rsid w:val="0043237C"/>
    <w:rsid w:val="00432445"/>
    <w:rsid w:val="0043288D"/>
    <w:rsid w:val="00432FFE"/>
    <w:rsid w:val="00433074"/>
    <w:rsid w:val="00433160"/>
    <w:rsid w:val="00433213"/>
    <w:rsid w:val="0043345E"/>
    <w:rsid w:val="00434104"/>
    <w:rsid w:val="0043432A"/>
    <w:rsid w:val="00434612"/>
    <w:rsid w:val="00434DC3"/>
    <w:rsid w:val="00435298"/>
    <w:rsid w:val="004353D7"/>
    <w:rsid w:val="00435599"/>
    <w:rsid w:val="00435AC8"/>
    <w:rsid w:val="00435CA3"/>
    <w:rsid w:val="00435CD5"/>
    <w:rsid w:val="00435D37"/>
    <w:rsid w:val="004362AE"/>
    <w:rsid w:val="004363FB"/>
    <w:rsid w:val="00436BC6"/>
    <w:rsid w:val="00437A5A"/>
    <w:rsid w:val="00440BC0"/>
    <w:rsid w:val="00440E7E"/>
    <w:rsid w:val="004410F9"/>
    <w:rsid w:val="00441174"/>
    <w:rsid w:val="00441245"/>
    <w:rsid w:val="004415F1"/>
    <w:rsid w:val="0044186A"/>
    <w:rsid w:val="00441E8A"/>
    <w:rsid w:val="00441EF8"/>
    <w:rsid w:val="004421D6"/>
    <w:rsid w:val="00442617"/>
    <w:rsid w:val="004426DE"/>
    <w:rsid w:val="00442B06"/>
    <w:rsid w:val="004432AC"/>
    <w:rsid w:val="0044430E"/>
    <w:rsid w:val="00444635"/>
    <w:rsid w:val="00444688"/>
    <w:rsid w:val="00444A4F"/>
    <w:rsid w:val="00444DE9"/>
    <w:rsid w:val="00445127"/>
    <w:rsid w:val="00445191"/>
    <w:rsid w:val="00445634"/>
    <w:rsid w:val="00445868"/>
    <w:rsid w:val="00445C0D"/>
    <w:rsid w:val="00446160"/>
    <w:rsid w:val="00446360"/>
    <w:rsid w:val="00446538"/>
    <w:rsid w:val="004466BB"/>
    <w:rsid w:val="004467B6"/>
    <w:rsid w:val="00446926"/>
    <w:rsid w:val="0044697F"/>
    <w:rsid w:val="0044748D"/>
    <w:rsid w:val="00447661"/>
    <w:rsid w:val="004477AA"/>
    <w:rsid w:val="004477E1"/>
    <w:rsid w:val="00447B2B"/>
    <w:rsid w:val="004501AD"/>
    <w:rsid w:val="00450877"/>
    <w:rsid w:val="004509C4"/>
    <w:rsid w:val="00450BDE"/>
    <w:rsid w:val="00450DE9"/>
    <w:rsid w:val="004516E8"/>
    <w:rsid w:val="00451E3C"/>
    <w:rsid w:val="00451F65"/>
    <w:rsid w:val="00452093"/>
    <w:rsid w:val="00452C76"/>
    <w:rsid w:val="00453080"/>
    <w:rsid w:val="0045393A"/>
    <w:rsid w:val="00454149"/>
    <w:rsid w:val="004544AE"/>
    <w:rsid w:val="00454622"/>
    <w:rsid w:val="004546EB"/>
    <w:rsid w:val="004548F2"/>
    <w:rsid w:val="00454DFD"/>
    <w:rsid w:val="00454FF5"/>
    <w:rsid w:val="00455393"/>
    <w:rsid w:val="00455406"/>
    <w:rsid w:val="00455BCB"/>
    <w:rsid w:val="00455F20"/>
    <w:rsid w:val="00455F5A"/>
    <w:rsid w:val="00456070"/>
    <w:rsid w:val="00456328"/>
    <w:rsid w:val="00456377"/>
    <w:rsid w:val="004563E4"/>
    <w:rsid w:val="00456D87"/>
    <w:rsid w:val="00456E44"/>
    <w:rsid w:val="0045745D"/>
    <w:rsid w:val="004577B7"/>
    <w:rsid w:val="00457B5F"/>
    <w:rsid w:val="00457C47"/>
    <w:rsid w:val="00457FD5"/>
    <w:rsid w:val="0046032D"/>
    <w:rsid w:val="0046068E"/>
    <w:rsid w:val="00460A3E"/>
    <w:rsid w:val="00462615"/>
    <w:rsid w:val="00462E2C"/>
    <w:rsid w:val="00462F2B"/>
    <w:rsid w:val="00462FC6"/>
    <w:rsid w:val="00463179"/>
    <w:rsid w:val="004631BC"/>
    <w:rsid w:val="004637A3"/>
    <w:rsid w:val="0046439B"/>
    <w:rsid w:val="0046495B"/>
    <w:rsid w:val="00464C12"/>
    <w:rsid w:val="00464D5B"/>
    <w:rsid w:val="00465474"/>
    <w:rsid w:val="0046586D"/>
    <w:rsid w:val="00466208"/>
    <w:rsid w:val="004662D7"/>
    <w:rsid w:val="00466319"/>
    <w:rsid w:val="00466366"/>
    <w:rsid w:val="0046681C"/>
    <w:rsid w:val="00466A47"/>
    <w:rsid w:val="00466DE8"/>
    <w:rsid w:val="00467597"/>
    <w:rsid w:val="00467A6B"/>
    <w:rsid w:val="0047015B"/>
    <w:rsid w:val="00470347"/>
    <w:rsid w:val="00470488"/>
    <w:rsid w:val="00471482"/>
    <w:rsid w:val="00471C31"/>
    <w:rsid w:val="00471FCC"/>
    <w:rsid w:val="004724F8"/>
    <w:rsid w:val="00472A63"/>
    <w:rsid w:val="00473379"/>
    <w:rsid w:val="0047458E"/>
    <w:rsid w:val="00474DAE"/>
    <w:rsid w:val="00474FB7"/>
    <w:rsid w:val="00475292"/>
    <w:rsid w:val="00475740"/>
    <w:rsid w:val="004757F3"/>
    <w:rsid w:val="00475813"/>
    <w:rsid w:val="00475D8B"/>
    <w:rsid w:val="00476631"/>
    <w:rsid w:val="0047681E"/>
    <w:rsid w:val="0047683F"/>
    <w:rsid w:val="0047693A"/>
    <w:rsid w:val="00476AD1"/>
    <w:rsid w:val="004772E4"/>
    <w:rsid w:val="00477803"/>
    <w:rsid w:val="00477A35"/>
    <w:rsid w:val="00477F21"/>
    <w:rsid w:val="00477FFE"/>
    <w:rsid w:val="004802A7"/>
    <w:rsid w:val="00480475"/>
    <w:rsid w:val="0048073F"/>
    <w:rsid w:val="004808DC"/>
    <w:rsid w:val="00481239"/>
    <w:rsid w:val="004814B5"/>
    <w:rsid w:val="00481F33"/>
    <w:rsid w:val="004820C1"/>
    <w:rsid w:val="004822DA"/>
    <w:rsid w:val="004824AE"/>
    <w:rsid w:val="0048269F"/>
    <w:rsid w:val="00482E47"/>
    <w:rsid w:val="004832BF"/>
    <w:rsid w:val="004832D0"/>
    <w:rsid w:val="004833DF"/>
    <w:rsid w:val="0048362C"/>
    <w:rsid w:val="00483E5A"/>
    <w:rsid w:val="00484023"/>
    <w:rsid w:val="004840B9"/>
    <w:rsid w:val="004845BE"/>
    <w:rsid w:val="00484AE8"/>
    <w:rsid w:val="00484C0B"/>
    <w:rsid w:val="004851F4"/>
    <w:rsid w:val="00485809"/>
    <w:rsid w:val="00485DB0"/>
    <w:rsid w:val="00485DC5"/>
    <w:rsid w:val="00485E25"/>
    <w:rsid w:val="00485F88"/>
    <w:rsid w:val="0048634D"/>
    <w:rsid w:val="004863D6"/>
    <w:rsid w:val="004865AC"/>
    <w:rsid w:val="00486B8B"/>
    <w:rsid w:val="00487612"/>
    <w:rsid w:val="004907D9"/>
    <w:rsid w:val="004907FE"/>
    <w:rsid w:val="00490935"/>
    <w:rsid w:val="00490956"/>
    <w:rsid w:val="004909DE"/>
    <w:rsid w:val="00490A3C"/>
    <w:rsid w:val="00490E9A"/>
    <w:rsid w:val="0049141C"/>
    <w:rsid w:val="00491BC8"/>
    <w:rsid w:val="00491C75"/>
    <w:rsid w:val="00493C0F"/>
    <w:rsid w:val="00493DFA"/>
    <w:rsid w:val="00493F79"/>
    <w:rsid w:val="0049400C"/>
    <w:rsid w:val="00494AA0"/>
    <w:rsid w:val="00494EFE"/>
    <w:rsid w:val="0049502C"/>
    <w:rsid w:val="004950B2"/>
    <w:rsid w:val="004950C0"/>
    <w:rsid w:val="004952DF"/>
    <w:rsid w:val="0049542F"/>
    <w:rsid w:val="00495626"/>
    <w:rsid w:val="00495958"/>
    <w:rsid w:val="00495F02"/>
    <w:rsid w:val="00496307"/>
    <w:rsid w:val="004963E7"/>
    <w:rsid w:val="00496656"/>
    <w:rsid w:val="004967FA"/>
    <w:rsid w:val="004968AC"/>
    <w:rsid w:val="00496D9E"/>
    <w:rsid w:val="00496E9B"/>
    <w:rsid w:val="00497535"/>
    <w:rsid w:val="00497669"/>
    <w:rsid w:val="004977D3"/>
    <w:rsid w:val="004A017F"/>
    <w:rsid w:val="004A0267"/>
    <w:rsid w:val="004A0379"/>
    <w:rsid w:val="004A069A"/>
    <w:rsid w:val="004A10B1"/>
    <w:rsid w:val="004A1296"/>
    <w:rsid w:val="004A1673"/>
    <w:rsid w:val="004A17E9"/>
    <w:rsid w:val="004A19DD"/>
    <w:rsid w:val="004A1D21"/>
    <w:rsid w:val="004A20BB"/>
    <w:rsid w:val="004A2CFC"/>
    <w:rsid w:val="004A35C8"/>
    <w:rsid w:val="004A37C9"/>
    <w:rsid w:val="004A37F1"/>
    <w:rsid w:val="004A3873"/>
    <w:rsid w:val="004A3908"/>
    <w:rsid w:val="004A3AA6"/>
    <w:rsid w:val="004A3CEE"/>
    <w:rsid w:val="004A3D52"/>
    <w:rsid w:val="004A3EDF"/>
    <w:rsid w:val="004A42BB"/>
    <w:rsid w:val="004A46C1"/>
    <w:rsid w:val="004A472A"/>
    <w:rsid w:val="004A4EBF"/>
    <w:rsid w:val="004A4F6C"/>
    <w:rsid w:val="004A5936"/>
    <w:rsid w:val="004A5BD5"/>
    <w:rsid w:val="004A656F"/>
    <w:rsid w:val="004A6658"/>
    <w:rsid w:val="004A68AC"/>
    <w:rsid w:val="004A6CF4"/>
    <w:rsid w:val="004A707D"/>
    <w:rsid w:val="004A71C5"/>
    <w:rsid w:val="004A768F"/>
    <w:rsid w:val="004A787C"/>
    <w:rsid w:val="004A7E39"/>
    <w:rsid w:val="004B00FB"/>
    <w:rsid w:val="004B01ED"/>
    <w:rsid w:val="004B0288"/>
    <w:rsid w:val="004B082B"/>
    <w:rsid w:val="004B14BB"/>
    <w:rsid w:val="004B1848"/>
    <w:rsid w:val="004B190B"/>
    <w:rsid w:val="004B1B7E"/>
    <w:rsid w:val="004B1FBF"/>
    <w:rsid w:val="004B25C1"/>
    <w:rsid w:val="004B29B0"/>
    <w:rsid w:val="004B2A1D"/>
    <w:rsid w:val="004B2B58"/>
    <w:rsid w:val="004B301F"/>
    <w:rsid w:val="004B30BF"/>
    <w:rsid w:val="004B3CC9"/>
    <w:rsid w:val="004B4257"/>
    <w:rsid w:val="004B430F"/>
    <w:rsid w:val="004B47F8"/>
    <w:rsid w:val="004B4834"/>
    <w:rsid w:val="004B4ADB"/>
    <w:rsid w:val="004B4B05"/>
    <w:rsid w:val="004B4B82"/>
    <w:rsid w:val="004B4C43"/>
    <w:rsid w:val="004B4CD0"/>
    <w:rsid w:val="004B4FA1"/>
    <w:rsid w:val="004B5A1D"/>
    <w:rsid w:val="004B5C64"/>
    <w:rsid w:val="004B66DE"/>
    <w:rsid w:val="004B6E17"/>
    <w:rsid w:val="004B718C"/>
    <w:rsid w:val="004B71F3"/>
    <w:rsid w:val="004B7224"/>
    <w:rsid w:val="004B7731"/>
    <w:rsid w:val="004C03C6"/>
    <w:rsid w:val="004C056A"/>
    <w:rsid w:val="004C0F4D"/>
    <w:rsid w:val="004C0FC5"/>
    <w:rsid w:val="004C16B5"/>
    <w:rsid w:val="004C1895"/>
    <w:rsid w:val="004C1D32"/>
    <w:rsid w:val="004C1E7B"/>
    <w:rsid w:val="004C205F"/>
    <w:rsid w:val="004C20A3"/>
    <w:rsid w:val="004C2215"/>
    <w:rsid w:val="004C30DA"/>
    <w:rsid w:val="004C3766"/>
    <w:rsid w:val="004C393C"/>
    <w:rsid w:val="004C4740"/>
    <w:rsid w:val="004C478F"/>
    <w:rsid w:val="004C4C87"/>
    <w:rsid w:val="004C4F68"/>
    <w:rsid w:val="004C552F"/>
    <w:rsid w:val="004C580E"/>
    <w:rsid w:val="004C5A14"/>
    <w:rsid w:val="004C5AFA"/>
    <w:rsid w:val="004C6127"/>
    <w:rsid w:val="004C6367"/>
    <w:rsid w:val="004C6BCD"/>
    <w:rsid w:val="004C7F23"/>
    <w:rsid w:val="004C7F3E"/>
    <w:rsid w:val="004C7F49"/>
    <w:rsid w:val="004D01D3"/>
    <w:rsid w:val="004D0744"/>
    <w:rsid w:val="004D0FB9"/>
    <w:rsid w:val="004D1069"/>
    <w:rsid w:val="004D2099"/>
    <w:rsid w:val="004D2338"/>
    <w:rsid w:val="004D310C"/>
    <w:rsid w:val="004D3578"/>
    <w:rsid w:val="004D357D"/>
    <w:rsid w:val="004D39D3"/>
    <w:rsid w:val="004D3B4D"/>
    <w:rsid w:val="004D3F68"/>
    <w:rsid w:val="004D3FD4"/>
    <w:rsid w:val="004D4631"/>
    <w:rsid w:val="004D4E42"/>
    <w:rsid w:val="004D4EB9"/>
    <w:rsid w:val="004D5AC1"/>
    <w:rsid w:val="004D5D04"/>
    <w:rsid w:val="004D5E49"/>
    <w:rsid w:val="004D5E4F"/>
    <w:rsid w:val="004D6416"/>
    <w:rsid w:val="004D64C9"/>
    <w:rsid w:val="004D69C4"/>
    <w:rsid w:val="004D6B28"/>
    <w:rsid w:val="004D6BA5"/>
    <w:rsid w:val="004D6D4A"/>
    <w:rsid w:val="004D7405"/>
    <w:rsid w:val="004D756F"/>
    <w:rsid w:val="004D787B"/>
    <w:rsid w:val="004D793C"/>
    <w:rsid w:val="004D7CC0"/>
    <w:rsid w:val="004E04F7"/>
    <w:rsid w:val="004E192C"/>
    <w:rsid w:val="004E2088"/>
    <w:rsid w:val="004E26A7"/>
    <w:rsid w:val="004E284E"/>
    <w:rsid w:val="004E286C"/>
    <w:rsid w:val="004E332F"/>
    <w:rsid w:val="004E3F4A"/>
    <w:rsid w:val="004E4328"/>
    <w:rsid w:val="004E5593"/>
    <w:rsid w:val="004E57B3"/>
    <w:rsid w:val="004E5A0D"/>
    <w:rsid w:val="004E5B97"/>
    <w:rsid w:val="004E5E10"/>
    <w:rsid w:val="004E6768"/>
    <w:rsid w:val="004E6B5E"/>
    <w:rsid w:val="004E71B0"/>
    <w:rsid w:val="004E71C9"/>
    <w:rsid w:val="004E74F1"/>
    <w:rsid w:val="004E74FF"/>
    <w:rsid w:val="004E77C7"/>
    <w:rsid w:val="004E7C2B"/>
    <w:rsid w:val="004E7C66"/>
    <w:rsid w:val="004F0474"/>
    <w:rsid w:val="004F074A"/>
    <w:rsid w:val="004F07A7"/>
    <w:rsid w:val="004F0B25"/>
    <w:rsid w:val="004F16E9"/>
    <w:rsid w:val="004F19BC"/>
    <w:rsid w:val="004F1C63"/>
    <w:rsid w:val="004F2172"/>
    <w:rsid w:val="004F232B"/>
    <w:rsid w:val="004F29E3"/>
    <w:rsid w:val="004F316E"/>
    <w:rsid w:val="004F37CF"/>
    <w:rsid w:val="004F3C2D"/>
    <w:rsid w:val="004F3E7F"/>
    <w:rsid w:val="004F42DA"/>
    <w:rsid w:val="004F44B8"/>
    <w:rsid w:val="004F45D5"/>
    <w:rsid w:val="004F4662"/>
    <w:rsid w:val="004F46A7"/>
    <w:rsid w:val="004F4C77"/>
    <w:rsid w:val="004F4F0A"/>
    <w:rsid w:val="004F51D0"/>
    <w:rsid w:val="004F5BFD"/>
    <w:rsid w:val="004F690E"/>
    <w:rsid w:val="004F69C5"/>
    <w:rsid w:val="004F6A99"/>
    <w:rsid w:val="004F6AEC"/>
    <w:rsid w:val="004F6C35"/>
    <w:rsid w:val="004F6C47"/>
    <w:rsid w:val="004F6D24"/>
    <w:rsid w:val="004F6E23"/>
    <w:rsid w:val="004F7100"/>
    <w:rsid w:val="004F77B1"/>
    <w:rsid w:val="005000AE"/>
    <w:rsid w:val="00500428"/>
    <w:rsid w:val="005007DC"/>
    <w:rsid w:val="005008C1"/>
    <w:rsid w:val="00500C5D"/>
    <w:rsid w:val="00500D5A"/>
    <w:rsid w:val="0050132A"/>
    <w:rsid w:val="0050147A"/>
    <w:rsid w:val="00501696"/>
    <w:rsid w:val="00501A3D"/>
    <w:rsid w:val="00501BF1"/>
    <w:rsid w:val="00501DC7"/>
    <w:rsid w:val="00502632"/>
    <w:rsid w:val="005026DB"/>
    <w:rsid w:val="00502A6D"/>
    <w:rsid w:val="00502E32"/>
    <w:rsid w:val="0050340E"/>
    <w:rsid w:val="00503420"/>
    <w:rsid w:val="00503642"/>
    <w:rsid w:val="005036E8"/>
    <w:rsid w:val="00503D1A"/>
    <w:rsid w:val="0050403A"/>
    <w:rsid w:val="005064A6"/>
    <w:rsid w:val="00506991"/>
    <w:rsid w:val="00506A3F"/>
    <w:rsid w:val="00506CBB"/>
    <w:rsid w:val="0050704B"/>
    <w:rsid w:val="00507094"/>
    <w:rsid w:val="0050713D"/>
    <w:rsid w:val="005071B5"/>
    <w:rsid w:val="00507687"/>
    <w:rsid w:val="005077C3"/>
    <w:rsid w:val="00507E72"/>
    <w:rsid w:val="00510917"/>
    <w:rsid w:val="0051095E"/>
    <w:rsid w:val="00510D60"/>
    <w:rsid w:val="00511839"/>
    <w:rsid w:val="00511893"/>
    <w:rsid w:val="00511F7A"/>
    <w:rsid w:val="005122FD"/>
    <w:rsid w:val="0051254B"/>
    <w:rsid w:val="005128DD"/>
    <w:rsid w:val="005129D1"/>
    <w:rsid w:val="00513386"/>
    <w:rsid w:val="00513570"/>
    <w:rsid w:val="005135DD"/>
    <w:rsid w:val="00513735"/>
    <w:rsid w:val="00513949"/>
    <w:rsid w:val="00513CD3"/>
    <w:rsid w:val="00513D8F"/>
    <w:rsid w:val="00513FAB"/>
    <w:rsid w:val="00514DDA"/>
    <w:rsid w:val="005154FC"/>
    <w:rsid w:val="00515622"/>
    <w:rsid w:val="005157F9"/>
    <w:rsid w:val="00515AC3"/>
    <w:rsid w:val="0051688B"/>
    <w:rsid w:val="00516DB8"/>
    <w:rsid w:val="00516F39"/>
    <w:rsid w:val="005178E7"/>
    <w:rsid w:val="00517A26"/>
    <w:rsid w:val="00517B72"/>
    <w:rsid w:val="00517F20"/>
    <w:rsid w:val="00517FEE"/>
    <w:rsid w:val="0052025C"/>
    <w:rsid w:val="005202D7"/>
    <w:rsid w:val="00520483"/>
    <w:rsid w:val="005207DF"/>
    <w:rsid w:val="005207F3"/>
    <w:rsid w:val="00520ABA"/>
    <w:rsid w:val="00520C21"/>
    <w:rsid w:val="005212BB"/>
    <w:rsid w:val="005213E5"/>
    <w:rsid w:val="0052172B"/>
    <w:rsid w:val="00521A8B"/>
    <w:rsid w:val="00521A9C"/>
    <w:rsid w:val="00521AE2"/>
    <w:rsid w:val="00521B7A"/>
    <w:rsid w:val="00521E70"/>
    <w:rsid w:val="00522183"/>
    <w:rsid w:val="005224A9"/>
    <w:rsid w:val="00522572"/>
    <w:rsid w:val="00522803"/>
    <w:rsid w:val="00522AAF"/>
    <w:rsid w:val="005230A9"/>
    <w:rsid w:val="005231B4"/>
    <w:rsid w:val="00523354"/>
    <w:rsid w:val="005233FD"/>
    <w:rsid w:val="005236FB"/>
    <w:rsid w:val="005237C5"/>
    <w:rsid w:val="005238EB"/>
    <w:rsid w:val="00523D12"/>
    <w:rsid w:val="0052402C"/>
    <w:rsid w:val="00524564"/>
    <w:rsid w:val="005247E0"/>
    <w:rsid w:val="00524A3B"/>
    <w:rsid w:val="00524BB0"/>
    <w:rsid w:val="00525119"/>
    <w:rsid w:val="00525144"/>
    <w:rsid w:val="0052522D"/>
    <w:rsid w:val="00525322"/>
    <w:rsid w:val="005253AA"/>
    <w:rsid w:val="005255C0"/>
    <w:rsid w:val="00525677"/>
    <w:rsid w:val="005258B2"/>
    <w:rsid w:val="00525ACF"/>
    <w:rsid w:val="005265BA"/>
    <w:rsid w:val="00526BD0"/>
    <w:rsid w:val="005273C3"/>
    <w:rsid w:val="0052758C"/>
    <w:rsid w:val="005276B6"/>
    <w:rsid w:val="005276D1"/>
    <w:rsid w:val="005278D0"/>
    <w:rsid w:val="00527AA0"/>
    <w:rsid w:val="00527CCF"/>
    <w:rsid w:val="005305CC"/>
    <w:rsid w:val="00530932"/>
    <w:rsid w:val="0053107F"/>
    <w:rsid w:val="005310CC"/>
    <w:rsid w:val="00531347"/>
    <w:rsid w:val="005318A1"/>
    <w:rsid w:val="005319E9"/>
    <w:rsid w:val="00531AB1"/>
    <w:rsid w:val="00531E6A"/>
    <w:rsid w:val="00531EB4"/>
    <w:rsid w:val="005339D5"/>
    <w:rsid w:val="00533D05"/>
    <w:rsid w:val="005343F1"/>
    <w:rsid w:val="00534C3D"/>
    <w:rsid w:val="00534D3D"/>
    <w:rsid w:val="00534F45"/>
    <w:rsid w:val="00535133"/>
    <w:rsid w:val="005353D3"/>
    <w:rsid w:val="00535C95"/>
    <w:rsid w:val="00535F04"/>
    <w:rsid w:val="00535FE5"/>
    <w:rsid w:val="00536297"/>
    <w:rsid w:val="0053646B"/>
    <w:rsid w:val="005366CC"/>
    <w:rsid w:val="00536BA2"/>
    <w:rsid w:val="00536C5D"/>
    <w:rsid w:val="00536E8F"/>
    <w:rsid w:val="00536FDA"/>
    <w:rsid w:val="00536FE3"/>
    <w:rsid w:val="00537326"/>
    <w:rsid w:val="00537539"/>
    <w:rsid w:val="00537B33"/>
    <w:rsid w:val="00537C32"/>
    <w:rsid w:val="00537C77"/>
    <w:rsid w:val="00537E09"/>
    <w:rsid w:val="005404AF"/>
    <w:rsid w:val="00540964"/>
    <w:rsid w:val="0054100E"/>
    <w:rsid w:val="00541390"/>
    <w:rsid w:val="00541529"/>
    <w:rsid w:val="00541630"/>
    <w:rsid w:val="005420A2"/>
    <w:rsid w:val="005423FA"/>
    <w:rsid w:val="00542773"/>
    <w:rsid w:val="00542F89"/>
    <w:rsid w:val="00543216"/>
    <w:rsid w:val="005436EE"/>
    <w:rsid w:val="00543B0D"/>
    <w:rsid w:val="00543C6B"/>
    <w:rsid w:val="00543E5F"/>
    <w:rsid w:val="00544146"/>
    <w:rsid w:val="00544392"/>
    <w:rsid w:val="00544D6B"/>
    <w:rsid w:val="0054500C"/>
    <w:rsid w:val="005450C8"/>
    <w:rsid w:val="0054555B"/>
    <w:rsid w:val="005455C1"/>
    <w:rsid w:val="0054591A"/>
    <w:rsid w:val="00545CFD"/>
    <w:rsid w:val="00545F95"/>
    <w:rsid w:val="005464FD"/>
    <w:rsid w:val="00546698"/>
    <w:rsid w:val="0054685A"/>
    <w:rsid w:val="00547406"/>
    <w:rsid w:val="005478EF"/>
    <w:rsid w:val="00547963"/>
    <w:rsid w:val="00547B0B"/>
    <w:rsid w:val="00547EBC"/>
    <w:rsid w:val="00550832"/>
    <w:rsid w:val="0055091D"/>
    <w:rsid w:val="00550C0A"/>
    <w:rsid w:val="00550C9F"/>
    <w:rsid w:val="00550F1F"/>
    <w:rsid w:val="00551221"/>
    <w:rsid w:val="00551CB0"/>
    <w:rsid w:val="005520B6"/>
    <w:rsid w:val="0055261B"/>
    <w:rsid w:val="00552882"/>
    <w:rsid w:val="00552C23"/>
    <w:rsid w:val="0055350E"/>
    <w:rsid w:val="0055382B"/>
    <w:rsid w:val="00553932"/>
    <w:rsid w:val="00554263"/>
    <w:rsid w:val="0055462C"/>
    <w:rsid w:val="00554B20"/>
    <w:rsid w:val="00554FE0"/>
    <w:rsid w:val="00555057"/>
    <w:rsid w:val="005551C3"/>
    <w:rsid w:val="005553EE"/>
    <w:rsid w:val="00555524"/>
    <w:rsid w:val="00555798"/>
    <w:rsid w:val="00555B58"/>
    <w:rsid w:val="00556E1D"/>
    <w:rsid w:val="00557550"/>
    <w:rsid w:val="00557585"/>
    <w:rsid w:val="00557981"/>
    <w:rsid w:val="0056040F"/>
    <w:rsid w:val="00560878"/>
    <w:rsid w:val="005608F8"/>
    <w:rsid w:val="005609F7"/>
    <w:rsid w:val="005613CE"/>
    <w:rsid w:val="00561FF3"/>
    <w:rsid w:val="005620D8"/>
    <w:rsid w:val="005624FE"/>
    <w:rsid w:val="005627A3"/>
    <w:rsid w:val="0056287E"/>
    <w:rsid w:val="00562BC1"/>
    <w:rsid w:val="00563147"/>
    <w:rsid w:val="00563492"/>
    <w:rsid w:val="00563C3B"/>
    <w:rsid w:val="00563F67"/>
    <w:rsid w:val="0056424F"/>
    <w:rsid w:val="005646E8"/>
    <w:rsid w:val="00565476"/>
    <w:rsid w:val="005657B0"/>
    <w:rsid w:val="00565CD1"/>
    <w:rsid w:val="00565FDC"/>
    <w:rsid w:val="005661E0"/>
    <w:rsid w:val="00566790"/>
    <w:rsid w:val="005669E0"/>
    <w:rsid w:val="00566FDD"/>
    <w:rsid w:val="00567069"/>
    <w:rsid w:val="0056747E"/>
    <w:rsid w:val="0056771B"/>
    <w:rsid w:val="00567A27"/>
    <w:rsid w:val="00567D3B"/>
    <w:rsid w:val="00567DFD"/>
    <w:rsid w:val="00567E4E"/>
    <w:rsid w:val="0057030B"/>
    <w:rsid w:val="00570512"/>
    <w:rsid w:val="00570FFD"/>
    <w:rsid w:val="0057131A"/>
    <w:rsid w:val="0057137A"/>
    <w:rsid w:val="0057140E"/>
    <w:rsid w:val="00571581"/>
    <w:rsid w:val="00571B42"/>
    <w:rsid w:val="005723B0"/>
    <w:rsid w:val="005729E7"/>
    <w:rsid w:val="0057300F"/>
    <w:rsid w:val="00573232"/>
    <w:rsid w:val="00573B86"/>
    <w:rsid w:val="00574007"/>
    <w:rsid w:val="0057478C"/>
    <w:rsid w:val="00574B07"/>
    <w:rsid w:val="00574C5B"/>
    <w:rsid w:val="0057624A"/>
    <w:rsid w:val="005764FD"/>
    <w:rsid w:val="00576767"/>
    <w:rsid w:val="0057676F"/>
    <w:rsid w:val="00576DEA"/>
    <w:rsid w:val="00577B04"/>
    <w:rsid w:val="00577E18"/>
    <w:rsid w:val="005804AA"/>
    <w:rsid w:val="00580604"/>
    <w:rsid w:val="0058064E"/>
    <w:rsid w:val="00580874"/>
    <w:rsid w:val="00580CC1"/>
    <w:rsid w:val="005810D1"/>
    <w:rsid w:val="00581124"/>
    <w:rsid w:val="00581340"/>
    <w:rsid w:val="005814D7"/>
    <w:rsid w:val="00581960"/>
    <w:rsid w:val="00581A64"/>
    <w:rsid w:val="00581DA7"/>
    <w:rsid w:val="00581E4D"/>
    <w:rsid w:val="00581F2C"/>
    <w:rsid w:val="0058286C"/>
    <w:rsid w:val="00583157"/>
    <w:rsid w:val="00583304"/>
    <w:rsid w:val="00583BCD"/>
    <w:rsid w:val="005840F1"/>
    <w:rsid w:val="00584614"/>
    <w:rsid w:val="005848E7"/>
    <w:rsid w:val="00584C07"/>
    <w:rsid w:val="00584F83"/>
    <w:rsid w:val="00584FDF"/>
    <w:rsid w:val="005851D4"/>
    <w:rsid w:val="00585292"/>
    <w:rsid w:val="00585941"/>
    <w:rsid w:val="005859F0"/>
    <w:rsid w:val="00586465"/>
    <w:rsid w:val="005866DA"/>
    <w:rsid w:val="00586904"/>
    <w:rsid w:val="00586D65"/>
    <w:rsid w:val="00586E8C"/>
    <w:rsid w:val="005875A0"/>
    <w:rsid w:val="005876A0"/>
    <w:rsid w:val="00587A02"/>
    <w:rsid w:val="00587C27"/>
    <w:rsid w:val="00587EC8"/>
    <w:rsid w:val="0059071F"/>
    <w:rsid w:val="00591464"/>
    <w:rsid w:val="005914BB"/>
    <w:rsid w:val="00591549"/>
    <w:rsid w:val="005916DB"/>
    <w:rsid w:val="005917E2"/>
    <w:rsid w:val="00592084"/>
    <w:rsid w:val="00593685"/>
    <w:rsid w:val="0059374E"/>
    <w:rsid w:val="0059380C"/>
    <w:rsid w:val="00593AE5"/>
    <w:rsid w:val="00593C4C"/>
    <w:rsid w:val="00593EC7"/>
    <w:rsid w:val="005941C8"/>
    <w:rsid w:val="005944C2"/>
    <w:rsid w:val="0059457D"/>
    <w:rsid w:val="0059477D"/>
    <w:rsid w:val="005950E4"/>
    <w:rsid w:val="005951D6"/>
    <w:rsid w:val="00595905"/>
    <w:rsid w:val="00595BDF"/>
    <w:rsid w:val="00595C70"/>
    <w:rsid w:val="00595E00"/>
    <w:rsid w:val="00595FC1"/>
    <w:rsid w:val="005964DF"/>
    <w:rsid w:val="0059755B"/>
    <w:rsid w:val="00597C03"/>
    <w:rsid w:val="00597EFB"/>
    <w:rsid w:val="005A02C8"/>
    <w:rsid w:val="005A0D0C"/>
    <w:rsid w:val="005A0FB6"/>
    <w:rsid w:val="005A1364"/>
    <w:rsid w:val="005A1A77"/>
    <w:rsid w:val="005A1BDB"/>
    <w:rsid w:val="005A1EDA"/>
    <w:rsid w:val="005A20FD"/>
    <w:rsid w:val="005A2261"/>
    <w:rsid w:val="005A26B4"/>
    <w:rsid w:val="005A2BD9"/>
    <w:rsid w:val="005A3472"/>
    <w:rsid w:val="005A3618"/>
    <w:rsid w:val="005A3632"/>
    <w:rsid w:val="005A3BCC"/>
    <w:rsid w:val="005A3F08"/>
    <w:rsid w:val="005A43DC"/>
    <w:rsid w:val="005A48CF"/>
    <w:rsid w:val="005A49F0"/>
    <w:rsid w:val="005A4E06"/>
    <w:rsid w:val="005A4F17"/>
    <w:rsid w:val="005A5211"/>
    <w:rsid w:val="005A5523"/>
    <w:rsid w:val="005A5F2D"/>
    <w:rsid w:val="005A600B"/>
    <w:rsid w:val="005A6674"/>
    <w:rsid w:val="005A6C12"/>
    <w:rsid w:val="005A6D32"/>
    <w:rsid w:val="005A748E"/>
    <w:rsid w:val="005A7E0A"/>
    <w:rsid w:val="005B111C"/>
    <w:rsid w:val="005B16EC"/>
    <w:rsid w:val="005B1E2D"/>
    <w:rsid w:val="005B1F0A"/>
    <w:rsid w:val="005B2258"/>
    <w:rsid w:val="005B2424"/>
    <w:rsid w:val="005B26DE"/>
    <w:rsid w:val="005B2FEB"/>
    <w:rsid w:val="005B3021"/>
    <w:rsid w:val="005B3185"/>
    <w:rsid w:val="005B4235"/>
    <w:rsid w:val="005B4BD9"/>
    <w:rsid w:val="005B5187"/>
    <w:rsid w:val="005B519F"/>
    <w:rsid w:val="005B54DD"/>
    <w:rsid w:val="005B5D6D"/>
    <w:rsid w:val="005B63AA"/>
    <w:rsid w:val="005B6A7C"/>
    <w:rsid w:val="005B6A9B"/>
    <w:rsid w:val="005B6D62"/>
    <w:rsid w:val="005B6EAA"/>
    <w:rsid w:val="005B75D7"/>
    <w:rsid w:val="005B7603"/>
    <w:rsid w:val="005C0626"/>
    <w:rsid w:val="005C0A87"/>
    <w:rsid w:val="005C0C64"/>
    <w:rsid w:val="005C130A"/>
    <w:rsid w:val="005C15D6"/>
    <w:rsid w:val="005C15DB"/>
    <w:rsid w:val="005C1C1F"/>
    <w:rsid w:val="005C1D76"/>
    <w:rsid w:val="005C2C93"/>
    <w:rsid w:val="005C2FCF"/>
    <w:rsid w:val="005C3048"/>
    <w:rsid w:val="005C36E4"/>
    <w:rsid w:val="005C380A"/>
    <w:rsid w:val="005C3B3B"/>
    <w:rsid w:val="005C4364"/>
    <w:rsid w:val="005C4560"/>
    <w:rsid w:val="005C486D"/>
    <w:rsid w:val="005C4CEB"/>
    <w:rsid w:val="005C4F30"/>
    <w:rsid w:val="005C50DB"/>
    <w:rsid w:val="005C54ED"/>
    <w:rsid w:val="005C54EE"/>
    <w:rsid w:val="005C58E4"/>
    <w:rsid w:val="005C59CC"/>
    <w:rsid w:val="005C68CE"/>
    <w:rsid w:val="005C6B18"/>
    <w:rsid w:val="005C7829"/>
    <w:rsid w:val="005C782D"/>
    <w:rsid w:val="005C78DC"/>
    <w:rsid w:val="005C7A7D"/>
    <w:rsid w:val="005C7A92"/>
    <w:rsid w:val="005C7FE1"/>
    <w:rsid w:val="005D0019"/>
    <w:rsid w:val="005D02CA"/>
    <w:rsid w:val="005D0333"/>
    <w:rsid w:val="005D05C4"/>
    <w:rsid w:val="005D060E"/>
    <w:rsid w:val="005D09A1"/>
    <w:rsid w:val="005D09B5"/>
    <w:rsid w:val="005D0F14"/>
    <w:rsid w:val="005D159E"/>
    <w:rsid w:val="005D1A53"/>
    <w:rsid w:val="005D1B97"/>
    <w:rsid w:val="005D1E97"/>
    <w:rsid w:val="005D253B"/>
    <w:rsid w:val="005D2BB7"/>
    <w:rsid w:val="005D2C7B"/>
    <w:rsid w:val="005D2CCA"/>
    <w:rsid w:val="005D373F"/>
    <w:rsid w:val="005D3C9C"/>
    <w:rsid w:val="005D4282"/>
    <w:rsid w:val="005D4360"/>
    <w:rsid w:val="005D442D"/>
    <w:rsid w:val="005D483C"/>
    <w:rsid w:val="005D4DA2"/>
    <w:rsid w:val="005D4E0E"/>
    <w:rsid w:val="005D4F92"/>
    <w:rsid w:val="005D4FCD"/>
    <w:rsid w:val="005D5372"/>
    <w:rsid w:val="005D5A11"/>
    <w:rsid w:val="005D5C28"/>
    <w:rsid w:val="005D5ED1"/>
    <w:rsid w:val="005D60E5"/>
    <w:rsid w:val="005D66FE"/>
    <w:rsid w:val="005D6718"/>
    <w:rsid w:val="005D6984"/>
    <w:rsid w:val="005D6A0A"/>
    <w:rsid w:val="005D6FA0"/>
    <w:rsid w:val="005D736A"/>
    <w:rsid w:val="005D7C64"/>
    <w:rsid w:val="005D7CC9"/>
    <w:rsid w:val="005D7ED5"/>
    <w:rsid w:val="005D7F85"/>
    <w:rsid w:val="005E0085"/>
    <w:rsid w:val="005E0802"/>
    <w:rsid w:val="005E0A90"/>
    <w:rsid w:val="005E1AA1"/>
    <w:rsid w:val="005E1ABB"/>
    <w:rsid w:val="005E1E13"/>
    <w:rsid w:val="005E1EF9"/>
    <w:rsid w:val="005E1FE6"/>
    <w:rsid w:val="005E22B3"/>
    <w:rsid w:val="005E236C"/>
    <w:rsid w:val="005E28AF"/>
    <w:rsid w:val="005E28F2"/>
    <w:rsid w:val="005E299B"/>
    <w:rsid w:val="005E37D1"/>
    <w:rsid w:val="005E3F92"/>
    <w:rsid w:val="005E403D"/>
    <w:rsid w:val="005E42C5"/>
    <w:rsid w:val="005E4922"/>
    <w:rsid w:val="005E4AB1"/>
    <w:rsid w:val="005E4BD2"/>
    <w:rsid w:val="005E523E"/>
    <w:rsid w:val="005E5547"/>
    <w:rsid w:val="005E571A"/>
    <w:rsid w:val="005E59A7"/>
    <w:rsid w:val="005E5AAF"/>
    <w:rsid w:val="005E608A"/>
    <w:rsid w:val="005E64C0"/>
    <w:rsid w:val="005E68E6"/>
    <w:rsid w:val="005E720C"/>
    <w:rsid w:val="005E74DD"/>
    <w:rsid w:val="005E74E2"/>
    <w:rsid w:val="005E7639"/>
    <w:rsid w:val="005F0197"/>
    <w:rsid w:val="005F11A4"/>
    <w:rsid w:val="005F1342"/>
    <w:rsid w:val="005F14F4"/>
    <w:rsid w:val="005F15B5"/>
    <w:rsid w:val="005F1640"/>
    <w:rsid w:val="005F19DA"/>
    <w:rsid w:val="005F1C84"/>
    <w:rsid w:val="005F1D08"/>
    <w:rsid w:val="005F1D72"/>
    <w:rsid w:val="005F2413"/>
    <w:rsid w:val="005F2914"/>
    <w:rsid w:val="005F2A70"/>
    <w:rsid w:val="005F2BD3"/>
    <w:rsid w:val="005F3851"/>
    <w:rsid w:val="005F3859"/>
    <w:rsid w:val="005F38D8"/>
    <w:rsid w:val="005F4365"/>
    <w:rsid w:val="005F4371"/>
    <w:rsid w:val="005F4615"/>
    <w:rsid w:val="005F49BA"/>
    <w:rsid w:val="005F4D13"/>
    <w:rsid w:val="005F5238"/>
    <w:rsid w:val="005F569F"/>
    <w:rsid w:val="005F56A3"/>
    <w:rsid w:val="005F573E"/>
    <w:rsid w:val="005F5965"/>
    <w:rsid w:val="005F5C89"/>
    <w:rsid w:val="005F63F6"/>
    <w:rsid w:val="005F64BB"/>
    <w:rsid w:val="005F6BC2"/>
    <w:rsid w:val="005F6D5D"/>
    <w:rsid w:val="005F6E1D"/>
    <w:rsid w:val="005F7222"/>
    <w:rsid w:val="005F7629"/>
    <w:rsid w:val="005F7670"/>
    <w:rsid w:val="005F7891"/>
    <w:rsid w:val="006009CB"/>
    <w:rsid w:val="006009FE"/>
    <w:rsid w:val="00600EAB"/>
    <w:rsid w:val="00601316"/>
    <w:rsid w:val="00601601"/>
    <w:rsid w:val="00601CCA"/>
    <w:rsid w:val="00601E72"/>
    <w:rsid w:val="00602200"/>
    <w:rsid w:val="00602766"/>
    <w:rsid w:val="006033D1"/>
    <w:rsid w:val="006034BF"/>
    <w:rsid w:val="00603542"/>
    <w:rsid w:val="006039C2"/>
    <w:rsid w:val="00603CE2"/>
    <w:rsid w:val="006042BF"/>
    <w:rsid w:val="00604806"/>
    <w:rsid w:val="00604864"/>
    <w:rsid w:val="00604B14"/>
    <w:rsid w:val="00604D67"/>
    <w:rsid w:val="00604E15"/>
    <w:rsid w:val="00605353"/>
    <w:rsid w:val="006054AB"/>
    <w:rsid w:val="006055CF"/>
    <w:rsid w:val="00605B35"/>
    <w:rsid w:val="00605DE9"/>
    <w:rsid w:val="00606258"/>
    <w:rsid w:val="006067AA"/>
    <w:rsid w:val="00607012"/>
    <w:rsid w:val="006075D5"/>
    <w:rsid w:val="00607669"/>
    <w:rsid w:val="00607DBA"/>
    <w:rsid w:val="00607E90"/>
    <w:rsid w:val="00610341"/>
    <w:rsid w:val="006105C4"/>
    <w:rsid w:val="0061092B"/>
    <w:rsid w:val="0061120E"/>
    <w:rsid w:val="006119F7"/>
    <w:rsid w:val="006121CB"/>
    <w:rsid w:val="006123F4"/>
    <w:rsid w:val="00612641"/>
    <w:rsid w:val="00612F07"/>
    <w:rsid w:val="00613056"/>
    <w:rsid w:val="0061318F"/>
    <w:rsid w:val="00613304"/>
    <w:rsid w:val="0061352B"/>
    <w:rsid w:val="00613C85"/>
    <w:rsid w:val="00613EFB"/>
    <w:rsid w:val="00613F01"/>
    <w:rsid w:val="00613F32"/>
    <w:rsid w:val="0061577C"/>
    <w:rsid w:val="00615ED2"/>
    <w:rsid w:val="006163E0"/>
    <w:rsid w:val="0061663B"/>
    <w:rsid w:val="006168DF"/>
    <w:rsid w:val="00617152"/>
    <w:rsid w:val="00620EA1"/>
    <w:rsid w:val="0062131C"/>
    <w:rsid w:val="00621750"/>
    <w:rsid w:val="00621A1F"/>
    <w:rsid w:val="00622047"/>
    <w:rsid w:val="00622392"/>
    <w:rsid w:val="006223DE"/>
    <w:rsid w:val="00622DAC"/>
    <w:rsid w:val="006237CD"/>
    <w:rsid w:val="00623835"/>
    <w:rsid w:val="006238BB"/>
    <w:rsid w:val="00623A0F"/>
    <w:rsid w:val="00623A55"/>
    <w:rsid w:val="0062468D"/>
    <w:rsid w:val="00624934"/>
    <w:rsid w:val="00625136"/>
    <w:rsid w:val="00626591"/>
    <w:rsid w:val="0062675D"/>
    <w:rsid w:val="00626A8D"/>
    <w:rsid w:val="0062771C"/>
    <w:rsid w:val="00627993"/>
    <w:rsid w:val="00627B0A"/>
    <w:rsid w:val="00630194"/>
    <w:rsid w:val="006303FE"/>
    <w:rsid w:val="0063046E"/>
    <w:rsid w:val="00630743"/>
    <w:rsid w:val="00630B2C"/>
    <w:rsid w:val="00630B43"/>
    <w:rsid w:val="00630CCB"/>
    <w:rsid w:val="00630DD7"/>
    <w:rsid w:val="00630F21"/>
    <w:rsid w:val="00630FA8"/>
    <w:rsid w:val="00631365"/>
    <w:rsid w:val="00631B8E"/>
    <w:rsid w:val="00631E48"/>
    <w:rsid w:val="006323F3"/>
    <w:rsid w:val="0063254E"/>
    <w:rsid w:val="00632765"/>
    <w:rsid w:val="00632F6C"/>
    <w:rsid w:val="00633129"/>
    <w:rsid w:val="00633261"/>
    <w:rsid w:val="00633318"/>
    <w:rsid w:val="006333C7"/>
    <w:rsid w:val="006337AE"/>
    <w:rsid w:val="00634331"/>
    <w:rsid w:val="00634650"/>
    <w:rsid w:val="006346A7"/>
    <w:rsid w:val="0063479F"/>
    <w:rsid w:val="0063482E"/>
    <w:rsid w:val="006349E3"/>
    <w:rsid w:val="00634A3E"/>
    <w:rsid w:val="00634D7E"/>
    <w:rsid w:val="0063533D"/>
    <w:rsid w:val="00635BC0"/>
    <w:rsid w:val="006368DF"/>
    <w:rsid w:val="006369E2"/>
    <w:rsid w:val="00636AF7"/>
    <w:rsid w:val="00636C0D"/>
    <w:rsid w:val="00636D70"/>
    <w:rsid w:val="00637991"/>
    <w:rsid w:val="00637B87"/>
    <w:rsid w:val="006403B6"/>
    <w:rsid w:val="00640CF9"/>
    <w:rsid w:val="00640DC2"/>
    <w:rsid w:val="006412FA"/>
    <w:rsid w:val="00641563"/>
    <w:rsid w:val="006418F7"/>
    <w:rsid w:val="00641BA7"/>
    <w:rsid w:val="00641F4D"/>
    <w:rsid w:val="00641FEB"/>
    <w:rsid w:val="0064280F"/>
    <w:rsid w:val="00642C21"/>
    <w:rsid w:val="00642D3F"/>
    <w:rsid w:val="00642F68"/>
    <w:rsid w:val="006430AA"/>
    <w:rsid w:val="00643269"/>
    <w:rsid w:val="006434DC"/>
    <w:rsid w:val="00643633"/>
    <w:rsid w:val="0064436A"/>
    <w:rsid w:val="006446CE"/>
    <w:rsid w:val="006449CE"/>
    <w:rsid w:val="006456F6"/>
    <w:rsid w:val="00645726"/>
    <w:rsid w:val="00645865"/>
    <w:rsid w:val="0064598A"/>
    <w:rsid w:val="00645A26"/>
    <w:rsid w:val="00645C17"/>
    <w:rsid w:val="00646077"/>
    <w:rsid w:val="00646D38"/>
    <w:rsid w:val="00646F6F"/>
    <w:rsid w:val="006474F3"/>
    <w:rsid w:val="00647521"/>
    <w:rsid w:val="00647880"/>
    <w:rsid w:val="00647E3C"/>
    <w:rsid w:val="00647F75"/>
    <w:rsid w:val="006500A0"/>
    <w:rsid w:val="006505A4"/>
    <w:rsid w:val="0065094D"/>
    <w:rsid w:val="00650AEA"/>
    <w:rsid w:val="00650AF5"/>
    <w:rsid w:val="00650C6F"/>
    <w:rsid w:val="00650E2C"/>
    <w:rsid w:val="006511CB"/>
    <w:rsid w:val="0065122F"/>
    <w:rsid w:val="00651482"/>
    <w:rsid w:val="006517A5"/>
    <w:rsid w:val="00651811"/>
    <w:rsid w:val="00651897"/>
    <w:rsid w:val="006518CD"/>
    <w:rsid w:val="00651DC7"/>
    <w:rsid w:val="00651E7B"/>
    <w:rsid w:val="00652435"/>
    <w:rsid w:val="0065276A"/>
    <w:rsid w:val="00652DB8"/>
    <w:rsid w:val="00653111"/>
    <w:rsid w:val="00653294"/>
    <w:rsid w:val="00653520"/>
    <w:rsid w:val="00653616"/>
    <w:rsid w:val="0065365D"/>
    <w:rsid w:val="00654573"/>
    <w:rsid w:val="00654C3D"/>
    <w:rsid w:val="00654CB2"/>
    <w:rsid w:val="00654F8C"/>
    <w:rsid w:val="00655289"/>
    <w:rsid w:val="00655603"/>
    <w:rsid w:val="00656D2B"/>
    <w:rsid w:val="00657054"/>
    <w:rsid w:val="0065734B"/>
    <w:rsid w:val="00657DFB"/>
    <w:rsid w:val="00660A81"/>
    <w:rsid w:val="00660B04"/>
    <w:rsid w:val="00660C70"/>
    <w:rsid w:val="00660DD2"/>
    <w:rsid w:val="00660FAF"/>
    <w:rsid w:val="0066107D"/>
    <w:rsid w:val="006613DE"/>
    <w:rsid w:val="00661407"/>
    <w:rsid w:val="0066173B"/>
    <w:rsid w:val="00661A6E"/>
    <w:rsid w:val="00661C4A"/>
    <w:rsid w:val="00662670"/>
    <w:rsid w:val="00662DE5"/>
    <w:rsid w:val="00662F7C"/>
    <w:rsid w:val="00663747"/>
    <w:rsid w:val="00663BA4"/>
    <w:rsid w:val="006641ED"/>
    <w:rsid w:val="00664527"/>
    <w:rsid w:val="00664C5A"/>
    <w:rsid w:val="00664E13"/>
    <w:rsid w:val="00664FDA"/>
    <w:rsid w:val="006650FB"/>
    <w:rsid w:val="00665AFF"/>
    <w:rsid w:val="00666105"/>
    <w:rsid w:val="006661A2"/>
    <w:rsid w:val="006664F1"/>
    <w:rsid w:val="0066654E"/>
    <w:rsid w:val="00666B0E"/>
    <w:rsid w:val="006677AB"/>
    <w:rsid w:val="00667B44"/>
    <w:rsid w:val="0067041D"/>
    <w:rsid w:val="00670592"/>
    <w:rsid w:val="006713F5"/>
    <w:rsid w:val="00671542"/>
    <w:rsid w:val="00671710"/>
    <w:rsid w:val="00671717"/>
    <w:rsid w:val="00671B7E"/>
    <w:rsid w:val="00671C5C"/>
    <w:rsid w:val="00671CC3"/>
    <w:rsid w:val="00672001"/>
    <w:rsid w:val="006720DC"/>
    <w:rsid w:val="00672206"/>
    <w:rsid w:val="00672272"/>
    <w:rsid w:val="00672916"/>
    <w:rsid w:val="006734B3"/>
    <w:rsid w:val="00674083"/>
    <w:rsid w:val="0067461D"/>
    <w:rsid w:val="00675087"/>
    <w:rsid w:val="0067552C"/>
    <w:rsid w:val="00675918"/>
    <w:rsid w:val="00675F44"/>
    <w:rsid w:val="00676235"/>
    <w:rsid w:val="0067662B"/>
    <w:rsid w:val="006766E3"/>
    <w:rsid w:val="00676B5F"/>
    <w:rsid w:val="00676F16"/>
    <w:rsid w:val="006770FF"/>
    <w:rsid w:val="006771D1"/>
    <w:rsid w:val="00677777"/>
    <w:rsid w:val="0067779A"/>
    <w:rsid w:val="006778AE"/>
    <w:rsid w:val="00677DC1"/>
    <w:rsid w:val="0068003A"/>
    <w:rsid w:val="0068049E"/>
    <w:rsid w:val="00680662"/>
    <w:rsid w:val="00680D7A"/>
    <w:rsid w:val="00680F1D"/>
    <w:rsid w:val="00681278"/>
    <w:rsid w:val="0068143F"/>
    <w:rsid w:val="00681B9E"/>
    <w:rsid w:val="00681D40"/>
    <w:rsid w:val="00682045"/>
    <w:rsid w:val="00682AA0"/>
    <w:rsid w:val="00682F42"/>
    <w:rsid w:val="00682F47"/>
    <w:rsid w:val="006830D3"/>
    <w:rsid w:val="0068357A"/>
    <w:rsid w:val="0068360D"/>
    <w:rsid w:val="00683CC4"/>
    <w:rsid w:val="0068406C"/>
    <w:rsid w:val="00684230"/>
    <w:rsid w:val="006844DA"/>
    <w:rsid w:val="00684725"/>
    <w:rsid w:val="006847ED"/>
    <w:rsid w:val="00684886"/>
    <w:rsid w:val="00685269"/>
    <w:rsid w:val="00685469"/>
    <w:rsid w:val="006856A7"/>
    <w:rsid w:val="00685F91"/>
    <w:rsid w:val="0068677C"/>
    <w:rsid w:val="00686C69"/>
    <w:rsid w:val="00686E1D"/>
    <w:rsid w:val="006872BA"/>
    <w:rsid w:val="00687BD4"/>
    <w:rsid w:val="00687F4A"/>
    <w:rsid w:val="006903C3"/>
    <w:rsid w:val="00690FC0"/>
    <w:rsid w:val="0069120B"/>
    <w:rsid w:val="006918A9"/>
    <w:rsid w:val="006919D9"/>
    <w:rsid w:val="00691E74"/>
    <w:rsid w:val="0069212D"/>
    <w:rsid w:val="006924C6"/>
    <w:rsid w:val="006927FE"/>
    <w:rsid w:val="00692E7B"/>
    <w:rsid w:val="0069313D"/>
    <w:rsid w:val="006935E9"/>
    <w:rsid w:val="00693D93"/>
    <w:rsid w:val="0069443B"/>
    <w:rsid w:val="006944C6"/>
    <w:rsid w:val="00694710"/>
    <w:rsid w:val="00694F36"/>
    <w:rsid w:val="00695E38"/>
    <w:rsid w:val="00695E53"/>
    <w:rsid w:val="006960D0"/>
    <w:rsid w:val="006961D8"/>
    <w:rsid w:val="006969EC"/>
    <w:rsid w:val="00697192"/>
    <w:rsid w:val="006971FB"/>
    <w:rsid w:val="00697EE6"/>
    <w:rsid w:val="006A0684"/>
    <w:rsid w:val="006A0CD8"/>
    <w:rsid w:val="006A0CFA"/>
    <w:rsid w:val="006A1075"/>
    <w:rsid w:val="006A148D"/>
    <w:rsid w:val="006A1947"/>
    <w:rsid w:val="006A1980"/>
    <w:rsid w:val="006A198E"/>
    <w:rsid w:val="006A1B14"/>
    <w:rsid w:val="006A214C"/>
    <w:rsid w:val="006A268C"/>
    <w:rsid w:val="006A29B7"/>
    <w:rsid w:val="006A3233"/>
    <w:rsid w:val="006A3611"/>
    <w:rsid w:val="006A37F2"/>
    <w:rsid w:val="006A3E49"/>
    <w:rsid w:val="006A425D"/>
    <w:rsid w:val="006A473C"/>
    <w:rsid w:val="006A51C4"/>
    <w:rsid w:val="006A51CF"/>
    <w:rsid w:val="006A5598"/>
    <w:rsid w:val="006A55A1"/>
    <w:rsid w:val="006A5F28"/>
    <w:rsid w:val="006A634F"/>
    <w:rsid w:val="006A6707"/>
    <w:rsid w:val="006A6794"/>
    <w:rsid w:val="006A684F"/>
    <w:rsid w:val="006A6895"/>
    <w:rsid w:val="006A69F5"/>
    <w:rsid w:val="006A6B20"/>
    <w:rsid w:val="006A6D8C"/>
    <w:rsid w:val="006A6E05"/>
    <w:rsid w:val="006A702D"/>
    <w:rsid w:val="006A7874"/>
    <w:rsid w:val="006A78C7"/>
    <w:rsid w:val="006A7C61"/>
    <w:rsid w:val="006A7DC5"/>
    <w:rsid w:val="006B0254"/>
    <w:rsid w:val="006B0873"/>
    <w:rsid w:val="006B0BFB"/>
    <w:rsid w:val="006B17A0"/>
    <w:rsid w:val="006B1832"/>
    <w:rsid w:val="006B1C5D"/>
    <w:rsid w:val="006B2062"/>
    <w:rsid w:val="006B2484"/>
    <w:rsid w:val="006B260D"/>
    <w:rsid w:val="006B2644"/>
    <w:rsid w:val="006B2776"/>
    <w:rsid w:val="006B2BCC"/>
    <w:rsid w:val="006B3446"/>
    <w:rsid w:val="006B3832"/>
    <w:rsid w:val="006B3D9C"/>
    <w:rsid w:val="006B4344"/>
    <w:rsid w:val="006B4443"/>
    <w:rsid w:val="006B4AB5"/>
    <w:rsid w:val="006B4B97"/>
    <w:rsid w:val="006B53B2"/>
    <w:rsid w:val="006B559D"/>
    <w:rsid w:val="006B60A2"/>
    <w:rsid w:val="006B6238"/>
    <w:rsid w:val="006B6B72"/>
    <w:rsid w:val="006B6CD8"/>
    <w:rsid w:val="006B6E52"/>
    <w:rsid w:val="006B6E77"/>
    <w:rsid w:val="006B6FA8"/>
    <w:rsid w:val="006B7C3C"/>
    <w:rsid w:val="006C102D"/>
    <w:rsid w:val="006C1279"/>
    <w:rsid w:val="006C14E4"/>
    <w:rsid w:val="006C1980"/>
    <w:rsid w:val="006C1A05"/>
    <w:rsid w:val="006C1A87"/>
    <w:rsid w:val="006C1A8F"/>
    <w:rsid w:val="006C2784"/>
    <w:rsid w:val="006C2AC1"/>
    <w:rsid w:val="006C2C4E"/>
    <w:rsid w:val="006C2ED8"/>
    <w:rsid w:val="006C3510"/>
    <w:rsid w:val="006C380B"/>
    <w:rsid w:val="006C40AF"/>
    <w:rsid w:val="006C42A1"/>
    <w:rsid w:val="006C4555"/>
    <w:rsid w:val="006C467E"/>
    <w:rsid w:val="006C4811"/>
    <w:rsid w:val="006C48EA"/>
    <w:rsid w:val="006C4B31"/>
    <w:rsid w:val="006C5324"/>
    <w:rsid w:val="006C5682"/>
    <w:rsid w:val="006C5B6B"/>
    <w:rsid w:val="006C5E1D"/>
    <w:rsid w:val="006C60FF"/>
    <w:rsid w:val="006C66BF"/>
    <w:rsid w:val="006C6C8A"/>
    <w:rsid w:val="006C6DB2"/>
    <w:rsid w:val="006C6F6B"/>
    <w:rsid w:val="006C753F"/>
    <w:rsid w:val="006C790A"/>
    <w:rsid w:val="006C7DB5"/>
    <w:rsid w:val="006D040B"/>
    <w:rsid w:val="006D16D2"/>
    <w:rsid w:val="006D1F8D"/>
    <w:rsid w:val="006D2260"/>
    <w:rsid w:val="006D290C"/>
    <w:rsid w:val="006D29C9"/>
    <w:rsid w:val="006D2CA4"/>
    <w:rsid w:val="006D2FCF"/>
    <w:rsid w:val="006D2FF4"/>
    <w:rsid w:val="006D3221"/>
    <w:rsid w:val="006D3893"/>
    <w:rsid w:val="006D3C19"/>
    <w:rsid w:val="006D44DA"/>
    <w:rsid w:val="006D4509"/>
    <w:rsid w:val="006D45FB"/>
    <w:rsid w:val="006D4699"/>
    <w:rsid w:val="006D49BC"/>
    <w:rsid w:val="006D4A53"/>
    <w:rsid w:val="006D5091"/>
    <w:rsid w:val="006D53FF"/>
    <w:rsid w:val="006D5528"/>
    <w:rsid w:val="006D5C5C"/>
    <w:rsid w:val="006D6399"/>
    <w:rsid w:val="006D66D4"/>
    <w:rsid w:val="006D6884"/>
    <w:rsid w:val="006D6D05"/>
    <w:rsid w:val="006D71F7"/>
    <w:rsid w:val="006D796D"/>
    <w:rsid w:val="006D7AF4"/>
    <w:rsid w:val="006D7F52"/>
    <w:rsid w:val="006D7F99"/>
    <w:rsid w:val="006D7FC8"/>
    <w:rsid w:val="006E016C"/>
    <w:rsid w:val="006E0310"/>
    <w:rsid w:val="006E0AB3"/>
    <w:rsid w:val="006E1153"/>
    <w:rsid w:val="006E16A1"/>
    <w:rsid w:val="006E1B69"/>
    <w:rsid w:val="006E1C9F"/>
    <w:rsid w:val="006E1DF1"/>
    <w:rsid w:val="006E1EEE"/>
    <w:rsid w:val="006E1FBD"/>
    <w:rsid w:val="006E22D6"/>
    <w:rsid w:val="006E2381"/>
    <w:rsid w:val="006E2712"/>
    <w:rsid w:val="006E2C66"/>
    <w:rsid w:val="006E30F6"/>
    <w:rsid w:val="006E337E"/>
    <w:rsid w:val="006E3481"/>
    <w:rsid w:val="006E365C"/>
    <w:rsid w:val="006E368C"/>
    <w:rsid w:val="006E3D97"/>
    <w:rsid w:val="006E3FF1"/>
    <w:rsid w:val="006E4723"/>
    <w:rsid w:val="006E51E1"/>
    <w:rsid w:val="006E53F5"/>
    <w:rsid w:val="006E5495"/>
    <w:rsid w:val="006E5576"/>
    <w:rsid w:val="006E572E"/>
    <w:rsid w:val="006E5C02"/>
    <w:rsid w:val="006E5F72"/>
    <w:rsid w:val="006E63D1"/>
    <w:rsid w:val="006E64B8"/>
    <w:rsid w:val="006E6EA8"/>
    <w:rsid w:val="006E6ED1"/>
    <w:rsid w:val="006E75EF"/>
    <w:rsid w:val="006E7C65"/>
    <w:rsid w:val="006E7C82"/>
    <w:rsid w:val="006E7E3C"/>
    <w:rsid w:val="006E7E6E"/>
    <w:rsid w:val="006F03CF"/>
    <w:rsid w:val="006F07F8"/>
    <w:rsid w:val="006F0A50"/>
    <w:rsid w:val="006F11A3"/>
    <w:rsid w:val="006F1B31"/>
    <w:rsid w:val="006F1F3A"/>
    <w:rsid w:val="006F2343"/>
    <w:rsid w:val="006F2EDA"/>
    <w:rsid w:val="006F30A4"/>
    <w:rsid w:val="006F315E"/>
    <w:rsid w:val="006F3A5A"/>
    <w:rsid w:val="006F411B"/>
    <w:rsid w:val="006F453A"/>
    <w:rsid w:val="006F45A9"/>
    <w:rsid w:val="006F49D3"/>
    <w:rsid w:val="006F4DE9"/>
    <w:rsid w:val="006F4F68"/>
    <w:rsid w:val="006F5628"/>
    <w:rsid w:val="006F5A1D"/>
    <w:rsid w:val="006F5BBC"/>
    <w:rsid w:val="006F5FBF"/>
    <w:rsid w:val="006F648D"/>
    <w:rsid w:val="006F675E"/>
    <w:rsid w:val="006F67DD"/>
    <w:rsid w:val="006F6B94"/>
    <w:rsid w:val="006F6E0C"/>
    <w:rsid w:val="006F6EF1"/>
    <w:rsid w:val="006F7475"/>
    <w:rsid w:val="00700140"/>
    <w:rsid w:val="00700248"/>
    <w:rsid w:val="007006A7"/>
    <w:rsid w:val="0070076C"/>
    <w:rsid w:val="0070117F"/>
    <w:rsid w:val="00701E0B"/>
    <w:rsid w:val="00701E11"/>
    <w:rsid w:val="00702417"/>
    <w:rsid w:val="00702471"/>
    <w:rsid w:val="0070343D"/>
    <w:rsid w:val="00703449"/>
    <w:rsid w:val="00704254"/>
    <w:rsid w:val="007044D0"/>
    <w:rsid w:val="00704873"/>
    <w:rsid w:val="007049E8"/>
    <w:rsid w:val="00704A25"/>
    <w:rsid w:val="00704A2A"/>
    <w:rsid w:val="00704FEB"/>
    <w:rsid w:val="007050FD"/>
    <w:rsid w:val="00705688"/>
    <w:rsid w:val="00705B64"/>
    <w:rsid w:val="0070612D"/>
    <w:rsid w:val="007067C1"/>
    <w:rsid w:val="00706D3D"/>
    <w:rsid w:val="00706F25"/>
    <w:rsid w:val="007073D9"/>
    <w:rsid w:val="0070767E"/>
    <w:rsid w:val="0070795A"/>
    <w:rsid w:val="00707A68"/>
    <w:rsid w:val="00710350"/>
    <w:rsid w:val="007104AE"/>
    <w:rsid w:val="00710588"/>
    <w:rsid w:val="00710891"/>
    <w:rsid w:val="00711694"/>
    <w:rsid w:val="00711769"/>
    <w:rsid w:val="00711A4E"/>
    <w:rsid w:val="0071213A"/>
    <w:rsid w:val="007121A7"/>
    <w:rsid w:val="00712913"/>
    <w:rsid w:val="00712A8B"/>
    <w:rsid w:val="00712E06"/>
    <w:rsid w:val="00712FD2"/>
    <w:rsid w:val="007133E2"/>
    <w:rsid w:val="00713AA8"/>
    <w:rsid w:val="00713D09"/>
    <w:rsid w:val="007144C9"/>
    <w:rsid w:val="0071513D"/>
    <w:rsid w:val="007151B2"/>
    <w:rsid w:val="00715536"/>
    <w:rsid w:val="00715791"/>
    <w:rsid w:val="00715992"/>
    <w:rsid w:val="007159C4"/>
    <w:rsid w:val="00716448"/>
    <w:rsid w:val="00716F7C"/>
    <w:rsid w:val="007176D5"/>
    <w:rsid w:val="007179C1"/>
    <w:rsid w:val="00717ADB"/>
    <w:rsid w:val="00720360"/>
    <w:rsid w:val="00720A2E"/>
    <w:rsid w:val="00720A36"/>
    <w:rsid w:val="00720D33"/>
    <w:rsid w:val="007218F3"/>
    <w:rsid w:val="00721C6D"/>
    <w:rsid w:val="00722207"/>
    <w:rsid w:val="00722290"/>
    <w:rsid w:val="00722ECC"/>
    <w:rsid w:val="00723169"/>
    <w:rsid w:val="00723171"/>
    <w:rsid w:val="007238C9"/>
    <w:rsid w:val="00723902"/>
    <w:rsid w:val="00723920"/>
    <w:rsid w:val="00723B3D"/>
    <w:rsid w:val="00723EFC"/>
    <w:rsid w:val="00723F54"/>
    <w:rsid w:val="007240D3"/>
    <w:rsid w:val="007247A5"/>
    <w:rsid w:val="0072492B"/>
    <w:rsid w:val="00724B53"/>
    <w:rsid w:val="00724BA2"/>
    <w:rsid w:val="00725109"/>
    <w:rsid w:val="00725BBE"/>
    <w:rsid w:val="00725CF8"/>
    <w:rsid w:val="00725F12"/>
    <w:rsid w:val="0072604D"/>
    <w:rsid w:val="00726CCD"/>
    <w:rsid w:val="00726D32"/>
    <w:rsid w:val="00726E03"/>
    <w:rsid w:val="007304B5"/>
    <w:rsid w:val="00730519"/>
    <w:rsid w:val="00730C56"/>
    <w:rsid w:val="00730E74"/>
    <w:rsid w:val="0073138F"/>
    <w:rsid w:val="00731F6C"/>
    <w:rsid w:val="007323C3"/>
    <w:rsid w:val="0073253C"/>
    <w:rsid w:val="007329D7"/>
    <w:rsid w:val="00732FA7"/>
    <w:rsid w:val="00733311"/>
    <w:rsid w:val="00733827"/>
    <w:rsid w:val="0073397C"/>
    <w:rsid w:val="00733A55"/>
    <w:rsid w:val="0073436F"/>
    <w:rsid w:val="00734456"/>
    <w:rsid w:val="00734A7A"/>
    <w:rsid w:val="00734B2E"/>
    <w:rsid w:val="007352A3"/>
    <w:rsid w:val="0073557B"/>
    <w:rsid w:val="007356CB"/>
    <w:rsid w:val="007356EF"/>
    <w:rsid w:val="00735E5A"/>
    <w:rsid w:val="007361CA"/>
    <w:rsid w:val="0073669E"/>
    <w:rsid w:val="00736BD2"/>
    <w:rsid w:val="00736E44"/>
    <w:rsid w:val="00736FD2"/>
    <w:rsid w:val="00737501"/>
    <w:rsid w:val="00737AA7"/>
    <w:rsid w:val="007403AC"/>
    <w:rsid w:val="00740421"/>
    <w:rsid w:val="007406F2"/>
    <w:rsid w:val="00740E94"/>
    <w:rsid w:val="00740F94"/>
    <w:rsid w:val="007419F2"/>
    <w:rsid w:val="00741B76"/>
    <w:rsid w:val="007422C4"/>
    <w:rsid w:val="0074359B"/>
    <w:rsid w:val="007438CE"/>
    <w:rsid w:val="00743BC3"/>
    <w:rsid w:val="00743C97"/>
    <w:rsid w:val="00744189"/>
    <w:rsid w:val="007441EF"/>
    <w:rsid w:val="00744616"/>
    <w:rsid w:val="00745085"/>
    <w:rsid w:val="007454A4"/>
    <w:rsid w:val="00745BF0"/>
    <w:rsid w:val="00745CCC"/>
    <w:rsid w:val="00745D55"/>
    <w:rsid w:val="0074608E"/>
    <w:rsid w:val="007465EA"/>
    <w:rsid w:val="00746A3F"/>
    <w:rsid w:val="00746A53"/>
    <w:rsid w:val="007472AE"/>
    <w:rsid w:val="007472B6"/>
    <w:rsid w:val="00747477"/>
    <w:rsid w:val="00747958"/>
    <w:rsid w:val="007503F4"/>
    <w:rsid w:val="00750AEE"/>
    <w:rsid w:val="00751489"/>
    <w:rsid w:val="00751754"/>
    <w:rsid w:val="007517A7"/>
    <w:rsid w:val="00751CEE"/>
    <w:rsid w:val="00752006"/>
    <w:rsid w:val="00752D32"/>
    <w:rsid w:val="00752E9D"/>
    <w:rsid w:val="00752F1C"/>
    <w:rsid w:val="007532A3"/>
    <w:rsid w:val="007541B6"/>
    <w:rsid w:val="0075472C"/>
    <w:rsid w:val="007547A5"/>
    <w:rsid w:val="007553CF"/>
    <w:rsid w:val="0075597C"/>
    <w:rsid w:val="00755F59"/>
    <w:rsid w:val="00756135"/>
    <w:rsid w:val="007566DD"/>
    <w:rsid w:val="00756701"/>
    <w:rsid w:val="00756A41"/>
    <w:rsid w:val="00756F37"/>
    <w:rsid w:val="0075720F"/>
    <w:rsid w:val="00757248"/>
    <w:rsid w:val="0075727A"/>
    <w:rsid w:val="00757296"/>
    <w:rsid w:val="007579C6"/>
    <w:rsid w:val="00757A20"/>
    <w:rsid w:val="00757E5A"/>
    <w:rsid w:val="00757E75"/>
    <w:rsid w:val="00757F47"/>
    <w:rsid w:val="00760049"/>
    <w:rsid w:val="00760A3B"/>
    <w:rsid w:val="007614B3"/>
    <w:rsid w:val="00761ADB"/>
    <w:rsid w:val="0076207E"/>
    <w:rsid w:val="00762259"/>
    <w:rsid w:val="00763206"/>
    <w:rsid w:val="007638CE"/>
    <w:rsid w:val="00763CE9"/>
    <w:rsid w:val="00763CF3"/>
    <w:rsid w:val="00763DD2"/>
    <w:rsid w:val="00763FD7"/>
    <w:rsid w:val="007641E4"/>
    <w:rsid w:val="00764583"/>
    <w:rsid w:val="007645BC"/>
    <w:rsid w:val="00764976"/>
    <w:rsid w:val="00764CE0"/>
    <w:rsid w:val="00765123"/>
    <w:rsid w:val="00765204"/>
    <w:rsid w:val="007655C3"/>
    <w:rsid w:val="00765D13"/>
    <w:rsid w:val="00765ED5"/>
    <w:rsid w:val="00766344"/>
    <w:rsid w:val="00766556"/>
    <w:rsid w:val="007665FD"/>
    <w:rsid w:val="00766DE9"/>
    <w:rsid w:val="00767480"/>
    <w:rsid w:val="0076752D"/>
    <w:rsid w:val="00767F66"/>
    <w:rsid w:val="0077007E"/>
    <w:rsid w:val="00770556"/>
    <w:rsid w:val="00771334"/>
    <w:rsid w:val="007713B8"/>
    <w:rsid w:val="00771D82"/>
    <w:rsid w:val="0077266C"/>
    <w:rsid w:val="0077291F"/>
    <w:rsid w:val="007733CB"/>
    <w:rsid w:val="007735FD"/>
    <w:rsid w:val="00773657"/>
    <w:rsid w:val="00773BF5"/>
    <w:rsid w:val="00773D02"/>
    <w:rsid w:val="00773D9A"/>
    <w:rsid w:val="00774947"/>
    <w:rsid w:val="00774D76"/>
    <w:rsid w:val="00774E06"/>
    <w:rsid w:val="00775115"/>
    <w:rsid w:val="00775314"/>
    <w:rsid w:val="00775B1F"/>
    <w:rsid w:val="00775C06"/>
    <w:rsid w:val="007765D1"/>
    <w:rsid w:val="00776CED"/>
    <w:rsid w:val="0077724C"/>
    <w:rsid w:val="00777348"/>
    <w:rsid w:val="00777E51"/>
    <w:rsid w:val="00780612"/>
    <w:rsid w:val="00780BD2"/>
    <w:rsid w:val="00780DF3"/>
    <w:rsid w:val="00780E07"/>
    <w:rsid w:val="00781F71"/>
    <w:rsid w:val="007822A5"/>
    <w:rsid w:val="00782439"/>
    <w:rsid w:val="00782598"/>
    <w:rsid w:val="007825A9"/>
    <w:rsid w:val="007826CA"/>
    <w:rsid w:val="00783312"/>
    <w:rsid w:val="00783448"/>
    <w:rsid w:val="00783504"/>
    <w:rsid w:val="00783BA7"/>
    <w:rsid w:val="0078426E"/>
    <w:rsid w:val="00784AC1"/>
    <w:rsid w:val="00784FF7"/>
    <w:rsid w:val="00785524"/>
    <w:rsid w:val="007855BC"/>
    <w:rsid w:val="007856B6"/>
    <w:rsid w:val="007858EA"/>
    <w:rsid w:val="00785BF7"/>
    <w:rsid w:val="00786A3F"/>
    <w:rsid w:val="00786C63"/>
    <w:rsid w:val="00786FEF"/>
    <w:rsid w:val="00787323"/>
    <w:rsid w:val="007874D1"/>
    <w:rsid w:val="00787D59"/>
    <w:rsid w:val="00790070"/>
    <w:rsid w:val="007902A9"/>
    <w:rsid w:val="007904F6"/>
    <w:rsid w:val="007905BB"/>
    <w:rsid w:val="00790D0B"/>
    <w:rsid w:val="00790F58"/>
    <w:rsid w:val="00790FEF"/>
    <w:rsid w:val="00791014"/>
    <w:rsid w:val="0079128E"/>
    <w:rsid w:val="0079170F"/>
    <w:rsid w:val="00791BB0"/>
    <w:rsid w:val="00792149"/>
    <w:rsid w:val="00792FBD"/>
    <w:rsid w:val="00793CB0"/>
    <w:rsid w:val="00793E75"/>
    <w:rsid w:val="0079425C"/>
    <w:rsid w:val="007942CF"/>
    <w:rsid w:val="007944FB"/>
    <w:rsid w:val="00794DEB"/>
    <w:rsid w:val="007953AE"/>
    <w:rsid w:val="007959DE"/>
    <w:rsid w:val="00795B97"/>
    <w:rsid w:val="0079781F"/>
    <w:rsid w:val="0079782C"/>
    <w:rsid w:val="00797912"/>
    <w:rsid w:val="00797A21"/>
    <w:rsid w:val="007A07C0"/>
    <w:rsid w:val="007A0946"/>
    <w:rsid w:val="007A107E"/>
    <w:rsid w:val="007A14A7"/>
    <w:rsid w:val="007A2259"/>
    <w:rsid w:val="007A27EF"/>
    <w:rsid w:val="007A2818"/>
    <w:rsid w:val="007A2B9F"/>
    <w:rsid w:val="007A2DB4"/>
    <w:rsid w:val="007A3437"/>
    <w:rsid w:val="007A359C"/>
    <w:rsid w:val="007A35DA"/>
    <w:rsid w:val="007A388F"/>
    <w:rsid w:val="007A38E2"/>
    <w:rsid w:val="007A3BAF"/>
    <w:rsid w:val="007A3C22"/>
    <w:rsid w:val="007A3F29"/>
    <w:rsid w:val="007A424D"/>
    <w:rsid w:val="007A49F6"/>
    <w:rsid w:val="007A4A11"/>
    <w:rsid w:val="007A4E2C"/>
    <w:rsid w:val="007A4F68"/>
    <w:rsid w:val="007A522A"/>
    <w:rsid w:val="007A53F4"/>
    <w:rsid w:val="007A573E"/>
    <w:rsid w:val="007A5A4A"/>
    <w:rsid w:val="007A5CF0"/>
    <w:rsid w:val="007A5DDB"/>
    <w:rsid w:val="007A67B2"/>
    <w:rsid w:val="007A6990"/>
    <w:rsid w:val="007A703D"/>
    <w:rsid w:val="007A7502"/>
    <w:rsid w:val="007A75D5"/>
    <w:rsid w:val="007A7705"/>
    <w:rsid w:val="007A7C2A"/>
    <w:rsid w:val="007A7DB1"/>
    <w:rsid w:val="007B02E4"/>
    <w:rsid w:val="007B04C6"/>
    <w:rsid w:val="007B0F29"/>
    <w:rsid w:val="007B12AC"/>
    <w:rsid w:val="007B15FC"/>
    <w:rsid w:val="007B17F8"/>
    <w:rsid w:val="007B1AEE"/>
    <w:rsid w:val="007B1B2A"/>
    <w:rsid w:val="007B1C0E"/>
    <w:rsid w:val="007B1D0D"/>
    <w:rsid w:val="007B2D82"/>
    <w:rsid w:val="007B30E6"/>
    <w:rsid w:val="007B3355"/>
    <w:rsid w:val="007B3867"/>
    <w:rsid w:val="007B4D8F"/>
    <w:rsid w:val="007B4F21"/>
    <w:rsid w:val="007B5746"/>
    <w:rsid w:val="007B5C7D"/>
    <w:rsid w:val="007B5FB8"/>
    <w:rsid w:val="007B6023"/>
    <w:rsid w:val="007B64D8"/>
    <w:rsid w:val="007B6555"/>
    <w:rsid w:val="007B6572"/>
    <w:rsid w:val="007B6B3B"/>
    <w:rsid w:val="007B6DAF"/>
    <w:rsid w:val="007B73D9"/>
    <w:rsid w:val="007B7908"/>
    <w:rsid w:val="007C0509"/>
    <w:rsid w:val="007C09D8"/>
    <w:rsid w:val="007C0EED"/>
    <w:rsid w:val="007C150E"/>
    <w:rsid w:val="007C15A6"/>
    <w:rsid w:val="007C15AB"/>
    <w:rsid w:val="007C1705"/>
    <w:rsid w:val="007C1842"/>
    <w:rsid w:val="007C1970"/>
    <w:rsid w:val="007C199B"/>
    <w:rsid w:val="007C1D96"/>
    <w:rsid w:val="007C25B3"/>
    <w:rsid w:val="007C27AB"/>
    <w:rsid w:val="007C2EDA"/>
    <w:rsid w:val="007C2FF7"/>
    <w:rsid w:val="007C300F"/>
    <w:rsid w:val="007C426B"/>
    <w:rsid w:val="007C439E"/>
    <w:rsid w:val="007C4A6D"/>
    <w:rsid w:val="007C4B39"/>
    <w:rsid w:val="007C4DBE"/>
    <w:rsid w:val="007C5474"/>
    <w:rsid w:val="007C5698"/>
    <w:rsid w:val="007C575A"/>
    <w:rsid w:val="007C5DB8"/>
    <w:rsid w:val="007C5FF9"/>
    <w:rsid w:val="007C63C9"/>
    <w:rsid w:val="007C6764"/>
    <w:rsid w:val="007C694D"/>
    <w:rsid w:val="007C7156"/>
    <w:rsid w:val="007C7203"/>
    <w:rsid w:val="007C73A5"/>
    <w:rsid w:val="007C7541"/>
    <w:rsid w:val="007C7B3A"/>
    <w:rsid w:val="007C7F5A"/>
    <w:rsid w:val="007C7FE8"/>
    <w:rsid w:val="007D0C5E"/>
    <w:rsid w:val="007D0CFA"/>
    <w:rsid w:val="007D0E63"/>
    <w:rsid w:val="007D0FA5"/>
    <w:rsid w:val="007D1051"/>
    <w:rsid w:val="007D18CB"/>
    <w:rsid w:val="007D19DC"/>
    <w:rsid w:val="007D1BC5"/>
    <w:rsid w:val="007D1E60"/>
    <w:rsid w:val="007D20D4"/>
    <w:rsid w:val="007D23F8"/>
    <w:rsid w:val="007D2567"/>
    <w:rsid w:val="007D28C0"/>
    <w:rsid w:val="007D29B3"/>
    <w:rsid w:val="007D341C"/>
    <w:rsid w:val="007D350B"/>
    <w:rsid w:val="007D35C2"/>
    <w:rsid w:val="007D36EA"/>
    <w:rsid w:val="007D38FF"/>
    <w:rsid w:val="007D3927"/>
    <w:rsid w:val="007D39BA"/>
    <w:rsid w:val="007D3B10"/>
    <w:rsid w:val="007D3E9E"/>
    <w:rsid w:val="007D3F2A"/>
    <w:rsid w:val="007D414F"/>
    <w:rsid w:val="007D4A09"/>
    <w:rsid w:val="007D4DC2"/>
    <w:rsid w:val="007D5368"/>
    <w:rsid w:val="007D537E"/>
    <w:rsid w:val="007D580A"/>
    <w:rsid w:val="007D6012"/>
    <w:rsid w:val="007D60EA"/>
    <w:rsid w:val="007D6452"/>
    <w:rsid w:val="007D6500"/>
    <w:rsid w:val="007D694D"/>
    <w:rsid w:val="007D7DAF"/>
    <w:rsid w:val="007E0310"/>
    <w:rsid w:val="007E060A"/>
    <w:rsid w:val="007E07EA"/>
    <w:rsid w:val="007E0AD0"/>
    <w:rsid w:val="007E0CA1"/>
    <w:rsid w:val="007E124D"/>
    <w:rsid w:val="007E1BA4"/>
    <w:rsid w:val="007E1C2F"/>
    <w:rsid w:val="007E1CBA"/>
    <w:rsid w:val="007E1F3A"/>
    <w:rsid w:val="007E1F75"/>
    <w:rsid w:val="007E1F8A"/>
    <w:rsid w:val="007E288E"/>
    <w:rsid w:val="007E2F2B"/>
    <w:rsid w:val="007E2FE2"/>
    <w:rsid w:val="007E321C"/>
    <w:rsid w:val="007E3A81"/>
    <w:rsid w:val="007E3B73"/>
    <w:rsid w:val="007E4007"/>
    <w:rsid w:val="007E405D"/>
    <w:rsid w:val="007E41F0"/>
    <w:rsid w:val="007E431B"/>
    <w:rsid w:val="007E4BA7"/>
    <w:rsid w:val="007E516A"/>
    <w:rsid w:val="007E5905"/>
    <w:rsid w:val="007E5B58"/>
    <w:rsid w:val="007E5E5F"/>
    <w:rsid w:val="007E6D71"/>
    <w:rsid w:val="007E7C0A"/>
    <w:rsid w:val="007E7CAE"/>
    <w:rsid w:val="007F0008"/>
    <w:rsid w:val="007F0854"/>
    <w:rsid w:val="007F0872"/>
    <w:rsid w:val="007F1860"/>
    <w:rsid w:val="007F1BAC"/>
    <w:rsid w:val="007F1E31"/>
    <w:rsid w:val="007F20D3"/>
    <w:rsid w:val="007F218F"/>
    <w:rsid w:val="007F2AB6"/>
    <w:rsid w:val="007F2B0D"/>
    <w:rsid w:val="007F2D38"/>
    <w:rsid w:val="007F36D8"/>
    <w:rsid w:val="007F41CB"/>
    <w:rsid w:val="007F43AE"/>
    <w:rsid w:val="007F4D54"/>
    <w:rsid w:val="007F5129"/>
    <w:rsid w:val="007F59AC"/>
    <w:rsid w:val="007F5C19"/>
    <w:rsid w:val="007F5EC7"/>
    <w:rsid w:val="007F62D6"/>
    <w:rsid w:val="007F67C2"/>
    <w:rsid w:val="007F6CEF"/>
    <w:rsid w:val="007F6E45"/>
    <w:rsid w:val="0080009A"/>
    <w:rsid w:val="00800195"/>
    <w:rsid w:val="008003EB"/>
    <w:rsid w:val="00800720"/>
    <w:rsid w:val="008008DF"/>
    <w:rsid w:val="00800BAE"/>
    <w:rsid w:val="00800CEA"/>
    <w:rsid w:val="008015A8"/>
    <w:rsid w:val="008017E7"/>
    <w:rsid w:val="00801D44"/>
    <w:rsid w:val="00802132"/>
    <w:rsid w:val="00802245"/>
    <w:rsid w:val="00802288"/>
    <w:rsid w:val="008031AA"/>
    <w:rsid w:val="008032E2"/>
    <w:rsid w:val="0080377D"/>
    <w:rsid w:val="0080398A"/>
    <w:rsid w:val="0080475C"/>
    <w:rsid w:val="00804A70"/>
    <w:rsid w:val="00804C9F"/>
    <w:rsid w:val="0080501F"/>
    <w:rsid w:val="008053DC"/>
    <w:rsid w:val="00805AE1"/>
    <w:rsid w:val="00805D14"/>
    <w:rsid w:val="0080610B"/>
    <w:rsid w:val="008062E3"/>
    <w:rsid w:val="00806A64"/>
    <w:rsid w:val="00806BD6"/>
    <w:rsid w:val="00806DC1"/>
    <w:rsid w:val="0080723A"/>
    <w:rsid w:val="00807A2B"/>
    <w:rsid w:val="00807A33"/>
    <w:rsid w:val="00810076"/>
    <w:rsid w:val="0081028A"/>
    <w:rsid w:val="008105A6"/>
    <w:rsid w:val="008106B3"/>
    <w:rsid w:val="008107F9"/>
    <w:rsid w:val="00811C7A"/>
    <w:rsid w:val="00811F77"/>
    <w:rsid w:val="00812F5F"/>
    <w:rsid w:val="0081310E"/>
    <w:rsid w:val="008132A1"/>
    <w:rsid w:val="008135D8"/>
    <w:rsid w:val="008138BD"/>
    <w:rsid w:val="00813D67"/>
    <w:rsid w:val="00814292"/>
    <w:rsid w:val="0081479F"/>
    <w:rsid w:val="00814DE5"/>
    <w:rsid w:val="008151D3"/>
    <w:rsid w:val="008152D6"/>
    <w:rsid w:val="0081578C"/>
    <w:rsid w:val="00815B45"/>
    <w:rsid w:val="00816145"/>
    <w:rsid w:val="00816163"/>
    <w:rsid w:val="00816B12"/>
    <w:rsid w:val="00816B93"/>
    <w:rsid w:val="00816E8B"/>
    <w:rsid w:val="00816EA7"/>
    <w:rsid w:val="008171E6"/>
    <w:rsid w:val="0081749B"/>
    <w:rsid w:val="00817619"/>
    <w:rsid w:val="00817C32"/>
    <w:rsid w:val="00820028"/>
    <w:rsid w:val="008207B4"/>
    <w:rsid w:val="00820BAA"/>
    <w:rsid w:val="00820FAA"/>
    <w:rsid w:val="00821234"/>
    <w:rsid w:val="008212A5"/>
    <w:rsid w:val="0082159F"/>
    <w:rsid w:val="0082202A"/>
    <w:rsid w:val="00822675"/>
    <w:rsid w:val="008228D9"/>
    <w:rsid w:val="008231E7"/>
    <w:rsid w:val="0082384B"/>
    <w:rsid w:val="00823BB1"/>
    <w:rsid w:val="00824058"/>
    <w:rsid w:val="0082412C"/>
    <w:rsid w:val="00824CE3"/>
    <w:rsid w:val="00824D82"/>
    <w:rsid w:val="00825000"/>
    <w:rsid w:val="008250E1"/>
    <w:rsid w:val="0082510C"/>
    <w:rsid w:val="00825299"/>
    <w:rsid w:val="0082569B"/>
    <w:rsid w:val="00825AFA"/>
    <w:rsid w:val="00825CEE"/>
    <w:rsid w:val="00825D33"/>
    <w:rsid w:val="00825D6B"/>
    <w:rsid w:val="008260B5"/>
    <w:rsid w:val="00826115"/>
    <w:rsid w:val="008263FB"/>
    <w:rsid w:val="00826A95"/>
    <w:rsid w:val="00826BFE"/>
    <w:rsid w:val="00826F49"/>
    <w:rsid w:val="00827046"/>
    <w:rsid w:val="008270CD"/>
    <w:rsid w:val="008276C2"/>
    <w:rsid w:val="008277B3"/>
    <w:rsid w:val="008279F2"/>
    <w:rsid w:val="00827D5B"/>
    <w:rsid w:val="00827DCB"/>
    <w:rsid w:val="00830B97"/>
    <w:rsid w:val="00830CD3"/>
    <w:rsid w:val="0083116D"/>
    <w:rsid w:val="00831179"/>
    <w:rsid w:val="008313EE"/>
    <w:rsid w:val="0083279A"/>
    <w:rsid w:val="008327D7"/>
    <w:rsid w:val="00832B63"/>
    <w:rsid w:val="00832CD6"/>
    <w:rsid w:val="00832FBE"/>
    <w:rsid w:val="0083326E"/>
    <w:rsid w:val="0083343B"/>
    <w:rsid w:val="00833B93"/>
    <w:rsid w:val="0083417D"/>
    <w:rsid w:val="00834811"/>
    <w:rsid w:val="0083519E"/>
    <w:rsid w:val="0083567E"/>
    <w:rsid w:val="008358BB"/>
    <w:rsid w:val="00836591"/>
    <w:rsid w:val="008368B9"/>
    <w:rsid w:val="008368C4"/>
    <w:rsid w:val="00836F42"/>
    <w:rsid w:val="008370CC"/>
    <w:rsid w:val="008372BD"/>
    <w:rsid w:val="008374DD"/>
    <w:rsid w:val="00837BAE"/>
    <w:rsid w:val="00837D2C"/>
    <w:rsid w:val="00840D59"/>
    <w:rsid w:val="0084135A"/>
    <w:rsid w:val="008418F3"/>
    <w:rsid w:val="00841B1C"/>
    <w:rsid w:val="00842604"/>
    <w:rsid w:val="00842917"/>
    <w:rsid w:val="00842BC9"/>
    <w:rsid w:val="00842CD1"/>
    <w:rsid w:val="00842DD1"/>
    <w:rsid w:val="00842E46"/>
    <w:rsid w:val="00844271"/>
    <w:rsid w:val="008442F1"/>
    <w:rsid w:val="00844352"/>
    <w:rsid w:val="00844556"/>
    <w:rsid w:val="00844D12"/>
    <w:rsid w:val="00845050"/>
    <w:rsid w:val="0084506D"/>
    <w:rsid w:val="00845A99"/>
    <w:rsid w:val="00846473"/>
    <w:rsid w:val="0084651E"/>
    <w:rsid w:val="0084660D"/>
    <w:rsid w:val="00846670"/>
    <w:rsid w:val="0084669F"/>
    <w:rsid w:val="00846D58"/>
    <w:rsid w:val="00847267"/>
    <w:rsid w:val="008472A9"/>
    <w:rsid w:val="008473BE"/>
    <w:rsid w:val="00847FE5"/>
    <w:rsid w:val="00850464"/>
    <w:rsid w:val="0085063B"/>
    <w:rsid w:val="00850924"/>
    <w:rsid w:val="008509A8"/>
    <w:rsid w:val="00850B93"/>
    <w:rsid w:val="00850E6B"/>
    <w:rsid w:val="00851027"/>
    <w:rsid w:val="00851178"/>
    <w:rsid w:val="008514DF"/>
    <w:rsid w:val="008517C4"/>
    <w:rsid w:val="008517F8"/>
    <w:rsid w:val="008518AC"/>
    <w:rsid w:val="00851CBD"/>
    <w:rsid w:val="008522F8"/>
    <w:rsid w:val="0085261D"/>
    <w:rsid w:val="00852726"/>
    <w:rsid w:val="00852EE8"/>
    <w:rsid w:val="0085322F"/>
    <w:rsid w:val="008532FC"/>
    <w:rsid w:val="00853780"/>
    <w:rsid w:val="00854DC0"/>
    <w:rsid w:val="008559C1"/>
    <w:rsid w:val="008562EF"/>
    <w:rsid w:val="0085671C"/>
    <w:rsid w:val="00856D23"/>
    <w:rsid w:val="0085700B"/>
    <w:rsid w:val="0086114E"/>
    <w:rsid w:val="00861151"/>
    <w:rsid w:val="008614DE"/>
    <w:rsid w:val="0086155B"/>
    <w:rsid w:val="008616A6"/>
    <w:rsid w:val="00861BE6"/>
    <w:rsid w:val="0086201F"/>
    <w:rsid w:val="00862177"/>
    <w:rsid w:val="00862679"/>
    <w:rsid w:val="00863322"/>
    <w:rsid w:val="00863329"/>
    <w:rsid w:val="008634B5"/>
    <w:rsid w:val="008634C0"/>
    <w:rsid w:val="0086361C"/>
    <w:rsid w:val="00863CDA"/>
    <w:rsid w:val="00864033"/>
    <w:rsid w:val="00864734"/>
    <w:rsid w:val="0086484D"/>
    <w:rsid w:val="00864D75"/>
    <w:rsid w:val="00864DF0"/>
    <w:rsid w:val="00865038"/>
    <w:rsid w:val="0086543E"/>
    <w:rsid w:val="008658BB"/>
    <w:rsid w:val="0086711C"/>
    <w:rsid w:val="008671EB"/>
    <w:rsid w:val="00870170"/>
    <w:rsid w:val="0087023D"/>
    <w:rsid w:val="00870BF2"/>
    <w:rsid w:val="00870F20"/>
    <w:rsid w:val="00870F9B"/>
    <w:rsid w:val="0087132C"/>
    <w:rsid w:val="008713FF"/>
    <w:rsid w:val="008715A2"/>
    <w:rsid w:val="0087175E"/>
    <w:rsid w:val="00871A48"/>
    <w:rsid w:val="00871CCF"/>
    <w:rsid w:val="00872172"/>
    <w:rsid w:val="008721F3"/>
    <w:rsid w:val="00872465"/>
    <w:rsid w:val="00872D3A"/>
    <w:rsid w:val="00872E17"/>
    <w:rsid w:val="00873E09"/>
    <w:rsid w:val="00873FD6"/>
    <w:rsid w:val="00874022"/>
    <w:rsid w:val="008740E9"/>
    <w:rsid w:val="00874317"/>
    <w:rsid w:val="008743D3"/>
    <w:rsid w:val="008745F3"/>
    <w:rsid w:val="00874E41"/>
    <w:rsid w:val="00874EDE"/>
    <w:rsid w:val="00874EDF"/>
    <w:rsid w:val="00875585"/>
    <w:rsid w:val="00875C1A"/>
    <w:rsid w:val="00875C81"/>
    <w:rsid w:val="0087627D"/>
    <w:rsid w:val="0087633A"/>
    <w:rsid w:val="00876888"/>
    <w:rsid w:val="00876D40"/>
    <w:rsid w:val="008774AE"/>
    <w:rsid w:val="00877D7C"/>
    <w:rsid w:val="008800EA"/>
    <w:rsid w:val="0088021C"/>
    <w:rsid w:val="00880BEC"/>
    <w:rsid w:val="00880F51"/>
    <w:rsid w:val="008811A7"/>
    <w:rsid w:val="008819EA"/>
    <w:rsid w:val="00881CA1"/>
    <w:rsid w:val="00881D48"/>
    <w:rsid w:val="00881FC0"/>
    <w:rsid w:val="00882264"/>
    <w:rsid w:val="008825EB"/>
    <w:rsid w:val="00882CD4"/>
    <w:rsid w:val="00882F02"/>
    <w:rsid w:val="00882FAE"/>
    <w:rsid w:val="00883B8D"/>
    <w:rsid w:val="008840E0"/>
    <w:rsid w:val="00884504"/>
    <w:rsid w:val="00884E46"/>
    <w:rsid w:val="0088509E"/>
    <w:rsid w:val="008858C1"/>
    <w:rsid w:val="0088660B"/>
    <w:rsid w:val="008866AE"/>
    <w:rsid w:val="008875BD"/>
    <w:rsid w:val="00887B78"/>
    <w:rsid w:val="00890877"/>
    <w:rsid w:val="00890925"/>
    <w:rsid w:val="00890C5D"/>
    <w:rsid w:val="00891279"/>
    <w:rsid w:val="008917ED"/>
    <w:rsid w:val="00891918"/>
    <w:rsid w:val="0089262F"/>
    <w:rsid w:val="0089273E"/>
    <w:rsid w:val="00892940"/>
    <w:rsid w:val="0089299E"/>
    <w:rsid w:val="00893242"/>
    <w:rsid w:val="0089386D"/>
    <w:rsid w:val="00893C37"/>
    <w:rsid w:val="00894307"/>
    <w:rsid w:val="00894724"/>
    <w:rsid w:val="00894C35"/>
    <w:rsid w:val="0089505A"/>
    <w:rsid w:val="0089521C"/>
    <w:rsid w:val="00895273"/>
    <w:rsid w:val="008952C7"/>
    <w:rsid w:val="0089531D"/>
    <w:rsid w:val="00895577"/>
    <w:rsid w:val="008955EF"/>
    <w:rsid w:val="008958B2"/>
    <w:rsid w:val="00895A8A"/>
    <w:rsid w:val="00895B84"/>
    <w:rsid w:val="00896150"/>
    <w:rsid w:val="00896379"/>
    <w:rsid w:val="00896D1E"/>
    <w:rsid w:val="00896D53"/>
    <w:rsid w:val="00896F63"/>
    <w:rsid w:val="00897185"/>
    <w:rsid w:val="00897396"/>
    <w:rsid w:val="008975D1"/>
    <w:rsid w:val="00897619"/>
    <w:rsid w:val="008976FB"/>
    <w:rsid w:val="00897800"/>
    <w:rsid w:val="0089784E"/>
    <w:rsid w:val="00897EFC"/>
    <w:rsid w:val="008A0140"/>
    <w:rsid w:val="008A040A"/>
    <w:rsid w:val="008A0776"/>
    <w:rsid w:val="008A09D7"/>
    <w:rsid w:val="008A159B"/>
    <w:rsid w:val="008A1610"/>
    <w:rsid w:val="008A1622"/>
    <w:rsid w:val="008A19E4"/>
    <w:rsid w:val="008A1FA4"/>
    <w:rsid w:val="008A25A2"/>
    <w:rsid w:val="008A2CCC"/>
    <w:rsid w:val="008A2DCB"/>
    <w:rsid w:val="008A2E78"/>
    <w:rsid w:val="008A2FF7"/>
    <w:rsid w:val="008A3073"/>
    <w:rsid w:val="008A3211"/>
    <w:rsid w:val="008A3681"/>
    <w:rsid w:val="008A36FA"/>
    <w:rsid w:val="008A3E8E"/>
    <w:rsid w:val="008A4146"/>
    <w:rsid w:val="008A4196"/>
    <w:rsid w:val="008A499E"/>
    <w:rsid w:val="008A5251"/>
    <w:rsid w:val="008A53CB"/>
    <w:rsid w:val="008A5634"/>
    <w:rsid w:val="008A5676"/>
    <w:rsid w:val="008A56F1"/>
    <w:rsid w:val="008A5BDB"/>
    <w:rsid w:val="008A62C9"/>
    <w:rsid w:val="008A6373"/>
    <w:rsid w:val="008A656A"/>
    <w:rsid w:val="008A671F"/>
    <w:rsid w:val="008A71DF"/>
    <w:rsid w:val="008B038B"/>
    <w:rsid w:val="008B042E"/>
    <w:rsid w:val="008B0930"/>
    <w:rsid w:val="008B0A8B"/>
    <w:rsid w:val="008B12E3"/>
    <w:rsid w:val="008B1478"/>
    <w:rsid w:val="008B1548"/>
    <w:rsid w:val="008B19C8"/>
    <w:rsid w:val="008B2766"/>
    <w:rsid w:val="008B2C4F"/>
    <w:rsid w:val="008B34A9"/>
    <w:rsid w:val="008B3607"/>
    <w:rsid w:val="008B37E0"/>
    <w:rsid w:val="008B3B21"/>
    <w:rsid w:val="008B420C"/>
    <w:rsid w:val="008B46EF"/>
    <w:rsid w:val="008B4C78"/>
    <w:rsid w:val="008B4C96"/>
    <w:rsid w:val="008B4CA4"/>
    <w:rsid w:val="008B59EA"/>
    <w:rsid w:val="008B5C15"/>
    <w:rsid w:val="008B61B3"/>
    <w:rsid w:val="008B6236"/>
    <w:rsid w:val="008B64AC"/>
    <w:rsid w:val="008B698F"/>
    <w:rsid w:val="008B69CC"/>
    <w:rsid w:val="008B6F2A"/>
    <w:rsid w:val="008B7244"/>
    <w:rsid w:val="008B73CD"/>
    <w:rsid w:val="008B73D1"/>
    <w:rsid w:val="008B784A"/>
    <w:rsid w:val="008B79C2"/>
    <w:rsid w:val="008C0C6A"/>
    <w:rsid w:val="008C125E"/>
    <w:rsid w:val="008C176A"/>
    <w:rsid w:val="008C1B3A"/>
    <w:rsid w:val="008C1C3F"/>
    <w:rsid w:val="008C2090"/>
    <w:rsid w:val="008C2598"/>
    <w:rsid w:val="008C2605"/>
    <w:rsid w:val="008C2BBA"/>
    <w:rsid w:val="008C2BCA"/>
    <w:rsid w:val="008C2D81"/>
    <w:rsid w:val="008C3D0B"/>
    <w:rsid w:val="008C3D23"/>
    <w:rsid w:val="008C40DE"/>
    <w:rsid w:val="008C4234"/>
    <w:rsid w:val="008C43ED"/>
    <w:rsid w:val="008C458E"/>
    <w:rsid w:val="008C462B"/>
    <w:rsid w:val="008C5172"/>
    <w:rsid w:val="008C55FE"/>
    <w:rsid w:val="008C5A43"/>
    <w:rsid w:val="008C5BFE"/>
    <w:rsid w:val="008C5D65"/>
    <w:rsid w:val="008C5EF6"/>
    <w:rsid w:val="008C627B"/>
    <w:rsid w:val="008C653F"/>
    <w:rsid w:val="008C65A5"/>
    <w:rsid w:val="008C68B8"/>
    <w:rsid w:val="008C7133"/>
    <w:rsid w:val="008C7157"/>
    <w:rsid w:val="008C73B6"/>
    <w:rsid w:val="008C77C2"/>
    <w:rsid w:val="008D03BA"/>
    <w:rsid w:val="008D06FF"/>
    <w:rsid w:val="008D0FC5"/>
    <w:rsid w:val="008D13FA"/>
    <w:rsid w:val="008D14FD"/>
    <w:rsid w:val="008D18ED"/>
    <w:rsid w:val="008D1A3C"/>
    <w:rsid w:val="008D1C7C"/>
    <w:rsid w:val="008D1E2A"/>
    <w:rsid w:val="008D1FE8"/>
    <w:rsid w:val="008D24DA"/>
    <w:rsid w:val="008D253C"/>
    <w:rsid w:val="008D2B41"/>
    <w:rsid w:val="008D32EF"/>
    <w:rsid w:val="008D33AE"/>
    <w:rsid w:val="008D35A7"/>
    <w:rsid w:val="008D3635"/>
    <w:rsid w:val="008D3821"/>
    <w:rsid w:val="008D3DE4"/>
    <w:rsid w:val="008D3E3D"/>
    <w:rsid w:val="008D4013"/>
    <w:rsid w:val="008D4570"/>
    <w:rsid w:val="008D4589"/>
    <w:rsid w:val="008D47BA"/>
    <w:rsid w:val="008D4828"/>
    <w:rsid w:val="008D4CBC"/>
    <w:rsid w:val="008D4E10"/>
    <w:rsid w:val="008D58F8"/>
    <w:rsid w:val="008D5C93"/>
    <w:rsid w:val="008D6451"/>
    <w:rsid w:val="008D68A1"/>
    <w:rsid w:val="008D6D88"/>
    <w:rsid w:val="008D72FA"/>
    <w:rsid w:val="008D7853"/>
    <w:rsid w:val="008E0174"/>
    <w:rsid w:val="008E0234"/>
    <w:rsid w:val="008E04A9"/>
    <w:rsid w:val="008E052E"/>
    <w:rsid w:val="008E07D0"/>
    <w:rsid w:val="008E0EE9"/>
    <w:rsid w:val="008E10B0"/>
    <w:rsid w:val="008E1231"/>
    <w:rsid w:val="008E163D"/>
    <w:rsid w:val="008E1A8D"/>
    <w:rsid w:val="008E1B86"/>
    <w:rsid w:val="008E1BD2"/>
    <w:rsid w:val="008E1F44"/>
    <w:rsid w:val="008E2484"/>
    <w:rsid w:val="008E2B55"/>
    <w:rsid w:val="008E42F9"/>
    <w:rsid w:val="008E433E"/>
    <w:rsid w:val="008E4449"/>
    <w:rsid w:val="008E4467"/>
    <w:rsid w:val="008E4710"/>
    <w:rsid w:val="008E4B85"/>
    <w:rsid w:val="008E5246"/>
    <w:rsid w:val="008E5265"/>
    <w:rsid w:val="008E543F"/>
    <w:rsid w:val="008E54BD"/>
    <w:rsid w:val="008E5635"/>
    <w:rsid w:val="008E570B"/>
    <w:rsid w:val="008E59A7"/>
    <w:rsid w:val="008E5B6D"/>
    <w:rsid w:val="008E5D1E"/>
    <w:rsid w:val="008E661C"/>
    <w:rsid w:val="008E7501"/>
    <w:rsid w:val="008E7742"/>
    <w:rsid w:val="008E78C0"/>
    <w:rsid w:val="008E7955"/>
    <w:rsid w:val="008E7974"/>
    <w:rsid w:val="008E7CFD"/>
    <w:rsid w:val="008E7FEF"/>
    <w:rsid w:val="008F0357"/>
    <w:rsid w:val="008F03FA"/>
    <w:rsid w:val="008F109D"/>
    <w:rsid w:val="008F1374"/>
    <w:rsid w:val="008F15C6"/>
    <w:rsid w:val="008F15D8"/>
    <w:rsid w:val="008F16F6"/>
    <w:rsid w:val="008F2420"/>
    <w:rsid w:val="008F25F1"/>
    <w:rsid w:val="008F27ED"/>
    <w:rsid w:val="008F29FB"/>
    <w:rsid w:val="008F2D99"/>
    <w:rsid w:val="008F2DD9"/>
    <w:rsid w:val="008F2E12"/>
    <w:rsid w:val="008F30C4"/>
    <w:rsid w:val="008F3257"/>
    <w:rsid w:val="008F32F7"/>
    <w:rsid w:val="008F334D"/>
    <w:rsid w:val="008F3374"/>
    <w:rsid w:val="008F3CB1"/>
    <w:rsid w:val="008F3E10"/>
    <w:rsid w:val="008F3E8F"/>
    <w:rsid w:val="008F4785"/>
    <w:rsid w:val="008F4C4E"/>
    <w:rsid w:val="008F4E9E"/>
    <w:rsid w:val="008F4EE8"/>
    <w:rsid w:val="008F5392"/>
    <w:rsid w:val="008F552C"/>
    <w:rsid w:val="008F5B3C"/>
    <w:rsid w:val="008F5EF7"/>
    <w:rsid w:val="008F5FBA"/>
    <w:rsid w:val="008F60F2"/>
    <w:rsid w:val="008F67E4"/>
    <w:rsid w:val="008F6BFE"/>
    <w:rsid w:val="008F6C56"/>
    <w:rsid w:val="008F73CE"/>
    <w:rsid w:val="008F7ABC"/>
    <w:rsid w:val="008F7D34"/>
    <w:rsid w:val="009003AF"/>
    <w:rsid w:val="0090049C"/>
    <w:rsid w:val="00901102"/>
    <w:rsid w:val="0090114B"/>
    <w:rsid w:val="009011AA"/>
    <w:rsid w:val="00901489"/>
    <w:rsid w:val="00901B83"/>
    <w:rsid w:val="009021C3"/>
    <w:rsid w:val="00902298"/>
    <w:rsid w:val="00902951"/>
    <w:rsid w:val="009032E9"/>
    <w:rsid w:val="00903767"/>
    <w:rsid w:val="009039C0"/>
    <w:rsid w:val="00904AF1"/>
    <w:rsid w:val="00904D8B"/>
    <w:rsid w:val="00906809"/>
    <w:rsid w:val="00906A89"/>
    <w:rsid w:val="00906B3F"/>
    <w:rsid w:val="0090716D"/>
    <w:rsid w:val="00907DB2"/>
    <w:rsid w:val="00910FF8"/>
    <w:rsid w:val="0091130B"/>
    <w:rsid w:val="0091147B"/>
    <w:rsid w:val="009116E4"/>
    <w:rsid w:val="00911763"/>
    <w:rsid w:val="00911793"/>
    <w:rsid w:val="00911834"/>
    <w:rsid w:val="0091188B"/>
    <w:rsid w:val="00911D30"/>
    <w:rsid w:val="00911DA7"/>
    <w:rsid w:val="00912299"/>
    <w:rsid w:val="00912584"/>
    <w:rsid w:val="00912AC5"/>
    <w:rsid w:val="00912B6C"/>
    <w:rsid w:val="00912C00"/>
    <w:rsid w:val="00912CC0"/>
    <w:rsid w:val="00912D18"/>
    <w:rsid w:val="009132F7"/>
    <w:rsid w:val="009138BC"/>
    <w:rsid w:val="009139F7"/>
    <w:rsid w:val="00913AB7"/>
    <w:rsid w:val="00913E19"/>
    <w:rsid w:val="009142F9"/>
    <w:rsid w:val="00914FF7"/>
    <w:rsid w:val="009151BF"/>
    <w:rsid w:val="00915668"/>
    <w:rsid w:val="00915C8B"/>
    <w:rsid w:val="00915D3F"/>
    <w:rsid w:val="00916735"/>
    <w:rsid w:val="009167F8"/>
    <w:rsid w:val="0091684D"/>
    <w:rsid w:val="0091779E"/>
    <w:rsid w:val="0091786D"/>
    <w:rsid w:val="00917B1F"/>
    <w:rsid w:val="009203D0"/>
    <w:rsid w:val="009216E5"/>
    <w:rsid w:val="00922093"/>
    <w:rsid w:val="009222A3"/>
    <w:rsid w:val="00922395"/>
    <w:rsid w:val="009227BB"/>
    <w:rsid w:val="00922AE7"/>
    <w:rsid w:val="00922B08"/>
    <w:rsid w:val="0092309B"/>
    <w:rsid w:val="00923BA3"/>
    <w:rsid w:val="00923C4D"/>
    <w:rsid w:val="00923FAC"/>
    <w:rsid w:val="00924641"/>
    <w:rsid w:val="0092475B"/>
    <w:rsid w:val="00924A94"/>
    <w:rsid w:val="00924D42"/>
    <w:rsid w:val="00924F0A"/>
    <w:rsid w:val="00925396"/>
    <w:rsid w:val="0092572B"/>
    <w:rsid w:val="009258EA"/>
    <w:rsid w:val="00925DDE"/>
    <w:rsid w:val="00925E32"/>
    <w:rsid w:val="009265F8"/>
    <w:rsid w:val="0092683E"/>
    <w:rsid w:val="009268A9"/>
    <w:rsid w:val="009268AE"/>
    <w:rsid w:val="009269A4"/>
    <w:rsid w:val="00926B0E"/>
    <w:rsid w:val="00926D23"/>
    <w:rsid w:val="00927683"/>
    <w:rsid w:val="0092774C"/>
    <w:rsid w:val="00927BB3"/>
    <w:rsid w:val="00927DB7"/>
    <w:rsid w:val="00930EA9"/>
    <w:rsid w:val="0093122F"/>
    <w:rsid w:val="009314B0"/>
    <w:rsid w:val="009317F6"/>
    <w:rsid w:val="00932017"/>
    <w:rsid w:val="00932083"/>
    <w:rsid w:val="0093221B"/>
    <w:rsid w:val="00932BF5"/>
    <w:rsid w:val="009330A6"/>
    <w:rsid w:val="00933489"/>
    <w:rsid w:val="00933696"/>
    <w:rsid w:val="009336F5"/>
    <w:rsid w:val="0093375F"/>
    <w:rsid w:val="00933A5F"/>
    <w:rsid w:val="00933CBB"/>
    <w:rsid w:val="00933FB9"/>
    <w:rsid w:val="009342F1"/>
    <w:rsid w:val="0093432B"/>
    <w:rsid w:val="009349E8"/>
    <w:rsid w:val="009353B9"/>
    <w:rsid w:val="009354AE"/>
    <w:rsid w:val="00935F8F"/>
    <w:rsid w:val="00935FD8"/>
    <w:rsid w:val="00936410"/>
    <w:rsid w:val="0093692B"/>
    <w:rsid w:val="00936930"/>
    <w:rsid w:val="00936E23"/>
    <w:rsid w:val="00936E65"/>
    <w:rsid w:val="009372C5"/>
    <w:rsid w:val="00937370"/>
    <w:rsid w:val="00937678"/>
    <w:rsid w:val="00937699"/>
    <w:rsid w:val="00937E3F"/>
    <w:rsid w:val="00937FC3"/>
    <w:rsid w:val="00940318"/>
    <w:rsid w:val="00940901"/>
    <w:rsid w:val="00940930"/>
    <w:rsid w:val="00941048"/>
    <w:rsid w:val="0094122E"/>
    <w:rsid w:val="009416C1"/>
    <w:rsid w:val="009420B4"/>
    <w:rsid w:val="00942405"/>
    <w:rsid w:val="00942E16"/>
    <w:rsid w:val="0094327D"/>
    <w:rsid w:val="00944171"/>
    <w:rsid w:val="009451B2"/>
    <w:rsid w:val="0094536C"/>
    <w:rsid w:val="00945AFE"/>
    <w:rsid w:val="00945B16"/>
    <w:rsid w:val="00945F73"/>
    <w:rsid w:val="00945F9F"/>
    <w:rsid w:val="00946320"/>
    <w:rsid w:val="009470BE"/>
    <w:rsid w:val="00947259"/>
    <w:rsid w:val="0094759D"/>
    <w:rsid w:val="00947AF9"/>
    <w:rsid w:val="009505AE"/>
    <w:rsid w:val="009508E6"/>
    <w:rsid w:val="00950B35"/>
    <w:rsid w:val="0095132D"/>
    <w:rsid w:val="0095135F"/>
    <w:rsid w:val="00951540"/>
    <w:rsid w:val="00951544"/>
    <w:rsid w:val="00951766"/>
    <w:rsid w:val="00951FBA"/>
    <w:rsid w:val="0095201D"/>
    <w:rsid w:val="0095213F"/>
    <w:rsid w:val="00952BD0"/>
    <w:rsid w:val="0095300C"/>
    <w:rsid w:val="00953826"/>
    <w:rsid w:val="00953B80"/>
    <w:rsid w:val="00953CEA"/>
    <w:rsid w:val="00954642"/>
    <w:rsid w:val="00954745"/>
    <w:rsid w:val="00954ABF"/>
    <w:rsid w:val="00954DB2"/>
    <w:rsid w:val="00954E78"/>
    <w:rsid w:val="009552EF"/>
    <w:rsid w:val="009554E8"/>
    <w:rsid w:val="00955726"/>
    <w:rsid w:val="0095594A"/>
    <w:rsid w:val="00955B43"/>
    <w:rsid w:val="00955D6D"/>
    <w:rsid w:val="009565F9"/>
    <w:rsid w:val="009567F3"/>
    <w:rsid w:val="00956CFB"/>
    <w:rsid w:val="00956DAE"/>
    <w:rsid w:val="00956EE8"/>
    <w:rsid w:val="009570CF"/>
    <w:rsid w:val="00957CD5"/>
    <w:rsid w:val="00957FE2"/>
    <w:rsid w:val="0096028A"/>
    <w:rsid w:val="009602A1"/>
    <w:rsid w:val="00960475"/>
    <w:rsid w:val="009607FE"/>
    <w:rsid w:val="009609B0"/>
    <w:rsid w:val="00960BA6"/>
    <w:rsid w:val="00960CB4"/>
    <w:rsid w:val="00960FF7"/>
    <w:rsid w:val="00961187"/>
    <w:rsid w:val="009612D4"/>
    <w:rsid w:val="00961553"/>
    <w:rsid w:val="00961C8F"/>
    <w:rsid w:val="00961E06"/>
    <w:rsid w:val="009620D7"/>
    <w:rsid w:val="009623E4"/>
    <w:rsid w:val="009627A6"/>
    <w:rsid w:val="009629F5"/>
    <w:rsid w:val="00962D7C"/>
    <w:rsid w:val="00963345"/>
    <w:rsid w:val="0096354E"/>
    <w:rsid w:val="0096383A"/>
    <w:rsid w:val="00963B7B"/>
    <w:rsid w:val="00963D5D"/>
    <w:rsid w:val="009643B6"/>
    <w:rsid w:val="0096462E"/>
    <w:rsid w:val="00964700"/>
    <w:rsid w:val="00965212"/>
    <w:rsid w:val="00965CCC"/>
    <w:rsid w:val="00966FF9"/>
    <w:rsid w:val="0096743D"/>
    <w:rsid w:val="00970216"/>
    <w:rsid w:val="00970485"/>
    <w:rsid w:val="009709BB"/>
    <w:rsid w:val="00970C82"/>
    <w:rsid w:val="00970DA3"/>
    <w:rsid w:val="009714E7"/>
    <w:rsid w:val="00971594"/>
    <w:rsid w:val="009715D4"/>
    <w:rsid w:val="00971F35"/>
    <w:rsid w:val="009723B2"/>
    <w:rsid w:val="009724A0"/>
    <w:rsid w:val="009725DE"/>
    <w:rsid w:val="009725E6"/>
    <w:rsid w:val="00973256"/>
    <w:rsid w:val="0097345A"/>
    <w:rsid w:val="00973677"/>
    <w:rsid w:val="0097399B"/>
    <w:rsid w:val="009741BC"/>
    <w:rsid w:val="009741C3"/>
    <w:rsid w:val="00974234"/>
    <w:rsid w:val="0097494D"/>
    <w:rsid w:val="009749A4"/>
    <w:rsid w:val="00974AB3"/>
    <w:rsid w:val="00974B8E"/>
    <w:rsid w:val="00974C8B"/>
    <w:rsid w:val="009757E0"/>
    <w:rsid w:val="00975CD1"/>
    <w:rsid w:val="009763A0"/>
    <w:rsid w:val="00976566"/>
    <w:rsid w:val="0097668C"/>
    <w:rsid w:val="0097747A"/>
    <w:rsid w:val="00977C71"/>
    <w:rsid w:val="009808D5"/>
    <w:rsid w:val="00980BA1"/>
    <w:rsid w:val="00981262"/>
    <w:rsid w:val="009825A1"/>
    <w:rsid w:val="00982FA8"/>
    <w:rsid w:val="009830D8"/>
    <w:rsid w:val="0098311B"/>
    <w:rsid w:val="0098365A"/>
    <w:rsid w:val="00983DEE"/>
    <w:rsid w:val="00983DF3"/>
    <w:rsid w:val="0098431E"/>
    <w:rsid w:val="00984594"/>
    <w:rsid w:val="00984956"/>
    <w:rsid w:val="009849D8"/>
    <w:rsid w:val="009850A1"/>
    <w:rsid w:val="00985134"/>
    <w:rsid w:val="0098536B"/>
    <w:rsid w:val="0098567F"/>
    <w:rsid w:val="0098574E"/>
    <w:rsid w:val="00985A91"/>
    <w:rsid w:val="00985B05"/>
    <w:rsid w:val="00985D83"/>
    <w:rsid w:val="009860FD"/>
    <w:rsid w:val="00986195"/>
    <w:rsid w:val="00986222"/>
    <w:rsid w:val="009862F7"/>
    <w:rsid w:val="0098660D"/>
    <w:rsid w:val="00986CFB"/>
    <w:rsid w:val="00987391"/>
    <w:rsid w:val="00987990"/>
    <w:rsid w:val="0099060E"/>
    <w:rsid w:val="00991374"/>
    <w:rsid w:val="0099150C"/>
    <w:rsid w:val="00991B77"/>
    <w:rsid w:val="00991D3C"/>
    <w:rsid w:val="00992324"/>
    <w:rsid w:val="009924D5"/>
    <w:rsid w:val="00992624"/>
    <w:rsid w:val="0099278B"/>
    <w:rsid w:val="009929E7"/>
    <w:rsid w:val="00993123"/>
    <w:rsid w:val="009934F4"/>
    <w:rsid w:val="0099393B"/>
    <w:rsid w:val="00993B96"/>
    <w:rsid w:val="009943AB"/>
    <w:rsid w:val="009945C6"/>
    <w:rsid w:val="00994629"/>
    <w:rsid w:val="00994B88"/>
    <w:rsid w:val="00994C60"/>
    <w:rsid w:val="00994C66"/>
    <w:rsid w:val="00995345"/>
    <w:rsid w:val="009958D5"/>
    <w:rsid w:val="0099597E"/>
    <w:rsid w:val="00995B71"/>
    <w:rsid w:val="00995D4D"/>
    <w:rsid w:val="0099666F"/>
    <w:rsid w:val="009966F6"/>
    <w:rsid w:val="00996832"/>
    <w:rsid w:val="00996C58"/>
    <w:rsid w:val="00996CBA"/>
    <w:rsid w:val="00996D0B"/>
    <w:rsid w:val="00996F89"/>
    <w:rsid w:val="009973AE"/>
    <w:rsid w:val="009973C8"/>
    <w:rsid w:val="00997441"/>
    <w:rsid w:val="009975C3"/>
    <w:rsid w:val="00997970"/>
    <w:rsid w:val="00997C20"/>
    <w:rsid w:val="009A07A5"/>
    <w:rsid w:val="009A11F4"/>
    <w:rsid w:val="009A15F1"/>
    <w:rsid w:val="009A19AF"/>
    <w:rsid w:val="009A1BAF"/>
    <w:rsid w:val="009A1C22"/>
    <w:rsid w:val="009A1DB2"/>
    <w:rsid w:val="009A27A7"/>
    <w:rsid w:val="009A3891"/>
    <w:rsid w:val="009A393C"/>
    <w:rsid w:val="009A3AB7"/>
    <w:rsid w:val="009A3E32"/>
    <w:rsid w:val="009A42BA"/>
    <w:rsid w:val="009A4683"/>
    <w:rsid w:val="009A46E8"/>
    <w:rsid w:val="009A49F9"/>
    <w:rsid w:val="009A4F61"/>
    <w:rsid w:val="009A542C"/>
    <w:rsid w:val="009A5839"/>
    <w:rsid w:val="009A5D21"/>
    <w:rsid w:val="009A609E"/>
    <w:rsid w:val="009A685D"/>
    <w:rsid w:val="009A6916"/>
    <w:rsid w:val="009A6C49"/>
    <w:rsid w:val="009A7078"/>
    <w:rsid w:val="009A710F"/>
    <w:rsid w:val="009A776E"/>
    <w:rsid w:val="009A7AAC"/>
    <w:rsid w:val="009B0319"/>
    <w:rsid w:val="009B037A"/>
    <w:rsid w:val="009B06B0"/>
    <w:rsid w:val="009B11E1"/>
    <w:rsid w:val="009B1ED5"/>
    <w:rsid w:val="009B2E55"/>
    <w:rsid w:val="009B36B8"/>
    <w:rsid w:val="009B39F8"/>
    <w:rsid w:val="009B3D36"/>
    <w:rsid w:val="009B4140"/>
    <w:rsid w:val="009B4653"/>
    <w:rsid w:val="009B47E0"/>
    <w:rsid w:val="009B494A"/>
    <w:rsid w:val="009B4AAB"/>
    <w:rsid w:val="009B4B09"/>
    <w:rsid w:val="009B4E7E"/>
    <w:rsid w:val="009B5256"/>
    <w:rsid w:val="009B5393"/>
    <w:rsid w:val="009B5494"/>
    <w:rsid w:val="009B58F2"/>
    <w:rsid w:val="009B62BA"/>
    <w:rsid w:val="009B646E"/>
    <w:rsid w:val="009B68E9"/>
    <w:rsid w:val="009B69E8"/>
    <w:rsid w:val="009B6C6B"/>
    <w:rsid w:val="009B6C72"/>
    <w:rsid w:val="009B6DB5"/>
    <w:rsid w:val="009B74B9"/>
    <w:rsid w:val="009B79B7"/>
    <w:rsid w:val="009C040F"/>
    <w:rsid w:val="009C0D88"/>
    <w:rsid w:val="009C1A1C"/>
    <w:rsid w:val="009C1B4C"/>
    <w:rsid w:val="009C1F57"/>
    <w:rsid w:val="009C234D"/>
    <w:rsid w:val="009C2912"/>
    <w:rsid w:val="009C2F7C"/>
    <w:rsid w:val="009C30BE"/>
    <w:rsid w:val="009C333E"/>
    <w:rsid w:val="009C34D6"/>
    <w:rsid w:val="009C38D3"/>
    <w:rsid w:val="009C3A5E"/>
    <w:rsid w:val="009C4453"/>
    <w:rsid w:val="009C48EE"/>
    <w:rsid w:val="009C48F2"/>
    <w:rsid w:val="009C4AAB"/>
    <w:rsid w:val="009C4C72"/>
    <w:rsid w:val="009C5246"/>
    <w:rsid w:val="009C52F3"/>
    <w:rsid w:val="009C5A01"/>
    <w:rsid w:val="009C6C15"/>
    <w:rsid w:val="009C7111"/>
    <w:rsid w:val="009C7CFA"/>
    <w:rsid w:val="009D0228"/>
    <w:rsid w:val="009D0464"/>
    <w:rsid w:val="009D090F"/>
    <w:rsid w:val="009D0C48"/>
    <w:rsid w:val="009D11EF"/>
    <w:rsid w:val="009D124D"/>
    <w:rsid w:val="009D1BD7"/>
    <w:rsid w:val="009D1C3F"/>
    <w:rsid w:val="009D1E62"/>
    <w:rsid w:val="009D24A2"/>
    <w:rsid w:val="009D2907"/>
    <w:rsid w:val="009D2BB3"/>
    <w:rsid w:val="009D2BDC"/>
    <w:rsid w:val="009D2CE4"/>
    <w:rsid w:val="009D3123"/>
    <w:rsid w:val="009D3BDF"/>
    <w:rsid w:val="009D3D8F"/>
    <w:rsid w:val="009D4281"/>
    <w:rsid w:val="009D439B"/>
    <w:rsid w:val="009D441E"/>
    <w:rsid w:val="009D4444"/>
    <w:rsid w:val="009D47FA"/>
    <w:rsid w:val="009D5583"/>
    <w:rsid w:val="009D5C60"/>
    <w:rsid w:val="009D705D"/>
    <w:rsid w:val="009D70B2"/>
    <w:rsid w:val="009D70EE"/>
    <w:rsid w:val="009D7759"/>
    <w:rsid w:val="009D77FC"/>
    <w:rsid w:val="009D7C32"/>
    <w:rsid w:val="009E0220"/>
    <w:rsid w:val="009E039F"/>
    <w:rsid w:val="009E043A"/>
    <w:rsid w:val="009E04DB"/>
    <w:rsid w:val="009E0509"/>
    <w:rsid w:val="009E0E3D"/>
    <w:rsid w:val="009E17AF"/>
    <w:rsid w:val="009E19A9"/>
    <w:rsid w:val="009E1F33"/>
    <w:rsid w:val="009E2311"/>
    <w:rsid w:val="009E2AFA"/>
    <w:rsid w:val="009E2C4F"/>
    <w:rsid w:val="009E31E4"/>
    <w:rsid w:val="009E35DE"/>
    <w:rsid w:val="009E3D84"/>
    <w:rsid w:val="009E3F75"/>
    <w:rsid w:val="009E49BE"/>
    <w:rsid w:val="009E4D16"/>
    <w:rsid w:val="009E5032"/>
    <w:rsid w:val="009E5746"/>
    <w:rsid w:val="009E6338"/>
    <w:rsid w:val="009E6501"/>
    <w:rsid w:val="009E6F4F"/>
    <w:rsid w:val="009E7104"/>
    <w:rsid w:val="009E7207"/>
    <w:rsid w:val="009E73DE"/>
    <w:rsid w:val="009E7763"/>
    <w:rsid w:val="009E79D3"/>
    <w:rsid w:val="009E7B0B"/>
    <w:rsid w:val="009E7F4C"/>
    <w:rsid w:val="009F0D53"/>
    <w:rsid w:val="009F0D83"/>
    <w:rsid w:val="009F0EC0"/>
    <w:rsid w:val="009F1368"/>
    <w:rsid w:val="009F176C"/>
    <w:rsid w:val="009F1A9C"/>
    <w:rsid w:val="009F20AF"/>
    <w:rsid w:val="009F2688"/>
    <w:rsid w:val="009F2BBE"/>
    <w:rsid w:val="009F3828"/>
    <w:rsid w:val="009F3CF0"/>
    <w:rsid w:val="009F4543"/>
    <w:rsid w:val="009F4B52"/>
    <w:rsid w:val="009F4FCB"/>
    <w:rsid w:val="009F5A6C"/>
    <w:rsid w:val="009F5C6C"/>
    <w:rsid w:val="009F6266"/>
    <w:rsid w:val="009F64CE"/>
    <w:rsid w:val="009F6766"/>
    <w:rsid w:val="009F6A8E"/>
    <w:rsid w:val="009F705D"/>
    <w:rsid w:val="009F7237"/>
    <w:rsid w:val="009F724B"/>
    <w:rsid w:val="009F7D38"/>
    <w:rsid w:val="009F7F27"/>
    <w:rsid w:val="00A001C7"/>
    <w:rsid w:val="00A00235"/>
    <w:rsid w:val="00A011AB"/>
    <w:rsid w:val="00A01449"/>
    <w:rsid w:val="00A0151B"/>
    <w:rsid w:val="00A01606"/>
    <w:rsid w:val="00A01CB1"/>
    <w:rsid w:val="00A01E81"/>
    <w:rsid w:val="00A0208B"/>
    <w:rsid w:val="00A02609"/>
    <w:rsid w:val="00A02A80"/>
    <w:rsid w:val="00A03221"/>
    <w:rsid w:val="00A032C0"/>
    <w:rsid w:val="00A03502"/>
    <w:rsid w:val="00A03AF7"/>
    <w:rsid w:val="00A04481"/>
    <w:rsid w:val="00A04AF1"/>
    <w:rsid w:val="00A0526B"/>
    <w:rsid w:val="00A05696"/>
    <w:rsid w:val="00A0573D"/>
    <w:rsid w:val="00A05FB4"/>
    <w:rsid w:val="00A064B6"/>
    <w:rsid w:val="00A06A92"/>
    <w:rsid w:val="00A06C49"/>
    <w:rsid w:val="00A06E51"/>
    <w:rsid w:val="00A072E8"/>
    <w:rsid w:val="00A0778B"/>
    <w:rsid w:val="00A07C0A"/>
    <w:rsid w:val="00A1054E"/>
    <w:rsid w:val="00A10719"/>
    <w:rsid w:val="00A10D12"/>
    <w:rsid w:val="00A10F44"/>
    <w:rsid w:val="00A10FD0"/>
    <w:rsid w:val="00A11256"/>
    <w:rsid w:val="00A117E5"/>
    <w:rsid w:val="00A11B69"/>
    <w:rsid w:val="00A11BFF"/>
    <w:rsid w:val="00A1245B"/>
    <w:rsid w:val="00A12923"/>
    <w:rsid w:val="00A12AE5"/>
    <w:rsid w:val="00A12B4B"/>
    <w:rsid w:val="00A12BBA"/>
    <w:rsid w:val="00A13630"/>
    <w:rsid w:val="00A13AB9"/>
    <w:rsid w:val="00A13F0F"/>
    <w:rsid w:val="00A141C9"/>
    <w:rsid w:val="00A14835"/>
    <w:rsid w:val="00A149DD"/>
    <w:rsid w:val="00A16228"/>
    <w:rsid w:val="00A16C94"/>
    <w:rsid w:val="00A17961"/>
    <w:rsid w:val="00A2054F"/>
    <w:rsid w:val="00A20991"/>
    <w:rsid w:val="00A20A07"/>
    <w:rsid w:val="00A20BEC"/>
    <w:rsid w:val="00A20EF2"/>
    <w:rsid w:val="00A21165"/>
    <w:rsid w:val="00A21208"/>
    <w:rsid w:val="00A217B2"/>
    <w:rsid w:val="00A2195A"/>
    <w:rsid w:val="00A21A4E"/>
    <w:rsid w:val="00A21CE4"/>
    <w:rsid w:val="00A21DC3"/>
    <w:rsid w:val="00A22316"/>
    <w:rsid w:val="00A22C4F"/>
    <w:rsid w:val="00A22E28"/>
    <w:rsid w:val="00A23287"/>
    <w:rsid w:val="00A23A10"/>
    <w:rsid w:val="00A23C1E"/>
    <w:rsid w:val="00A240BC"/>
    <w:rsid w:val="00A24C21"/>
    <w:rsid w:val="00A254C3"/>
    <w:rsid w:val="00A25610"/>
    <w:rsid w:val="00A26041"/>
    <w:rsid w:val="00A2636F"/>
    <w:rsid w:val="00A267EB"/>
    <w:rsid w:val="00A26DFD"/>
    <w:rsid w:val="00A2772E"/>
    <w:rsid w:val="00A2773D"/>
    <w:rsid w:val="00A27780"/>
    <w:rsid w:val="00A277FA"/>
    <w:rsid w:val="00A27DB3"/>
    <w:rsid w:val="00A3068F"/>
    <w:rsid w:val="00A30892"/>
    <w:rsid w:val="00A308C1"/>
    <w:rsid w:val="00A309B7"/>
    <w:rsid w:val="00A30CA9"/>
    <w:rsid w:val="00A31651"/>
    <w:rsid w:val="00A3191B"/>
    <w:rsid w:val="00A319CD"/>
    <w:rsid w:val="00A31DED"/>
    <w:rsid w:val="00A325AD"/>
    <w:rsid w:val="00A32E45"/>
    <w:rsid w:val="00A330B9"/>
    <w:rsid w:val="00A33199"/>
    <w:rsid w:val="00A335DB"/>
    <w:rsid w:val="00A34468"/>
    <w:rsid w:val="00A3461D"/>
    <w:rsid w:val="00A348A3"/>
    <w:rsid w:val="00A349D8"/>
    <w:rsid w:val="00A34EB4"/>
    <w:rsid w:val="00A355EB"/>
    <w:rsid w:val="00A35689"/>
    <w:rsid w:val="00A357A8"/>
    <w:rsid w:val="00A36606"/>
    <w:rsid w:val="00A36697"/>
    <w:rsid w:val="00A3671A"/>
    <w:rsid w:val="00A367C5"/>
    <w:rsid w:val="00A369E3"/>
    <w:rsid w:val="00A36BAD"/>
    <w:rsid w:val="00A36D0E"/>
    <w:rsid w:val="00A36FB2"/>
    <w:rsid w:val="00A37269"/>
    <w:rsid w:val="00A3738A"/>
    <w:rsid w:val="00A37998"/>
    <w:rsid w:val="00A37A6C"/>
    <w:rsid w:val="00A37CAC"/>
    <w:rsid w:val="00A37D75"/>
    <w:rsid w:val="00A40124"/>
    <w:rsid w:val="00A40310"/>
    <w:rsid w:val="00A40357"/>
    <w:rsid w:val="00A40A09"/>
    <w:rsid w:val="00A4180B"/>
    <w:rsid w:val="00A42384"/>
    <w:rsid w:val="00A42C3D"/>
    <w:rsid w:val="00A436AB"/>
    <w:rsid w:val="00A438E3"/>
    <w:rsid w:val="00A439CC"/>
    <w:rsid w:val="00A4420C"/>
    <w:rsid w:val="00A44CC2"/>
    <w:rsid w:val="00A455CB"/>
    <w:rsid w:val="00A4570A"/>
    <w:rsid w:val="00A45A19"/>
    <w:rsid w:val="00A45C6F"/>
    <w:rsid w:val="00A45CAB"/>
    <w:rsid w:val="00A45E7B"/>
    <w:rsid w:val="00A460A9"/>
    <w:rsid w:val="00A462C2"/>
    <w:rsid w:val="00A463CC"/>
    <w:rsid w:val="00A4683E"/>
    <w:rsid w:val="00A46F56"/>
    <w:rsid w:val="00A47295"/>
    <w:rsid w:val="00A47503"/>
    <w:rsid w:val="00A475A8"/>
    <w:rsid w:val="00A47CD8"/>
    <w:rsid w:val="00A47D5E"/>
    <w:rsid w:val="00A47EC4"/>
    <w:rsid w:val="00A502EF"/>
    <w:rsid w:val="00A504F6"/>
    <w:rsid w:val="00A51352"/>
    <w:rsid w:val="00A514B6"/>
    <w:rsid w:val="00A5166C"/>
    <w:rsid w:val="00A52012"/>
    <w:rsid w:val="00A52174"/>
    <w:rsid w:val="00A522EF"/>
    <w:rsid w:val="00A52315"/>
    <w:rsid w:val="00A524D5"/>
    <w:rsid w:val="00A5323C"/>
    <w:rsid w:val="00A552C2"/>
    <w:rsid w:val="00A559B4"/>
    <w:rsid w:val="00A55BAC"/>
    <w:rsid w:val="00A560AE"/>
    <w:rsid w:val="00A565E3"/>
    <w:rsid w:val="00A566E2"/>
    <w:rsid w:val="00A56EBF"/>
    <w:rsid w:val="00A56FDC"/>
    <w:rsid w:val="00A5751B"/>
    <w:rsid w:val="00A57531"/>
    <w:rsid w:val="00A60368"/>
    <w:rsid w:val="00A60A85"/>
    <w:rsid w:val="00A60A8E"/>
    <w:rsid w:val="00A60E4B"/>
    <w:rsid w:val="00A61929"/>
    <w:rsid w:val="00A62183"/>
    <w:rsid w:val="00A622DB"/>
    <w:rsid w:val="00A622EC"/>
    <w:rsid w:val="00A626B0"/>
    <w:rsid w:val="00A628DF"/>
    <w:rsid w:val="00A62D3B"/>
    <w:rsid w:val="00A63537"/>
    <w:rsid w:val="00A636F0"/>
    <w:rsid w:val="00A63861"/>
    <w:rsid w:val="00A63B61"/>
    <w:rsid w:val="00A63DC9"/>
    <w:rsid w:val="00A641A3"/>
    <w:rsid w:val="00A64602"/>
    <w:rsid w:val="00A652C9"/>
    <w:rsid w:val="00A65B82"/>
    <w:rsid w:val="00A66007"/>
    <w:rsid w:val="00A663FE"/>
    <w:rsid w:val="00A66417"/>
    <w:rsid w:val="00A66891"/>
    <w:rsid w:val="00A66E3C"/>
    <w:rsid w:val="00A6740A"/>
    <w:rsid w:val="00A6762B"/>
    <w:rsid w:val="00A67777"/>
    <w:rsid w:val="00A67967"/>
    <w:rsid w:val="00A679A5"/>
    <w:rsid w:val="00A67AB6"/>
    <w:rsid w:val="00A67FC8"/>
    <w:rsid w:val="00A701A9"/>
    <w:rsid w:val="00A701E3"/>
    <w:rsid w:val="00A706C7"/>
    <w:rsid w:val="00A71256"/>
    <w:rsid w:val="00A7125F"/>
    <w:rsid w:val="00A7185F"/>
    <w:rsid w:val="00A719E6"/>
    <w:rsid w:val="00A71DAE"/>
    <w:rsid w:val="00A723D4"/>
    <w:rsid w:val="00A7290E"/>
    <w:rsid w:val="00A73174"/>
    <w:rsid w:val="00A73822"/>
    <w:rsid w:val="00A73835"/>
    <w:rsid w:val="00A738AA"/>
    <w:rsid w:val="00A738E5"/>
    <w:rsid w:val="00A73B04"/>
    <w:rsid w:val="00A73BF9"/>
    <w:rsid w:val="00A740C3"/>
    <w:rsid w:val="00A742D9"/>
    <w:rsid w:val="00A74565"/>
    <w:rsid w:val="00A74B0F"/>
    <w:rsid w:val="00A752AF"/>
    <w:rsid w:val="00A75642"/>
    <w:rsid w:val="00A75B02"/>
    <w:rsid w:val="00A75CF0"/>
    <w:rsid w:val="00A76B9D"/>
    <w:rsid w:val="00A777C7"/>
    <w:rsid w:val="00A77876"/>
    <w:rsid w:val="00A778A9"/>
    <w:rsid w:val="00A77907"/>
    <w:rsid w:val="00A77CB0"/>
    <w:rsid w:val="00A77CB4"/>
    <w:rsid w:val="00A80431"/>
    <w:rsid w:val="00A80D16"/>
    <w:rsid w:val="00A80D2B"/>
    <w:rsid w:val="00A80D65"/>
    <w:rsid w:val="00A80F33"/>
    <w:rsid w:val="00A81159"/>
    <w:rsid w:val="00A815B4"/>
    <w:rsid w:val="00A81BDB"/>
    <w:rsid w:val="00A81C64"/>
    <w:rsid w:val="00A81DCC"/>
    <w:rsid w:val="00A8245D"/>
    <w:rsid w:val="00A82581"/>
    <w:rsid w:val="00A829EB"/>
    <w:rsid w:val="00A832C1"/>
    <w:rsid w:val="00A83365"/>
    <w:rsid w:val="00A839E6"/>
    <w:rsid w:val="00A83B19"/>
    <w:rsid w:val="00A840DF"/>
    <w:rsid w:val="00A841B7"/>
    <w:rsid w:val="00A84A54"/>
    <w:rsid w:val="00A860E1"/>
    <w:rsid w:val="00A861A5"/>
    <w:rsid w:val="00A8625A"/>
    <w:rsid w:val="00A862A8"/>
    <w:rsid w:val="00A86C05"/>
    <w:rsid w:val="00A86C80"/>
    <w:rsid w:val="00A86CF1"/>
    <w:rsid w:val="00A8705D"/>
    <w:rsid w:val="00A873B7"/>
    <w:rsid w:val="00A87714"/>
    <w:rsid w:val="00A87831"/>
    <w:rsid w:val="00A879E2"/>
    <w:rsid w:val="00A87AD7"/>
    <w:rsid w:val="00A87C46"/>
    <w:rsid w:val="00A90E87"/>
    <w:rsid w:val="00A91184"/>
    <w:rsid w:val="00A912F9"/>
    <w:rsid w:val="00A913AF"/>
    <w:rsid w:val="00A917D0"/>
    <w:rsid w:val="00A91BFE"/>
    <w:rsid w:val="00A92A0E"/>
    <w:rsid w:val="00A92D09"/>
    <w:rsid w:val="00A93122"/>
    <w:rsid w:val="00A93267"/>
    <w:rsid w:val="00A93592"/>
    <w:rsid w:val="00A93B6F"/>
    <w:rsid w:val="00A941DE"/>
    <w:rsid w:val="00A94363"/>
    <w:rsid w:val="00A94409"/>
    <w:rsid w:val="00A945FB"/>
    <w:rsid w:val="00A948FF"/>
    <w:rsid w:val="00A94BAB"/>
    <w:rsid w:val="00A94BE5"/>
    <w:rsid w:val="00A94CD0"/>
    <w:rsid w:val="00A95159"/>
    <w:rsid w:val="00A957D3"/>
    <w:rsid w:val="00A959D1"/>
    <w:rsid w:val="00A95CE2"/>
    <w:rsid w:val="00A96343"/>
    <w:rsid w:val="00A967F6"/>
    <w:rsid w:val="00A96AD9"/>
    <w:rsid w:val="00A96ECA"/>
    <w:rsid w:val="00A96F5A"/>
    <w:rsid w:val="00A97FFD"/>
    <w:rsid w:val="00AA0052"/>
    <w:rsid w:val="00AA0890"/>
    <w:rsid w:val="00AA0AA9"/>
    <w:rsid w:val="00AA0BF7"/>
    <w:rsid w:val="00AA0ECF"/>
    <w:rsid w:val="00AA1CB0"/>
    <w:rsid w:val="00AA1EDE"/>
    <w:rsid w:val="00AA2124"/>
    <w:rsid w:val="00AA235F"/>
    <w:rsid w:val="00AA2470"/>
    <w:rsid w:val="00AA25B5"/>
    <w:rsid w:val="00AA2BB6"/>
    <w:rsid w:val="00AA2E7C"/>
    <w:rsid w:val="00AA2F22"/>
    <w:rsid w:val="00AA33A9"/>
    <w:rsid w:val="00AA40B2"/>
    <w:rsid w:val="00AA434B"/>
    <w:rsid w:val="00AA4506"/>
    <w:rsid w:val="00AA45A8"/>
    <w:rsid w:val="00AA45DA"/>
    <w:rsid w:val="00AA45FB"/>
    <w:rsid w:val="00AA4C58"/>
    <w:rsid w:val="00AA53BE"/>
    <w:rsid w:val="00AA5C97"/>
    <w:rsid w:val="00AA5FBD"/>
    <w:rsid w:val="00AA62AF"/>
    <w:rsid w:val="00AA6430"/>
    <w:rsid w:val="00AA6497"/>
    <w:rsid w:val="00AA64D0"/>
    <w:rsid w:val="00AA66ED"/>
    <w:rsid w:val="00AA6936"/>
    <w:rsid w:val="00AA693B"/>
    <w:rsid w:val="00AA6F6D"/>
    <w:rsid w:val="00AA7312"/>
    <w:rsid w:val="00AA7879"/>
    <w:rsid w:val="00AA79DB"/>
    <w:rsid w:val="00AA7FE1"/>
    <w:rsid w:val="00AB0C82"/>
    <w:rsid w:val="00AB0EA1"/>
    <w:rsid w:val="00AB1709"/>
    <w:rsid w:val="00AB178A"/>
    <w:rsid w:val="00AB1ECD"/>
    <w:rsid w:val="00AB1F9C"/>
    <w:rsid w:val="00AB260E"/>
    <w:rsid w:val="00AB2734"/>
    <w:rsid w:val="00AB2CE1"/>
    <w:rsid w:val="00AB2E34"/>
    <w:rsid w:val="00AB2F4E"/>
    <w:rsid w:val="00AB2F74"/>
    <w:rsid w:val="00AB34FD"/>
    <w:rsid w:val="00AB357A"/>
    <w:rsid w:val="00AB3813"/>
    <w:rsid w:val="00AB3881"/>
    <w:rsid w:val="00AB3A8C"/>
    <w:rsid w:val="00AB3B31"/>
    <w:rsid w:val="00AB3B66"/>
    <w:rsid w:val="00AB4957"/>
    <w:rsid w:val="00AB5055"/>
    <w:rsid w:val="00AB60C1"/>
    <w:rsid w:val="00AB716B"/>
    <w:rsid w:val="00AB75A8"/>
    <w:rsid w:val="00AB7D5D"/>
    <w:rsid w:val="00AC0614"/>
    <w:rsid w:val="00AC0BEC"/>
    <w:rsid w:val="00AC1D84"/>
    <w:rsid w:val="00AC2082"/>
    <w:rsid w:val="00AC2361"/>
    <w:rsid w:val="00AC24E2"/>
    <w:rsid w:val="00AC2D12"/>
    <w:rsid w:val="00AC2E30"/>
    <w:rsid w:val="00AC2E48"/>
    <w:rsid w:val="00AC2FB0"/>
    <w:rsid w:val="00AC38B0"/>
    <w:rsid w:val="00AC3944"/>
    <w:rsid w:val="00AC3CAE"/>
    <w:rsid w:val="00AC3EC8"/>
    <w:rsid w:val="00AC3F99"/>
    <w:rsid w:val="00AC4280"/>
    <w:rsid w:val="00AC42B9"/>
    <w:rsid w:val="00AC4302"/>
    <w:rsid w:val="00AC46B4"/>
    <w:rsid w:val="00AC48B8"/>
    <w:rsid w:val="00AC496E"/>
    <w:rsid w:val="00AC4A0B"/>
    <w:rsid w:val="00AC4E48"/>
    <w:rsid w:val="00AC4F77"/>
    <w:rsid w:val="00AC56E9"/>
    <w:rsid w:val="00AC5B4D"/>
    <w:rsid w:val="00AC5BCC"/>
    <w:rsid w:val="00AC5C1C"/>
    <w:rsid w:val="00AC69AC"/>
    <w:rsid w:val="00AC6AAD"/>
    <w:rsid w:val="00AC702C"/>
    <w:rsid w:val="00AC75E6"/>
    <w:rsid w:val="00AC775E"/>
    <w:rsid w:val="00AC7B24"/>
    <w:rsid w:val="00AC7B8E"/>
    <w:rsid w:val="00AD02E4"/>
    <w:rsid w:val="00AD0BE1"/>
    <w:rsid w:val="00AD0C22"/>
    <w:rsid w:val="00AD2143"/>
    <w:rsid w:val="00AD2675"/>
    <w:rsid w:val="00AD272D"/>
    <w:rsid w:val="00AD278F"/>
    <w:rsid w:val="00AD39BB"/>
    <w:rsid w:val="00AD4029"/>
    <w:rsid w:val="00AD4DD1"/>
    <w:rsid w:val="00AD4DF0"/>
    <w:rsid w:val="00AD5B96"/>
    <w:rsid w:val="00AD5D67"/>
    <w:rsid w:val="00AD636F"/>
    <w:rsid w:val="00AD7628"/>
    <w:rsid w:val="00AE06A8"/>
    <w:rsid w:val="00AE078E"/>
    <w:rsid w:val="00AE08C8"/>
    <w:rsid w:val="00AE098D"/>
    <w:rsid w:val="00AE2509"/>
    <w:rsid w:val="00AE254F"/>
    <w:rsid w:val="00AE26E9"/>
    <w:rsid w:val="00AE28F7"/>
    <w:rsid w:val="00AE29B0"/>
    <w:rsid w:val="00AE29B6"/>
    <w:rsid w:val="00AE2F38"/>
    <w:rsid w:val="00AE490C"/>
    <w:rsid w:val="00AE49BD"/>
    <w:rsid w:val="00AE4BA7"/>
    <w:rsid w:val="00AE504D"/>
    <w:rsid w:val="00AE5134"/>
    <w:rsid w:val="00AE520E"/>
    <w:rsid w:val="00AE57E2"/>
    <w:rsid w:val="00AE5953"/>
    <w:rsid w:val="00AE5A0D"/>
    <w:rsid w:val="00AE5DF0"/>
    <w:rsid w:val="00AE5DFB"/>
    <w:rsid w:val="00AE5E8A"/>
    <w:rsid w:val="00AE60FD"/>
    <w:rsid w:val="00AE6814"/>
    <w:rsid w:val="00AE69E7"/>
    <w:rsid w:val="00AE6D60"/>
    <w:rsid w:val="00AE7156"/>
    <w:rsid w:val="00AE7AF3"/>
    <w:rsid w:val="00AE7DF8"/>
    <w:rsid w:val="00AE7FC1"/>
    <w:rsid w:val="00AF0101"/>
    <w:rsid w:val="00AF0363"/>
    <w:rsid w:val="00AF099F"/>
    <w:rsid w:val="00AF0C84"/>
    <w:rsid w:val="00AF108D"/>
    <w:rsid w:val="00AF133D"/>
    <w:rsid w:val="00AF1606"/>
    <w:rsid w:val="00AF1A4A"/>
    <w:rsid w:val="00AF1DF2"/>
    <w:rsid w:val="00AF2778"/>
    <w:rsid w:val="00AF2AED"/>
    <w:rsid w:val="00AF32D2"/>
    <w:rsid w:val="00AF3C2B"/>
    <w:rsid w:val="00AF4005"/>
    <w:rsid w:val="00AF4128"/>
    <w:rsid w:val="00AF43D8"/>
    <w:rsid w:val="00AF43FD"/>
    <w:rsid w:val="00AF44E8"/>
    <w:rsid w:val="00AF45E7"/>
    <w:rsid w:val="00AF4B30"/>
    <w:rsid w:val="00AF4F73"/>
    <w:rsid w:val="00AF5309"/>
    <w:rsid w:val="00AF53D3"/>
    <w:rsid w:val="00AF562C"/>
    <w:rsid w:val="00AF594E"/>
    <w:rsid w:val="00AF63CB"/>
    <w:rsid w:val="00AF682E"/>
    <w:rsid w:val="00AF699A"/>
    <w:rsid w:val="00AF6B3B"/>
    <w:rsid w:val="00AF6EA5"/>
    <w:rsid w:val="00AF6F9C"/>
    <w:rsid w:val="00AF7534"/>
    <w:rsid w:val="00AF78E8"/>
    <w:rsid w:val="00AF7ABE"/>
    <w:rsid w:val="00B00622"/>
    <w:rsid w:val="00B00DD9"/>
    <w:rsid w:val="00B013FE"/>
    <w:rsid w:val="00B01C8B"/>
    <w:rsid w:val="00B01C91"/>
    <w:rsid w:val="00B01CA4"/>
    <w:rsid w:val="00B02097"/>
    <w:rsid w:val="00B0241D"/>
    <w:rsid w:val="00B0254F"/>
    <w:rsid w:val="00B02BCA"/>
    <w:rsid w:val="00B02E4D"/>
    <w:rsid w:val="00B02F6C"/>
    <w:rsid w:val="00B0307D"/>
    <w:rsid w:val="00B034B2"/>
    <w:rsid w:val="00B03656"/>
    <w:rsid w:val="00B03ACF"/>
    <w:rsid w:val="00B03AEB"/>
    <w:rsid w:val="00B04456"/>
    <w:rsid w:val="00B04906"/>
    <w:rsid w:val="00B049E1"/>
    <w:rsid w:val="00B04A8C"/>
    <w:rsid w:val="00B04EB4"/>
    <w:rsid w:val="00B04F2E"/>
    <w:rsid w:val="00B05224"/>
    <w:rsid w:val="00B053A5"/>
    <w:rsid w:val="00B0589F"/>
    <w:rsid w:val="00B05923"/>
    <w:rsid w:val="00B05EBC"/>
    <w:rsid w:val="00B06719"/>
    <w:rsid w:val="00B068E6"/>
    <w:rsid w:val="00B07B4A"/>
    <w:rsid w:val="00B07B7F"/>
    <w:rsid w:val="00B07FC4"/>
    <w:rsid w:val="00B11018"/>
    <w:rsid w:val="00B120C9"/>
    <w:rsid w:val="00B12557"/>
    <w:rsid w:val="00B12B70"/>
    <w:rsid w:val="00B1307C"/>
    <w:rsid w:val="00B130A9"/>
    <w:rsid w:val="00B13C12"/>
    <w:rsid w:val="00B13D34"/>
    <w:rsid w:val="00B13E03"/>
    <w:rsid w:val="00B1436F"/>
    <w:rsid w:val="00B146FB"/>
    <w:rsid w:val="00B14C00"/>
    <w:rsid w:val="00B14FB2"/>
    <w:rsid w:val="00B15389"/>
    <w:rsid w:val="00B15A0E"/>
    <w:rsid w:val="00B15EE0"/>
    <w:rsid w:val="00B16402"/>
    <w:rsid w:val="00B1680F"/>
    <w:rsid w:val="00B1695A"/>
    <w:rsid w:val="00B16CE3"/>
    <w:rsid w:val="00B173F2"/>
    <w:rsid w:val="00B17900"/>
    <w:rsid w:val="00B17DE3"/>
    <w:rsid w:val="00B17E5F"/>
    <w:rsid w:val="00B20085"/>
    <w:rsid w:val="00B2024D"/>
    <w:rsid w:val="00B20F2C"/>
    <w:rsid w:val="00B21608"/>
    <w:rsid w:val="00B21611"/>
    <w:rsid w:val="00B21CB4"/>
    <w:rsid w:val="00B22090"/>
    <w:rsid w:val="00B22A62"/>
    <w:rsid w:val="00B22B26"/>
    <w:rsid w:val="00B22B7F"/>
    <w:rsid w:val="00B22CBB"/>
    <w:rsid w:val="00B22E5B"/>
    <w:rsid w:val="00B22F7A"/>
    <w:rsid w:val="00B2369C"/>
    <w:rsid w:val="00B2396D"/>
    <w:rsid w:val="00B23DCB"/>
    <w:rsid w:val="00B23F5A"/>
    <w:rsid w:val="00B2423C"/>
    <w:rsid w:val="00B24315"/>
    <w:rsid w:val="00B24708"/>
    <w:rsid w:val="00B2479A"/>
    <w:rsid w:val="00B247D0"/>
    <w:rsid w:val="00B2486C"/>
    <w:rsid w:val="00B24A2B"/>
    <w:rsid w:val="00B24F19"/>
    <w:rsid w:val="00B24F1A"/>
    <w:rsid w:val="00B24F42"/>
    <w:rsid w:val="00B25340"/>
    <w:rsid w:val="00B2564F"/>
    <w:rsid w:val="00B258CB"/>
    <w:rsid w:val="00B259B8"/>
    <w:rsid w:val="00B25B2D"/>
    <w:rsid w:val="00B25CC5"/>
    <w:rsid w:val="00B26146"/>
    <w:rsid w:val="00B2618E"/>
    <w:rsid w:val="00B26960"/>
    <w:rsid w:val="00B26B51"/>
    <w:rsid w:val="00B26EB5"/>
    <w:rsid w:val="00B26EE5"/>
    <w:rsid w:val="00B273F7"/>
    <w:rsid w:val="00B2765F"/>
    <w:rsid w:val="00B277A9"/>
    <w:rsid w:val="00B3016B"/>
    <w:rsid w:val="00B306D4"/>
    <w:rsid w:val="00B30734"/>
    <w:rsid w:val="00B307E5"/>
    <w:rsid w:val="00B30C35"/>
    <w:rsid w:val="00B31422"/>
    <w:rsid w:val="00B316CF"/>
    <w:rsid w:val="00B316EA"/>
    <w:rsid w:val="00B32173"/>
    <w:rsid w:val="00B32E4D"/>
    <w:rsid w:val="00B33360"/>
    <w:rsid w:val="00B338CF"/>
    <w:rsid w:val="00B3451C"/>
    <w:rsid w:val="00B34772"/>
    <w:rsid w:val="00B34848"/>
    <w:rsid w:val="00B348C5"/>
    <w:rsid w:val="00B34BF3"/>
    <w:rsid w:val="00B34D29"/>
    <w:rsid w:val="00B350EC"/>
    <w:rsid w:val="00B35485"/>
    <w:rsid w:val="00B35505"/>
    <w:rsid w:val="00B35584"/>
    <w:rsid w:val="00B35C09"/>
    <w:rsid w:val="00B362C6"/>
    <w:rsid w:val="00B36C5A"/>
    <w:rsid w:val="00B36D1D"/>
    <w:rsid w:val="00B376BA"/>
    <w:rsid w:val="00B37F0B"/>
    <w:rsid w:val="00B402A8"/>
    <w:rsid w:val="00B4072C"/>
    <w:rsid w:val="00B409B7"/>
    <w:rsid w:val="00B40BAD"/>
    <w:rsid w:val="00B415FE"/>
    <w:rsid w:val="00B4163E"/>
    <w:rsid w:val="00B41AFA"/>
    <w:rsid w:val="00B421B0"/>
    <w:rsid w:val="00B42320"/>
    <w:rsid w:val="00B42495"/>
    <w:rsid w:val="00B424E2"/>
    <w:rsid w:val="00B4273D"/>
    <w:rsid w:val="00B42805"/>
    <w:rsid w:val="00B42A1C"/>
    <w:rsid w:val="00B4336A"/>
    <w:rsid w:val="00B43D1F"/>
    <w:rsid w:val="00B440FD"/>
    <w:rsid w:val="00B443D1"/>
    <w:rsid w:val="00B44B38"/>
    <w:rsid w:val="00B44E26"/>
    <w:rsid w:val="00B452CF"/>
    <w:rsid w:val="00B45BBC"/>
    <w:rsid w:val="00B4639D"/>
    <w:rsid w:val="00B467CE"/>
    <w:rsid w:val="00B46B78"/>
    <w:rsid w:val="00B46BED"/>
    <w:rsid w:val="00B46C9E"/>
    <w:rsid w:val="00B472CC"/>
    <w:rsid w:val="00B476AC"/>
    <w:rsid w:val="00B50222"/>
    <w:rsid w:val="00B50260"/>
    <w:rsid w:val="00B504CE"/>
    <w:rsid w:val="00B50680"/>
    <w:rsid w:val="00B506CD"/>
    <w:rsid w:val="00B50A20"/>
    <w:rsid w:val="00B512B4"/>
    <w:rsid w:val="00B51793"/>
    <w:rsid w:val="00B51B9F"/>
    <w:rsid w:val="00B51EF0"/>
    <w:rsid w:val="00B51F74"/>
    <w:rsid w:val="00B51FB2"/>
    <w:rsid w:val="00B52380"/>
    <w:rsid w:val="00B523D4"/>
    <w:rsid w:val="00B52464"/>
    <w:rsid w:val="00B524A2"/>
    <w:rsid w:val="00B533AB"/>
    <w:rsid w:val="00B53472"/>
    <w:rsid w:val="00B5350F"/>
    <w:rsid w:val="00B5392B"/>
    <w:rsid w:val="00B548FC"/>
    <w:rsid w:val="00B54AAE"/>
    <w:rsid w:val="00B54B6E"/>
    <w:rsid w:val="00B552D5"/>
    <w:rsid w:val="00B5585E"/>
    <w:rsid w:val="00B56479"/>
    <w:rsid w:val="00B56A21"/>
    <w:rsid w:val="00B5731D"/>
    <w:rsid w:val="00B57B6B"/>
    <w:rsid w:val="00B57C7B"/>
    <w:rsid w:val="00B57D18"/>
    <w:rsid w:val="00B603D1"/>
    <w:rsid w:val="00B6084A"/>
    <w:rsid w:val="00B6088F"/>
    <w:rsid w:val="00B60AC1"/>
    <w:rsid w:val="00B60C49"/>
    <w:rsid w:val="00B6108B"/>
    <w:rsid w:val="00B622E0"/>
    <w:rsid w:val="00B62462"/>
    <w:rsid w:val="00B62C65"/>
    <w:rsid w:val="00B63781"/>
    <w:rsid w:val="00B63A0B"/>
    <w:rsid w:val="00B63A71"/>
    <w:rsid w:val="00B65469"/>
    <w:rsid w:val="00B6549F"/>
    <w:rsid w:val="00B654F1"/>
    <w:rsid w:val="00B657DF"/>
    <w:rsid w:val="00B65A27"/>
    <w:rsid w:val="00B65BA7"/>
    <w:rsid w:val="00B65CBF"/>
    <w:rsid w:val="00B65F2C"/>
    <w:rsid w:val="00B65FCC"/>
    <w:rsid w:val="00B66B77"/>
    <w:rsid w:val="00B66F2E"/>
    <w:rsid w:val="00B67086"/>
    <w:rsid w:val="00B67120"/>
    <w:rsid w:val="00B676F0"/>
    <w:rsid w:val="00B678F3"/>
    <w:rsid w:val="00B67B15"/>
    <w:rsid w:val="00B7012D"/>
    <w:rsid w:val="00B70427"/>
    <w:rsid w:val="00B70664"/>
    <w:rsid w:val="00B710E5"/>
    <w:rsid w:val="00B716DA"/>
    <w:rsid w:val="00B71791"/>
    <w:rsid w:val="00B71EDA"/>
    <w:rsid w:val="00B72372"/>
    <w:rsid w:val="00B72521"/>
    <w:rsid w:val="00B726D3"/>
    <w:rsid w:val="00B72AAB"/>
    <w:rsid w:val="00B72FF5"/>
    <w:rsid w:val="00B732CC"/>
    <w:rsid w:val="00B73621"/>
    <w:rsid w:val="00B736C3"/>
    <w:rsid w:val="00B736F4"/>
    <w:rsid w:val="00B73782"/>
    <w:rsid w:val="00B745E4"/>
    <w:rsid w:val="00B74622"/>
    <w:rsid w:val="00B74695"/>
    <w:rsid w:val="00B7470F"/>
    <w:rsid w:val="00B74AF4"/>
    <w:rsid w:val="00B74DE0"/>
    <w:rsid w:val="00B751BF"/>
    <w:rsid w:val="00B7562E"/>
    <w:rsid w:val="00B75883"/>
    <w:rsid w:val="00B76232"/>
    <w:rsid w:val="00B76682"/>
    <w:rsid w:val="00B76880"/>
    <w:rsid w:val="00B76BB1"/>
    <w:rsid w:val="00B76FC6"/>
    <w:rsid w:val="00B7713A"/>
    <w:rsid w:val="00B77380"/>
    <w:rsid w:val="00B77738"/>
    <w:rsid w:val="00B77EE0"/>
    <w:rsid w:val="00B77FD3"/>
    <w:rsid w:val="00B80435"/>
    <w:rsid w:val="00B805C1"/>
    <w:rsid w:val="00B80A99"/>
    <w:rsid w:val="00B81134"/>
    <w:rsid w:val="00B81451"/>
    <w:rsid w:val="00B8158E"/>
    <w:rsid w:val="00B81D1B"/>
    <w:rsid w:val="00B81D35"/>
    <w:rsid w:val="00B81D45"/>
    <w:rsid w:val="00B82121"/>
    <w:rsid w:val="00B82187"/>
    <w:rsid w:val="00B823E5"/>
    <w:rsid w:val="00B8262C"/>
    <w:rsid w:val="00B82852"/>
    <w:rsid w:val="00B82B5C"/>
    <w:rsid w:val="00B83526"/>
    <w:rsid w:val="00B8388C"/>
    <w:rsid w:val="00B841D8"/>
    <w:rsid w:val="00B8450E"/>
    <w:rsid w:val="00B84B62"/>
    <w:rsid w:val="00B84E1A"/>
    <w:rsid w:val="00B85D6F"/>
    <w:rsid w:val="00B85E6B"/>
    <w:rsid w:val="00B85E9A"/>
    <w:rsid w:val="00B86030"/>
    <w:rsid w:val="00B8613D"/>
    <w:rsid w:val="00B863D2"/>
    <w:rsid w:val="00B86A1B"/>
    <w:rsid w:val="00B86E95"/>
    <w:rsid w:val="00B902D5"/>
    <w:rsid w:val="00B9064C"/>
    <w:rsid w:val="00B90E25"/>
    <w:rsid w:val="00B91210"/>
    <w:rsid w:val="00B912DF"/>
    <w:rsid w:val="00B91C0E"/>
    <w:rsid w:val="00B91CD4"/>
    <w:rsid w:val="00B92208"/>
    <w:rsid w:val="00B9249B"/>
    <w:rsid w:val="00B92548"/>
    <w:rsid w:val="00B92623"/>
    <w:rsid w:val="00B92985"/>
    <w:rsid w:val="00B93326"/>
    <w:rsid w:val="00B93622"/>
    <w:rsid w:val="00B9395C"/>
    <w:rsid w:val="00B93D1D"/>
    <w:rsid w:val="00B93DB2"/>
    <w:rsid w:val="00B94F2F"/>
    <w:rsid w:val="00B95DAD"/>
    <w:rsid w:val="00B95F83"/>
    <w:rsid w:val="00B97281"/>
    <w:rsid w:val="00B97A22"/>
    <w:rsid w:val="00B97AA4"/>
    <w:rsid w:val="00B97DC3"/>
    <w:rsid w:val="00BA00CE"/>
    <w:rsid w:val="00BA02F9"/>
    <w:rsid w:val="00BA036D"/>
    <w:rsid w:val="00BA0541"/>
    <w:rsid w:val="00BA0FB7"/>
    <w:rsid w:val="00BA10BA"/>
    <w:rsid w:val="00BA1457"/>
    <w:rsid w:val="00BA1512"/>
    <w:rsid w:val="00BA15BF"/>
    <w:rsid w:val="00BA21D2"/>
    <w:rsid w:val="00BA22E1"/>
    <w:rsid w:val="00BA2405"/>
    <w:rsid w:val="00BA2C49"/>
    <w:rsid w:val="00BA2E06"/>
    <w:rsid w:val="00BA352F"/>
    <w:rsid w:val="00BA39BE"/>
    <w:rsid w:val="00BA4C5A"/>
    <w:rsid w:val="00BA5057"/>
    <w:rsid w:val="00BA5441"/>
    <w:rsid w:val="00BA5722"/>
    <w:rsid w:val="00BA58B9"/>
    <w:rsid w:val="00BA5BCD"/>
    <w:rsid w:val="00BA5F16"/>
    <w:rsid w:val="00BA6A25"/>
    <w:rsid w:val="00BA6A39"/>
    <w:rsid w:val="00BA72AD"/>
    <w:rsid w:val="00BA7B10"/>
    <w:rsid w:val="00BA7DCC"/>
    <w:rsid w:val="00BA7F2F"/>
    <w:rsid w:val="00BB01D2"/>
    <w:rsid w:val="00BB061A"/>
    <w:rsid w:val="00BB0C97"/>
    <w:rsid w:val="00BB1A0C"/>
    <w:rsid w:val="00BB1C85"/>
    <w:rsid w:val="00BB1F36"/>
    <w:rsid w:val="00BB1F78"/>
    <w:rsid w:val="00BB263B"/>
    <w:rsid w:val="00BB2715"/>
    <w:rsid w:val="00BB2819"/>
    <w:rsid w:val="00BB2E59"/>
    <w:rsid w:val="00BB2F75"/>
    <w:rsid w:val="00BB3698"/>
    <w:rsid w:val="00BB3885"/>
    <w:rsid w:val="00BB4564"/>
    <w:rsid w:val="00BB490D"/>
    <w:rsid w:val="00BB4C8C"/>
    <w:rsid w:val="00BB4EA5"/>
    <w:rsid w:val="00BB5625"/>
    <w:rsid w:val="00BB5702"/>
    <w:rsid w:val="00BB595F"/>
    <w:rsid w:val="00BB5F0A"/>
    <w:rsid w:val="00BB6054"/>
    <w:rsid w:val="00BB6439"/>
    <w:rsid w:val="00BB6740"/>
    <w:rsid w:val="00BB7A07"/>
    <w:rsid w:val="00BC1660"/>
    <w:rsid w:val="00BC1678"/>
    <w:rsid w:val="00BC18E5"/>
    <w:rsid w:val="00BC1A33"/>
    <w:rsid w:val="00BC1B57"/>
    <w:rsid w:val="00BC1ED9"/>
    <w:rsid w:val="00BC1FD3"/>
    <w:rsid w:val="00BC208E"/>
    <w:rsid w:val="00BC26CC"/>
    <w:rsid w:val="00BC2D4F"/>
    <w:rsid w:val="00BC2F31"/>
    <w:rsid w:val="00BC33FA"/>
    <w:rsid w:val="00BC3E9B"/>
    <w:rsid w:val="00BC4384"/>
    <w:rsid w:val="00BC43A3"/>
    <w:rsid w:val="00BC4429"/>
    <w:rsid w:val="00BC4537"/>
    <w:rsid w:val="00BC48E1"/>
    <w:rsid w:val="00BC4F4C"/>
    <w:rsid w:val="00BC5E73"/>
    <w:rsid w:val="00BC61D6"/>
    <w:rsid w:val="00BC64C8"/>
    <w:rsid w:val="00BC65D0"/>
    <w:rsid w:val="00BC65E1"/>
    <w:rsid w:val="00BC74E5"/>
    <w:rsid w:val="00BC768C"/>
    <w:rsid w:val="00BC79B1"/>
    <w:rsid w:val="00BC79C0"/>
    <w:rsid w:val="00BD0133"/>
    <w:rsid w:val="00BD0209"/>
    <w:rsid w:val="00BD02A5"/>
    <w:rsid w:val="00BD044B"/>
    <w:rsid w:val="00BD06B2"/>
    <w:rsid w:val="00BD0B7D"/>
    <w:rsid w:val="00BD123F"/>
    <w:rsid w:val="00BD15AA"/>
    <w:rsid w:val="00BD1779"/>
    <w:rsid w:val="00BD1C62"/>
    <w:rsid w:val="00BD1EFA"/>
    <w:rsid w:val="00BD1F02"/>
    <w:rsid w:val="00BD2831"/>
    <w:rsid w:val="00BD2CBC"/>
    <w:rsid w:val="00BD2D41"/>
    <w:rsid w:val="00BD3794"/>
    <w:rsid w:val="00BD395B"/>
    <w:rsid w:val="00BD39BE"/>
    <w:rsid w:val="00BD3B89"/>
    <w:rsid w:val="00BD4544"/>
    <w:rsid w:val="00BD4A3E"/>
    <w:rsid w:val="00BD4BB8"/>
    <w:rsid w:val="00BD50FE"/>
    <w:rsid w:val="00BD52C9"/>
    <w:rsid w:val="00BD58B2"/>
    <w:rsid w:val="00BD5F74"/>
    <w:rsid w:val="00BD6022"/>
    <w:rsid w:val="00BD607F"/>
    <w:rsid w:val="00BD678B"/>
    <w:rsid w:val="00BD7304"/>
    <w:rsid w:val="00BD747F"/>
    <w:rsid w:val="00BD7503"/>
    <w:rsid w:val="00BD7829"/>
    <w:rsid w:val="00BD7BB3"/>
    <w:rsid w:val="00BD7C35"/>
    <w:rsid w:val="00BE0026"/>
    <w:rsid w:val="00BE0053"/>
    <w:rsid w:val="00BE0477"/>
    <w:rsid w:val="00BE10B8"/>
    <w:rsid w:val="00BE12D7"/>
    <w:rsid w:val="00BE1356"/>
    <w:rsid w:val="00BE1390"/>
    <w:rsid w:val="00BE1A70"/>
    <w:rsid w:val="00BE1C8B"/>
    <w:rsid w:val="00BE225F"/>
    <w:rsid w:val="00BE251B"/>
    <w:rsid w:val="00BE30CF"/>
    <w:rsid w:val="00BE3B55"/>
    <w:rsid w:val="00BE41B1"/>
    <w:rsid w:val="00BE41CE"/>
    <w:rsid w:val="00BE4672"/>
    <w:rsid w:val="00BE4B62"/>
    <w:rsid w:val="00BE4EB4"/>
    <w:rsid w:val="00BE54B9"/>
    <w:rsid w:val="00BE5570"/>
    <w:rsid w:val="00BE6279"/>
    <w:rsid w:val="00BE646A"/>
    <w:rsid w:val="00BE6919"/>
    <w:rsid w:val="00BE6C8B"/>
    <w:rsid w:val="00BE6CEC"/>
    <w:rsid w:val="00BE7071"/>
    <w:rsid w:val="00BE716E"/>
    <w:rsid w:val="00BE7AAA"/>
    <w:rsid w:val="00BE7BCF"/>
    <w:rsid w:val="00BE7BFC"/>
    <w:rsid w:val="00BF1291"/>
    <w:rsid w:val="00BF176A"/>
    <w:rsid w:val="00BF1CB4"/>
    <w:rsid w:val="00BF1E5F"/>
    <w:rsid w:val="00BF2294"/>
    <w:rsid w:val="00BF22CD"/>
    <w:rsid w:val="00BF279A"/>
    <w:rsid w:val="00BF2EB8"/>
    <w:rsid w:val="00BF30B9"/>
    <w:rsid w:val="00BF31BF"/>
    <w:rsid w:val="00BF3333"/>
    <w:rsid w:val="00BF375F"/>
    <w:rsid w:val="00BF384A"/>
    <w:rsid w:val="00BF3A09"/>
    <w:rsid w:val="00BF3A91"/>
    <w:rsid w:val="00BF3DED"/>
    <w:rsid w:val="00BF401D"/>
    <w:rsid w:val="00BF4297"/>
    <w:rsid w:val="00BF4371"/>
    <w:rsid w:val="00BF4B37"/>
    <w:rsid w:val="00BF4C17"/>
    <w:rsid w:val="00BF5215"/>
    <w:rsid w:val="00BF54ED"/>
    <w:rsid w:val="00BF5D2C"/>
    <w:rsid w:val="00BF5DD0"/>
    <w:rsid w:val="00BF63A7"/>
    <w:rsid w:val="00BF686B"/>
    <w:rsid w:val="00BF68B8"/>
    <w:rsid w:val="00BF6C5E"/>
    <w:rsid w:val="00BF6D2F"/>
    <w:rsid w:val="00BF771D"/>
    <w:rsid w:val="00BF77AF"/>
    <w:rsid w:val="00BF78E9"/>
    <w:rsid w:val="00C0033C"/>
    <w:rsid w:val="00C00374"/>
    <w:rsid w:val="00C0054D"/>
    <w:rsid w:val="00C00773"/>
    <w:rsid w:val="00C00C13"/>
    <w:rsid w:val="00C00D0E"/>
    <w:rsid w:val="00C01043"/>
    <w:rsid w:val="00C017A8"/>
    <w:rsid w:val="00C01C01"/>
    <w:rsid w:val="00C025F3"/>
    <w:rsid w:val="00C02858"/>
    <w:rsid w:val="00C02F6C"/>
    <w:rsid w:val="00C02F73"/>
    <w:rsid w:val="00C0304D"/>
    <w:rsid w:val="00C0369C"/>
    <w:rsid w:val="00C03F49"/>
    <w:rsid w:val="00C04011"/>
    <w:rsid w:val="00C04340"/>
    <w:rsid w:val="00C04B16"/>
    <w:rsid w:val="00C04C12"/>
    <w:rsid w:val="00C050F7"/>
    <w:rsid w:val="00C0527F"/>
    <w:rsid w:val="00C05493"/>
    <w:rsid w:val="00C05869"/>
    <w:rsid w:val="00C05F5E"/>
    <w:rsid w:val="00C05F9D"/>
    <w:rsid w:val="00C061B3"/>
    <w:rsid w:val="00C061F3"/>
    <w:rsid w:val="00C0668F"/>
    <w:rsid w:val="00C066C6"/>
    <w:rsid w:val="00C06D6B"/>
    <w:rsid w:val="00C06FD3"/>
    <w:rsid w:val="00C075C0"/>
    <w:rsid w:val="00C07947"/>
    <w:rsid w:val="00C07B80"/>
    <w:rsid w:val="00C07E51"/>
    <w:rsid w:val="00C10940"/>
    <w:rsid w:val="00C10AD3"/>
    <w:rsid w:val="00C11524"/>
    <w:rsid w:val="00C11574"/>
    <w:rsid w:val="00C1160E"/>
    <w:rsid w:val="00C1192A"/>
    <w:rsid w:val="00C1199D"/>
    <w:rsid w:val="00C11B53"/>
    <w:rsid w:val="00C11B6E"/>
    <w:rsid w:val="00C129FD"/>
    <w:rsid w:val="00C1338F"/>
    <w:rsid w:val="00C134CA"/>
    <w:rsid w:val="00C13E0A"/>
    <w:rsid w:val="00C14747"/>
    <w:rsid w:val="00C1494B"/>
    <w:rsid w:val="00C1544F"/>
    <w:rsid w:val="00C15A8F"/>
    <w:rsid w:val="00C15F1A"/>
    <w:rsid w:val="00C1635B"/>
    <w:rsid w:val="00C1651B"/>
    <w:rsid w:val="00C16A29"/>
    <w:rsid w:val="00C16B47"/>
    <w:rsid w:val="00C16D3D"/>
    <w:rsid w:val="00C16DD6"/>
    <w:rsid w:val="00C179CF"/>
    <w:rsid w:val="00C17C97"/>
    <w:rsid w:val="00C17D0C"/>
    <w:rsid w:val="00C201BC"/>
    <w:rsid w:val="00C20392"/>
    <w:rsid w:val="00C20738"/>
    <w:rsid w:val="00C209D6"/>
    <w:rsid w:val="00C20FBC"/>
    <w:rsid w:val="00C216D9"/>
    <w:rsid w:val="00C21792"/>
    <w:rsid w:val="00C22046"/>
    <w:rsid w:val="00C222EA"/>
    <w:rsid w:val="00C22390"/>
    <w:rsid w:val="00C2253C"/>
    <w:rsid w:val="00C229B8"/>
    <w:rsid w:val="00C22A3A"/>
    <w:rsid w:val="00C22C06"/>
    <w:rsid w:val="00C23450"/>
    <w:rsid w:val="00C234EE"/>
    <w:rsid w:val="00C235C9"/>
    <w:rsid w:val="00C2379A"/>
    <w:rsid w:val="00C239E4"/>
    <w:rsid w:val="00C23B43"/>
    <w:rsid w:val="00C23B92"/>
    <w:rsid w:val="00C24202"/>
    <w:rsid w:val="00C24C0F"/>
    <w:rsid w:val="00C24D7D"/>
    <w:rsid w:val="00C2553A"/>
    <w:rsid w:val="00C25A58"/>
    <w:rsid w:val="00C25C0B"/>
    <w:rsid w:val="00C25FC2"/>
    <w:rsid w:val="00C264C0"/>
    <w:rsid w:val="00C2673C"/>
    <w:rsid w:val="00C269AC"/>
    <w:rsid w:val="00C26D2D"/>
    <w:rsid w:val="00C26DDE"/>
    <w:rsid w:val="00C27688"/>
    <w:rsid w:val="00C27B6C"/>
    <w:rsid w:val="00C30159"/>
    <w:rsid w:val="00C30217"/>
    <w:rsid w:val="00C304D0"/>
    <w:rsid w:val="00C3075D"/>
    <w:rsid w:val="00C30AB4"/>
    <w:rsid w:val="00C30D31"/>
    <w:rsid w:val="00C31FBF"/>
    <w:rsid w:val="00C3244E"/>
    <w:rsid w:val="00C32743"/>
    <w:rsid w:val="00C32971"/>
    <w:rsid w:val="00C3327A"/>
    <w:rsid w:val="00C3384F"/>
    <w:rsid w:val="00C33A1D"/>
    <w:rsid w:val="00C33AC0"/>
    <w:rsid w:val="00C33B9B"/>
    <w:rsid w:val="00C33BCD"/>
    <w:rsid w:val="00C33BCE"/>
    <w:rsid w:val="00C33D44"/>
    <w:rsid w:val="00C3440A"/>
    <w:rsid w:val="00C3457C"/>
    <w:rsid w:val="00C34FB8"/>
    <w:rsid w:val="00C3508B"/>
    <w:rsid w:val="00C35208"/>
    <w:rsid w:val="00C356F3"/>
    <w:rsid w:val="00C35F4B"/>
    <w:rsid w:val="00C36BC7"/>
    <w:rsid w:val="00C36E90"/>
    <w:rsid w:val="00C36F0C"/>
    <w:rsid w:val="00C371F0"/>
    <w:rsid w:val="00C379F2"/>
    <w:rsid w:val="00C37D4D"/>
    <w:rsid w:val="00C37EE3"/>
    <w:rsid w:val="00C37F09"/>
    <w:rsid w:val="00C40637"/>
    <w:rsid w:val="00C40D90"/>
    <w:rsid w:val="00C4192B"/>
    <w:rsid w:val="00C41A5A"/>
    <w:rsid w:val="00C41DD6"/>
    <w:rsid w:val="00C41E8F"/>
    <w:rsid w:val="00C4200E"/>
    <w:rsid w:val="00C42AED"/>
    <w:rsid w:val="00C42CD7"/>
    <w:rsid w:val="00C43230"/>
    <w:rsid w:val="00C43381"/>
    <w:rsid w:val="00C434E5"/>
    <w:rsid w:val="00C43D03"/>
    <w:rsid w:val="00C447BE"/>
    <w:rsid w:val="00C44BEF"/>
    <w:rsid w:val="00C44CCF"/>
    <w:rsid w:val="00C455C6"/>
    <w:rsid w:val="00C45953"/>
    <w:rsid w:val="00C46F9C"/>
    <w:rsid w:val="00C47C41"/>
    <w:rsid w:val="00C47DCE"/>
    <w:rsid w:val="00C47F53"/>
    <w:rsid w:val="00C47F59"/>
    <w:rsid w:val="00C5071B"/>
    <w:rsid w:val="00C50880"/>
    <w:rsid w:val="00C50FF3"/>
    <w:rsid w:val="00C51020"/>
    <w:rsid w:val="00C519BF"/>
    <w:rsid w:val="00C51F15"/>
    <w:rsid w:val="00C51F86"/>
    <w:rsid w:val="00C5293D"/>
    <w:rsid w:val="00C532D0"/>
    <w:rsid w:val="00C53704"/>
    <w:rsid w:val="00C5377F"/>
    <w:rsid w:val="00C5502B"/>
    <w:rsid w:val="00C55301"/>
    <w:rsid w:val="00C555CC"/>
    <w:rsid w:val="00C5582F"/>
    <w:rsid w:val="00C55D79"/>
    <w:rsid w:val="00C5632E"/>
    <w:rsid w:val="00C5640B"/>
    <w:rsid w:val="00C56D5B"/>
    <w:rsid w:val="00C572D3"/>
    <w:rsid w:val="00C57830"/>
    <w:rsid w:val="00C57A1B"/>
    <w:rsid w:val="00C57A56"/>
    <w:rsid w:val="00C57E31"/>
    <w:rsid w:val="00C60683"/>
    <w:rsid w:val="00C60E1B"/>
    <w:rsid w:val="00C610ED"/>
    <w:rsid w:val="00C6117C"/>
    <w:rsid w:val="00C612F6"/>
    <w:rsid w:val="00C6172E"/>
    <w:rsid w:val="00C61800"/>
    <w:rsid w:val="00C61C24"/>
    <w:rsid w:val="00C61C5A"/>
    <w:rsid w:val="00C61FEB"/>
    <w:rsid w:val="00C620D6"/>
    <w:rsid w:val="00C6244D"/>
    <w:rsid w:val="00C62493"/>
    <w:rsid w:val="00C624E7"/>
    <w:rsid w:val="00C6295F"/>
    <w:rsid w:val="00C62E58"/>
    <w:rsid w:val="00C62FCF"/>
    <w:rsid w:val="00C6314B"/>
    <w:rsid w:val="00C635EA"/>
    <w:rsid w:val="00C636EE"/>
    <w:rsid w:val="00C63C33"/>
    <w:rsid w:val="00C63C6C"/>
    <w:rsid w:val="00C63D11"/>
    <w:rsid w:val="00C63DDF"/>
    <w:rsid w:val="00C640C7"/>
    <w:rsid w:val="00C647B7"/>
    <w:rsid w:val="00C648F8"/>
    <w:rsid w:val="00C64997"/>
    <w:rsid w:val="00C64ACE"/>
    <w:rsid w:val="00C64BDF"/>
    <w:rsid w:val="00C64D6C"/>
    <w:rsid w:val="00C64DA9"/>
    <w:rsid w:val="00C666EF"/>
    <w:rsid w:val="00C66949"/>
    <w:rsid w:val="00C66D89"/>
    <w:rsid w:val="00C67653"/>
    <w:rsid w:val="00C6780D"/>
    <w:rsid w:val="00C67844"/>
    <w:rsid w:val="00C67BFE"/>
    <w:rsid w:val="00C67DA8"/>
    <w:rsid w:val="00C67E90"/>
    <w:rsid w:val="00C707CE"/>
    <w:rsid w:val="00C708FD"/>
    <w:rsid w:val="00C712B6"/>
    <w:rsid w:val="00C71324"/>
    <w:rsid w:val="00C713E4"/>
    <w:rsid w:val="00C71488"/>
    <w:rsid w:val="00C71549"/>
    <w:rsid w:val="00C71A08"/>
    <w:rsid w:val="00C71CE7"/>
    <w:rsid w:val="00C728C0"/>
    <w:rsid w:val="00C729F2"/>
    <w:rsid w:val="00C73035"/>
    <w:rsid w:val="00C731F1"/>
    <w:rsid w:val="00C7372D"/>
    <w:rsid w:val="00C737B9"/>
    <w:rsid w:val="00C73B9D"/>
    <w:rsid w:val="00C747F1"/>
    <w:rsid w:val="00C74DFC"/>
    <w:rsid w:val="00C75048"/>
    <w:rsid w:val="00C75117"/>
    <w:rsid w:val="00C75541"/>
    <w:rsid w:val="00C75864"/>
    <w:rsid w:val="00C75B81"/>
    <w:rsid w:val="00C75E35"/>
    <w:rsid w:val="00C762AF"/>
    <w:rsid w:val="00C76821"/>
    <w:rsid w:val="00C76A57"/>
    <w:rsid w:val="00C76F70"/>
    <w:rsid w:val="00C771B7"/>
    <w:rsid w:val="00C7721C"/>
    <w:rsid w:val="00C77308"/>
    <w:rsid w:val="00C77742"/>
    <w:rsid w:val="00C77B53"/>
    <w:rsid w:val="00C8003A"/>
    <w:rsid w:val="00C802A5"/>
    <w:rsid w:val="00C80919"/>
    <w:rsid w:val="00C81C83"/>
    <w:rsid w:val="00C82191"/>
    <w:rsid w:val="00C82ED4"/>
    <w:rsid w:val="00C83345"/>
    <w:rsid w:val="00C83937"/>
    <w:rsid w:val="00C839A5"/>
    <w:rsid w:val="00C83BBC"/>
    <w:rsid w:val="00C83C30"/>
    <w:rsid w:val="00C83F1B"/>
    <w:rsid w:val="00C84616"/>
    <w:rsid w:val="00C84948"/>
    <w:rsid w:val="00C84A14"/>
    <w:rsid w:val="00C84BC8"/>
    <w:rsid w:val="00C84BF3"/>
    <w:rsid w:val="00C84CE1"/>
    <w:rsid w:val="00C854E6"/>
    <w:rsid w:val="00C8590C"/>
    <w:rsid w:val="00C85C25"/>
    <w:rsid w:val="00C85CBD"/>
    <w:rsid w:val="00C85CF9"/>
    <w:rsid w:val="00C85DDC"/>
    <w:rsid w:val="00C86702"/>
    <w:rsid w:val="00C867CA"/>
    <w:rsid w:val="00C872BB"/>
    <w:rsid w:val="00C87516"/>
    <w:rsid w:val="00C87517"/>
    <w:rsid w:val="00C875E5"/>
    <w:rsid w:val="00C87EA4"/>
    <w:rsid w:val="00C900CC"/>
    <w:rsid w:val="00C90315"/>
    <w:rsid w:val="00C90AF0"/>
    <w:rsid w:val="00C91226"/>
    <w:rsid w:val="00C9155A"/>
    <w:rsid w:val="00C923BA"/>
    <w:rsid w:val="00C92482"/>
    <w:rsid w:val="00C92612"/>
    <w:rsid w:val="00C92895"/>
    <w:rsid w:val="00C92B2A"/>
    <w:rsid w:val="00C930E4"/>
    <w:rsid w:val="00C93F0E"/>
    <w:rsid w:val="00C940B4"/>
    <w:rsid w:val="00C94760"/>
    <w:rsid w:val="00C94DBE"/>
    <w:rsid w:val="00C94E4B"/>
    <w:rsid w:val="00C951ED"/>
    <w:rsid w:val="00C9533A"/>
    <w:rsid w:val="00C9574C"/>
    <w:rsid w:val="00C95960"/>
    <w:rsid w:val="00C95CA3"/>
    <w:rsid w:val="00C95FDD"/>
    <w:rsid w:val="00C96321"/>
    <w:rsid w:val="00C96A91"/>
    <w:rsid w:val="00C96CA3"/>
    <w:rsid w:val="00C97675"/>
    <w:rsid w:val="00C978AC"/>
    <w:rsid w:val="00C97A05"/>
    <w:rsid w:val="00C97B21"/>
    <w:rsid w:val="00CA02C9"/>
    <w:rsid w:val="00CA0D11"/>
    <w:rsid w:val="00CA0E47"/>
    <w:rsid w:val="00CA1837"/>
    <w:rsid w:val="00CA18A6"/>
    <w:rsid w:val="00CA19CF"/>
    <w:rsid w:val="00CA1C19"/>
    <w:rsid w:val="00CA21B6"/>
    <w:rsid w:val="00CA25D6"/>
    <w:rsid w:val="00CA2739"/>
    <w:rsid w:val="00CA2A33"/>
    <w:rsid w:val="00CA2BBC"/>
    <w:rsid w:val="00CA31C6"/>
    <w:rsid w:val="00CA3404"/>
    <w:rsid w:val="00CA3956"/>
    <w:rsid w:val="00CA39E8"/>
    <w:rsid w:val="00CA3B0D"/>
    <w:rsid w:val="00CA3D38"/>
    <w:rsid w:val="00CA4979"/>
    <w:rsid w:val="00CA4BE7"/>
    <w:rsid w:val="00CA4EFC"/>
    <w:rsid w:val="00CA50FB"/>
    <w:rsid w:val="00CA550B"/>
    <w:rsid w:val="00CA5B48"/>
    <w:rsid w:val="00CA5B87"/>
    <w:rsid w:val="00CA5BCE"/>
    <w:rsid w:val="00CA5C13"/>
    <w:rsid w:val="00CA5FDE"/>
    <w:rsid w:val="00CA622B"/>
    <w:rsid w:val="00CA655E"/>
    <w:rsid w:val="00CA65BF"/>
    <w:rsid w:val="00CA66D9"/>
    <w:rsid w:val="00CA7407"/>
    <w:rsid w:val="00CA7865"/>
    <w:rsid w:val="00CA7AA6"/>
    <w:rsid w:val="00CB01B4"/>
    <w:rsid w:val="00CB0FE7"/>
    <w:rsid w:val="00CB1400"/>
    <w:rsid w:val="00CB146B"/>
    <w:rsid w:val="00CB19C5"/>
    <w:rsid w:val="00CB21FA"/>
    <w:rsid w:val="00CB25F9"/>
    <w:rsid w:val="00CB284D"/>
    <w:rsid w:val="00CB2915"/>
    <w:rsid w:val="00CB3370"/>
    <w:rsid w:val="00CB36E6"/>
    <w:rsid w:val="00CB377F"/>
    <w:rsid w:val="00CB40D7"/>
    <w:rsid w:val="00CB4527"/>
    <w:rsid w:val="00CB47E3"/>
    <w:rsid w:val="00CB48F1"/>
    <w:rsid w:val="00CB4F71"/>
    <w:rsid w:val="00CB5297"/>
    <w:rsid w:val="00CB5873"/>
    <w:rsid w:val="00CB5C3E"/>
    <w:rsid w:val="00CB5E3C"/>
    <w:rsid w:val="00CB5FAD"/>
    <w:rsid w:val="00CB607A"/>
    <w:rsid w:val="00CB6516"/>
    <w:rsid w:val="00CB66B5"/>
    <w:rsid w:val="00CB6E58"/>
    <w:rsid w:val="00CB7152"/>
    <w:rsid w:val="00CB730C"/>
    <w:rsid w:val="00CB73A0"/>
    <w:rsid w:val="00CB7BC3"/>
    <w:rsid w:val="00CB7F3F"/>
    <w:rsid w:val="00CC00ED"/>
    <w:rsid w:val="00CC0437"/>
    <w:rsid w:val="00CC07A2"/>
    <w:rsid w:val="00CC08EE"/>
    <w:rsid w:val="00CC0B9E"/>
    <w:rsid w:val="00CC0BB5"/>
    <w:rsid w:val="00CC0F85"/>
    <w:rsid w:val="00CC100C"/>
    <w:rsid w:val="00CC10DB"/>
    <w:rsid w:val="00CC1123"/>
    <w:rsid w:val="00CC1B05"/>
    <w:rsid w:val="00CC1D7F"/>
    <w:rsid w:val="00CC20D0"/>
    <w:rsid w:val="00CC2299"/>
    <w:rsid w:val="00CC2CAE"/>
    <w:rsid w:val="00CC2FD8"/>
    <w:rsid w:val="00CC3158"/>
    <w:rsid w:val="00CC31CC"/>
    <w:rsid w:val="00CC3266"/>
    <w:rsid w:val="00CC375A"/>
    <w:rsid w:val="00CC38DF"/>
    <w:rsid w:val="00CC54F0"/>
    <w:rsid w:val="00CC59B1"/>
    <w:rsid w:val="00CC5AC2"/>
    <w:rsid w:val="00CC66AA"/>
    <w:rsid w:val="00CC6AA9"/>
    <w:rsid w:val="00CC6B6C"/>
    <w:rsid w:val="00CC6BF3"/>
    <w:rsid w:val="00CC6C94"/>
    <w:rsid w:val="00CC6FB6"/>
    <w:rsid w:val="00CC7390"/>
    <w:rsid w:val="00CC7464"/>
    <w:rsid w:val="00CC7F4C"/>
    <w:rsid w:val="00CD07ED"/>
    <w:rsid w:val="00CD0C57"/>
    <w:rsid w:val="00CD0CFE"/>
    <w:rsid w:val="00CD0D17"/>
    <w:rsid w:val="00CD1392"/>
    <w:rsid w:val="00CD271C"/>
    <w:rsid w:val="00CD2827"/>
    <w:rsid w:val="00CD298F"/>
    <w:rsid w:val="00CD2A7C"/>
    <w:rsid w:val="00CD2ECE"/>
    <w:rsid w:val="00CD2F7F"/>
    <w:rsid w:val="00CD36C1"/>
    <w:rsid w:val="00CD4361"/>
    <w:rsid w:val="00CD475C"/>
    <w:rsid w:val="00CD537D"/>
    <w:rsid w:val="00CD54A3"/>
    <w:rsid w:val="00CD5693"/>
    <w:rsid w:val="00CD5811"/>
    <w:rsid w:val="00CD5984"/>
    <w:rsid w:val="00CD5B88"/>
    <w:rsid w:val="00CD62C4"/>
    <w:rsid w:val="00CD680B"/>
    <w:rsid w:val="00CD6A1F"/>
    <w:rsid w:val="00CD6AAB"/>
    <w:rsid w:val="00CD6C77"/>
    <w:rsid w:val="00CD6F02"/>
    <w:rsid w:val="00CD6F65"/>
    <w:rsid w:val="00CD7747"/>
    <w:rsid w:val="00CD792E"/>
    <w:rsid w:val="00CE0386"/>
    <w:rsid w:val="00CE0536"/>
    <w:rsid w:val="00CE0687"/>
    <w:rsid w:val="00CE06F2"/>
    <w:rsid w:val="00CE0980"/>
    <w:rsid w:val="00CE09EE"/>
    <w:rsid w:val="00CE0AA9"/>
    <w:rsid w:val="00CE100D"/>
    <w:rsid w:val="00CE107A"/>
    <w:rsid w:val="00CE1614"/>
    <w:rsid w:val="00CE17A7"/>
    <w:rsid w:val="00CE296D"/>
    <w:rsid w:val="00CE2A5A"/>
    <w:rsid w:val="00CE2B8A"/>
    <w:rsid w:val="00CE3278"/>
    <w:rsid w:val="00CE39EB"/>
    <w:rsid w:val="00CE3AA2"/>
    <w:rsid w:val="00CE47C2"/>
    <w:rsid w:val="00CE4808"/>
    <w:rsid w:val="00CE58A7"/>
    <w:rsid w:val="00CE5BE2"/>
    <w:rsid w:val="00CE62BD"/>
    <w:rsid w:val="00CE6447"/>
    <w:rsid w:val="00CE6C36"/>
    <w:rsid w:val="00CE6DCC"/>
    <w:rsid w:val="00CE6F2F"/>
    <w:rsid w:val="00CE720C"/>
    <w:rsid w:val="00CE723C"/>
    <w:rsid w:val="00CE736C"/>
    <w:rsid w:val="00CE7412"/>
    <w:rsid w:val="00CE74E0"/>
    <w:rsid w:val="00CE7C15"/>
    <w:rsid w:val="00CE7D97"/>
    <w:rsid w:val="00CF0008"/>
    <w:rsid w:val="00CF0225"/>
    <w:rsid w:val="00CF0FD2"/>
    <w:rsid w:val="00CF11BB"/>
    <w:rsid w:val="00CF15D1"/>
    <w:rsid w:val="00CF15EF"/>
    <w:rsid w:val="00CF16DC"/>
    <w:rsid w:val="00CF2366"/>
    <w:rsid w:val="00CF2B22"/>
    <w:rsid w:val="00CF2B69"/>
    <w:rsid w:val="00CF2BBD"/>
    <w:rsid w:val="00CF2CE5"/>
    <w:rsid w:val="00CF2F72"/>
    <w:rsid w:val="00CF3127"/>
    <w:rsid w:val="00CF36CB"/>
    <w:rsid w:val="00CF3796"/>
    <w:rsid w:val="00CF3ABE"/>
    <w:rsid w:val="00CF3BF9"/>
    <w:rsid w:val="00CF3C94"/>
    <w:rsid w:val="00CF3EAC"/>
    <w:rsid w:val="00CF4A3F"/>
    <w:rsid w:val="00CF4B5B"/>
    <w:rsid w:val="00CF5271"/>
    <w:rsid w:val="00CF55D3"/>
    <w:rsid w:val="00CF5AAC"/>
    <w:rsid w:val="00CF62AA"/>
    <w:rsid w:val="00CF6DF2"/>
    <w:rsid w:val="00CF6E31"/>
    <w:rsid w:val="00CF6E6C"/>
    <w:rsid w:val="00CF6EA0"/>
    <w:rsid w:val="00CF70FB"/>
    <w:rsid w:val="00CF79D1"/>
    <w:rsid w:val="00CF7EEA"/>
    <w:rsid w:val="00D00098"/>
    <w:rsid w:val="00D0011F"/>
    <w:rsid w:val="00D00353"/>
    <w:rsid w:val="00D00762"/>
    <w:rsid w:val="00D0090C"/>
    <w:rsid w:val="00D00EBD"/>
    <w:rsid w:val="00D01DFF"/>
    <w:rsid w:val="00D01EC4"/>
    <w:rsid w:val="00D024C2"/>
    <w:rsid w:val="00D026B0"/>
    <w:rsid w:val="00D02964"/>
    <w:rsid w:val="00D02A35"/>
    <w:rsid w:val="00D02CEF"/>
    <w:rsid w:val="00D02FD5"/>
    <w:rsid w:val="00D03B49"/>
    <w:rsid w:val="00D03B7F"/>
    <w:rsid w:val="00D03D90"/>
    <w:rsid w:val="00D04075"/>
    <w:rsid w:val="00D0412D"/>
    <w:rsid w:val="00D04C09"/>
    <w:rsid w:val="00D04EEF"/>
    <w:rsid w:val="00D05026"/>
    <w:rsid w:val="00D05751"/>
    <w:rsid w:val="00D0582E"/>
    <w:rsid w:val="00D05EFF"/>
    <w:rsid w:val="00D071DA"/>
    <w:rsid w:val="00D079FA"/>
    <w:rsid w:val="00D07CEE"/>
    <w:rsid w:val="00D07DB5"/>
    <w:rsid w:val="00D07EEC"/>
    <w:rsid w:val="00D106C2"/>
    <w:rsid w:val="00D1097C"/>
    <w:rsid w:val="00D109CC"/>
    <w:rsid w:val="00D10C8E"/>
    <w:rsid w:val="00D111AB"/>
    <w:rsid w:val="00D1165A"/>
    <w:rsid w:val="00D116F0"/>
    <w:rsid w:val="00D11DDE"/>
    <w:rsid w:val="00D12519"/>
    <w:rsid w:val="00D1271C"/>
    <w:rsid w:val="00D12F86"/>
    <w:rsid w:val="00D1326E"/>
    <w:rsid w:val="00D133EF"/>
    <w:rsid w:val="00D137B4"/>
    <w:rsid w:val="00D13A50"/>
    <w:rsid w:val="00D13A5D"/>
    <w:rsid w:val="00D13B11"/>
    <w:rsid w:val="00D141AF"/>
    <w:rsid w:val="00D14D6B"/>
    <w:rsid w:val="00D1518F"/>
    <w:rsid w:val="00D159C0"/>
    <w:rsid w:val="00D15B66"/>
    <w:rsid w:val="00D15C96"/>
    <w:rsid w:val="00D16599"/>
    <w:rsid w:val="00D16868"/>
    <w:rsid w:val="00D16B2F"/>
    <w:rsid w:val="00D1754E"/>
    <w:rsid w:val="00D1759A"/>
    <w:rsid w:val="00D17920"/>
    <w:rsid w:val="00D17D56"/>
    <w:rsid w:val="00D20381"/>
    <w:rsid w:val="00D20CFC"/>
    <w:rsid w:val="00D20EF6"/>
    <w:rsid w:val="00D215CA"/>
    <w:rsid w:val="00D21783"/>
    <w:rsid w:val="00D2224A"/>
    <w:rsid w:val="00D222BA"/>
    <w:rsid w:val="00D2239A"/>
    <w:rsid w:val="00D223AB"/>
    <w:rsid w:val="00D228FA"/>
    <w:rsid w:val="00D22E81"/>
    <w:rsid w:val="00D23369"/>
    <w:rsid w:val="00D235C8"/>
    <w:rsid w:val="00D24319"/>
    <w:rsid w:val="00D244AB"/>
    <w:rsid w:val="00D24840"/>
    <w:rsid w:val="00D24C0C"/>
    <w:rsid w:val="00D24DA9"/>
    <w:rsid w:val="00D25116"/>
    <w:rsid w:val="00D254D3"/>
    <w:rsid w:val="00D25D26"/>
    <w:rsid w:val="00D25DB4"/>
    <w:rsid w:val="00D25DC0"/>
    <w:rsid w:val="00D25F3C"/>
    <w:rsid w:val="00D26A62"/>
    <w:rsid w:val="00D26B1D"/>
    <w:rsid w:val="00D2714C"/>
    <w:rsid w:val="00D27381"/>
    <w:rsid w:val="00D276DB"/>
    <w:rsid w:val="00D27939"/>
    <w:rsid w:val="00D27C71"/>
    <w:rsid w:val="00D27D9F"/>
    <w:rsid w:val="00D27E7C"/>
    <w:rsid w:val="00D301D6"/>
    <w:rsid w:val="00D3092E"/>
    <w:rsid w:val="00D30EEE"/>
    <w:rsid w:val="00D3159E"/>
    <w:rsid w:val="00D3189F"/>
    <w:rsid w:val="00D31BC5"/>
    <w:rsid w:val="00D31D43"/>
    <w:rsid w:val="00D31E57"/>
    <w:rsid w:val="00D31E85"/>
    <w:rsid w:val="00D32B29"/>
    <w:rsid w:val="00D330A9"/>
    <w:rsid w:val="00D331ED"/>
    <w:rsid w:val="00D33BE3"/>
    <w:rsid w:val="00D33DD4"/>
    <w:rsid w:val="00D33F46"/>
    <w:rsid w:val="00D34228"/>
    <w:rsid w:val="00D3456D"/>
    <w:rsid w:val="00D3545D"/>
    <w:rsid w:val="00D354D1"/>
    <w:rsid w:val="00D35DD9"/>
    <w:rsid w:val="00D360B0"/>
    <w:rsid w:val="00D360D4"/>
    <w:rsid w:val="00D363ED"/>
    <w:rsid w:val="00D3695D"/>
    <w:rsid w:val="00D36AB0"/>
    <w:rsid w:val="00D36DAF"/>
    <w:rsid w:val="00D3709F"/>
    <w:rsid w:val="00D3710A"/>
    <w:rsid w:val="00D37EB0"/>
    <w:rsid w:val="00D4064C"/>
    <w:rsid w:val="00D41008"/>
    <w:rsid w:val="00D41709"/>
    <w:rsid w:val="00D417E4"/>
    <w:rsid w:val="00D41841"/>
    <w:rsid w:val="00D41BA2"/>
    <w:rsid w:val="00D421A0"/>
    <w:rsid w:val="00D42408"/>
    <w:rsid w:val="00D425FA"/>
    <w:rsid w:val="00D4275F"/>
    <w:rsid w:val="00D42774"/>
    <w:rsid w:val="00D42DCF"/>
    <w:rsid w:val="00D430B0"/>
    <w:rsid w:val="00D43F4D"/>
    <w:rsid w:val="00D440A8"/>
    <w:rsid w:val="00D446FF"/>
    <w:rsid w:val="00D45090"/>
    <w:rsid w:val="00D450EF"/>
    <w:rsid w:val="00D454AC"/>
    <w:rsid w:val="00D45A4B"/>
    <w:rsid w:val="00D460CA"/>
    <w:rsid w:val="00D46235"/>
    <w:rsid w:val="00D46814"/>
    <w:rsid w:val="00D46D17"/>
    <w:rsid w:val="00D47377"/>
    <w:rsid w:val="00D4761D"/>
    <w:rsid w:val="00D47743"/>
    <w:rsid w:val="00D479A0"/>
    <w:rsid w:val="00D47A44"/>
    <w:rsid w:val="00D47A8C"/>
    <w:rsid w:val="00D47AEF"/>
    <w:rsid w:val="00D47B60"/>
    <w:rsid w:val="00D5029A"/>
    <w:rsid w:val="00D50E7A"/>
    <w:rsid w:val="00D51AA3"/>
    <w:rsid w:val="00D51B3D"/>
    <w:rsid w:val="00D51C1B"/>
    <w:rsid w:val="00D5239A"/>
    <w:rsid w:val="00D527A3"/>
    <w:rsid w:val="00D52AFD"/>
    <w:rsid w:val="00D52B27"/>
    <w:rsid w:val="00D52F7C"/>
    <w:rsid w:val="00D53183"/>
    <w:rsid w:val="00D53B55"/>
    <w:rsid w:val="00D53DC1"/>
    <w:rsid w:val="00D53EF2"/>
    <w:rsid w:val="00D54034"/>
    <w:rsid w:val="00D54B48"/>
    <w:rsid w:val="00D550EF"/>
    <w:rsid w:val="00D55904"/>
    <w:rsid w:val="00D5639D"/>
    <w:rsid w:val="00D566EB"/>
    <w:rsid w:val="00D56B02"/>
    <w:rsid w:val="00D5721D"/>
    <w:rsid w:val="00D573DE"/>
    <w:rsid w:val="00D574E2"/>
    <w:rsid w:val="00D57649"/>
    <w:rsid w:val="00D5769B"/>
    <w:rsid w:val="00D578B1"/>
    <w:rsid w:val="00D600D1"/>
    <w:rsid w:val="00D60582"/>
    <w:rsid w:val="00D60E35"/>
    <w:rsid w:val="00D615C4"/>
    <w:rsid w:val="00D615DF"/>
    <w:rsid w:val="00D618AE"/>
    <w:rsid w:val="00D626D0"/>
    <w:rsid w:val="00D629B1"/>
    <w:rsid w:val="00D62D09"/>
    <w:rsid w:val="00D63E44"/>
    <w:rsid w:val="00D6416E"/>
    <w:rsid w:val="00D64E56"/>
    <w:rsid w:val="00D65033"/>
    <w:rsid w:val="00D65653"/>
    <w:rsid w:val="00D6606D"/>
    <w:rsid w:val="00D66127"/>
    <w:rsid w:val="00D661F8"/>
    <w:rsid w:val="00D6620A"/>
    <w:rsid w:val="00D6633E"/>
    <w:rsid w:val="00D66403"/>
    <w:rsid w:val="00D66D07"/>
    <w:rsid w:val="00D66EFF"/>
    <w:rsid w:val="00D6740D"/>
    <w:rsid w:val="00D6781E"/>
    <w:rsid w:val="00D679C6"/>
    <w:rsid w:val="00D679D4"/>
    <w:rsid w:val="00D7017E"/>
    <w:rsid w:val="00D70495"/>
    <w:rsid w:val="00D706BE"/>
    <w:rsid w:val="00D70BAB"/>
    <w:rsid w:val="00D70F76"/>
    <w:rsid w:val="00D71270"/>
    <w:rsid w:val="00D716C1"/>
    <w:rsid w:val="00D71ED0"/>
    <w:rsid w:val="00D72185"/>
    <w:rsid w:val="00D728F4"/>
    <w:rsid w:val="00D72B22"/>
    <w:rsid w:val="00D72E47"/>
    <w:rsid w:val="00D7373B"/>
    <w:rsid w:val="00D73A43"/>
    <w:rsid w:val="00D73DF1"/>
    <w:rsid w:val="00D7491D"/>
    <w:rsid w:val="00D74BCF"/>
    <w:rsid w:val="00D74D37"/>
    <w:rsid w:val="00D74D80"/>
    <w:rsid w:val="00D74F05"/>
    <w:rsid w:val="00D74FCE"/>
    <w:rsid w:val="00D75ACA"/>
    <w:rsid w:val="00D7693A"/>
    <w:rsid w:val="00D76986"/>
    <w:rsid w:val="00D76CA7"/>
    <w:rsid w:val="00D7731D"/>
    <w:rsid w:val="00D7745A"/>
    <w:rsid w:val="00D776C5"/>
    <w:rsid w:val="00D777E6"/>
    <w:rsid w:val="00D8021E"/>
    <w:rsid w:val="00D80343"/>
    <w:rsid w:val="00D8063A"/>
    <w:rsid w:val="00D80C0B"/>
    <w:rsid w:val="00D80C8E"/>
    <w:rsid w:val="00D8101D"/>
    <w:rsid w:val="00D810B0"/>
    <w:rsid w:val="00D8133B"/>
    <w:rsid w:val="00D814D9"/>
    <w:rsid w:val="00D816DF"/>
    <w:rsid w:val="00D81B32"/>
    <w:rsid w:val="00D81BCE"/>
    <w:rsid w:val="00D81E2D"/>
    <w:rsid w:val="00D824AD"/>
    <w:rsid w:val="00D82690"/>
    <w:rsid w:val="00D829E4"/>
    <w:rsid w:val="00D82B8A"/>
    <w:rsid w:val="00D83137"/>
    <w:rsid w:val="00D835B2"/>
    <w:rsid w:val="00D8370E"/>
    <w:rsid w:val="00D83C16"/>
    <w:rsid w:val="00D8441F"/>
    <w:rsid w:val="00D84441"/>
    <w:rsid w:val="00D8444F"/>
    <w:rsid w:val="00D84520"/>
    <w:rsid w:val="00D84913"/>
    <w:rsid w:val="00D85995"/>
    <w:rsid w:val="00D85B95"/>
    <w:rsid w:val="00D85DF6"/>
    <w:rsid w:val="00D85F3F"/>
    <w:rsid w:val="00D86C79"/>
    <w:rsid w:val="00D86FF9"/>
    <w:rsid w:val="00D901E9"/>
    <w:rsid w:val="00D903EB"/>
    <w:rsid w:val="00D905D1"/>
    <w:rsid w:val="00D91D74"/>
    <w:rsid w:val="00D9264A"/>
    <w:rsid w:val="00D926F5"/>
    <w:rsid w:val="00D927A7"/>
    <w:rsid w:val="00D92A05"/>
    <w:rsid w:val="00D92AB7"/>
    <w:rsid w:val="00D92EA3"/>
    <w:rsid w:val="00D92F70"/>
    <w:rsid w:val="00D9310C"/>
    <w:rsid w:val="00D93555"/>
    <w:rsid w:val="00D9361D"/>
    <w:rsid w:val="00D93787"/>
    <w:rsid w:val="00D937F9"/>
    <w:rsid w:val="00D93901"/>
    <w:rsid w:val="00D93B42"/>
    <w:rsid w:val="00D93FE8"/>
    <w:rsid w:val="00D949B1"/>
    <w:rsid w:val="00D95BF5"/>
    <w:rsid w:val="00D95E49"/>
    <w:rsid w:val="00D96171"/>
    <w:rsid w:val="00D96759"/>
    <w:rsid w:val="00D967F1"/>
    <w:rsid w:val="00D96C87"/>
    <w:rsid w:val="00D96DE0"/>
    <w:rsid w:val="00D96E5E"/>
    <w:rsid w:val="00D972C6"/>
    <w:rsid w:val="00D9749E"/>
    <w:rsid w:val="00D97611"/>
    <w:rsid w:val="00D97A2F"/>
    <w:rsid w:val="00DA0213"/>
    <w:rsid w:val="00DA030D"/>
    <w:rsid w:val="00DA033A"/>
    <w:rsid w:val="00DA0802"/>
    <w:rsid w:val="00DA0859"/>
    <w:rsid w:val="00DA146B"/>
    <w:rsid w:val="00DA1911"/>
    <w:rsid w:val="00DA1A02"/>
    <w:rsid w:val="00DA1F7F"/>
    <w:rsid w:val="00DA21DB"/>
    <w:rsid w:val="00DA21E8"/>
    <w:rsid w:val="00DA23C7"/>
    <w:rsid w:val="00DA24DE"/>
    <w:rsid w:val="00DA262F"/>
    <w:rsid w:val="00DA2951"/>
    <w:rsid w:val="00DA2BC9"/>
    <w:rsid w:val="00DA2FD9"/>
    <w:rsid w:val="00DA3ABE"/>
    <w:rsid w:val="00DA3D05"/>
    <w:rsid w:val="00DA4025"/>
    <w:rsid w:val="00DA41D7"/>
    <w:rsid w:val="00DA450E"/>
    <w:rsid w:val="00DA4A79"/>
    <w:rsid w:val="00DA505A"/>
    <w:rsid w:val="00DA55CF"/>
    <w:rsid w:val="00DA5652"/>
    <w:rsid w:val="00DA7859"/>
    <w:rsid w:val="00DA79FB"/>
    <w:rsid w:val="00DB0381"/>
    <w:rsid w:val="00DB0E05"/>
    <w:rsid w:val="00DB168D"/>
    <w:rsid w:val="00DB1B92"/>
    <w:rsid w:val="00DB23A9"/>
    <w:rsid w:val="00DB2598"/>
    <w:rsid w:val="00DB273F"/>
    <w:rsid w:val="00DB2D2F"/>
    <w:rsid w:val="00DB305A"/>
    <w:rsid w:val="00DB3474"/>
    <w:rsid w:val="00DB366C"/>
    <w:rsid w:val="00DB386F"/>
    <w:rsid w:val="00DB403C"/>
    <w:rsid w:val="00DB4834"/>
    <w:rsid w:val="00DB5C04"/>
    <w:rsid w:val="00DB6045"/>
    <w:rsid w:val="00DB6057"/>
    <w:rsid w:val="00DB644E"/>
    <w:rsid w:val="00DB68D4"/>
    <w:rsid w:val="00DB6F31"/>
    <w:rsid w:val="00DB7106"/>
    <w:rsid w:val="00DB768A"/>
    <w:rsid w:val="00DB77E4"/>
    <w:rsid w:val="00DB78D3"/>
    <w:rsid w:val="00DB7ABF"/>
    <w:rsid w:val="00DB7B37"/>
    <w:rsid w:val="00DB7E20"/>
    <w:rsid w:val="00DC0176"/>
    <w:rsid w:val="00DC03D7"/>
    <w:rsid w:val="00DC0750"/>
    <w:rsid w:val="00DC0AA1"/>
    <w:rsid w:val="00DC1325"/>
    <w:rsid w:val="00DC160A"/>
    <w:rsid w:val="00DC1C2F"/>
    <w:rsid w:val="00DC2330"/>
    <w:rsid w:val="00DC2ED2"/>
    <w:rsid w:val="00DC31DD"/>
    <w:rsid w:val="00DC3ACC"/>
    <w:rsid w:val="00DC3BE1"/>
    <w:rsid w:val="00DC434E"/>
    <w:rsid w:val="00DC4496"/>
    <w:rsid w:val="00DC4498"/>
    <w:rsid w:val="00DC4916"/>
    <w:rsid w:val="00DC4EE1"/>
    <w:rsid w:val="00DC571A"/>
    <w:rsid w:val="00DC5C7B"/>
    <w:rsid w:val="00DC5D19"/>
    <w:rsid w:val="00DC5FAA"/>
    <w:rsid w:val="00DC64C9"/>
    <w:rsid w:val="00DC6A0E"/>
    <w:rsid w:val="00DC6C8F"/>
    <w:rsid w:val="00DC6D71"/>
    <w:rsid w:val="00DC6F58"/>
    <w:rsid w:val="00DC7411"/>
    <w:rsid w:val="00DC758D"/>
    <w:rsid w:val="00DC78F8"/>
    <w:rsid w:val="00DC7DC6"/>
    <w:rsid w:val="00DC7E06"/>
    <w:rsid w:val="00DD004A"/>
    <w:rsid w:val="00DD0B0A"/>
    <w:rsid w:val="00DD1119"/>
    <w:rsid w:val="00DD1142"/>
    <w:rsid w:val="00DD17A5"/>
    <w:rsid w:val="00DD22C2"/>
    <w:rsid w:val="00DD2647"/>
    <w:rsid w:val="00DD2BB3"/>
    <w:rsid w:val="00DD2C7F"/>
    <w:rsid w:val="00DD2CA3"/>
    <w:rsid w:val="00DD2DE5"/>
    <w:rsid w:val="00DD2EEA"/>
    <w:rsid w:val="00DD34FE"/>
    <w:rsid w:val="00DD371A"/>
    <w:rsid w:val="00DD37B0"/>
    <w:rsid w:val="00DD443B"/>
    <w:rsid w:val="00DD4B68"/>
    <w:rsid w:val="00DD4C95"/>
    <w:rsid w:val="00DD4FE7"/>
    <w:rsid w:val="00DD53D1"/>
    <w:rsid w:val="00DD59A5"/>
    <w:rsid w:val="00DD5CE1"/>
    <w:rsid w:val="00DD651C"/>
    <w:rsid w:val="00DD66FC"/>
    <w:rsid w:val="00DD793A"/>
    <w:rsid w:val="00DD7DC4"/>
    <w:rsid w:val="00DD7FF6"/>
    <w:rsid w:val="00DE03C1"/>
    <w:rsid w:val="00DE0542"/>
    <w:rsid w:val="00DE0B87"/>
    <w:rsid w:val="00DE0DF1"/>
    <w:rsid w:val="00DE0F79"/>
    <w:rsid w:val="00DE11C0"/>
    <w:rsid w:val="00DE131B"/>
    <w:rsid w:val="00DE13EF"/>
    <w:rsid w:val="00DE183E"/>
    <w:rsid w:val="00DE1923"/>
    <w:rsid w:val="00DE194E"/>
    <w:rsid w:val="00DE1FD7"/>
    <w:rsid w:val="00DE30A4"/>
    <w:rsid w:val="00DE3540"/>
    <w:rsid w:val="00DE36A4"/>
    <w:rsid w:val="00DE3A30"/>
    <w:rsid w:val="00DE3A64"/>
    <w:rsid w:val="00DE3BE9"/>
    <w:rsid w:val="00DE3C3C"/>
    <w:rsid w:val="00DE3D57"/>
    <w:rsid w:val="00DE3F7E"/>
    <w:rsid w:val="00DE4AFC"/>
    <w:rsid w:val="00DE4E9A"/>
    <w:rsid w:val="00DE4F81"/>
    <w:rsid w:val="00DE51ED"/>
    <w:rsid w:val="00DE53A4"/>
    <w:rsid w:val="00DE5550"/>
    <w:rsid w:val="00DE6522"/>
    <w:rsid w:val="00DE6685"/>
    <w:rsid w:val="00DE67DA"/>
    <w:rsid w:val="00DE6932"/>
    <w:rsid w:val="00DE6C5C"/>
    <w:rsid w:val="00DE6FE9"/>
    <w:rsid w:val="00DE741A"/>
    <w:rsid w:val="00DE7615"/>
    <w:rsid w:val="00DE78ED"/>
    <w:rsid w:val="00DE7C0B"/>
    <w:rsid w:val="00DF00DC"/>
    <w:rsid w:val="00DF0687"/>
    <w:rsid w:val="00DF086A"/>
    <w:rsid w:val="00DF13B8"/>
    <w:rsid w:val="00DF1469"/>
    <w:rsid w:val="00DF1755"/>
    <w:rsid w:val="00DF18A7"/>
    <w:rsid w:val="00DF1A11"/>
    <w:rsid w:val="00DF1B11"/>
    <w:rsid w:val="00DF1CD4"/>
    <w:rsid w:val="00DF224E"/>
    <w:rsid w:val="00DF24B4"/>
    <w:rsid w:val="00DF2B83"/>
    <w:rsid w:val="00DF2D2C"/>
    <w:rsid w:val="00DF3287"/>
    <w:rsid w:val="00DF3A26"/>
    <w:rsid w:val="00DF3F4F"/>
    <w:rsid w:val="00DF42AB"/>
    <w:rsid w:val="00DF42CA"/>
    <w:rsid w:val="00DF4F05"/>
    <w:rsid w:val="00DF5151"/>
    <w:rsid w:val="00DF53F5"/>
    <w:rsid w:val="00DF54C1"/>
    <w:rsid w:val="00DF5777"/>
    <w:rsid w:val="00DF5C41"/>
    <w:rsid w:val="00DF5E2E"/>
    <w:rsid w:val="00DF6B9C"/>
    <w:rsid w:val="00DF6C7F"/>
    <w:rsid w:val="00DF70D2"/>
    <w:rsid w:val="00DF71DC"/>
    <w:rsid w:val="00DF7226"/>
    <w:rsid w:val="00DF732F"/>
    <w:rsid w:val="00DF7AD1"/>
    <w:rsid w:val="00DF7EC5"/>
    <w:rsid w:val="00E001DC"/>
    <w:rsid w:val="00E005C6"/>
    <w:rsid w:val="00E0072F"/>
    <w:rsid w:val="00E00D26"/>
    <w:rsid w:val="00E00D79"/>
    <w:rsid w:val="00E016C9"/>
    <w:rsid w:val="00E01A82"/>
    <w:rsid w:val="00E021A7"/>
    <w:rsid w:val="00E0259D"/>
    <w:rsid w:val="00E02C2E"/>
    <w:rsid w:val="00E02C4A"/>
    <w:rsid w:val="00E03CA7"/>
    <w:rsid w:val="00E03DAC"/>
    <w:rsid w:val="00E04105"/>
    <w:rsid w:val="00E04167"/>
    <w:rsid w:val="00E04691"/>
    <w:rsid w:val="00E05162"/>
    <w:rsid w:val="00E053E6"/>
    <w:rsid w:val="00E0597D"/>
    <w:rsid w:val="00E0678C"/>
    <w:rsid w:val="00E073A4"/>
    <w:rsid w:val="00E076B6"/>
    <w:rsid w:val="00E07982"/>
    <w:rsid w:val="00E07C50"/>
    <w:rsid w:val="00E10072"/>
    <w:rsid w:val="00E10078"/>
    <w:rsid w:val="00E10100"/>
    <w:rsid w:val="00E104C2"/>
    <w:rsid w:val="00E107D2"/>
    <w:rsid w:val="00E10827"/>
    <w:rsid w:val="00E1091A"/>
    <w:rsid w:val="00E10CB1"/>
    <w:rsid w:val="00E11140"/>
    <w:rsid w:val="00E11453"/>
    <w:rsid w:val="00E11937"/>
    <w:rsid w:val="00E11A18"/>
    <w:rsid w:val="00E11A8A"/>
    <w:rsid w:val="00E11F29"/>
    <w:rsid w:val="00E12054"/>
    <w:rsid w:val="00E12329"/>
    <w:rsid w:val="00E1269A"/>
    <w:rsid w:val="00E12E77"/>
    <w:rsid w:val="00E13202"/>
    <w:rsid w:val="00E13408"/>
    <w:rsid w:val="00E135CC"/>
    <w:rsid w:val="00E13841"/>
    <w:rsid w:val="00E13C5F"/>
    <w:rsid w:val="00E140C0"/>
    <w:rsid w:val="00E14785"/>
    <w:rsid w:val="00E14812"/>
    <w:rsid w:val="00E14C64"/>
    <w:rsid w:val="00E15141"/>
    <w:rsid w:val="00E159DC"/>
    <w:rsid w:val="00E15DB1"/>
    <w:rsid w:val="00E160D4"/>
    <w:rsid w:val="00E161ED"/>
    <w:rsid w:val="00E165DC"/>
    <w:rsid w:val="00E16D9C"/>
    <w:rsid w:val="00E176E8"/>
    <w:rsid w:val="00E17F9E"/>
    <w:rsid w:val="00E201A2"/>
    <w:rsid w:val="00E201CA"/>
    <w:rsid w:val="00E21406"/>
    <w:rsid w:val="00E2264B"/>
    <w:rsid w:val="00E22E85"/>
    <w:rsid w:val="00E22EF3"/>
    <w:rsid w:val="00E23252"/>
    <w:rsid w:val="00E23528"/>
    <w:rsid w:val="00E23642"/>
    <w:rsid w:val="00E23734"/>
    <w:rsid w:val="00E240CF"/>
    <w:rsid w:val="00E24B92"/>
    <w:rsid w:val="00E24D28"/>
    <w:rsid w:val="00E253D1"/>
    <w:rsid w:val="00E2559F"/>
    <w:rsid w:val="00E255C6"/>
    <w:rsid w:val="00E2578F"/>
    <w:rsid w:val="00E26380"/>
    <w:rsid w:val="00E26A72"/>
    <w:rsid w:val="00E26FBA"/>
    <w:rsid w:val="00E2736D"/>
    <w:rsid w:val="00E27820"/>
    <w:rsid w:val="00E278B5"/>
    <w:rsid w:val="00E27C7A"/>
    <w:rsid w:val="00E30086"/>
    <w:rsid w:val="00E30614"/>
    <w:rsid w:val="00E30832"/>
    <w:rsid w:val="00E30C70"/>
    <w:rsid w:val="00E310FB"/>
    <w:rsid w:val="00E3134D"/>
    <w:rsid w:val="00E31DBA"/>
    <w:rsid w:val="00E31EB3"/>
    <w:rsid w:val="00E321BC"/>
    <w:rsid w:val="00E32337"/>
    <w:rsid w:val="00E323F5"/>
    <w:rsid w:val="00E324DE"/>
    <w:rsid w:val="00E33045"/>
    <w:rsid w:val="00E33050"/>
    <w:rsid w:val="00E334D6"/>
    <w:rsid w:val="00E33DF9"/>
    <w:rsid w:val="00E33FAA"/>
    <w:rsid w:val="00E34398"/>
    <w:rsid w:val="00E34546"/>
    <w:rsid w:val="00E346D6"/>
    <w:rsid w:val="00E34D8C"/>
    <w:rsid w:val="00E34DE8"/>
    <w:rsid w:val="00E350AE"/>
    <w:rsid w:val="00E359E6"/>
    <w:rsid w:val="00E36097"/>
    <w:rsid w:val="00E360B6"/>
    <w:rsid w:val="00E36C66"/>
    <w:rsid w:val="00E37016"/>
    <w:rsid w:val="00E375AD"/>
    <w:rsid w:val="00E37BA5"/>
    <w:rsid w:val="00E37D2F"/>
    <w:rsid w:val="00E40007"/>
    <w:rsid w:val="00E40436"/>
    <w:rsid w:val="00E40CE6"/>
    <w:rsid w:val="00E40CEB"/>
    <w:rsid w:val="00E413DA"/>
    <w:rsid w:val="00E41413"/>
    <w:rsid w:val="00E41728"/>
    <w:rsid w:val="00E41C1A"/>
    <w:rsid w:val="00E420AB"/>
    <w:rsid w:val="00E424D6"/>
    <w:rsid w:val="00E42758"/>
    <w:rsid w:val="00E430E0"/>
    <w:rsid w:val="00E430EB"/>
    <w:rsid w:val="00E439F0"/>
    <w:rsid w:val="00E43B93"/>
    <w:rsid w:val="00E43C85"/>
    <w:rsid w:val="00E43CE3"/>
    <w:rsid w:val="00E43EA0"/>
    <w:rsid w:val="00E440EC"/>
    <w:rsid w:val="00E4418F"/>
    <w:rsid w:val="00E4495E"/>
    <w:rsid w:val="00E44977"/>
    <w:rsid w:val="00E44ADD"/>
    <w:rsid w:val="00E44E8E"/>
    <w:rsid w:val="00E45183"/>
    <w:rsid w:val="00E45643"/>
    <w:rsid w:val="00E46713"/>
    <w:rsid w:val="00E46A5A"/>
    <w:rsid w:val="00E46DAD"/>
    <w:rsid w:val="00E46F0B"/>
    <w:rsid w:val="00E4732F"/>
    <w:rsid w:val="00E475FD"/>
    <w:rsid w:val="00E4771D"/>
    <w:rsid w:val="00E477E8"/>
    <w:rsid w:val="00E47984"/>
    <w:rsid w:val="00E47D5A"/>
    <w:rsid w:val="00E505E9"/>
    <w:rsid w:val="00E50EBC"/>
    <w:rsid w:val="00E518E7"/>
    <w:rsid w:val="00E51BC4"/>
    <w:rsid w:val="00E5218F"/>
    <w:rsid w:val="00E52462"/>
    <w:rsid w:val="00E52595"/>
    <w:rsid w:val="00E528DB"/>
    <w:rsid w:val="00E52928"/>
    <w:rsid w:val="00E532DC"/>
    <w:rsid w:val="00E53475"/>
    <w:rsid w:val="00E53D89"/>
    <w:rsid w:val="00E53FF4"/>
    <w:rsid w:val="00E5442B"/>
    <w:rsid w:val="00E546B4"/>
    <w:rsid w:val="00E5483C"/>
    <w:rsid w:val="00E54885"/>
    <w:rsid w:val="00E548DF"/>
    <w:rsid w:val="00E55084"/>
    <w:rsid w:val="00E55192"/>
    <w:rsid w:val="00E55256"/>
    <w:rsid w:val="00E55301"/>
    <w:rsid w:val="00E55379"/>
    <w:rsid w:val="00E553B6"/>
    <w:rsid w:val="00E556BE"/>
    <w:rsid w:val="00E55933"/>
    <w:rsid w:val="00E55D53"/>
    <w:rsid w:val="00E55E18"/>
    <w:rsid w:val="00E56466"/>
    <w:rsid w:val="00E564D6"/>
    <w:rsid w:val="00E57198"/>
    <w:rsid w:val="00E578A4"/>
    <w:rsid w:val="00E57AF9"/>
    <w:rsid w:val="00E57B5C"/>
    <w:rsid w:val="00E57BD2"/>
    <w:rsid w:val="00E57C2A"/>
    <w:rsid w:val="00E60046"/>
    <w:rsid w:val="00E60527"/>
    <w:rsid w:val="00E6092B"/>
    <w:rsid w:val="00E60A77"/>
    <w:rsid w:val="00E60C7B"/>
    <w:rsid w:val="00E60FED"/>
    <w:rsid w:val="00E612C2"/>
    <w:rsid w:val="00E619F3"/>
    <w:rsid w:val="00E61AF2"/>
    <w:rsid w:val="00E61E15"/>
    <w:rsid w:val="00E6259E"/>
    <w:rsid w:val="00E62777"/>
    <w:rsid w:val="00E62DF7"/>
    <w:rsid w:val="00E636AA"/>
    <w:rsid w:val="00E638AF"/>
    <w:rsid w:val="00E63C1E"/>
    <w:rsid w:val="00E64293"/>
    <w:rsid w:val="00E64595"/>
    <w:rsid w:val="00E64E25"/>
    <w:rsid w:val="00E65358"/>
    <w:rsid w:val="00E65434"/>
    <w:rsid w:val="00E654BF"/>
    <w:rsid w:val="00E65A03"/>
    <w:rsid w:val="00E65A13"/>
    <w:rsid w:val="00E65AED"/>
    <w:rsid w:val="00E65C16"/>
    <w:rsid w:val="00E65E3D"/>
    <w:rsid w:val="00E66001"/>
    <w:rsid w:val="00E66414"/>
    <w:rsid w:val="00E67470"/>
    <w:rsid w:val="00E67589"/>
    <w:rsid w:val="00E67619"/>
    <w:rsid w:val="00E67D91"/>
    <w:rsid w:val="00E67E4E"/>
    <w:rsid w:val="00E67FC5"/>
    <w:rsid w:val="00E70296"/>
    <w:rsid w:val="00E706AA"/>
    <w:rsid w:val="00E706E1"/>
    <w:rsid w:val="00E708EF"/>
    <w:rsid w:val="00E70DA5"/>
    <w:rsid w:val="00E71001"/>
    <w:rsid w:val="00E7148E"/>
    <w:rsid w:val="00E71815"/>
    <w:rsid w:val="00E71E1B"/>
    <w:rsid w:val="00E720E3"/>
    <w:rsid w:val="00E72455"/>
    <w:rsid w:val="00E7246C"/>
    <w:rsid w:val="00E7269F"/>
    <w:rsid w:val="00E72EA0"/>
    <w:rsid w:val="00E73550"/>
    <w:rsid w:val="00E7366A"/>
    <w:rsid w:val="00E7403A"/>
    <w:rsid w:val="00E744A2"/>
    <w:rsid w:val="00E7467A"/>
    <w:rsid w:val="00E74A20"/>
    <w:rsid w:val="00E7540D"/>
    <w:rsid w:val="00E75612"/>
    <w:rsid w:val="00E7578E"/>
    <w:rsid w:val="00E7594D"/>
    <w:rsid w:val="00E75AFE"/>
    <w:rsid w:val="00E75ED0"/>
    <w:rsid w:val="00E761D3"/>
    <w:rsid w:val="00E76294"/>
    <w:rsid w:val="00E766BF"/>
    <w:rsid w:val="00E768C8"/>
    <w:rsid w:val="00E76952"/>
    <w:rsid w:val="00E76B55"/>
    <w:rsid w:val="00E76FAC"/>
    <w:rsid w:val="00E77F0C"/>
    <w:rsid w:val="00E8018D"/>
    <w:rsid w:val="00E8051E"/>
    <w:rsid w:val="00E808C1"/>
    <w:rsid w:val="00E80AA3"/>
    <w:rsid w:val="00E80AFF"/>
    <w:rsid w:val="00E80D54"/>
    <w:rsid w:val="00E80F05"/>
    <w:rsid w:val="00E81026"/>
    <w:rsid w:val="00E810F9"/>
    <w:rsid w:val="00E81516"/>
    <w:rsid w:val="00E81B40"/>
    <w:rsid w:val="00E81DDD"/>
    <w:rsid w:val="00E81F32"/>
    <w:rsid w:val="00E82010"/>
    <w:rsid w:val="00E820D2"/>
    <w:rsid w:val="00E82556"/>
    <w:rsid w:val="00E82D0B"/>
    <w:rsid w:val="00E82D5F"/>
    <w:rsid w:val="00E83864"/>
    <w:rsid w:val="00E8409B"/>
    <w:rsid w:val="00E842F3"/>
    <w:rsid w:val="00E84DCC"/>
    <w:rsid w:val="00E84E30"/>
    <w:rsid w:val="00E84EE5"/>
    <w:rsid w:val="00E85408"/>
    <w:rsid w:val="00E86038"/>
    <w:rsid w:val="00E86140"/>
    <w:rsid w:val="00E868AA"/>
    <w:rsid w:val="00E86BFA"/>
    <w:rsid w:val="00E86C0C"/>
    <w:rsid w:val="00E86E87"/>
    <w:rsid w:val="00E86F80"/>
    <w:rsid w:val="00E87A7A"/>
    <w:rsid w:val="00E87B43"/>
    <w:rsid w:val="00E90632"/>
    <w:rsid w:val="00E90D19"/>
    <w:rsid w:val="00E91042"/>
    <w:rsid w:val="00E91060"/>
    <w:rsid w:val="00E919B4"/>
    <w:rsid w:val="00E91A7E"/>
    <w:rsid w:val="00E91B4E"/>
    <w:rsid w:val="00E920A2"/>
    <w:rsid w:val="00E9276A"/>
    <w:rsid w:val="00E92A1D"/>
    <w:rsid w:val="00E92F01"/>
    <w:rsid w:val="00E9328F"/>
    <w:rsid w:val="00E93396"/>
    <w:rsid w:val="00E93D45"/>
    <w:rsid w:val="00E93E61"/>
    <w:rsid w:val="00E94342"/>
    <w:rsid w:val="00E94856"/>
    <w:rsid w:val="00E9493C"/>
    <w:rsid w:val="00E9497E"/>
    <w:rsid w:val="00E94C0B"/>
    <w:rsid w:val="00E95B51"/>
    <w:rsid w:val="00E96B29"/>
    <w:rsid w:val="00E97C27"/>
    <w:rsid w:val="00EA09CC"/>
    <w:rsid w:val="00EA14F6"/>
    <w:rsid w:val="00EA1501"/>
    <w:rsid w:val="00EA1E03"/>
    <w:rsid w:val="00EA1E65"/>
    <w:rsid w:val="00EA284A"/>
    <w:rsid w:val="00EA2976"/>
    <w:rsid w:val="00EA2B5E"/>
    <w:rsid w:val="00EA2D33"/>
    <w:rsid w:val="00EA3575"/>
    <w:rsid w:val="00EA39FB"/>
    <w:rsid w:val="00EA3D17"/>
    <w:rsid w:val="00EA3E0E"/>
    <w:rsid w:val="00EA3ED8"/>
    <w:rsid w:val="00EA4679"/>
    <w:rsid w:val="00EA4A26"/>
    <w:rsid w:val="00EA4D36"/>
    <w:rsid w:val="00EA55BC"/>
    <w:rsid w:val="00EA56C0"/>
    <w:rsid w:val="00EA71AC"/>
    <w:rsid w:val="00EA769A"/>
    <w:rsid w:val="00EA76BF"/>
    <w:rsid w:val="00EA78EF"/>
    <w:rsid w:val="00EA7F58"/>
    <w:rsid w:val="00EB028B"/>
    <w:rsid w:val="00EB09A9"/>
    <w:rsid w:val="00EB0C03"/>
    <w:rsid w:val="00EB12FA"/>
    <w:rsid w:val="00EB1356"/>
    <w:rsid w:val="00EB1C1E"/>
    <w:rsid w:val="00EB1FFC"/>
    <w:rsid w:val="00EB2165"/>
    <w:rsid w:val="00EB2642"/>
    <w:rsid w:val="00EB2BE1"/>
    <w:rsid w:val="00EB2ECD"/>
    <w:rsid w:val="00EB30C6"/>
    <w:rsid w:val="00EB30FC"/>
    <w:rsid w:val="00EB35A1"/>
    <w:rsid w:val="00EB395B"/>
    <w:rsid w:val="00EB3C5F"/>
    <w:rsid w:val="00EB40A5"/>
    <w:rsid w:val="00EB42AD"/>
    <w:rsid w:val="00EB42E6"/>
    <w:rsid w:val="00EB44A0"/>
    <w:rsid w:val="00EB4FD1"/>
    <w:rsid w:val="00EB505A"/>
    <w:rsid w:val="00EB52DA"/>
    <w:rsid w:val="00EB5317"/>
    <w:rsid w:val="00EB56AB"/>
    <w:rsid w:val="00EB58F6"/>
    <w:rsid w:val="00EB5BF4"/>
    <w:rsid w:val="00EB5D7B"/>
    <w:rsid w:val="00EB665B"/>
    <w:rsid w:val="00EB6A90"/>
    <w:rsid w:val="00EB6C80"/>
    <w:rsid w:val="00EB6E7D"/>
    <w:rsid w:val="00EB72AD"/>
    <w:rsid w:val="00EB74B0"/>
    <w:rsid w:val="00EB7AF7"/>
    <w:rsid w:val="00EB7BAC"/>
    <w:rsid w:val="00EB7FD4"/>
    <w:rsid w:val="00EC0179"/>
    <w:rsid w:val="00EC0411"/>
    <w:rsid w:val="00EC0665"/>
    <w:rsid w:val="00EC078F"/>
    <w:rsid w:val="00EC07D2"/>
    <w:rsid w:val="00EC1283"/>
    <w:rsid w:val="00EC13D9"/>
    <w:rsid w:val="00EC15D1"/>
    <w:rsid w:val="00EC1B18"/>
    <w:rsid w:val="00EC21BB"/>
    <w:rsid w:val="00EC3078"/>
    <w:rsid w:val="00EC312B"/>
    <w:rsid w:val="00EC3422"/>
    <w:rsid w:val="00EC38A2"/>
    <w:rsid w:val="00EC4044"/>
    <w:rsid w:val="00EC42D3"/>
    <w:rsid w:val="00EC48A4"/>
    <w:rsid w:val="00EC4A3A"/>
    <w:rsid w:val="00EC50CB"/>
    <w:rsid w:val="00EC532C"/>
    <w:rsid w:val="00EC5759"/>
    <w:rsid w:val="00EC5B32"/>
    <w:rsid w:val="00EC61B5"/>
    <w:rsid w:val="00EC6412"/>
    <w:rsid w:val="00EC6462"/>
    <w:rsid w:val="00EC67AB"/>
    <w:rsid w:val="00EC68D4"/>
    <w:rsid w:val="00EC6D21"/>
    <w:rsid w:val="00EC6D4C"/>
    <w:rsid w:val="00EC75F3"/>
    <w:rsid w:val="00EC77EC"/>
    <w:rsid w:val="00ED0212"/>
    <w:rsid w:val="00ED03B4"/>
    <w:rsid w:val="00ED0480"/>
    <w:rsid w:val="00ED0D41"/>
    <w:rsid w:val="00ED1592"/>
    <w:rsid w:val="00ED1757"/>
    <w:rsid w:val="00ED2209"/>
    <w:rsid w:val="00ED2960"/>
    <w:rsid w:val="00ED3798"/>
    <w:rsid w:val="00ED3828"/>
    <w:rsid w:val="00ED3A1C"/>
    <w:rsid w:val="00ED4332"/>
    <w:rsid w:val="00ED45A4"/>
    <w:rsid w:val="00ED572F"/>
    <w:rsid w:val="00ED67C2"/>
    <w:rsid w:val="00ED6D7F"/>
    <w:rsid w:val="00ED7230"/>
    <w:rsid w:val="00ED7585"/>
    <w:rsid w:val="00ED7CC0"/>
    <w:rsid w:val="00ED7D82"/>
    <w:rsid w:val="00EE0080"/>
    <w:rsid w:val="00EE065B"/>
    <w:rsid w:val="00EE06E2"/>
    <w:rsid w:val="00EE0A8D"/>
    <w:rsid w:val="00EE0A9F"/>
    <w:rsid w:val="00EE0C7A"/>
    <w:rsid w:val="00EE1960"/>
    <w:rsid w:val="00EE1A66"/>
    <w:rsid w:val="00EE1C68"/>
    <w:rsid w:val="00EE1E24"/>
    <w:rsid w:val="00EE2457"/>
    <w:rsid w:val="00EE2A7F"/>
    <w:rsid w:val="00EE326D"/>
    <w:rsid w:val="00EE351B"/>
    <w:rsid w:val="00EE358F"/>
    <w:rsid w:val="00EE3E16"/>
    <w:rsid w:val="00EE40AB"/>
    <w:rsid w:val="00EE447C"/>
    <w:rsid w:val="00EE47F3"/>
    <w:rsid w:val="00EE4F2B"/>
    <w:rsid w:val="00EE4FA0"/>
    <w:rsid w:val="00EE56EF"/>
    <w:rsid w:val="00EE5EDE"/>
    <w:rsid w:val="00EE5FB3"/>
    <w:rsid w:val="00EE6289"/>
    <w:rsid w:val="00EE636B"/>
    <w:rsid w:val="00EE6A4C"/>
    <w:rsid w:val="00EE7747"/>
    <w:rsid w:val="00EE77FE"/>
    <w:rsid w:val="00EF1A50"/>
    <w:rsid w:val="00EF1C04"/>
    <w:rsid w:val="00EF1D4E"/>
    <w:rsid w:val="00EF2188"/>
    <w:rsid w:val="00EF2DBA"/>
    <w:rsid w:val="00EF2F75"/>
    <w:rsid w:val="00EF33F9"/>
    <w:rsid w:val="00EF40B3"/>
    <w:rsid w:val="00EF422C"/>
    <w:rsid w:val="00EF42CD"/>
    <w:rsid w:val="00EF4A10"/>
    <w:rsid w:val="00EF4AD1"/>
    <w:rsid w:val="00EF4AE3"/>
    <w:rsid w:val="00EF549E"/>
    <w:rsid w:val="00EF55CC"/>
    <w:rsid w:val="00EF5A90"/>
    <w:rsid w:val="00EF5FF1"/>
    <w:rsid w:val="00EF658C"/>
    <w:rsid w:val="00EF6FA3"/>
    <w:rsid w:val="00EF7C34"/>
    <w:rsid w:val="00EF7E4B"/>
    <w:rsid w:val="00F00144"/>
    <w:rsid w:val="00F002A9"/>
    <w:rsid w:val="00F004B1"/>
    <w:rsid w:val="00F00BD7"/>
    <w:rsid w:val="00F00BF7"/>
    <w:rsid w:val="00F00CBB"/>
    <w:rsid w:val="00F00D9B"/>
    <w:rsid w:val="00F00FD8"/>
    <w:rsid w:val="00F0133C"/>
    <w:rsid w:val="00F01B5F"/>
    <w:rsid w:val="00F01C9B"/>
    <w:rsid w:val="00F01E3B"/>
    <w:rsid w:val="00F02026"/>
    <w:rsid w:val="00F02508"/>
    <w:rsid w:val="00F029BC"/>
    <w:rsid w:val="00F030D0"/>
    <w:rsid w:val="00F0360C"/>
    <w:rsid w:val="00F03A0A"/>
    <w:rsid w:val="00F03A58"/>
    <w:rsid w:val="00F0476B"/>
    <w:rsid w:val="00F04DC1"/>
    <w:rsid w:val="00F05408"/>
    <w:rsid w:val="00F054E8"/>
    <w:rsid w:val="00F05551"/>
    <w:rsid w:val="00F055CB"/>
    <w:rsid w:val="00F05D1D"/>
    <w:rsid w:val="00F072DA"/>
    <w:rsid w:val="00F07785"/>
    <w:rsid w:val="00F07981"/>
    <w:rsid w:val="00F07A17"/>
    <w:rsid w:val="00F07B26"/>
    <w:rsid w:val="00F07F94"/>
    <w:rsid w:val="00F105FC"/>
    <w:rsid w:val="00F10941"/>
    <w:rsid w:val="00F10AC4"/>
    <w:rsid w:val="00F10D7B"/>
    <w:rsid w:val="00F10DC1"/>
    <w:rsid w:val="00F1114A"/>
    <w:rsid w:val="00F126AE"/>
    <w:rsid w:val="00F126D4"/>
    <w:rsid w:val="00F12843"/>
    <w:rsid w:val="00F12921"/>
    <w:rsid w:val="00F12EB2"/>
    <w:rsid w:val="00F12EE6"/>
    <w:rsid w:val="00F13111"/>
    <w:rsid w:val="00F1370C"/>
    <w:rsid w:val="00F13BA9"/>
    <w:rsid w:val="00F13EDB"/>
    <w:rsid w:val="00F1428C"/>
    <w:rsid w:val="00F1446E"/>
    <w:rsid w:val="00F1462D"/>
    <w:rsid w:val="00F149B9"/>
    <w:rsid w:val="00F14D6F"/>
    <w:rsid w:val="00F151FD"/>
    <w:rsid w:val="00F15242"/>
    <w:rsid w:val="00F15617"/>
    <w:rsid w:val="00F15E50"/>
    <w:rsid w:val="00F15E54"/>
    <w:rsid w:val="00F16428"/>
    <w:rsid w:val="00F16671"/>
    <w:rsid w:val="00F16B04"/>
    <w:rsid w:val="00F16D3A"/>
    <w:rsid w:val="00F17668"/>
    <w:rsid w:val="00F179A7"/>
    <w:rsid w:val="00F17A54"/>
    <w:rsid w:val="00F17D96"/>
    <w:rsid w:val="00F17E13"/>
    <w:rsid w:val="00F17F3E"/>
    <w:rsid w:val="00F206DE"/>
    <w:rsid w:val="00F20B2A"/>
    <w:rsid w:val="00F20CF2"/>
    <w:rsid w:val="00F20E70"/>
    <w:rsid w:val="00F21079"/>
    <w:rsid w:val="00F214FA"/>
    <w:rsid w:val="00F217EA"/>
    <w:rsid w:val="00F219AA"/>
    <w:rsid w:val="00F22063"/>
    <w:rsid w:val="00F224F1"/>
    <w:rsid w:val="00F22528"/>
    <w:rsid w:val="00F22685"/>
    <w:rsid w:val="00F229EF"/>
    <w:rsid w:val="00F22B2D"/>
    <w:rsid w:val="00F23783"/>
    <w:rsid w:val="00F23BF0"/>
    <w:rsid w:val="00F23C71"/>
    <w:rsid w:val="00F2408D"/>
    <w:rsid w:val="00F24101"/>
    <w:rsid w:val="00F24343"/>
    <w:rsid w:val="00F246CC"/>
    <w:rsid w:val="00F24B60"/>
    <w:rsid w:val="00F250E6"/>
    <w:rsid w:val="00F252B2"/>
    <w:rsid w:val="00F2555A"/>
    <w:rsid w:val="00F25DE1"/>
    <w:rsid w:val="00F26059"/>
    <w:rsid w:val="00F26213"/>
    <w:rsid w:val="00F265EB"/>
    <w:rsid w:val="00F2678B"/>
    <w:rsid w:val="00F269EB"/>
    <w:rsid w:val="00F26CEB"/>
    <w:rsid w:val="00F2714A"/>
    <w:rsid w:val="00F2744D"/>
    <w:rsid w:val="00F27E43"/>
    <w:rsid w:val="00F27E58"/>
    <w:rsid w:val="00F27F32"/>
    <w:rsid w:val="00F300D9"/>
    <w:rsid w:val="00F30473"/>
    <w:rsid w:val="00F3062D"/>
    <w:rsid w:val="00F30CB1"/>
    <w:rsid w:val="00F31735"/>
    <w:rsid w:val="00F31DAB"/>
    <w:rsid w:val="00F3226B"/>
    <w:rsid w:val="00F3275D"/>
    <w:rsid w:val="00F32778"/>
    <w:rsid w:val="00F32C57"/>
    <w:rsid w:val="00F32F96"/>
    <w:rsid w:val="00F3379F"/>
    <w:rsid w:val="00F33F84"/>
    <w:rsid w:val="00F340DB"/>
    <w:rsid w:val="00F34399"/>
    <w:rsid w:val="00F3451E"/>
    <w:rsid w:val="00F348C3"/>
    <w:rsid w:val="00F353E8"/>
    <w:rsid w:val="00F35402"/>
    <w:rsid w:val="00F357DE"/>
    <w:rsid w:val="00F35907"/>
    <w:rsid w:val="00F35A69"/>
    <w:rsid w:val="00F35C86"/>
    <w:rsid w:val="00F35E7B"/>
    <w:rsid w:val="00F35F66"/>
    <w:rsid w:val="00F370B6"/>
    <w:rsid w:val="00F371F7"/>
    <w:rsid w:val="00F37476"/>
    <w:rsid w:val="00F37854"/>
    <w:rsid w:val="00F37B7C"/>
    <w:rsid w:val="00F37CB7"/>
    <w:rsid w:val="00F37F64"/>
    <w:rsid w:val="00F37FF3"/>
    <w:rsid w:val="00F40761"/>
    <w:rsid w:val="00F40989"/>
    <w:rsid w:val="00F40A21"/>
    <w:rsid w:val="00F40B04"/>
    <w:rsid w:val="00F40D13"/>
    <w:rsid w:val="00F41400"/>
    <w:rsid w:val="00F41690"/>
    <w:rsid w:val="00F416CF"/>
    <w:rsid w:val="00F417E1"/>
    <w:rsid w:val="00F41969"/>
    <w:rsid w:val="00F4256D"/>
    <w:rsid w:val="00F4342E"/>
    <w:rsid w:val="00F435A0"/>
    <w:rsid w:val="00F43E01"/>
    <w:rsid w:val="00F44528"/>
    <w:rsid w:val="00F44B2C"/>
    <w:rsid w:val="00F44D6E"/>
    <w:rsid w:val="00F4502C"/>
    <w:rsid w:val="00F4686C"/>
    <w:rsid w:val="00F47CAA"/>
    <w:rsid w:val="00F47D2C"/>
    <w:rsid w:val="00F47D3C"/>
    <w:rsid w:val="00F501AC"/>
    <w:rsid w:val="00F5098C"/>
    <w:rsid w:val="00F50DB6"/>
    <w:rsid w:val="00F51367"/>
    <w:rsid w:val="00F51C39"/>
    <w:rsid w:val="00F5239C"/>
    <w:rsid w:val="00F52A1D"/>
    <w:rsid w:val="00F5319B"/>
    <w:rsid w:val="00F53298"/>
    <w:rsid w:val="00F53885"/>
    <w:rsid w:val="00F53B72"/>
    <w:rsid w:val="00F54451"/>
    <w:rsid w:val="00F54482"/>
    <w:rsid w:val="00F544BC"/>
    <w:rsid w:val="00F55522"/>
    <w:rsid w:val="00F5581D"/>
    <w:rsid w:val="00F55A49"/>
    <w:rsid w:val="00F55B01"/>
    <w:rsid w:val="00F563D8"/>
    <w:rsid w:val="00F56427"/>
    <w:rsid w:val="00F567A6"/>
    <w:rsid w:val="00F56DEE"/>
    <w:rsid w:val="00F57140"/>
    <w:rsid w:val="00F5758E"/>
    <w:rsid w:val="00F57608"/>
    <w:rsid w:val="00F57FB7"/>
    <w:rsid w:val="00F57FF9"/>
    <w:rsid w:val="00F602F0"/>
    <w:rsid w:val="00F605E7"/>
    <w:rsid w:val="00F6095D"/>
    <w:rsid w:val="00F60F5E"/>
    <w:rsid w:val="00F618D1"/>
    <w:rsid w:val="00F61A39"/>
    <w:rsid w:val="00F61D8D"/>
    <w:rsid w:val="00F6258C"/>
    <w:rsid w:val="00F625A8"/>
    <w:rsid w:val="00F625C8"/>
    <w:rsid w:val="00F62656"/>
    <w:rsid w:val="00F62686"/>
    <w:rsid w:val="00F62870"/>
    <w:rsid w:val="00F62A48"/>
    <w:rsid w:val="00F62BE6"/>
    <w:rsid w:val="00F63004"/>
    <w:rsid w:val="00F633AB"/>
    <w:rsid w:val="00F6380D"/>
    <w:rsid w:val="00F63B1F"/>
    <w:rsid w:val="00F63C42"/>
    <w:rsid w:val="00F63E0B"/>
    <w:rsid w:val="00F6414A"/>
    <w:rsid w:val="00F64644"/>
    <w:rsid w:val="00F64683"/>
    <w:rsid w:val="00F64AFB"/>
    <w:rsid w:val="00F6511F"/>
    <w:rsid w:val="00F6546C"/>
    <w:rsid w:val="00F655A5"/>
    <w:rsid w:val="00F65900"/>
    <w:rsid w:val="00F65E94"/>
    <w:rsid w:val="00F66333"/>
    <w:rsid w:val="00F66B0B"/>
    <w:rsid w:val="00F675B7"/>
    <w:rsid w:val="00F67A38"/>
    <w:rsid w:val="00F67E47"/>
    <w:rsid w:val="00F700F6"/>
    <w:rsid w:val="00F7034C"/>
    <w:rsid w:val="00F705FC"/>
    <w:rsid w:val="00F705FD"/>
    <w:rsid w:val="00F70D4F"/>
    <w:rsid w:val="00F71664"/>
    <w:rsid w:val="00F71780"/>
    <w:rsid w:val="00F7182D"/>
    <w:rsid w:val="00F71AE9"/>
    <w:rsid w:val="00F71E18"/>
    <w:rsid w:val="00F7240B"/>
    <w:rsid w:val="00F72455"/>
    <w:rsid w:val="00F729C8"/>
    <w:rsid w:val="00F72C94"/>
    <w:rsid w:val="00F72DA9"/>
    <w:rsid w:val="00F72FDA"/>
    <w:rsid w:val="00F73097"/>
    <w:rsid w:val="00F7339D"/>
    <w:rsid w:val="00F73527"/>
    <w:rsid w:val="00F73722"/>
    <w:rsid w:val="00F74199"/>
    <w:rsid w:val="00F7459D"/>
    <w:rsid w:val="00F749EB"/>
    <w:rsid w:val="00F74A87"/>
    <w:rsid w:val="00F74EB0"/>
    <w:rsid w:val="00F752B8"/>
    <w:rsid w:val="00F75319"/>
    <w:rsid w:val="00F755FC"/>
    <w:rsid w:val="00F75904"/>
    <w:rsid w:val="00F75B03"/>
    <w:rsid w:val="00F75B1A"/>
    <w:rsid w:val="00F75B41"/>
    <w:rsid w:val="00F75D2F"/>
    <w:rsid w:val="00F76047"/>
    <w:rsid w:val="00F760C9"/>
    <w:rsid w:val="00F765BE"/>
    <w:rsid w:val="00F76784"/>
    <w:rsid w:val="00F7690F"/>
    <w:rsid w:val="00F76C77"/>
    <w:rsid w:val="00F76D4D"/>
    <w:rsid w:val="00F77245"/>
    <w:rsid w:val="00F77909"/>
    <w:rsid w:val="00F77925"/>
    <w:rsid w:val="00F77DD3"/>
    <w:rsid w:val="00F80319"/>
    <w:rsid w:val="00F80694"/>
    <w:rsid w:val="00F818D0"/>
    <w:rsid w:val="00F82174"/>
    <w:rsid w:val="00F82A31"/>
    <w:rsid w:val="00F82FC0"/>
    <w:rsid w:val="00F83337"/>
    <w:rsid w:val="00F83BAF"/>
    <w:rsid w:val="00F842F4"/>
    <w:rsid w:val="00F84629"/>
    <w:rsid w:val="00F849FC"/>
    <w:rsid w:val="00F84D3D"/>
    <w:rsid w:val="00F85209"/>
    <w:rsid w:val="00F85580"/>
    <w:rsid w:val="00F858B2"/>
    <w:rsid w:val="00F85B8C"/>
    <w:rsid w:val="00F85BF0"/>
    <w:rsid w:val="00F85D0A"/>
    <w:rsid w:val="00F86843"/>
    <w:rsid w:val="00F86C4D"/>
    <w:rsid w:val="00F86DD0"/>
    <w:rsid w:val="00F86E9D"/>
    <w:rsid w:val="00F87010"/>
    <w:rsid w:val="00F872DD"/>
    <w:rsid w:val="00F87571"/>
    <w:rsid w:val="00F87963"/>
    <w:rsid w:val="00F87B6F"/>
    <w:rsid w:val="00F90190"/>
    <w:rsid w:val="00F902DF"/>
    <w:rsid w:val="00F90A5B"/>
    <w:rsid w:val="00F90ACA"/>
    <w:rsid w:val="00F90B3C"/>
    <w:rsid w:val="00F90CD2"/>
    <w:rsid w:val="00F90F85"/>
    <w:rsid w:val="00F919C0"/>
    <w:rsid w:val="00F91EFD"/>
    <w:rsid w:val="00F91F1C"/>
    <w:rsid w:val="00F92CA7"/>
    <w:rsid w:val="00F9305B"/>
    <w:rsid w:val="00F93457"/>
    <w:rsid w:val="00F94695"/>
    <w:rsid w:val="00F94CC5"/>
    <w:rsid w:val="00F94EF7"/>
    <w:rsid w:val="00F9505E"/>
    <w:rsid w:val="00F956B1"/>
    <w:rsid w:val="00F958FB"/>
    <w:rsid w:val="00F9603E"/>
    <w:rsid w:val="00F964CA"/>
    <w:rsid w:val="00F967B5"/>
    <w:rsid w:val="00F96B25"/>
    <w:rsid w:val="00F96CB7"/>
    <w:rsid w:val="00F96CB8"/>
    <w:rsid w:val="00F970DA"/>
    <w:rsid w:val="00F971CC"/>
    <w:rsid w:val="00F971FC"/>
    <w:rsid w:val="00F97442"/>
    <w:rsid w:val="00F97C28"/>
    <w:rsid w:val="00F97F5D"/>
    <w:rsid w:val="00FA0B35"/>
    <w:rsid w:val="00FA0DFF"/>
    <w:rsid w:val="00FA1106"/>
    <w:rsid w:val="00FA116A"/>
    <w:rsid w:val="00FA148B"/>
    <w:rsid w:val="00FA19F0"/>
    <w:rsid w:val="00FA1EC1"/>
    <w:rsid w:val="00FA2255"/>
    <w:rsid w:val="00FA2415"/>
    <w:rsid w:val="00FA2A39"/>
    <w:rsid w:val="00FA2EFC"/>
    <w:rsid w:val="00FA3903"/>
    <w:rsid w:val="00FA3B62"/>
    <w:rsid w:val="00FA4315"/>
    <w:rsid w:val="00FA4472"/>
    <w:rsid w:val="00FA4686"/>
    <w:rsid w:val="00FA47A3"/>
    <w:rsid w:val="00FA49EB"/>
    <w:rsid w:val="00FA4D8E"/>
    <w:rsid w:val="00FA5313"/>
    <w:rsid w:val="00FA53EC"/>
    <w:rsid w:val="00FA5738"/>
    <w:rsid w:val="00FA5B8C"/>
    <w:rsid w:val="00FA6208"/>
    <w:rsid w:val="00FA62DA"/>
    <w:rsid w:val="00FA63CD"/>
    <w:rsid w:val="00FA6502"/>
    <w:rsid w:val="00FA6905"/>
    <w:rsid w:val="00FA6BD5"/>
    <w:rsid w:val="00FA7DB5"/>
    <w:rsid w:val="00FA7EBC"/>
    <w:rsid w:val="00FB0B32"/>
    <w:rsid w:val="00FB0DEF"/>
    <w:rsid w:val="00FB0E5D"/>
    <w:rsid w:val="00FB0F72"/>
    <w:rsid w:val="00FB10F4"/>
    <w:rsid w:val="00FB16CE"/>
    <w:rsid w:val="00FB20A1"/>
    <w:rsid w:val="00FB2264"/>
    <w:rsid w:val="00FB2336"/>
    <w:rsid w:val="00FB2764"/>
    <w:rsid w:val="00FB2A65"/>
    <w:rsid w:val="00FB2BAA"/>
    <w:rsid w:val="00FB2C2B"/>
    <w:rsid w:val="00FB2D2F"/>
    <w:rsid w:val="00FB33DB"/>
    <w:rsid w:val="00FB3623"/>
    <w:rsid w:val="00FB39B6"/>
    <w:rsid w:val="00FB436D"/>
    <w:rsid w:val="00FB47C3"/>
    <w:rsid w:val="00FB4D0D"/>
    <w:rsid w:val="00FB4D41"/>
    <w:rsid w:val="00FB4ECF"/>
    <w:rsid w:val="00FB5166"/>
    <w:rsid w:val="00FB57AB"/>
    <w:rsid w:val="00FB58DE"/>
    <w:rsid w:val="00FB5D95"/>
    <w:rsid w:val="00FB5E01"/>
    <w:rsid w:val="00FB6593"/>
    <w:rsid w:val="00FB6FD5"/>
    <w:rsid w:val="00FB765E"/>
    <w:rsid w:val="00FB77F0"/>
    <w:rsid w:val="00FB7B9F"/>
    <w:rsid w:val="00FB7D90"/>
    <w:rsid w:val="00FC031D"/>
    <w:rsid w:val="00FC0C7A"/>
    <w:rsid w:val="00FC0E0A"/>
    <w:rsid w:val="00FC16FC"/>
    <w:rsid w:val="00FC170A"/>
    <w:rsid w:val="00FC1830"/>
    <w:rsid w:val="00FC2C1F"/>
    <w:rsid w:val="00FC2F56"/>
    <w:rsid w:val="00FC2F72"/>
    <w:rsid w:val="00FC30C2"/>
    <w:rsid w:val="00FC325C"/>
    <w:rsid w:val="00FC3280"/>
    <w:rsid w:val="00FC38C1"/>
    <w:rsid w:val="00FC3B5A"/>
    <w:rsid w:val="00FC3C2D"/>
    <w:rsid w:val="00FC4FDA"/>
    <w:rsid w:val="00FC572D"/>
    <w:rsid w:val="00FC5F22"/>
    <w:rsid w:val="00FC5F46"/>
    <w:rsid w:val="00FC6878"/>
    <w:rsid w:val="00FC6ACD"/>
    <w:rsid w:val="00FC7A39"/>
    <w:rsid w:val="00FC7A4C"/>
    <w:rsid w:val="00FC7D66"/>
    <w:rsid w:val="00FC7E43"/>
    <w:rsid w:val="00FD0073"/>
    <w:rsid w:val="00FD007B"/>
    <w:rsid w:val="00FD0859"/>
    <w:rsid w:val="00FD0DD8"/>
    <w:rsid w:val="00FD0E72"/>
    <w:rsid w:val="00FD1402"/>
    <w:rsid w:val="00FD1575"/>
    <w:rsid w:val="00FD1958"/>
    <w:rsid w:val="00FD1A67"/>
    <w:rsid w:val="00FD1E0E"/>
    <w:rsid w:val="00FD2312"/>
    <w:rsid w:val="00FD258F"/>
    <w:rsid w:val="00FD2ED7"/>
    <w:rsid w:val="00FD3609"/>
    <w:rsid w:val="00FD3817"/>
    <w:rsid w:val="00FD3CDE"/>
    <w:rsid w:val="00FD3FF1"/>
    <w:rsid w:val="00FD4BEA"/>
    <w:rsid w:val="00FD5064"/>
    <w:rsid w:val="00FD5488"/>
    <w:rsid w:val="00FD5596"/>
    <w:rsid w:val="00FD68AE"/>
    <w:rsid w:val="00FD6929"/>
    <w:rsid w:val="00FD6F08"/>
    <w:rsid w:val="00FD7036"/>
    <w:rsid w:val="00FD70A0"/>
    <w:rsid w:val="00FD7407"/>
    <w:rsid w:val="00FD7637"/>
    <w:rsid w:val="00FD7A6D"/>
    <w:rsid w:val="00FD7F69"/>
    <w:rsid w:val="00FE02F9"/>
    <w:rsid w:val="00FE080A"/>
    <w:rsid w:val="00FE09C5"/>
    <w:rsid w:val="00FE09C8"/>
    <w:rsid w:val="00FE0B52"/>
    <w:rsid w:val="00FE0D37"/>
    <w:rsid w:val="00FE1152"/>
    <w:rsid w:val="00FE178C"/>
    <w:rsid w:val="00FE19A4"/>
    <w:rsid w:val="00FE1E3E"/>
    <w:rsid w:val="00FE2621"/>
    <w:rsid w:val="00FE2956"/>
    <w:rsid w:val="00FE2DCD"/>
    <w:rsid w:val="00FE334F"/>
    <w:rsid w:val="00FE3A5A"/>
    <w:rsid w:val="00FE3E96"/>
    <w:rsid w:val="00FE475E"/>
    <w:rsid w:val="00FE4D97"/>
    <w:rsid w:val="00FE58BB"/>
    <w:rsid w:val="00FE5968"/>
    <w:rsid w:val="00FE5CCF"/>
    <w:rsid w:val="00FE5DC0"/>
    <w:rsid w:val="00FE6256"/>
    <w:rsid w:val="00FE6316"/>
    <w:rsid w:val="00FE6440"/>
    <w:rsid w:val="00FE67E2"/>
    <w:rsid w:val="00FE7249"/>
    <w:rsid w:val="00FE7304"/>
    <w:rsid w:val="00FE7734"/>
    <w:rsid w:val="00FE7D6B"/>
    <w:rsid w:val="00FE7E06"/>
    <w:rsid w:val="00FE7EB3"/>
    <w:rsid w:val="00FF0278"/>
    <w:rsid w:val="00FF08C7"/>
    <w:rsid w:val="00FF0A94"/>
    <w:rsid w:val="00FF1D32"/>
    <w:rsid w:val="00FF2006"/>
    <w:rsid w:val="00FF2305"/>
    <w:rsid w:val="00FF305E"/>
    <w:rsid w:val="00FF34A8"/>
    <w:rsid w:val="00FF3A93"/>
    <w:rsid w:val="00FF3AE0"/>
    <w:rsid w:val="00FF3B26"/>
    <w:rsid w:val="00FF4239"/>
    <w:rsid w:val="00FF4708"/>
    <w:rsid w:val="00FF589D"/>
    <w:rsid w:val="00FF5EE0"/>
    <w:rsid w:val="00FF5F85"/>
    <w:rsid w:val="00FF6A16"/>
    <w:rsid w:val="00FF6E5B"/>
    <w:rsid w:val="00FF704B"/>
    <w:rsid w:val="00FF7125"/>
    <w:rsid w:val="00FF73A3"/>
    <w:rsid w:val="00FF77AD"/>
    <w:rsid w:val="00FF79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8D0DBC52-9793-4056-B8D2-97867E1B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520"/>
    <w:rPr>
      <w:sz w:val="24"/>
      <w:szCs w:val="24"/>
      <w:lang w:val="en-US" w:eastAsia="en-US"/>
    </w:rPr>
  </w:style>
  <w:style w:type="paragraph" w:styleId="Heading1">
    <w:name w:val="heading 1"/>
    <w:basedOn w:val="Normal"/>
    <w:next w:val="Normal"/>
    <w:link w:val="Heading1Char"/>
    <w:uiPriority w:val="1"/>
    <w:qFormat/>
    <w:rsid w:val="00A06E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locked/>
    <w:rsid w:val="002F4004"/>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locked/>
    <w:rsid w:val="002F4004"/>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B2CE1"/>
    <w:pPr>
      <w:keepNext/>
      <w:outlineLvl w:val="3"/>
    </w:pPr>
    <w:rPr>
      <w:b/>
      <w:bCs/>
      <w:szCs w:val="20"/>
      <w:lang w:val="en-GB"/>
    </w:rPr>
  </w:style>
  <w:style w:type="paragraph" w:styleId="Heading5">
    <w:name w:val="heading 5"/>
    <w:basedOn w:val="Normal"/>
    <w:next w:val="Normal"/>
    <w:link w:val="Heading5Char"/>
    <w:qFormat/>
    <w:rsid w:val="00AB2CE1"/>
    <w:pPr>
      <w:keepNext/>
      <w:jc w:val="center"/>
      <w:outlineLvl w:val="4"/>
    </w:pPr>
    <w:rPr>
      <w:b/>
      <w:bCs/>
      <w:sz w:val="28"/>
    </w:rPr>
  </w:style>
  <w:style w:type="paragraph" w:styleId="Heading6">
    <w:name w:val="heading 6"/>
    <w:basedOn w:val="Normal"/>
    <w:next w:val="Normal"/>
    <w:link w:val="Heading6Char"/>
    <w:qFormat/>
    <w:rsid w:val="00AB2CE1"/>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locked/>
    <w:rsid w:val="00B14C00"/>
    <w:pPr>
      <w:spacing w:before="240" w:after="60"/>
      <w:outlineLvl w:val="6"/>
    </w:pPr>
    <w:rPr>
      <w:rFonts w:ascii="Calibri" w:hAnsi="Calibri"/>
    </w:rPr>
  </w:style>
  <w:style w:type="paragraph" w:styleId="Heading8">
    <w:name w:val="heading 8"/>
    <w:basedOn w:val="Normal"/>
    <w:next w:val="Normal"/>
    <w:link w:val="Heading8Char"/>
    <w:qFormat/>
    <w:rsid w:val="00374C18"/>
    <w:pPr>
      <w:spacing w:before="240" w:after="60"/>
      <w:outlineLvl w:val="7"/>
    </w:pPr>
    <w:rPr>
      <w:i/>
      <w:iCs/>
    </w:rPr>
  </w:style>
  <w:style w:type="paragraph" w:styleId="Heading9">
    <w:name w:val="heading 9"/>
    <w:basedOn w:val="Normal"/>
    <w:next w:val="Normal"/>
    <w:link w:val="Heading9Char"/>
    <w:unhideWhenUsed/>
    <w:qFormat/>
    <w:rsid w:val="00BD2D41"/>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8286C"/>
    <w:rPr>
      <w:rFonts w:ascii="Arial" w:hAnsi="Arial" w:cs="Arial"/>
      <w:b/>
      <w:bCs/>
      <w:kern w:val="32"/>
      <w:sz w:val="32"/>
      <w:szCs w:val="32"/>
      <w:lang w:val="en-US" w:eastAsia="en-US" w:bidi="ar-SA"/>
    </w:rPr>
  </w:style>
  <w:style w:type="character" w:customStyle="1" w:styleId="Heading2Char">
    <w:name w:val="Heading 2 Char"/>
    <w:link w:val="Heading2"/>
    <w:rsid w:val="0058286C"/>
    <w:rPr>
      <w:rFonts w:ascii="Arial" w:hAnsi="Arial" w:cs="Arial"/>
      <w:b/>
      <w:bCs/>
      <w:i/>
      <w:iCs/>
      <w:sz w:val="28"/>
      <w:szCs w:val="28"/>
      <w:lang w:val="en-US" w:eastAsia="en-US" w:bidi="ar-SA"/>
    </w:rPr>
  </w:style>
  <w:style w:type="character" w:customStyle="1" w:styleId="Heading7Char">
    <w:name w:val="Heading 7 Char"/>
    <w:link w:val="Heading7"/>
    <w:rsid w:val="00B14C00"/>
    <w:rPr>
      <w:rFonts w:ascii="Calibri" w:hAnsi="Calibri"/>
      <w:sz w:val="24"/>
      <w:szCs w:val="24"/>
      <w:lang w:val="en-US" w:eastAsia="en-US" w:bidi="ar-SA"/>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361E1A"/>
    <w:rPr>
      <w:lang w:val="pl-PL" w:eastAsia="pl-PL"/>
    </w:rPr>
  </w:style>
  <w:style w:type="paragraph" w:customStyle="1" w:styleId="CaracterCaracter6CharChar">
    <w:name w:val="Caracter Caracter6 Char Char"/>
    <w:basedOn w:val="Normal"/>
    <w:rsid w:val="0017209A"/>
    <w:rPr>
      <w:lang w:val="pl-PL" w:eastAsia="pl-PL"/>
    </w:rPr>
  </w:style>
  <w:style w:type="table" w:styleId="TableGrid">
    <w:name w:val="Table Grid"/>
    <w:basedOn w:val="TableNormal"/>
    <w:uiPriority w:val="39"/>
    <w:rsid w:val="0007347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
    <w:name w:val="Caracter Caracter"/>
    <w:basedOn w:val="Normal"/>
    <w:rsid w:val="00073477"/>
    <w:rPr>
      <w:lang w:val="pl-PL" w:eastAsia="pl-PL"/>
    </w:rPr>
  </w:style>
  <w:style w:type="character" w:styleId="PageNumber">
    <w:name w:val="page number"/>
    <w:rsid w:val="00073477"/>
    <w:rPr>
      <w:rFonts w:cs="Times New Roman"/>
    </w:rPr>
  </w:style>
  <w:style w:type="paragraph" w:styleId="Footer">
    <w:name w:val="footer"/>
    <w:basedOn w:val="Normal"/>
    <w:link w:val="FooterChar1"/>
    <w:rsid w:val="00073477"/>
    <w:pPr>
      <w:tabs>
        <w:tab w:val="center" w:pos="4536"/>
        <w:tab w:val="right" w:pos="9072"/>
      </w:tabs>
      <w:spacing w:after="120"/>
      <w:jc w:val="both"/>
    </w:pPr>
    <w:rPr>
      <w:rFonts w:ascii="Garamond" w:hAnsi="Garamond" w:cs="Garamond"/>
      <w:lang w:val="ro-RO" w:eastAsia="ro-RO"/>
    </w:rPr>
  </w:style>
  <w:style w:type="character" w:customStyle="1" w:styleId="FooterChar1">
    <w:name w:val="Footer Char1"/>
    <w:link w:val="Footer"/>
    <w:locked/>
    <w:rsid w:val="007465EA"/>
    <w:rPr>
      <w:rFonts w:cs="Times New Roman"/>
      <w:sz w:val="24"/>
      <w:szCs w:val="24"/>
    </w:rPr>
  </w:style>
  <w:style w:type="table" w:styleId="TableSimple1">
    <w:name w:val="Table Simple 1"/>
    <w:basedOn w:val="TableNormal"/>
    <w:rsid w:val="00073477"/>
    <w:rPr>
      <w:lang w:val="en-US" w:eastAsia="en-US"/>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073477"/>
    <w:rPr>
      <w:rFonts w:eastAsia="SimSun"/>
      <w:sz w:val="28"/>
      <w:szCs w:val="28"/>
      <w:lang w:val="ro-RO" w:eastAsia="ro-RO"/>
    </w:rPr>
  </w:style>
  <w:style w:type="paragraph" w:customStyle="1" w:styleId="DefaultText">
    <w:name w:val="Default Text"/>
    <w:basedOn w:val="Normal"/>
    <w:link w:val="DefaultTextCaracter"/>
    <w:rsid w:val="00073477"/>
    <w:pPr>
      <w:autoSpaceDE w:val="0"/>
      <w:autoSpaceDN w:val="0"/>
      <w:adjustRightInd w:val="0"/>
    </w:pPr>
  </w:style>
  <w:style w:type="character" w:customStyle="1" w:styleId="DefaultTextCaracter">
    <w:name w:val="Default Text Caracter"/>
    <w:link w:val="DefaultText"/>
    <w:locked/>
    <w:rsid w:val="00320196"/>
    <w:rPr>
      <w:sz w:val="24"/>
      <w:szCs w:val="24"/>
      <w:lang w:val="en-US" w:eastAsia="en-US" w:bidi="ar-SA"/>
    </w:rPr>
  </w:style>
  <w:style w:type="paragraph" w:styleId="BodyTextIndent2">
    <w:name w:val="Body Text Indent 2"/>
    <w:basedOn w:val="Normal"/>
    <w:link w:val="BodyTextIndent2Char"/>
    <w:rsid w:val="00073477"/>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link w:val="BodyTextIndent2"/>
    <w:locked/>
    <w:rsid w:val="007465EA"/>
    <w:rPr>
      <w:rFonts w:cs="Times New Roman"/>
      <w:sz w:val="24"/>
      <w:szCs w:val="24"/>
    </w:rPr>
  </w:style>
  <w:style w:type="paragraph" w:customStyle="1" w:styleId="western">
    <w:name w:val="western"/>
    <w:basedOn w:val="Normal"/>
    <w:rsid w:val="00073477"/>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890925"/>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B02E4"/>
    <w:rPr>
      <w:lang w:val="pl-PL" w:eastAsia="pl-PL"/>
    </w:rPr>
  </w:style>
  <w:style w:type="paragraph" w:customStyle="1" w:styleId="CaracterCharCharCaracter">
    <w:name w:val="Caracter Char Char Caracter"/>
    <w:basedOn w:val="Normal"/>
    <w:rsid w:val="008B64AC"/>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9B06B0"/>
    <w:rPr>
      <w:lang w:val="pl-PL" w:eastAsia="pl-PL"/>
    </w:rPr>
  </w:style>
  <w:style w:type="paragraph" w:styleId="BodyText">
    <w:name w:val="Body Text"/>
    <w:aliases w:val="Body Text Char,block style,Standard paragraph,Body,b,bt,body text,body,text,BodyText"/>
    <w:basedOn w:val="Normal"/>
    <w:link w:val="BodyTextChar1"/>
    <w:uiPriority w:val="1"/>
    <w:qFormat/>
    <w:rsid w:val="00FC2C1F"/>
    <w:pPr>
      <w:spacing w:after="120"/>
    </w:pPr>
  </w:style>
  <w:style w:type="character" w:customStyle="1" w:styleId="BodyTextChar1">
    <w:name w:val="Body Text Char1"/>
    <w:aliases w:val="Body Text Char Char1,block style Char,Standard paragraph Char,Body Char,b Char,bt Char,body text Char,body Char,text Char,BodyText Char"/>
    <w:link w:val="BodyText"/>
    <w:locked/>
    <w:rsid w:val="007465EA"/>
    <w:rPr>
      <w:rFonts w:cs="Times New Roman"/>
      <w:sz w:val="24"/>
      <w:szCs w:val="24"/>
    </w:rPr>
  </w:style>
  <w:style w:type="paragraph" w:customStyle="1" w:styleId="CaracterCaracter1">
    <w:name w:val="Caracter Caracter1"/>
    <w:basedOn w:val="Normal"/>
    <w:rsid w:val="00DB273F"/>
    <w:rPr>
      <w:lang w:val="pl-PL" w:eastAsia="pl-PL"/>
    </w:rPr>
  </w:style>
  <w:style w:type="paragraph" w:styleId="FootnoteText">
    <w:name w:val="footnote text"/>
    <w:aliases w:val="Footnote,Fußnote,Fußnotentext Char,Podrozdział,Footnote Text Char Char,Footnote Text Char,single space,footnote text,FOOTNOTES,fn,fn Char Char Char,fn Char Char,fn Char,Fußnote Char Char Char,Fußnote Char,Fußnote Char Char Char Char,ADB,ft"/>
    <w:basedOn w:val="Normal"/>
    <w:link w:val="FootnoteTextChar1"/>
    <w:rsid w:val="0017209A"/>
    <w:rPr>
      <w:sz w:val="20"/>
      <w:szCs w:val="20"/>
    </w:rPr>
  </w:style>
  <w:style w:type="character" w:customStyle="1" w:styleId="FootnoteTextChar1">
    <w:name w:val="Footnote Text Char1"/>
    <w:aliases w:val="Footnote Char1,Fußnote Char1,Fußnotentext Char Char,Podrozdział Char,Footnote Text Char Char Char,Footnote Text Char Char1,single space Char,footnote text Char,FOOTNOTES Char,fn Char1,fn Char Char Char Char,fn Char Char Char1,ft Char"/>
    <w:link w:val="FootnoteText"/>
    <w:locked/>
    <w:rsid w:val="008B5C15"/>
    <w:rPr>
      <w:lang w:val="en-US" w:eastAsia="en-US" w:bidi="ar-SA"/>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17209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D215CA"/>
    <w:pPr>
      <w:spacing w:after="160" w:line="240" w:lineRule="exact"/>
    </w:pPr>
    <w:rPr>
      <w:sz w:val="20"/>
      <w:szCs w:val="20"/>
      <w:vertAlign w:val="superscript"/>
      <w:lang w:val="ro-RO" w:eastAsia="ro-RO"/>
    </w:rPr>
  </w:style>
  <w:style w:type="character" w:styleId="Hyperlink">
    <w:name w:val="Hyperlink"/>
    <w:rsid w:val="002E3DAF"/>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896D53"/>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104A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104AE"/>
    <w:rPr>
      <w:sz w:val="24"/>
      <w:lang w:val="ro-RO" w:eastAsia="ro-RO" w:bidi="ar-SA"/>
    </w:rPr>
  </w:style>
  <w:style w:type="paragraph" w:customStyle="1" w:styleId="1CaracterCharCharCaracterCharCharCaracterCharCharCaracterCharChar1Caracter">
    <w:name w:val="1 Caracter Char Char Caracter Char Char Caracter Char Char Caracter Char Char1 Caracter"/>
    <w:basedOn w:val="Normal"/>
    <w:rsid w:val="007104AE"/>
    <w:rPr>
      <w:lang w:val="pl-PL" w:eastAsia="pl-PL"/>
    </w:rPr>
  </w:style>
  <w:style w:type="paragraph" w:customStyle="1" w:styleId="ParagraphNumbering">
    <w:name w:val="Paragraph Numbering"/>
    <w:basedOn w:val="Normal"/>
    <w:link w:val="ParagraphNumberingChar"/>
    <w:qFormat/>
    <w:rsid w:val="002A4090"/>
    <w:pPr>
      <w:numPr>
        <w:numId w:val="1"/>
      </w:numPr>
      <w:spacing w:after="240" w:line="264" w:lineRule="auto"/>
    </w:pPr>
  </w:style>
  <w:style w:type="character" w:customStyle="1" w:styleId="ParagraphNumberingChar">
    <w:name w:val="Paragraph Numbering Char"/>
    <w:link w:val="ParagraphNumbering"/>
    <w:rsid w:val="002A4090"/>
    <w:rPr>
      <w:sz w:val="24"/>
      <w:szCs w:val="24"/>
      <w:lang w:val="en-US" w:eastAsia="en-US"/>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1"/>
    <w:qFormat/>
    <w:rsid w:val="00CE107A"/>
    <w:pPr>
      <w:spacing w:line="276" w:lineRule="auto"/>
      <w:ind w:left="720"/>
      <w:contextualSpacing/>
    </w:pPr>
    <w:rPr>
      <w:rFonts w:eastAsia="Calibri"/>
      <w:szCs w:val="22"/>
      <w:lang w:val="ro-RO"/>
    </w:rPr>
  </w:style>
  <w:style w:type="character" w:customStyle="1" w:styleId="ListParagraphChar">
    <w:name w:val="List Paragraph Char"/>
    <w:aliases w:val="Antes de enumeración Char1,Akapit z listą BS Char,Outlines a.b.c. Char,List_Paragraph Char,Multilevel para_II Char,Akapit z lista BS Char,List1 Char,Списък на абзаци Char,List Paragraph11 Char,body 2 Char,List Paragraph compact Char"/>
    <w:link w:val="ListParagraph"/>
    <w:qFormat/>
    <w:locked/>
    <w:rsid w:val="00AB2CE1"/>
    <w:rPr>
      <w:rFonts w:eastAsia="Calibri"/>
      <w:sz w:val="24"/>
      <w:szCs w:val="22"/>
      <w:lang w:val="ro-RO" w:eastAsia="en-US" w:bidi="ar-SA"/>
    </w:rPr>
  </w:style>
  <w:style w:type="paragraph" w:customStyle="1" w:styleId="CaracterCharCharCaracter0">
    <w:name w:val="Caracter Char Char Caracter"/>
    <w:basedOn w:val="Normal"/>
    <w:rsid w:val="001E280D"/>
    <w:rPr>
      <w:lang w:val="pl-PL" w:eastAsia="pl-PL"/>
    </w:rPr>
  </w:style>
  <w:style w:type="character" w:customStyle="1" w:styleId="longtext1">
    <w:name w:val="long_text1"/>
    <w:rsid w:val="001E280D"/>
    <w:rPr>
      <w:sz w:val="20"/>
      <w:szCs w:val="20"/>
    </w:rPr>
  </w:style>
  <w:style w:type="paragraph" w:customStyle="1" w:styleId="CaracterCaracter4">
    <w:name w:val="Caracter Caracter4"/>
    <w:basedOn w:val="Normal"/>
    <w:rsid w:val="00D00EBD"/>
    <w:rPr>
      <w:lang w:val="pl-PL" w:eastAsia="pl-PL"/>
    </w:rPr>
  </w:style>
  <w:style w:type="paragraph" w:styleId="Header">
    <w:name w:val="header"/>
    <w:basedOn w:val="Normal"/>
    <w:link w:val="HeaderChar"/>
    <w:uiPriority w:val="99"/>
    <w:rsid w:val="00096D35"/>
    <w:pPr>
      <w:tabs>
        <w:tab w:val="center" w:pos="4536"/>
        <w:tab w:val="right" w:pos="9072"/>
      </w:tabs>
      <w:overflowPunct w:val="0"/>
      <w:autoSpaceDE w:val="0"/>
      <w:autoSpaceDN w:val="0"/>
      <w:adjustRightInd w:val="0"/>
      <w:textAlignment w:val="baseline"/>
    </w:pPr>
    <w:rPr>
      <w:szCs w:val="20"/>
      <w:lang w:val="en-GB"/>
    </w:rPr>
  </w:style>
  <w:style w:type="character" w:customStyle="1" w:styleId="search9">
    <w:name w:val="search9"/>
    <w:rsid w:val="002F4004"/>
    <w:rPr>
      <w:rFonts w:ascii="Arial" w:hAnsi="Arial" w:cs="Arial" w:hint="default"/>
      <w:b/>
      <w:bCs/>
      <w:color w:val="0000FF"/>
      <w:sz w:val="21"/>
      <w:szCs w:val="21"/>
    </w:rPr>
  </w:style>
  <w:style w:type="character" w:customStyle="1" w:styleId="med11">
    <w:name w:val="med11"/>
    <w:rsid w:val="002F4004"/>
    <w:rPr>
      <w:sz w:val="21"/>
      <w:szCs w:val="21"/>
    </w:rPr>
  </w:style>
  <w:style w:type="paragraph" w:styleId="NormalWeb">
    <w:name w:val="Normal (Web)"/>
    <w:aliases w:val="Normal (Web) Char Char,Normal (Web) Char"/>
    <w:basedOn w:val="Normal"/>
    <w:link w:val="NormalWebChar1"/>
    <w:uiPriority w:val="99"/>
    <w:qFormat/>
    <w:rsid w:val="002F4004"/>
    <w:pPr>
      <w:spacing w:before="100" w:beforeAutospacing="1" w:after="100" w:afterAutospacing="1"/>
    </w:pPr>
  </w:style>
  <w:style w:type="character" w:customStyle="1" w:styleId="NormalWebChar1">
    <w:name w:val="Normal (Web) Char1"/>
    <w:aliases w:val="Normal (Web) Char Char Char1,Normal (Web) Char Char1"/>
    <w:link w:val="NormalWeb"/>
    <w:locked/>
    <w:rsid w:val="0058286C"/>
    <w:rPr>
      <w:sz w:val="24"/>
      <w:szCs w:val="24"/>
      <w:lang w:val="en-US" w:eastAsia="en-US" w:bidi="ar-SA"/>
    </w:rPr>
  </w:style>
  <w:style w:type="character" w:customStyle="1" w:styleId="def">
    <w:name w:val="def"/>
    <w:basedOn w:val="DefaultParagraphFont"/>
    <w:rsid w:val="002F4004"/>
  </w:style>
  <w:style w:type="paragraph" w:styleId="HTMLAddress">
    <w:name w:val="HTML Address"/>
    <w:basedOn w:val="Normal"/>
    <w:link w:val="HTMLAddressChar"/>
    <w:rsid w:val="002F4004"/>
    <w:rPr>
      <w:i/>
      <w:iCs/>
    </w:rPr>
  </w:style>
  <w:style w:type="paragraph" w:customStyle="1" w:styleId="CharCharCaracter1CharCharCaracterCharCharCaracterCharCharCaracterCharCharCaracter0">
    <w:name w:val="Char Char Caracter1 Char Char Caracter Char Char Caracter Char Char Caracter Char Char Caracter"/>
    <w:basedOn w:val="Normal"/>
    <w:rsid w:val="00DC571A"/>
    <w:rPr>
      <w:lang w:val="pl-PL" w:eastAsia="pl-PL"/>
    </w:rPr>
  </w:style>
  <w:style w:type="paragraph" w:customStyle="1" w:styleId="Char">
    <w:name w:val="Char"/>
    <w:basedOn w:val="Normal"/>
    <w:rsid w:val="00E04691"/>
    <w:rPr>
      <w:lang w:val="pl-PL" w:eastAsia="pl-PL"/>
    </w:rPr>
  </w:style>
  <w:style w:type="paragraph" w:styleId="BodyText2">
    <w:name w:val="Body Text 2"/>
    <w:aliases w:val="Body Text Numbered Char Char,Body Text Numbered Char,Body Text Numbered"/>
    <w:basedOn w:val="Normal"/>
    <w:link w:val="BodyText2Char"/>
    <w:rsid w:val="00B14C00"/>
    <w:pPr>
      <w:spacing w:after="120" w:line="480" w:lineRule="auto"/>
    </w:pPr>
  </w:style>
  <w:style w:type="character" w:customStyle="1" w:styleId="BodyText2Char">
    <w:name w:val="Body Text 2 Char"/>
    <w:aliases w:val="Body Text Numbered Char Char Char1,Body Text Numbered Char Char1,Body Text Numbered Char1"/>
    <w:link w:val="BodyText2"/>
    <w:rsid w:val="0058286C"/>
    <w:rPr>
      <w:sz w:val="24"/>
      <w:szCs w:val="24"/>
      <w:lang w:val="en-US" w:eastAsia="en-US" w:bidi="ar-SA"/>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195488"/>
    <w:rPr>
      <w:lang w:val="pl-PL" w:eastAsia="pl-PL"/>
    </w:rPr>
  </w:style>
  <w:style w:type="character" w:customStyle="1" w:styleId="CharChar4">
    <w:name w:val="Char Char4"/>
    <w:rsid w:val="003B776A"/>
    <w:rPr>
      <w:rFonts w:ascii="Calibri" w:hAnsi="Calibri"/>
      <w:sz w:val="24"/>
      <w:szCs w:val="24"/>
      <w:lang w:val="en-US" w:eastAsia="en-US" w:bidi="ar-SA"/>
    </w:rPr>
  </w:style>
  <w:style w:type="paragraph" w:customStyle="1" w:styleId="CaracterCaracter0">
    <w:name w:val="Caracter Caracter"/>
    <w:basedOn w:val="Normal"/>
    <w:rsid w:val="00B01C8B"/>
    <w:rPr>
      <w:lang w:val="pl-PL" w:eastAsia="pl-PL"/>
    </w:rPr>
  </w:style>
  <w:style w:type="character" w:styleId="CommentReference">
    <w:name w:val="annotation reference"/>
    <w:rsid w:val="00236AA3"/>
    <w:rPr>
      <w:sz w:val="16"/>
      <w:szCs w:val="16"/>
    </w:rPr>
  </w:style>
  <w:style w:type="paragraph" w:styleId="CommentText">
    <w:name w:val="annotation text"/>
    <w:basedOn w:val="Normal"/>
    <w:link w:val="CommentTextChar"/>
    <w:rsid w:val="00236AA3"/>
    <w:rPr>
      <w:sz w:val="20"/>
      <w:szCs w:val="20"/>
    </w:rPr>
  </w:style>
  <w:style w:type="paragraph" w:styleId="CommentSubject">
    <w:name w:val="annotation subject"/>
    <w:basedOn w:val="CommentText"/>
    <w:next w:val="CommentText"/>
    <w:link w:val="CommentSubjectChar"/>
    <w:rsid w:val="00236AA3"/>
    <w:rPr>
      <w:b/>
      <w:bCs/>
    </w:rPr>
  </w:style>
  <w:style w:type="paragraph" w:styleId="BalloonText">
    <w:name w:val="Balloon Text"/>
    <w:basedOn w:val="Normal"/>
    <w:rsid w:val="00236AA3"/>
    <w:rPr>
      <w:rFonts w:ascii="Tahoma" w:hAnsi="Tahoma" w:cs="Tahoma"/>
      <w:sz w:val="16"/>
      <w:szCs w:val="16"/>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485DB0"/>
    <w:rPr>
      <w:lang w:val="pl-PL" w:eastAsia="pl-PL"/>
    </w:rPr>
  </w:style>
  <w:style w:type="paragraph" w:customStyle="1" w:styleId="CaracterCharCharCaracterCharCharCaracter">
    <w:name w:val="Caracter Char Char Caracter Char Char Caracter"/>
    <w:basedOn w:val="Normal"/>
    <w:rsid w:val="00E160D4"/>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4B5"/>
    <w:rPr>
      <w:lang w:val="pl-PL" w:eastAsia="pl-PL"/>
    </w:rPr>
  </w:style>
  <w:style w:type="paragraph" w:customStyle="1" w:styleId="CaracterCaracter5CharCharCaracterCaracterCharCharCaracterCaracter">
    <w:name w:val="Caracter Caracter5 Char Char Caracter Caracter Char Char Caracter Caracter"/>
    <w:basedOn w:val="Normal"/>
    <w:rsid w:val="007304B5"/>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4B5"/>
    <w:rPr>
      <w:lang w:val="pl-PL" w:eastAsia="pl-PL"/>
    </w:rPr>
  </w:style>
  <w:style w:type="paragraph" w:customStyle="1" w:styleId="CharCharCharChar">
    <w:name w:val="Char Char Char Char"/>
    <w:basedOn w:val="Normal"/>
    <w:rsid w:val="007304B5"/>
    <w:rPr>
      <w:lang w:val="pl-PL" w:eastAsia="pl-PL"/>
    </w:rPr>
  </w:style>
  <w:style w:type="paragraph" w:customStyle="1" w:styleId="CaracterCaracter10">
    <w:name w:val="Caracter Caracter1"/>
    <w:basedOn w:val="Normal"/>
    <w:rsid w:val="00B1307C"/>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5D483C"/>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2064B2"/>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D60582"/>
    <w:rPr>
      <w:lang w:val="pl-PL" w:eastAsia="pl-PL"/>
    </w:rPr>
  </w:style>
  <w:style w:type="character" w:styleId="Strong">
    <w:name w:val="Strong"/>
    <w:qFormat/>
    <w:locked/>
    <w:rsid w:val="00D60582"/>
    <w:rPr>
      <w:b/>
      <w:bCs/>
    </w:rPr>
  </w:style>
  <w:style w:type="character" w:styleId="FollowedHyperlink">
    <w:name w:val="FollowedHyperlink"/>
    <w:rsid w:val="000E0FB3"/>
    <w:rPr>
      <w:color w:val="800080"/>
      <w:u w:val="single"/>
    </w:rPr>
  </w:style>
  <w:style w:type="character" w:customStyle="1" w:styleId="CharChar5">
    <w:name w:val="Char Char5"/>
    <w:locked/>
    <w:rsid w:val="000E0FB3"/>
    <w:rPr>
      <w:rFonts w:ascii="Calibri" w:hAnsi="Calibri"/>
      <w:sz w:val="24"/>
      <w:szCs w:val="24"/>
      <w:lang w:val="en-US" w:eastAsia="en-US" w:bidi="ar-SA"/>
    </w:rPr>
  </w:style>
  <w:style w:type="character" w:customStyle="1" w:styleId="CharChar2">
    <w:name w:val="Char Char2"/>
    <w:locked/>
    <w:rsid w:val="000E0FB3"/>
    <w:rPr>
      <w:rFonts w:ascii="Garamond" w:hAnsi="Garamond" w:cs="Garamond"/>
      <w:sz w:val="24"/>
      <w:szCs w:val="24"/>
      <w:lang w:val="ro-RO" w:eastAsia="ro-RO" w:bidi="ar-SA"/>
    </w:rPr>
  </w:style>
  <w:style w:type="character" w:customStyle="1" w:styleId="CharChar">
    <w:name w:val="Char Char"/>
    <w:semiHidden/>
    <w:locked/>
    <w:rsid w:val="000E0FB3"/>
    <w:rPr>
      <w:sz w:val="24"/>
      <w:szCs w:val="24"/>
      <w:lang w:val="en-US" w:eastAsia="en-US" w:bidi="ar-SA"/>
    </w:rPr>
  </w:style>
  <w:style w:type="character" w:customStyle="1" w:styleId="CharChar1">
    <w:name w:val="Char Char1"/>
    <w:semiHidden/>
    <w:locked/>
    <w:rsid w:val="000E0FB3"/>
    <w:rPr>
      <w:rFonts w:ascii="SimSun" w:eastAsia="SimSun"/>
      <w:sz w:val="28"/>
      <w:szCs w:val="28"/>
      <w:lang w:val="ro-RO" w:eastAsia="ro-RO" w:bidi="ar-SA"/>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0E0FB3"/>
    <w:rPr>
      <w:lang w:val="pl-PL" w:eastAsia="pl-PL"/>
    </w:rPr>
  </w:style>
  <w:style w:type="paragraph" w:customStyle="1" w:styleId="CaracterCaracter40">
    <w:name w:val="Caracter Caracter4"/>
    <w:basedOn w:val="Normal"/>
    <w:rsid w:val="000E0FB3"/>
    <w:rPr>
      <w:lang w:val="pl-PL" w:eastAsia="pl-PL"/>
    </w:rPr>
  </w:style>
  <w:style w:type="paragraph" w:customStyle="1" w:styleId="Char0">
    <w:name w:val="Char"/>
    <w:basedOn w:val="Normal"/>
    <w:rsid w:val="000E0FB3"/>
    <w:rPr>
      <w:lang w:val="pl-PL" w:eastAsia="pl-PL"/>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0E0FB3"/>
    <w:rPr>
      <w:lang w:val="pl-PL" w:eastAsia="pl-PL"/>
    </w:rPr>
  </w:style>
  <w:style w:type="paragraph" w:customStyle="1" w:styleId="CaracterCaracter5CharCharCaracterCaracterCharCharCaracterCaracter0">
    <w:name w:val="Caracter Caracter5 Char Char Caracter Caracter Char Char Caracter Caracter"/>
    <w:basedOn w:val="Normal"/>
    <w:rsid w:val="000E0FB3"/>
    <w:rPr>
      <w:lang w:val="pl-PL" w:eastAsia="pl-PL"/>
    </w:rPr>
  </w:style>
  <w:style w:type="paragraph" w:customStyle="1" w:styleId="CaracterCaracter5CharCharCaracterCaracterCharCharCaracterCaracterCharChar0">
    <w:name w:val="Caracter Caracter5 Char Char Caracter Caracter Char Char Caracter Caracter Char Char"/>
    <w:basedOn w:val="Normal"/>
    <w:rsid w:val="000E0FB3"/>
    <w:rPr>
      <w:lang w:val="pl-PL" w:eastAsia="pl-PL"/>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0E0FB3"/>
    <w:rPr>
      <w:lang w:val="pl-PL" w:eastAsia="pl-PL"/>
    </w:rPr>
  </w:style>
  <w:style w:type="paragraph" w:customStyle="1" w:styleId="CharCharCharChar0">
    <w:name w:val="Char Char Char Char"/>
    <w:basedOn w:val="Normal"/>
    <w:rsid w:val="000E0FB3"/>
    <w:rPr>
      <w:lang w:val="pl-PL" w:eastAsia="pl-PL"/>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0E0FB3"/>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0E0FB3"/>
    <w:rPr>
      <w:lang w:val="pl-PL" w:eastAsia="pl-PL"/>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0E0FB3"/>
    <w:rPr>
      <w:lang w:val="pl-PL" w:eastAsia="pl-PL"/>
    </w:rPr>
  </w:style>
  <w:style w:type="character" w:customStyle="1" w:styleId="CharChar40">
    <w:name w:val="Char Char4"/>
    <w:rsid w:val="000E0FB3"/>
    <w:rPr>
      <w:rFonts w:ascii="Calibri" w:hAnsi="Calibri" w:hint="default"/>
      <w:sz w:val="24"/>
      <w:szCs w:val="24"/>
      <w:lang w:val="en-US" w:eastAsia="en-US" w:bidi="ar-SA"/>
    </w:rPr>
  </w:style>
  <w:style w:type="paragraph" w:customStyle="1" w:styleId="Listparagraf">
    <w:name w:val="Listă paragraf"/>
    <w:basedOn w:val="Normal"/>
    <w:link w:val="ListparagrafCaracter"/>
    <w:qFormat/>
    <w:rsid w:val="00EF5A90"/>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1E6F1A"/>
    <w:rPr>
      <w:lang w:val="pl-PL" w:eastAsia="pl-PL"/>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89531D"/>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BD044B"/>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850B93"/>
    <w:rPr>
      <w:lang w:val="pl-PL" w:eastAsia="pl-PL"/>
    </w:rPr>
  </w:style>
  <w:style w:type="paragraph" w:styleId="EndnoteText">
    <w:name w:val="endnote text"/>
    <w:basedOn w:val="Normal"/>
    <w:link w:val="EndnoteTextChar"/>
    <w:rsid w:val="004C4F68"/>
    <w:rPr>
      <w:sz w:val="20"/>
      <w:szCs w:val="20"/>
    </w:rPr>
  </w:style>
  <w:style w:type="character" w:styleId="EndnoteReference">
    <w:name w:val="endnote reference"/>
    <w:rsid w:val="004C4F68"/>
    <w:rPr>
      <w:vertAlign w:val="superscript"/>
    </w:rPr>
  </w:style>
  <w:style w:type="paragraph" w:customStyle="1" w:styleId="CaracterCaracter1CharChar1CaracterCaracter">
    <w:name w:val="Caracter Caracter1 Char Char1 Caracter Caracter"/>
    <w:basedOn w:val="Normal"/>
    <w:rsid w:val="008A6373"/>
    <w:rPr>
      <w:lang w:val="pl-PL" w:eastAsia="pl-PL"/>
    </w:rPr>
  </w:style>
  <w:style w:type="paragraph" w:customStyle="1" w:styleId="Default">
    <w:name w:val="Default"/>
    <w:rsid w:val="008A6373"/>
    <w:pPr>
      <w:autoSpaceDE w:val="0"/>
      <w:autoSpaceDN w:val="0"/>
      <w:adjustRightInd w:val="0"/>
    </w:pPr>
    <w:rPr>
      <w:color w:val="000000"/>
      <w:sz w:val="24"/>
      <w:szCs w:val="24"/>
      <w:lang w:val="en-US" w:eastAsia="en-US"/>
    </w:rPr>
  </w:style>
  <w:style w:type="paragraph" w:customStyle="1" w:styleId="DefaultText1">
    <w:name w:val="Default Text:1"/>
    <w:basedOn w:val="Normal"/>
    <w:rsid w:val="00D76986"/>
    <w:rPr>
      <w:snapToGrid w:val="0"/>
      <w:szCs w:val="20"/>
    </w:rPr>
  </w:style>
  <w:style w:type="paragraph" w:styleId="ListBullet">
    <w:name w:val="List Bullet"/>
    <w:aliases w:val="List Bullet Char1,List Bullet Char Char, Char Char Char,Char Char Char"/>
    <w:basedOn w:val="Normal"/>
    <w:rsid w:val="003F3B1B"/>
    <w:pPr>
      <w:numPr>
        <w:numId w:val="2"/>
      </w:numPr>
      <w:spacing w:after="240" w:line="264" w:lineRule="auto"/>
    </w:pPr>
  </w:style>
  <w:style w:type="paragraph" w:customStyle="1" w:styleId="CharCharCaracterCaracter">
    <w:name w:val="Char Char Caracter Caracter"/>
    <w:basedOn w:val="Normal"/>
    <w:rsid w:val="00CE3278"/>
    <w:rPr>
      <w:lang w:val="pl-PL" w:eastAsia="pl-PL"/>
    </w:rPr>
  </w:style>
  <w:style w:type="paragraph" w:customStyle="1" w:styleId="Char3CharCharChar">
    <w:name w:val="Char3 Char Char Char"/>
    <w:basedOn w:val="Normal"/>
    <w:rsid w:val="00A10F44"/>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8E0234"/>
    <w:rPr>
      <w:lang w:val="pl-PL" w:eastAsia="pl-PL"/>
    </w:rPr>
  </w:style>
  <w:style w:type="paragraph" w:styleId="NoSpacing">
    <w:name w:val="No Spacing"/>
    <w:link w:val="NoSpacingChar"/>
    <w:qFormat/>
    <w:rsid w:val="008E0234"/>
    <w:rPr>
      <w:sz w:val="24"/>
      <w:szCs w:val="24"/>
    </w:rPr>
  </w:style>
  <w:style w:type="paragraph" w:customStyle="1" w:styleId="CaracterCaracterCharChar1CaracterCaracterCharCharCaracterCaracter">
    <w:name w:val="Caracter Caracter Char Char1 Caracter Caracter Char Char Caracter Caracter"/>
    <w:basedOn w:val="Normal"/>
    <w:rsid w:val="005C380A"/>
    <w:pPr>
      <w:spacing w:after="160" w:line="240" w:lineRule="exact"/>
    </w:pPr>
    <w:rPr>
      <w:rFonts w:ascii="Tahoma" w:hAnsi="Tahoma"/>
      <w:sz w:val="20"/>
      <w:szCs w:val="20"/>
    </w:rPr>
  </w:style>
  <w:style w:type="paragraph" w:styleId="BodyTextIndent">
    <w:name w:val="Body Text Indent"/>
    <w:basedOn w:val="Normal"/>
    <w:link w:val="BodyTextIndentChar"/>
    <w:rsid w:val="00C75117"/>
    <w:pPr>
      <w:spacing w:after="120"/>
      <w:ind w:left="360"/>
    </w:pPr>
  </w:style>
  <w:style w:type="character" w:customStyle="1" w:styleId="Indrumare">
    <w:name w:val="Indrumare"/>
    <w:rsid w:val="00C75117"/>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3B7F87"/>
    <w:rPr>
      <w:lang w:val="pl-PL" w:eastAsia="pl-PL"/>
    </w:rPr>
  </w:style>
  <w:style w:type="character" w:customStyle="1" w:styleId="apple-style-span">
    <w:name w:val="apple-style-span"/>
    <w:basedOn w:val="DefaultParagraphFont"/>
    <w:rsid w:val="00C95FDD"/>
  </w:style>
  <w:style w:type="character" w:styleId="Emphasis">
    <w:name w:val="Emphasis"/>
    <w:uiPriority w:val="20"/>
    <w:qFormat/>
    <w:rsid w:val="00C95FDD"/>
    <w:rPr>
      <w:i/>
      <w:iCs/>
    </w:rPr>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4D64C9"/>
    <w:rPr>
      <w:lang w:val="pl-PL" w:eastAsia="pl-PL"/>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4F7100"/>
    <w:rPr>
      <w:lang w:val="pl-PL" w:eastAsia="pl-PL"/>
    </w:rPr>
  </w:style>
  <w:style w:type="paragraph" w:customStyle="1" w:styleId="CharChar3CaracterCaracterCharCharCaracterCaracter">
    <w:name w:val="Char Char3 Caracter Caracter Char Char Caracter Caracter"/>
    <w:basedOn w:val="Normal"/>
    <w:rsid w:val="00E60A77"/>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0612D"/>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02471"/>
    <w:rPr>
      <w:lang w:val="pl-PL" w:eastAsia="pl-PL"/>
    </w:rPr>
  </w:style>
  <w:style w:type="paragraph" w:customStyle="1" w:styleId="CharChar3CaracterCaracterCharCharCaracterCaracter1">
    <w:name w:val="Char Char3 Caracter Caracter Char Char Caracter Caracter1"/>
    <w:basedOn w:val="Normal"/>
    <w:rsid w:val="00BF2294"/>
    <w:rPr>
      <w:lang w:val="pl-PL" w:eastAsia="pl-PL"/>
    </w:rPr>
  </w:style>
  <w:style w:type="character" w:customStyle="1" w:styleId="gt-icon-text1">
    <w:name w:val="gt-icon-text1"/>
    <w:basedOn w:val="DefaultParagraphFont"/>
    <w:rsid w:val="00A63DC9"/>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3C33EF"/>
    <w:rPr>
      <w:lang w:val="pl-PL" w:eastAsia="pl-PL"/>
    </w:rPr>
  </w:style>
  <w:style w:type="character" w:customStyle="1" w:styleId="FontStyle23">
    <w:name w:val="Font Style23"/>
    <w:rsid w:val="00965CCC"/>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634A3E"/>
    <w:rPr>
      <w:lang w:val="pl-PL" w:eastAsia="pl-PL"/>
    </w:rPr>
  </w:style>
  <w:style w:type="paragraph" w:customStyle="1" w:styleId="CaracterCaracter1Caracter">
    <w:name w:val="Caracter Caracter1 Caracter"/>
    <w:basedOn w:val="Normal"/>
    <w:rsid w:val="00D01DFF"/>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FC2F72"/>
    <w:rPr>
      <w:lang w:val="pl-PL" w:eastAsia="pl-PL"/>
    </w:rPr>
  </w:style>
  <w:style w:type="paragraph" w:customStyle="1" w:styleId="msonormalcxspmiddle">
    <w:name w:val="msonormalcxspmiddle"/>
    <w:basedOn w:val="Normal"/>
    <w:rsid w:val="00FC2F72"/>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C73B9D"/>
    <w:rPr>
      <w:lang w:val="pl-PL" w:eastAsia="pl-PL"/>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7A5CF0"/>
    <w:rPr>
      <w:lang w:val="pl-PL" w:eastAsia="pl-PL"/>
    </w:rPr>
  </w:style>
  <w:style w:type="paragraph" w:customStyle="1" w:styleId="s11">
    <w:name w:val="s11"/>
    <w:basedOn w:val="Normal"/>
    <w:rsid w:val="00E359E6"/>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685469"/>
    <w:rPr>
      <w:lang w:val="pl-PL" w:eastAsia="pl-PL"/>
    </w:rPr>
  </w:style>
  <w:style w:type="paragraph" w:customStyle="1" w:styleId="CaracterCaracterCharCharCaracterCaracterCharCharCaracterCaracter">
    <w:name w:val="Caracter Caracter Char Char Caracter Caracter Char Char Caracter Caracter"/>
    <w:basedOn w:val="Normal"/>
    <w:rsid w:val="00784FF7"/>
    <w:rPr>
      <w:lang w:val="pl-PL" w:eastAsia="pl-PL"/>
    </w:rPr>
  </w:style>
  <w:style w:type="paragraph" w:customStyle="1" w:styleId="fright">
    <w:name w:val="fright"/>
    <w:basedOn w:val="Normal"/>
    <w:rsid w:val="00A06E51"/>
  </w:style>
  <w:style w:type="paragraph" w:customStyle="1" w:styleId="CaracterCaracter1CharCharCaracterCaracter1CharCharCaracterCaracter">
    <w:name w:val="Caracter Caracter1 Char Char Caracter Caracter1 Char Char Caracter Caracter"/>
    <w:basedOn w:val="Normal"/>
    <w:rsid w:val="00682F42"/>
    <w:rPr>
      <w:lang w:val="pl-PL" w:eastAsia="pl-PL"/>
    </w:rPr>
  </w:style>
  <w:style w:type="character" w:customStyle="1" w:styleId="hps">
    <w:name w:val="hps"/>
    <w:basedOn w:val="DefaultParagraphFont"/>
    <w:rsid w:val="00D244AB"/>
  </w:style>
  <w:style w:type="character" w:customStyle="1" w:styleId="atn">
    <w:name w:val="atn"/>
    <w:basedOn w:val="DefaultParagraphFont"/>
    <w:rsid w:val="002B06AA"/>
  </w:style>
  <w:style w:type="character" w:customStyle="1" w:styleId="hpsatn">
    <w:name w:val="hps atn"/>
    <w:basedOn w:val="DefaultParagraphFont"/>
    <w:rsid w:val="006E3FF1"/>
  </w:style>
  <w:style w:type="paragraph" w:customStyle="1" w:styleId="a3520normal">
    <w:name w:val="a___35__20_normal"/>
    <w:basedOn w:val="Normal"/>
    <w:rsid w:val="005464FD"/>
    <w:pPr>
      <w:spacing w:after="120"/>
    </w:pPr>
  </w:style>
  <w:style w:type="paragraph" w:customStyle="1" w:styleId="asous-titre201p8">
    <w:name w:val="a_sous-titre_20_1_p8"/>
    <w:basedOn w:val="Normal"/>
    <w:rsid w:val="005464FD"/>
    <w:pPr>
      <w:spacing w:before="240" w:after="80"/>
    </w:pPr>
    <w:rPr>
      <w:b/>
      <w:bCs/>
    </w:rPr>
  </w:style>
  <w:style w:type="character" w:customStyle="1" w:styleId="at4">
    <w:name w:val="a__t4"/>
    <w:basedOn w:val="DefaultParagraphFont"/>
    <w:rsid w:val="005464FD"/>
  </w:style>
  <w:style w:type="character" w:customStyle="1" w:styleId="italic1">
    <w:name w:val="italic1"/>
    <w:rsid w:val="00986222"/>
    <w:rPr>
      <w:i/>
      <w:iCs/>
    </w:rPr>
  </w:style>
  <w:style w:type="paragraph" w:customStyle="1" w:styleId="atexte201tiret201">
    <w:name w:val="a_texte_20_1_tiret_20_1"/>
    <w:basedOn w:val="Normal"/>
    <w:rsid w:val="007C27AB"/>
    <w:pPr>
      <w:spacing w:after="40"/>
    </w:pPr>
  </w:style>
  <w:style w:type="paragraph" w:customStyle="1" w:styleId="atiret201p9">
    <w:name w:val="a_tiret_20_1_p9"/>
    <w:basedOn w:val="Normal"/>
    <w:rsid w:val="007C27AB"/>
    <w:pPr>
      <w:spacing w:after="40"/>
    </w:pPr>
  </w:style>
  <w:style w:type="character" w:customStyle="1" w:styleId="at3">
    <w:name w:val="a__t3"/>
    <w:basedOn w:val="DefaultParagraphFont"/>
    <w:rsid w:val="007C27AB"/>
  </w:style>
  <w:style w:type="character" w:customStyle="1" w:styleId="at71">
    <w:name w:val="a__t71"/>
    <w:rsid w:val="007C27AB"/>
    <w:rPr>
      <w:color w:val="000000"/>
    </w:rPr>
  </w:style>
  <w:style w:type="character" w:customStyle="1" w:styleId="at51">
    <w:name w:val="a__t51"/>
    <w:rsid w:val="007C27AB"/>
    <w:rPr>
      <w:u w:val="single"/>
    </w:rPr>
  </w:style>
  <w:style w:type="paragraph" w:customStyle="1" w:styleId="CharCharCaracterCaracterCharCharCaracterCaracter">
    <w:name w:val="Char Char Caracter Caracter Char Char Caracter Caracter"/>
    <w:basedOn w:val="Normal"/>
    <w:rsid w:val="003635E6"/>
    <w:rPr>
      <w:lang w:val="pl-PL" w:eastAsia="pl-PL"/>
    </w:rPr>
  </w:style>
  <w:style w:type="paragraph" w:customStyle="1" w:styleId="CharCharCaracterCaracterCharCharCaracterCaracterCharChar">
    <w:name w:val="Char Char Caracter Caracter Char Char Caracter Caracter Char Char"/>
    <w:basedOn w:val="Normal"/>
    <w:rsid w:val="00C209D6"/>
    <w:rPr>
      <w:lang w:val="pl-PL" w:eastAsia="pl-PL"/>
    </w:rPr>
  </w:style>
  <w:style w:type="paragraph" w:customStyle="1" w:styleId="CaracterCaracterCharChar">
    <w:name w:val="Caracter Caracter Char Char"/>
    <w:basedOn w:val="Normal"/>
    <w:rsid w:val="00294929"/>
    <w:rPr>
      <w:lang w:val="pl-PL" w:eastAsia="pl-PL"/>
    </w:rPr>
  </w:style>
  <w:style w:type="paragraph" w:customStyle="1" w:styleId="a3520normalp4">
    <w:name w:val="a__35__20_normal_p4"/>
    <w:basedOn w:val="Normal"/>
    <w:rsid w:val="00F24101"/>
    <w:pPr>
      <w:spacing w:after="120"/>
    </w:pPr>
  </w:style>
  <w:style w:type="paragraph" w:customStyle="1" w:styleId="a3520normalp5">
    <w:name w:val="a__35__20_normal_p5"/>
    <w:basedOn w:val="Normal"/>
    <w:rsid w:val="00F24101"/>
    <w:pPr>
      <w:spacing w:after="120"/>
    </w:pPr>
  </w:style>
  <w:style w:type="paragraph" w:customStyle="1" w:styleId="asous-titre201p9">
    <w:name w:val="a_sous-titre_20_1_p9"/>
    <w:basedOn w:val="Normal"/>
    <w:rsid w:val="00F24101"/>
    <w:pPr>
      <w:spacing w:before="240" w:after="80"/>
    </w:pPr>
    <w:rPr>
      <w:b/>
      <w:bCs/>
    </w:rPr>
  </w:style>
  <w:style w:type="character" w:customStyle="1" w:styleId="at61">
    <w:name w:val="a__t61"/>
    <w:rsid w:val="00F24101"/>
    <w:rPr>
      <w:color w:val="0000FF"/>
    </w:rPr>
  </w:style>
  <w:style w:type="paragraph" w:customStyle="1" w:styleId="CharChar3CaracterCaracter1CharChar">
    <w:name w:val="Char Char3 Caracter Caracter1 Char Char"/>
    <w:basedOn w:val="Normal"/>
    <w:rsid w:val="00CF11BB"/>
    <w:rPr>
      <w:lang w:val="pl-PL" w:eastAsia="pl-PL"/>
    </w:rPr>
  </w:style>
  <w:style w:type="paragraph" w:customStyle="1" w:styleId="CaracterCaracter6">
    <w:name w:val="Caracter Caracter6"/>
    <w:basedOn w:val="Normal"/>
    <w:rsid w:val="009E7207"/>
    <w:rPr>
      <w:lang w:val="pl-PL" w:eastAsia="pl-PL"/>
    </w:rPr>
  </w:style>
  <w:style w:type="character" w:customStyle="1" w:styleId="do1">
    <w:name w:val="do1"/>
    <w:rsid w:val="00A47295"/>
    <w:rPr>
      <w:b/>
      <w:bCs/>
      <w:sz w:val="26"/>
      <w:szCs w:val="26"/>
    </w:rPr>
  </w:style>
  <w:style w:type="character" w:customStyle="1" w:styleId="tli1">
    <w:name w:val="tli1"/>
    <w:basedOn w:val="DefaultParagraphFont"/>
    <w:rsid w:val="00A47295"/>
  </w:style>
  <w:style w:type="paragraph" w:customStyle="1" w:styleId="msolistparagraph0">
    <w:name w:val="msolistparagraph"/>
    <w:basedOn w:val="Normal"/>
    <w:rsid w:val="00A47295"/>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6430AA"/>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441E8A"/>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5D02CA"/>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902A9"/>
    <w:rPr>
      <w:lang w:val="pl-PL" w:eastAsia="pl-PL"/>
    </w:rPr>
  </w:style>
  <w:style w:type="paragraph" w:customStyle="1" w:styleId="style3">
    <w:name w:val="style3"/>
    <w:basedOn w:val="Normal"/>
    <w:rsid w:val="00F37476"/>
    <w:pPr>
      <w:spacing w:before="100" w:beforeAutospacing="1" w:after="100" w:afterAutospacing="1"/>
    </w:pPr>
  </w:style>
  <w:style w:type="paragraph" w:customStyle="1" w:styleId="TableText">
    <w:name w:val="Table Text"/>
    <w:basedOn w:val="Normal"/>
    <w:rsid w:val="00320196"/>
    <w:pPr>
      <w:tabs>
        <w:tab w:val="decimal" w:pos="0"/>
      </w:tabs>
    </w:pPr>
    <w:rPr>
      <w:snapToGrid w:val="0"/>
      <w:szCs w:val="20"/>
    </w:rPr>
  </w:style>
  <w:style w:type="paragraph" w:customStyle="1" w:styleId="CaracterCaracter6CharCharCaracterCaracterCaracterCaracterCharCharCaracterCaracter0">
    <w:name w:val="Caracter Caracter6 Char Char Caracter Caracter Caracter Caracter Char Char Caracter Caracter"/>
    <w:basedOn w:val="Normal"/>
    <w:rsid w:val="00E01A82"/>
    <w:rPr>
      <w:lang w:val="pl-PL" w:eastAsia="pl-PL"/>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E01A82"/>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3162BF"/>
    <w:rPr>
      <w:lang w:val="pl-PL" w:eastAsia="pl-PL"/>
    </w:rPr>
  </w:style>
  <w:style w:type="paragraph" w:customStyle="1" w:styleId="CharChar3CaracterCaracter1CharCharCaracterCaracter">
    <w:name w:val="Char Char3 Caracter Caracter1 Char Char Caracter Caracter"/>
    <w:basedOn w:val="Normal"/>
    <w:rsid w:val="001A4ADC"/>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1A4ADC"/>
    <w:pPr>
      <w:spacing w:after="160" w:line="240" w:lineRule="exact"/>
    </w:pPr>
    <w:rPr>
      <w:sz w:val="20"/>
      <w:szCs w:val="20"/>
      <w:vertAlign w:val="superscript"/>
      <w:lang w:val="ro-RO" w:eastAsia="ro-RO"/>
    </w:rPr>
  </w:style>
  <w:style w:type="paragraph" w:customStyle="1" w:styleId="Normal10pt">
    <w:name w:val="Normal + 10 pt"/>
    <w:basedOn w:val="Normal"/>
    <w:rsid w:val="001A4ADC"/>
    <w:rPr>
      <w:sz w:val="20"/>
      <w:szCs w:val="20"/>
    </w:rPr>
  </w:style>
  <w:style w:type="paragraph" w:customStyle="1" w:styleId="astandard3520normal">
    <w:name w:val="a_standard__35__20_normal"/>
    <w:basedOn w:val="Normal"/>
    <w:rsid w:val="001A4ADC"/>
    <w:pPr>
      <w:spacing w:after="120"/>
      <w:ind w:right="57"/>
      <w:jc w:val="both"/>
    </w:pPr>
  </w:style>
  <w:style w:type="character" w:customStyle="1" w:styleId="at1">
    <w:name w:val="a__t1"/>
    <w:basedOn w:val="DefaultParagraphFont"/>
    <w:rsid w:val="001A4ADC"/>
  </w:style>
  <w:style w:type="paragraph" w:customStyle="1" w:styleId="Style35001908">
    <w:name w:val="Style35001908"/>
    <w:basedOn w:val="Normal"/>
    <w:rsid w:val="001A4ADC"/>
    <w:pPr>
      <w:widowControl w:val="0"/>
      <w:autoSpaceDE w:val="0"/>
      <w:autoSpaceDN w:val="0"/>
      <w:adjustRightInd w:val="0"/>
    </w:pPr>
  </w:style>
  <w:style w:type="paragraph" w:customStyle="1" w:styleId="CharChar3CaracterCaracter1CharCharCaracterCaracterCharChar">
    <w:name w:val="Char Char3 Caracter Caracter1 Char Char Caracter Caracter Char Char"/>
    <w:basedOn w:val="Normal"/>
    <w:rsid w:val="005319E9"/>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656D2B"/>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656D2B"/>
    <w:pPr>
      <w:spacing w:after="160" w:line="240" w:lineRule="exact"/>
    </w:pPr>
    <w:rPr>
      <w:sz w:val="20"/>
      <w:szCs w:val="20"/>
      <w:vertAlign w:val="superscript"/>
      <w:lang w:val="ro-RO" w:eastAsia="ro-RO"/>
    </w:rPr>
  </w:style>
  <w:style w:type="paragraph" w:customStyle="1" w:styleId="CaracterCaracter2">
    <w:name w:val="Caracter Caracter2"/>
    <w:basedOn w:val="Normal"/>
    <w:rsid w:val="00C33BCE"/>
    <w:rPr>
      <w:lang w:val="pl-PL" w:eastAsia="pl-PL"/>
    </w:rPr>
  </w:style>
  <w:style w:type="paragraph" w:customStyle="1" w:styleId="CharChar3CaracterCaracter1">
    <w:name w:val="Char Char3 Caracter Caracter1"/>
    <w:basedOn w:val="Normal"/>
    <w:rsid w:val="0059755B"/>
    <w:rPr>
      <w:lang w:val="pl-PL" w:eastAsia="pl-PL"/>
    </w:rPr>
  </w:style>
  <w:style w:type="paragraph" w:customStyle="1" w:styleId="CaracterCharCaracterCharChar">
    <w:name w:val="Caracter Char Caracter Char Char"/>
    <w:basedOn w:val="Normal"/>
    <w:rsid w:val="00C57E31"/>
    <w:pPr>
      <w:tabs>
        <w:tab w:val="left" w:pos="709"/>
      </w:tabs>
    </w:pPr>
    <w:rPr>
      <w:rFonts w:ascii="Tahoma" w:hAnsi="Tahoma"/>
      <w:lang w:val="pl-PL" w:eastAsia="pl-PL"/>
    </w:rPr>
  </w:style>
  <w:style w:type="paragraph" w:customStyle="1" w:styleId="S1">
    <w:name w:val="S1"/>
    <w:basedOn w:val="Normal"/>
    <w:rsid w:val="004802A7"/>
    <w:pPr>
      <w:ind w:left="144" w:right="144" w:firstLine="720"/>
      <w:jc w:val="both"/>
    </w:pPr>
    <w:rPr>
      <w:rFonts w:ascii="TimesNewRomanPS" w:hAnsi="TimesNewRomanPS"/>
      <w:sz w:val="36"/>
      <w:szCs w:val="20"/>
    </w:rPr>
  </w:style>
  <w:style w:type="character" w:customStyle="1" w:styleId="FooterChar">
    <w:name w:val="Footer Char"/>
    <w:uiPriority w:val="99"/>
    <w:locked/>
    <w:rsid w:val="00167CF2"/>
    <w:rPr>
      <w:rFonts w:cs="Times New Roman"/>
    </w:rPr>
  </w:style>
  <w:style w:type="paragraph" w:customStyle="1" w:styleId="CharChar3CaracterCaracter1CharCharCaracterCaracter1CaracterCaracter">
    <w:name w:val="Char Char3 Caracter Caracter1 Char Char Caracter Caracter1 Caracter Caracter"/>
    <w:basedOn w:val="Normal"/>
    <w:rsid w:val="00C17D0C"/>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C17D0C"/>
    <w:pPr>
      <w:spacing w:after="160" w:line="240" w:lineRule="exact"/>
    </w:pPr>
    <w:rPr>
      <w:sz w:val="20"/>
      <w:szCs w:val="20"/>
      <w:vertAlign w:val="superscript"/>
      <w:lang w:val="ro-RO" w:eastAsia="ro-RO"/>
    </w:rPr>
  </w:style>
  <w:style w:type="paragraph" w:customStyle="1" w:styleId="CaracterCaracterCharCharCaracterCaracterCharCharCaracterCaracter0">
    <w:name w:val="Caracter Caracter Char Char Caracter Caracter Char Char Caracter Caracter"/>
    <w:basedOn w:val="Normal"/>
    <w:rsid w:val="009B494A"/>
    <w:rPr>
      <w:lang w:val="pl-PL" w:eastAsia="pl-PL"/>
    </w:rPr>
  </w:style>
  <w:style w:type="paragraph" w:customStyle="1" w:styleId="ColorfulList-Accent11">
    <w:name w:val="Colorful List - Accent 11"/>
    <w:basedOn w:val="Normal"/>
    <w:qFormat/>
    <w:rsid w:val="00D25D26"/>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550C9F"/>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550C9F"/>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1A29C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3A55"/>
    <w:pPr>
      <w:spacing w:after="160" w:line="240" w:lineRule="exact"/>
    </w:pPr>
    <w:rPr>
      <w:sz w:val="20"/>
      <w:szCs w:val="20"/>
      <w:vertAlign w:val="superscript"/>
      <w:lang w:val="ro-RO" w:eastAsia="ro-RO"/>
    </w:rPr>
  </w:style>
  <w:style w:type="character" w:customStyle="1" w:styleId="DefaultTextChar">
    <w:name w:val="Default Text Char"/>
    <w:rsid w:val="00335EA5"/>
    <w:rPr>
      <w:sz w:val="24"/>
      <w:szCs w:val="24"/>
      <w:lang w:val="en-US" w:eastAsia="en-US" w:bidi="ar-SA"/>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35EA5"/>
    <w:rPr>
      <w:lang w:val="pl-PL" w:eastAsia="pl-PL"/>
    </w:rPr>
  </w:style>
  <w:style w:type="paragraph" w:styleId="BodyText3">
    <w:name w:val="Body Text 3"/>
    <w:basedOn w:val="Normal"/>
    <w:link w:val="BodyText3Char"/>
    <w:rsid w:val="00AB2CE1"/>
    <w:pPr>
      <w:jc w:val="both"/>
    </w:pPr>
    <w:rPr>
      <w:sz w:val="28"/>
      <w:szCs w:val="20"/>
      <w:lang w:val="en-GB"/>
    </w:rPr>
  </w:style>
  <w:style w:type="character" w:customStyle="1" w:styleId="preambul1">
    <w:name w:val="preambul1"/>
    <w:rsid w:val="00AB2CE1"/>
    <w:rPr>
      <w:i/>
      <w:iCs/>
      <w:color w:val="000000"/>
    </w:rPr>
  </w:style>
  <w:style w:type="paragraph" w:customStyle="1" w:styleId="CaracterCaracter1CharCharCaracterCaracter">
    <w:name w:val="Caracter Caracter1 Char Char Caracter Caracter"/>
    <w:basedOn w:val="Normal"/>
    <w:rsid w:val="00AB2CE1"/>
    <w:rPr>
      <w:lang w:val="pl-PL" w:eastAsia="pl-PL"/>
    </w:rPr>
  </w:style>
  <w:style w:type="paragraph" w:customStyle="1" w:styleId="WW-BodyText3">
    <w:name w:val="WW-Body Text 3"/>
    <w:basedOn w:val="Normal"/>
    <w:rsid w:val="00AB2CE1"/>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AB2CE1"/>
    <w:pPr>
      <w:spacing w:after="120"/>
      <w:ind w:left="283"/>
    </w:pPr>
    <w:rPr>
      <w:sz w:val="16"/>
      <w:szCs w:val="16"/>
      <w:lang w:eastAsia="ro-RO"/>
    </w:rPr>
  </w:style>
  <w:style w:type="character" w:customStyle="1" w:styleId="s41">
    <w:name w:val="s41"/>
    <w:rsid w:val="00AB2CE1"/>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AB2CE1"/>
    <w:pPr>
      <w:jc w:val="center"/>
    </w:pPr>
    <w:rPr>
      <w:sz w:val="36"/>
      <w:szCs w:val="20"/>
      <w:lang w:val="ro-RO"/>
    </w:rPr>
  </w:style>
  <w:style w:type="paragraph" w:customStyle="1" w:styleId="CaracterCharCharCaracterCharCharCaracterCharChar1">
    <w:name w:val="Caracter Char Char Caracter Char Char Caracter Char Char1"/>
    <w:basedOn w:val="Normal"/>
    <w:rsid w:val="00AB2CE1"/>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AB2CE1"/>
    <w:rPr>
      <w:lang w:val="pl-PL" w:eastAsia="pl-PL"/>
    </w:rPr>
  </w:style>
  <w:style w:type="paragraph" w:customStyle="1" w:styleId="CaracterCharCharCaracterCharCharCaracterCharChar">
    <w:name w:val="Caracter Char Char Caracter Char Char Caracter Char Char"/>
    <w:basedOn w:val="Normal"/>
    <w:rsid w:val="00AB2CE1"/>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AB2CE1"/>
    <w:rPr>
      <w:lang w:val="pl-PL" w:eastAsia="pl-PL"/>
    </w:rPr>
  </w:style>
  <w:style w:type="paragraph" w:customStyle="1" w:styleId="char1">
    <w:name w:val="char"/>
    <w:basedOn w:val="Normal"/>
    <w:rsid w:val="00AB2CE1"/>
    <w:rPr>
      <w:rFonts w:ascii="Arial Narrow" w:hAnsi="Arial Narrow"/>
      <w:b/>
      <w:bCs/>
      <w:sz w:val="26"/>
      <w:szCs w:val="26"/>
    </w:rPr>
  </w:style>
  <w:style w:type="paragraph" w:customStyle="1" w:styleId="A11comment">
    <w:name w:val="A 1.1 comment"/>
    <w:basedOn w:val="Normal"/>
    <w:rsid w:val="00AB2CE1"/>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AB2CE1"/>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AB2CE1"/>
    <w:rPr>
      <w:lang w:val="pl-PL" w:eastAsia="pl-PL"/>
    </w:rPr>
  </w:style>
  <w:style w:type="paragraph" w:customStyle="1" w:styleId="MoUparagraphs">
    <w:name w:val="MoU paragraphs"/>
    <w:basedOn w:val="Normal"/>
    <w:link w:val="MoUparagraphsChar"/>
    <w:rsid w:val="00AB2CE1"/>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AB2CE1"/>
    <w:rPr>
      <w:rFonts w:ascii="Calibri" w:hAnsi="Calibri"/>
      <w:lang w:val="en-GB" w:eastAsia="en-US" w:bidi="ar-SA"/>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374C18"/>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374C18"/>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374C18"/>
    <w:pPr>
      <w:spacing w:after="160" w:line="240" w:lineRule="exact"/>
    </w:pPr>
    <w:rPr>
      <w:sz w:val="20"/>
      <w:szCs w:val="20"/>
      <w:vertAlign w:val="superscript"/>
      <w:lang w:val="ro-RO" w:eastAsia="ro-RO"/>
    </w:rPr>
  </w:style>
  <w:style w:type="character" w:customStyle="1" w:styleId="fontstyle63">
    <w:name w:val="fontstyle63"/>
    <w:rsid w:val="00374C18"/>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374C18"/>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374C18"/>
    <w:rPr>
      <w:lang w:val="pl-PL" w:eastAsia="pl-PL"/>
    </w:rPr>
  </w:style>
  <w:style w:type="paragraph" w:customStyle="1" w:styleId="CaracterCaracter1CaracterCaracterCaracter">
    <w:name w:val="Caracter Caracter1 Caracter Caracter Caracter"/>
    <w:basedOn w:val="Normal"/>
    <w:rsid w:val="00374C18"/>
    <w:rPr>
      <w:lang w:val="pl-PL" w:eastAsia="pl-PL"/>
    </w:rPr>
  </w:style>
  <w:style w:type="paragraph" w:customStyle="1" w:styleId="Pa2">
    <w:name w:val="Pa2"/>
    <w:basedOn w:val="Default"/>
    <w:next w:val="Default"/>
    <w:rsid w:val="00374C18"/>
    <w:pPr>
      <w:spacing w:line="241" w:lineRule="atLeast"/>
    </w:pPr>
    <w:rPr>
      <w:rFonts w:ascii="Adobe Garamond Pro" w:hAnsi="Adobe Garamond Pro"/>
      <w:color w:val="auto"/>
    </w:rPr>
  </w:style>
  <w:style w:type="character" w:customStyle="1" w:styleId="A4">
    <w:name w:val="A4"/>
    <w:rsid w:val="00374C18"/>
    <w:rPr>
      <w:rFonts w:cs="Adobe Garamond Pro"/>
      <w:color w:val="000000"/>
      <w:sz w:val="18"/>
      <w:szCs w:val="18"/>
    </w:rPr>
  </w:style>
  <w:style w:type="character" w:customStyle="1" w:styleId="A9">
    <w:name w:val="A9"/>
    <w:rsid w:val="00374C18"/>
    <w:rPr>
      <w:rFonts w:cs="Adobe Garamond Pro"/>
      <w:color w:val="000000"/>
    </w:rPr>
  </w:style>
  <w:style w:type="paragraph" w:customStyle="1" w:styleId="Pa0">
    <w:name w:val="Pa0"/>
    <w:basedOn w:val="Default"/>
    <w:next w:val="Default"/>
    <w:rsid w:val="00374C18"/>
    <w:pPr>
      <w:spacing w:line="241" w:lineRule="atLeast"/>
    </w:pPr>
    <w:rPr>
      <w:rFonts w:ascii="Adobe Garamond Pro Bold" w:hAnsi="Adobe Garamond Pro Bold"/>
      <w:color w:val="auto"/>
    </w:rPr>
  </w:style>
  <w:style w:type="character" w:customStyle="1" w:styleId="A2">
    <w:name w:val="A2"/>
    <w:rsid w:val="00374C18"/>
    <w:rPr>
      <w:rFonts w:cs="Adobe Garamond Pro Bold"/>
      <w:b/>
      <w:bCs/>
      <w:color w:val="000000"/>
      <w:sz w:val="72"/>
      <w:szCs w:val="72"/>
    </w:rPr>
  </w:style>
  <w:style w:type="paragraph" w:customStyle="1" w:styleId="Pa4">
    <w:name w:val="Pa4"/>
    <w:basedOn w:val="Default"/>
    <w:next w:val="Default"/>
    <w:rsid w:val="00374C18"/>
    <w:pPr>
      <w:spacing w:line="241" w:lineRule="atLeast"/>
    </w:pPr>
    <w:rPr>
      <w:rFonts w:ascii="Gabriola" w:hAnsi="Gabriola"/>
      <w:color w:val="auto"/>
    </w:rPr>
  </w:style>
  <w:style w:type="character" w:customStyle="1" w:styleId="A26">
    <w:name w:val="A26"/>
    <w:rsid w:val="00374C18"/>
    <w:rPr>
      <w:rFonts w:cs="Gabriola"/>
      <w:color w:val="000000"/>
      <w:sz w:val="22"/>
      <w:szCs w:val="22"/>
    </w:rPr>
  </w:style>
  <w:style w:type="character" w:customStyle="1" w:styleId="A6">
    <w:name w:val="A6"/>
    <w:rsid w:val="00374C18"/>
    <w:rPr>
      <w:rFonts w:ascii="Legato" w:hAnsi="Legato" w:cs="Legato"/>
      <w:color w:val="000000"/>
      <w:sz w:val="16"/>
      <w:szCs w:val="16"/>
    </w:rPr>
  </w:style>
  <w:style w:type="character" w:customStyle="1" w:styleId="A20">
    <w:name w:val="A20"/>
    <w:rsid w:val="00374C18"/>
    <w:rPr>
      <w:rFonts w:ascii="Gabriola" w:hAnsi="Gabriola" w:cs="Gabriola"/>
      <w:color w:val="000000"/>
      <w:sz w:val="40"/>
      <w:szCs w:val="40"/>
    </w:rPr>
  </w:style>
  <w:style w:type="character" w:customStyle="1" w:styleId="A24">
    <w:name w:val="A24"/>
    <w:rsid w:val="00374C18"/>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374C18"/>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374C18"/>
    <w:rPr>
      <w:lang w:val="pl-PL" w:eastAsia="pl-PL"/>
    </w:rPr>
  </w:style>
  <w:style w:type="paragraph" w:customStyle="1" w:styleId="CaracterCharCharCaracterCharChar">
    <w:name w:val="Caracter Char Char Caracter Char Char"/>
    <w:basedOn w:val="Normal"/>
    <w:rsid w:val="00374C18"/>
    <w:rPr>
      <w:lang w:val="pl-PL" w:eastAsia="pl-PL"/>
    </w:rPr>
  </w:style>
  <w:style w:type="paragraph" w:customStyle="1" w:styleId="BodyText21">
    <w:name w:val="Body Text 21"/>
    <w:basedOn w:val="Normal"/>
    <w:rsid w:val="00374C18"/>
    <w:pPr>
      <w:overflowPunct w:val="0"/>
      <w:autoSpaceDE w:val="0"/>
      <w:autoSpaceDN w:val="0"/>
      <w:adjustRightInd w:val="0"/>
      <w:ind w:firstLine="720"/>
      <w:jc w:val="both"/>
      <w:textAlignment w:val="baseline"/>
    </w:pPr>
    <w:rPr>
      <w:szCs w:val="20"/>
    </w:rPr>
  </w:style>
  <w:style w:type="character" w:customStyle="1" w:styleId="ds251">
    <w:name w:val="ds251"/>
    <w:rsid w:val="00374C18"/>
    <w:rPr>
      <w:rFonts w:ascii="Georgia" w:hAnsi="Georgia" w:hint="default"/>
      <w:sz w:val="21"/>
      <w:szCs w:val="21"/>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74C18"/>
    <w:rPr>
      <w:lang w:val="pl-PL" w:eastAsia="pl-PL"/>
    </w:rPr>
  </w:style>
  <w:style w:type="paragraph" w:customStyle="1" w:styleId="CaracterCaracter4CharChar1CaracterCaracter">
    <w:name w:val="Caracter Caracter4 Char Char1 Caracter Caracter"/>
    <w:basedOn w:val="Normal"/>
    <w:rsid w:val="00374C18"/>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374C18"/>
    <w:pPr>
      <w:spacing w:after="160" w:line="240" w:lineRule="exact"/>
    </w:pPr>
    <w:rPr>
      <w:rFonts w:ascii="Tahoma" w:hAnsi="Tahoma"/>
      <w:sz w:val="20"/>
      <w:szCs w:val="20"/>
      <w:lang w:val="ro-RO"/>
    </w:rPr>
  </w:style>
  <w:style w:type="paragraph" w:customStyle="1" w:styleId="DefaultText11">
    <w:name w:val="Default Text:1:1"/>
    <w:basedOn w:val="Normal"/>
    <w:rsid w:val="00FB2264"/>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FB226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FB2264"/>
    <w:rPr>
      <w:rFonts w:ascii="Verdana" w:hAnsi="Verdana"/>
      <w:spacing w:val="-2"/>
      <w:szCs w:val="24"/>
      <w:lang w:val="en-GB" w:eastAsia="en-GB" w:bidi="ar-SA"/>
    </w:rPr>
  </w:style>
  <w:style w:type="paragraph" w:styleId="EnvelopeReturn">
    <w:name w:val="envelope return"/>
    <w:basedOn w:val="Normal"/>
    <w:rsid w:val="000045C4"/>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F71E18"/>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56135"/>
    <w:pPr>
      <w:spacing w:after="160" w:line="240" w:lineRule="exact"/>
    </w:pPr>
    <w:rPr>
      <w:sz w:val="20"/>
      <w:szCs w:val="20"/>
      <w:vertAlign w:val="superscript"/>
      <w:lang w:val="ro-RO" w:eastAsia="ro-RO"/>
    </w:rPr>
  </w:style>
  <w:style w:type="paragraph" w:customStyle="1" w:styleId="BVIfnrCharCharCaracterCharCaracterCharCaracterCharCaracterCharCaracterCharCharChar">
    <w:name w:val="BVI fnr Char Char Caracter Char Caracter Char Caracter Char Caracter Char Caracter Char Char Char"/>
    <w:aliases w:val="BVI fnr Char Char Caracter Char Caracter Char Caracter Char Caracter Char Caracter Char Char Char Char"/>
    <w:basedOn w:val="Normal"/>
    <w:next w:val="Normal"/>
    <w:rsid w:val="00076C1C"/>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A80D65"/>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58286C"/>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58286C"/>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58286C"/>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58286C"/>
    <w:pPr>
      <w:spacing w:after="160" w:line="240" w:lineRule="exact"/>
    </w:pPr>
    <w:rPr>
      <w:sz w:val="20"/>
      <w:szCs w:val="20"/>
      <w:vertAlign w:val="superscript"/>
      <w:lang w:val="ro-RO" w:eastAsia="ro-RO"/>
    </w:rPr>
  </w:style>
  <w:style w:type="paragraph" w:styleId="List">
    <w:name w:val="List"/>
    <w:basedOn w:val="Normal"/>
    <w:rsid w:val="0058286C"/>
    <w:pPr>
      <w:ind w:left="360" w:hanging="360"/>
    </w:pPr>
  </w:style>
  <w:style w:type="paragraph" w:styleId="List2">
    <w:name w:val="List 2"/>
    <w:basedOn w:val="Normal"/>
    <w:rsid w:val="0058286C"/>
    <w:pPr>
      <w:ind w:left="720" w:hanging="360"/>
    </w:pPr>
  </w:style>
  <w:style w:type="paragraph" w:styleId="List3">
    <w:name w:val="List 3"/>
    <w:basedOn w:val="Normal"/>
    <w:rsid w:val="0058286C"/>
    <w:pPr>
      <w:ind w:left="1080" w:hanging="360"/>
    </w:pPr>
  </w:style>
  <w:style w:type="paragraph" w:styleId="ListBullet2">
    <w:name w:val="List Bullet 2"/>
    <w:basedOn w:val="Normal"/>
    <w:rsid w:val="0058286C"/>
    <w:pPr>
      <w:numPr>
        <w:numId w:val="5"/>
      </w:numPr>
    </w:pPr>
  </w:style>
  <w:style w:type="paragraph" w:styleId="ListBullet3">
    <w:name w:val="List Bullet 3"/>
    <w:basedOn w:val="Normal"/>
    <w:rsid w:val="0058286C"/>
    <w:pPr>
      <w:numPr>
        <w:numId w:val="6"/>
      </w:numPr>
    </w:pPr>
  </w:style>
  <w:style w:type="paragraph" w:styleId="ListContinue2">
    <w:name w:val="List Continue 2"/>
    <w:basedOn w:val="Normal"/>
    <w:rsid w:val="0058286C"/>
    <w:pPr>
      <w:spacing w:after="120"/>
      <w:ind w:left="720"/>
    </w:pPr>
  </w:style>
  <w:style w:type="paragraph" w:styleId="Caption">
    <w:name w:val="caption"/>
    <w:basedOn w:val="Normal"/>
    <w:next w:val="Normal"/>
    <w:qFormat/>
    <w:rsid w:val="0058286C"/>
    <w:rPr>
      <w:b/>
      <w:bCs/>
      <w:sz w:val="20"/>
      <w:szCs w:val="20"/>
    </w:rPr>
  </w:style>
  <w:style w:type="paragraph" w:styleId="BodyTextFirstIndent">
    <w:name w:val="Body Text First Indent"/>
    <w:basedOn w:val="BodyText"/>
    <w:link w:val="BodyTextFirstIndentChar"/>
    <w:rsid w:val="0058286C"/>
    <w:pPr>
      <w:ind w:firstLine="210"/>
    </w:pPr>
  </w:style>
  <w:style w:type="paragraph" w:styleId="BodyTextFirstIndent2">
    <w:name w:val="Body Text First Indent 2"/>
    <w:basedOn w:val="BodyTextIndent"/>
    <w:link w:val="BodyTextFirstIndent2Char"/>
    <w:rsid w:val="0058286C"/>
    <w:pPr>
      <w:ind w:firstLine="210"/>
    </w:p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58286C"/>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58286C"/>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58286C"/>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58286C"/>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58286C"/>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58286C"/>
    <w:rPr>
      <w:szCs w:val="20"/>
      <w:lang w:val="pl-PL" w:eastAsia="pl-PL"/>
    </w:rPr>
  </w:style>
  <w:style w:type="character" w:customStyle="1" w:styleId="tpa1">
    <w:name w:val="tpa1"/>
    <w:rsid w:val="0058286C"/>
    <w:rPr>
      <w:rFonts w:cs="Times New Roman"/>
    </w:rPr>
  </w:style>
  <w:style w:type="paragraph" w:styleId="PlainText">
    <w:name w:val="Plain Text"/>
    <w:basedOn w:val="Normal"/>
    <w:link w:val="PlainTextChar"/>
    <w:rsid w:val="0058286C"/>
    <w:rPr>
      <w:rFonts w:ascii="Consolas" w:eastAsia="MS Mincho" w:hAnsi="Consolas"/>
      <w:sz w:val="21"/>
      <w:szCs w:val="21"/>
    </w:rPr>
  </w:style>
  <w:style w:type="paragraph" w:customStyle="1" w:styleId="CM1">
    <w:name w:val="CM1"/>
    <w:basedOn w:val="Normal"/>
    <w:next w:val="Normal"/>
    <w:rsid w:val="0058286C"/>
    <w:pPr>
      <w:autoSpaceDE w:val="0"/>
      <w:autoSpaceDN w:val="0"/>
      <w:adjustRightInd w:val="0"/>
    </w:pPr>
    <w:rPr>
      <w:rFonts w:ascii="EUAlbertina" w:eastAsia="MS Mincho" w:hAnsi="EUAlbertina"/>
    </w:rPr>
  </w:style>
  <w:style w:type="paragraph" w:customStyle="1" w:styleId="CM3">
    <w:name w:val="CM3"/>
    <w:basedOn w:val="Normal"/>
    <w:next w:val="Normal"/>
    <w:rsid w:val="0058286C"/>
    <w:pPr>
      <w:autoSpaceDE w:val="0"/>
      <w:autoSpaceDN w:val="0"/>
      <w:adjustRightInd w:val="0"/>
    </w:pPr>
    <w:rPr>
      <w:rFonts w:ascii="EUAlbertina" w:eastAsia="MS Mincho" w:hAnsi="EUAlbertina"/>
    </w:rPr>
  </w:style>
  <w:style w:type="paragraph" w:customStyle="1" w:styleId="CM4">
    <w:name w:val="CM4"/>
    <w:basedOn w:val="Normal"/>
    <w:next w:val="Normal"/>
    <w:rsid w:val="0058286C"/>
    <w:pPr>
      <w:autoSpaceDE w:val="0"/>
      <w:autoSpaceDN w:val="0"/>
      <w:adjustRightInd w:val="0"/>
    </w:pPr>
    <w:rPr>
      <w:rFonts w:ascii="EUAlbertina" w:eastAsia="MS Mincho" w:hAnsi="EUAlbertina"/>
    </w:rPr>
  </w:style>
  <w:style w:type="paragraph" w:styleId="Revision">
    <w:name w:val="Revision"/>
    <w:hidden/>
    <w:rsid w:val="0058286C"/>
    <w:rPr>
      <w:sz w:val="24"/>
      <w:szCs w:val="24"/>
      <w:lang w:val="en-US" w:eastAsia="en-US"/>
    </w:rPr>
  </w:style>
  <w:style w:type="paragraph" w:styleId="TOC1">
    <w:name w:val="toc 1"/>
    <w:basedOn w:val="Normal"/>
    <w:next w:val="Normal"/>
    <w:autoRedefine/>
    <w:rsid w:val="0058286C"/>
  </w:style>
  <w:style w:type="paragraph" w:styleId="TOC2">
    <w:name w:val="toc 2"/>
    <w:basedOn w:val="Normal"/>
    <w:next w:val="Normal"/>
    <w:autoRedefine/>
    <w:rsid w:val="0058286C"/>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CF0FD2"/>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CF0FD2"/>
    <w:pPr>
      <w:spacing w:before="240" w:after="80"/>
      <w:ind w:right="57"/>
    </w:pPr>
    <w:rPr>
      <w:b/>
      <w:bCs/>
    </w:rPr>
  </w:style>
  <w:style w:type="character" w:customStyle="1" w:styleId="at2">
    <w:name w:val="a__t2"/>
    <w:basedOn w:val="DefaultParagraphFont"/>
    <w:rsid w:val="00CF0FD2"/>
  </w:style>
  <w:style w:type="character" w:customStyle="1" w:styleId="at5">
    <w:name w:val="a__t5"/>
    <w:basedOn w:val="DefaultParagraphFont"/>
    <w:rsid w:val="00CF0FD2"/>
  </w:style>
  <w:style w:type="paragraph" w:customStyle="1" w:styleId="firstp">
    <w:name w:val="firstp"/>
    <w:basedOn w:val="Normal"/>
    <w:rsid w:val="00CF0FD2"/>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CF0FD2"/>
    <w:rPr>
      <w:lang w:val="pl-PL" w:eastAsia="pl-PL"/>
    </w:rPr>
  </w:style>
  <w:style w:type="paragraph" w:customStyle="1" w:styleId="CharChar3CaracterCaracter10">
    <w:name w:val="Char Char3 Caracter Caracter1"/>
    <w:basedOn w:val="Normal"/>
    <w:rsid w:val="00CF0FD2"/>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F0FD2"/>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CF0FD2"/>
    <w:rPr>
      <w:lang w:val="pl-PL" w:eastAsia="pl-PL"/>
    </w:rPr>
  </w:style>
  <w:style w:type="paragraph" w:customStyle="1" w:styleId="DefaultText2">
    <w:name w:val="Default Text:2"/>
    <w:basedOn w:val="Normal"/>
    <w:rsid w:val="00CF0FD2"/>
    <w:pPr>
      <w:autoSpaceDE w:val="0"/>
      <w:autoSpaceDN w:val="0"/>
      <w:adjustRightInd w:val="0"/>
    </w:pPr>
  </w:style>
  <w:style w:type="paragraph" w:customStyle="1" w:styleId="CharChar3CaracterCaracter0">
    <w:name w:val="Char Char3 Caracter Caracter"/>
    <w:basedOn w:val="Normal"/>
    <w:rsid w:val="00CF0FD2"/>
    <w:rPr>
      <w:lang w:val="pl-PL" w:eastAsia="pl-PL"/>
    </w:rPr>
  </w:style>
  <w:style w:type="character" w:customStyle="1" w:styleId="FontStyle18">
    <w:name w:val="Font Style18"/>
    <w:rsid w:val="00CF0FD2"/>
    <w:rPr>
      <w:rFonts w:ascii="Arial" w:hAnsi="Arial" w:cs="Arial"/>
      <w:b/>
      <w:bCs/>
      <w:sz w:val="22"/>
      <w:szCs w:val="22"/>
    </w:rPr>
  </w:style>
  <w:style w:type="character" w:customStyle="1" w:styleId="FontStyle19">
    <w:name w:val="Font Style19"/>
    <w:rsid w:val="00CF0FD2"/>
    <w:rPr>
      <w:rFonts w:ascii="Arial" w:hAnsi="Arial" w:cs="Arial"/>
      <w:sz w:val="22"/>
      <w:szCs w:val="22"/>
    </w:rPr>
  </w:style>
  <w:style w:type="paragraph" w:customStyle="1" w:styleId="CaracterCaracter20">
    <w:name w:val="Caracter Caracter2"/>
    <w:basedOn w:val="Normal"/>
    <w:rsid w:val="00CF0FD2"/>
    <w:rPr>
      <w:lang w:val="pl-PL" w:eastAsia="pl-PL"/>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CF0FD2"/>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CF0FD2"/>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CF0FD2"/>
    <w:rPr>
      <w:lang w:val="pl-PL" w:eastAsia="pl-PL"/>
    </w:rPr>
  </w:style>
  <w:style w:type="paragraph" w:customStyle="1" w:styleId="CaracterCharCharCaracterCharChar0">
    <w:name w:val="Caracter Char Char Caracter Char Char"/>
    <w:basedOn w:val="Normal"/>
    <w:rsid w:val="00CF0FD2"/>
    <w:rPr>
      <w:rFonts w:eastAsia="Calibri"/>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CF0FD2"/>
    <w:rPr>
      <w:lang w:val="pl-PL" w:eastAsia="pl-PL"/>
    </w:rPr>
  </w:style>
  <w:style w:type="paragraph" w:customStyle="1" w:styleId="BVIfnrCharCharCaracterCharCaracterCharChar">
    <w:name w:val="BVI fnr Char Char Caracter Char Caracter Char Char"/>
    <w:basedOn w:val="Normal"/>
    <w:next w:val="Normal"/>
    <w:rsid w:val="00CF0FD2"/>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CF0FD2"/>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CF0FD2"/>
    <w:rPr>
      <w:szCs w:val="20"/>
      <w:lang w:val="pl-PL" w:eastAsia="pl-PL"/>
    </w:rPr>
  </w:style>
  <w:style w:type="paragraph" w:customStyle="1" w:styleId="Frspaiere">
    <w:name w:val="Fără spațiere"/>
    <w:qFormat/>
    <w:rsid w:val="00CF0FD2"/>
    <w:pPr>
      <w:overflowPunct w:val="0"/>
      <w:autoSpaceDE w:val="0"/>
      <w:autoSpaceDN w:val="0"/>
      <w:adjustRightInd w:val="0"/>
      <w:textAlignment w:val="baseline"/>
    </w:pPr>
    <w:rPr>
      <w:rFonts w:ascii="Times New Roman Rom" w:hAnsi="Times New Roman Rom"/>
      <w:sz w:val="32"/>
    </w:rPr>
  </w:style>
  <w:style w:type="paragraph" w:customStyle="1" w:styleId="CharCharCharChar1CharCharCharCharCharCharCharCharCharChar">
    <w:name w:val="Char Char Char Char1 Char Char Char Char Char Char Char Char Char Char"/>
    <w:basedOn w:val="Normal"/>
    <w:next w:val="Normal"/>
    <w:rsid w:val="00CF0FD2"/>
    <w:pPr>
      <w:spacing w:after="160" w:line="240" w:lineRule="exact"/>
    </w:pPr>
    <w:rPr>
      <w:sz w:val="20"/>
      <w:szCs w:val="20"/>
      <w:vertAlign w:val="superscript"/>
      <w:lang w:val="ro-RO" w:eastAsia="ro-RO"/>
    </w:rPr>
  </w:style>
  <w:style w:type="paragraph" w:customStyle="1" w:styleId="CharCharCaracterCaracterCharCharCaracterCaracterCharChar0">
    <w:name w:val="Char Char Caracter Caracter Char Char Caracter Caracter Char Char"/>
    <w:basedOn w:val="Normal"/>
    <w:rsid w:val="00CF0FD2"/>
    <w:rPr>
      <w:lang w:val="pl-PL" w:eastAsia="pl-PL"/>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CF0FD2"/>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CF0FD2"/>
    <w:rPr>
      <w:lang w:val="pl-PL" w:eastAsia="pl-PL"/>
    </w:rPr>
  </w:style>
  <w:style w:type="paragraph" w:customStyle="1" w:styleId="CaracterCaracter1CaracterCharCharCaracterCaracter">
    <w:name w:val="Caracter Caracter1 Caracter Char Char Caracter Caracter"/>
    <w:basedOn w:val="Normal"/>
    <w:rsid w:val="00CF0FD2"/>
    <w:rPr>
      <w:lang w:val="pl-PL" w:eastAsia="pl-PL"/>
    </w:rPr>
  </w:style>
  <w:style w:type="paragraph" w:customStyle="1" w:styleId="CaracterCaracter1CharCharCaracterCaracter1">
    <w:name w:val="Caracter Caracter1 Char Char Caracter Caracter1"/>
    <w:basedOn w:val="Normal"/>
    <w:rsid w:val="00CF0FD2"/>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CF0FD2"/>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CF0FD2"/>
    <w:rPr>
      <w:lang w:val="pl-PL" w:eastAsia="pl-PL"/>
    </w:rPr>
  </w:style>
  <w:style w:type="character" w:customStyle="1" w:styleId="WW8Num1z0">
    <w:name w:val="WW8Num1z0"/>
    <w:rsid w:val="00CF0FD2"/>
    <w:rPr>
      <w:rFonts w:ascii="Times New Roman" w:eastAsia="Times New Roman" w:hAnsi="Times New Roman" w:cs="Times New Roman"/>
      <w:b/>
      <w:color w:val="000000"/>
      <w:sz w:val="24"/>
      <w:szCs w:val="24"/>
    </w:rPr>
  </w:style>
  <w:style w:type="character" w:customStyle="1" w:styleId="WW8Num1z1">
    <w:name w:val="WW8Num1z1"/>
    <w:rsid w:val="00CF0FD2"/>
  </w:style>
  <w:style w:type="character" w:customStyle="1" w:styleId="WW8Num1z2">
    <w:name w:val="WW8Num1z2"/>
    <w:rsid w:val="00CF0FD2"/>
  </w:style>
  <w:style w:type="character" w:customStyle="1" w:styleId="WW8Num1z3">
    <w:name w:val="WW8Num1z3"/>
    <w:rsid w:val="00CF0FD2"/>
  </w:style>
  <w:style w:type="character" w:customStyle="1" w:styleId="WW8Num1z4">
    <w:name w:val="WW8Num1z4"/>
    <w:rsid w:val="00CF0FD2"/>
  </w:style>
  <w:style w:type="character" w:customStyle="1" w:styleId="WW8Num1z5">
    <w:name w:val="WW8Num1z5"/>
    <w:rsid w:val="00CF0FD2"/>
  </w:style>
  <w:style w:type="character" w:customStyle="1" w:styleId="WW8Num1z6">
    <w:name w:val="WW8Num1z6"/>
    <w:rsid w:val="00CF0FD2"/>
  </w:style>
  <w:style w:type="character" w:customStyle="1" w:styleId="WW8Num1z7">
    <w:name w:val="WW8Num1z7"/>
    <w:rsid w:val="00CF0FD2"/>
  </w:style>
  <w:style w:type="character" w:customStyle="1" w:styleId="WW8Num1z8">
    <w:name w:val="WW8Num1z8"/>
    <w:rsid w:val="00CF0FD2"/>
  </w:style>
  <w:style w:type="character" w:customStyle="1" w:styleId="WW8Num2z0">
    <w:name w:val="WW8Num2z0"/>
    <w:rsid w:val="00CF0FD2"/>
    <w:rPr>
      <w:rFonts w:ascii="Times New Roman" w:eastAsia="Times New Roman" w:hAnsi="Times New Roman" w:cs="Times New Roman"/>
      <w:b/>
      <w:color w:val="000000"/>
      <w:sz w:val="24"/>
      <w:szCs w:val="24"/>
    </w:rPr>
  </w:style>
  <w:style w:type="character" w:customStyle="1" w:styleId="WW8Num2z1">
    <w:name w:val="WW8Num2z1"/>
    <w:rsid w:val="00CF0FD2"/>
  </w:style>
  <w:style w:type="character" w:customStyle="1" w:styleId="WW8Num2z2">
    <w:name w:val="WW8Num2z2"/>
    <w:rsid w:val="00CF0FD2"/>
  </w:style>
  <w:style w:type="character" w:customStyle="1" w:styleId="WW8Num2z3">
    <w:name w:val="WW8Num2z3"/>
    <w:rsid w:val="00CF0FD2"/>
  </w:style>
  <w:style w:type="character" w:customStyle="1" w:styleId="WW8Num2z4">
    <w:name w:val="WW8Num2z4"/>
    <w:rsid w:val="00CF0FD2"/>
  </w:style>
  <w:style w:type="character" w:customStyle="1" w:styleId="WW8Num2z5">
    <w:name w:val="WW8Num2z5"/>
    <w:rsid w:val="00CF0FD2"/>
  </w:style>
  <w:style w:type="character" w:customStyle="1" w:styleId="WW8Num2z6">
    <w:name w:val="WW8Num2z6"/>
    <w:rsid w:val="00CF0FD2"/>
  </w:style>
  <w:style w:type="character" w:customStyle="1" w:styleId="WW8Num2z7">
    <w:name w:val="WW8Num2z7"/>
    <w:rsid w:val="00CF0FD2"/>
  </w:style>
  <w:style w:type="character" w:customStyle="1" w:styleId="WW8Num2z8">
    <w:name w:val="WW8Num2z8"/>
    <w:rsid w:val="00CF0FD2"/>
  </w:style>
  <w:style w:type="character" w:customStyle="1" w:styleId="WW8Num3z0">
    <w:name w:val="WW8Num3z0"/>
    <w:rsid w:val="00CF0FD2"/>
    <w:rPr>
      <w:rFonts w:ascii="Symbol" w:hAnsi="Symbol" w:cs="Symbol"/>
      <w:color w:val="0033CC"/>
      <w:sz w:val="24"/>
      <w:szCs w:val="24"/>
    </w:rPr>
  </w:style>
  <w:style w:type="character" w:customStyle="1" w:styleId="WW8Num4z0">
    <w:name w:val="WW8Num4z0"/>
    <w:rsid w:val="00CF0FD2"/>
    <w:rPr>
      <w:rFonts w:ascii="Symbol" w:eastAsia="Times New Roman" w:hAnsi="Symbol" w:cs="Symbol"/>
      <w:color w:val="000000"/>
      <w:sz w:val="24"/>
      <w:szCs w:val="24"/>
    </w:rPr>
  </w:style>
  <w:style w:type="character" w:customStyle="1" w:styleId="WW8Num5z0">
    <w:name w:val="WW8Num5z0"/>
    <w:rsid w:val="00CF0FD2"/>
    <w:rPr>
      <w:rFonts w:ascii="Symbol" w:eastAsia="Times New Roman" w:hAnsi="Symbol" w:cs="Symbol"/>
      <w:color w:val="auto"/>
      <w:sz w:val="24"/>
      <w:szCs w:val="24"/>
      <w:lang w:eastAsia="zh-CN" w:bidi="ar-SA"/>
    </w:rPr>
  </w:style>
  <w:style w:type="character" w:customStyle="1" w:styleId="WW8Num6z0">
    <w:name w:val="WW8Num6z0"/>
    <w:rsid w:val="00CF0FD2"/>
    <w:rPr>
      <w:b w:val="0"/>
    </w:rPr>
  </w:style>
  <w:style w:type="character" w:customStyle="1" w:styleId="WW8Num7z0">
    <w:name w:val="WW8Num7z0"/>
    <w:rsid w:val="00CF0FD2"/>
    <w:rPr>
      <w:rFonts w:ascii="Arial Narrow" w:eastAsia="Times New Roman" w:hAnsi="Arial Narrow" w:cs="Arial Narrow"/>
      <w:b/>
      <w:i/>
      <w:szCs w:val="24"/>
    </w:rPr>
  </w:style>
  <w:style w:type="character" w:customStyle="1" w:styleId="WW8Num8z0">
    <w:name w:val="WW8Num8z0"/>
    <w:rsid w:val="00CF0FD2"/>
    <w:rPr>
      <w:rFonts w:ascii="Arial Narrow" w:hAnsi="Arial Narrow" w:cs="Arial Narrow"/>
    </w:rPr>
  </w:style>
  <w:style w:type="character" w:customStyle="1" w:styleId="WW8Num9z0">
    <w:name w:val="WW8Num9z0"/>
    <w:rsid w:val="00CF0FD2"/>
  </w:style>
  <w:style w:type="character" w:customStyle="1" w:styleId="WW8Num9z1">
    <w:name w:val="WW8Num9z1"/>
    <w:rsid w:val="00CF0FD2"/>
  </w:style>
  <w:style w:type="character" w:customStyle="1" w:styleId="WW8Num9z2">
    <w:name w:val="WW8Num9z2"/>
    <w:rsid w:val="00CF0FD2"/>
    <w:rPr>
      <w:color w:val="000080"/>
    </w:rPr>
  </w:style>
  <w:style w:type="character" w:customStyle="1" w:styleId="WW8Num9z3">
    <w:name w:val="WW8Num9z3"/>
    <w:rsid w:val="00CF0FD2"/>
  </w:style>
  <w:style w:type="character" w:customStyle="1" w:styleId="WW8Num9z4">
    <w:name w:val="WW8Num9z4"/>
    <w:rsid w:val="00CF0FD2"/>
  </w:style>
  <w:style w:type="character" w:customStyle="1" w:styleId="WW8Num9z5">
    <w:name w:val="WW8Num9z5"/>
    <w:rsid w:val="00CF0FD2"/>
  </w:style>
  <w:style w:type="character" w:customStyle="1" w:styleId="WW8Num9z6">
    <w:name w:val="WW8Num9z6"/>
    <w:rsid w:val="00CF0FD2"/>
  </w:style>
  <w:style w:type="character" w:customStyle="1" w:styleId="WW8Num9z7">
    <w:name w:val="WW8Num9z7"/>
    <w:rsid w:val="00CF0FD2"/>
  </w:style>
  <w:style w:type="character" w:customStyle="1" w:styleId="WW8Num9z8">
    <w:name w:val="WW8Num9z8"/>
    <w:rsid w:val="00CF0FD2"/>
  </w:style>
  <w:style w:type="character" w:customStyle="1" w:styleId="WW8Num10z0">
    <w:name w:val="WW8Num10z0"/>
    <w:rsid w:val="00CF0FD2"/>
    <w:rPr>
      <w:rFonts w:ascii="Symbol" w:hAnsi="Symbol" w:cs="Symbol"/>
      <w:color w:val="auto"/>
    </w:rPr>
  </w:style>
  <w:style w:type="character" w:customStyle="1" w:styleId="WW8Num11z0">
    <w:name w:val="WW8Num11z0"/>
    <w:rsid w:val="00CF0FD2"/>
    <w:rPr>
      <w:rFonts w:ascii="Arial" w:eastAsia="Times New Roman" w:hAnsi="Arial" w:cs="Times New Roman"/>
      <w:b/>
      <w:i/>
      <w:szCs w:val="24"/>
      <w:lang w:eastAsia="ro-RO"/>
    </w:rPr>
  </w:style>
  <w:style w:type="character" w:customStyle="1" w:styleId="WW8Num12z0">
    <w:name w:val="WW8Num12z0"/>
    <w:rsid w:val="00CF0FD2"/>
    <w:rPr>
      <w:rFonts w:ascii="Arial Narrow" w:eastAsia="Times New Roman" w:hAnsi="Arial Narrow" w:cs="Times New Roman"/>
      <w:b/>
      <w:bCs/>
      <w:i/>
      <w:color w:val="000000"/>
      <w:szCs w:val="24"/>
    </w:rPr>
  </w:style>
  <w:style w:type="character" w:customStyle="1" w:styleId="WW8Num13z0">
    <w:name w:val="WW8Num13z0"/>
    <w:rsid w:val="00CF0FD2"/>
    <w:rPr>
      <w:rFonts w:ascii="Arial Narrow" w:hAnsi="Arial Narrow" w:cs="Arial Narrow"/>
    </w:rPr>
  </w:style>
  <w:style w:type="character" w:customStyle="1" w:styleId="WW8Num14z0">
    <w:name w:val="WW8Num14z0"/>
    <w:rsid w:val="00CF0FD2"/>
    <w:rPr>
      <w:rFonts w:ascii="Arial Narrow" w:eastAsia="Times New Roman" w:hAnsi="Arial Narrow" w:cs="Arial Narrow"/>
      <w:b/>
      <w:i/>
      <w:szCs w:val="24"/>
    </w:rPr>
  </w:style>
  <w:style w:type="character" w:customStyle="1" w:styleId="WW8Num15z0">
    <w:name w:val="WW8Num15z0"/>
    <w:rsid w:val="00CF0FD2"/>
    <w:rPr>
      <w:rFonts w:ascii="Arial Narrow" w:hAnsi="Arial Narrow" w:cs="Calibri"/>
    </w:rPr>
  </w:style>
  <w:style w:type="character" w:customStyle="1" w:styleId="WW8Num16z0">
    <w:name w:val="WW8Num16z0"/>
    <w:rsid w:val="00CF0FD2"/>
    <w:rPr>
      <w:rFonts w:ascii="Wingdings" w:eastAsia="Times New Roman" w:hAnsi="Wingdings" w:cs="OpenSymbol"/>
      <w:szCs w:val="24"/>
    </w:rPr>
  </w:style>
  <w:style w:type="character" w:customStyle="1" w:styleId="WW8Num16z1">
    <w:name w:val="WW8Num16z1"/>
    <w:rsid w:val="00CF0FD2"/>
    <w:rPr>
      <w:rFonts w:ascii="Courier New" w:eastAsia="Times New Roman" w:hAnsi="Courier New" w:cs="Courier New"/>
      <w:sz w:val="24"/>
      <w:szCs w:val="24"/>
    </w:rPr>
  </w:style>
  <w:style w:type="character" w:customStyle="1" w:styleId="WW8Num16z2">
    <w:name w:val="WW8Num16z2"/>
    <w:rsid w:val="00CF0FD2"/>
    <w:rPr>
      <w:rFonts w:ascii="Wingdings" w:hAnsi="Wingdings" w:cs="Wingdings"/>
    </w:rPr>
  </w:style>
  <w:style w:type="character" w:customStyle="1" w:styleId="WW8Num16z3">
    <w:name w:val="WW8Num16z3"/>
    <w:rsid w:val="00CF0FD2"/>
    <w:rPr>
      <w:rFonts w:ascii="Symbol" w:hAnsi="Symbol" w:cs="Symbol"/>
      <w:sz w:val="24"/>
      <w:szCs w:val="24"/>
      <w:shd w:val="clear" w:color="auto" w:fill="auto"/>
    </w:rPr>
  </w:style>
  <w:style w:type="character" w:customStyle="1" w:styleId="WW8Num17z0">
    <w:name w:val="WW8Num17z0"/>
    <w:rsid w:val="00CF0FD2"/>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CF0FD2"/>
    <w:rPr>
      <w:rFonts w:ascii="Courier New" w:hAnsi="Courier New" w:cs="Courier New"/>
    </w:rPr>
  </w:style>
  <w:style w:type="character" w:customStyle="1" w:styleId="WW8Num17z2">
    <w:name w:val="WW8Num17z2"/>
    <w:rsid w:val="00CF0FD2"/>
    <w:rPr>
      <w:rFonts w:ascii="Wingdings" w:hAnsi="Wingdings" w:cs="Wingdings"/>
      <w:sz w:val="24"/>
      <w:szCs w:val="24"/>
    </w:rPr>
  </w:style>
  <w:style w:type="character" w:customStyle="1" w:styleId="WW8Num17z3">
    <w:name w:val="WW8Num17z3"/>
    <w:rsid w:val="00CF0FD2"/>
    <w:rPr>
      <w:rFonts w:ascii="Symbol" w:hAnsi="Symbol" w:cs="Symbol"/>
    </w:rPr>
  </w:style>
  <w:style w:type="character" w:customStyle="1" w:styleId="WW8Num18z0">
    <w:name w:val="WW8Num18z0"/>
    <w:rsid w:val="00CF0FD2"/>
    <w:rPr>
      <w:rFonts w:ascii="Symbol" w:hAnsi="Symbol" w:cs="OpenSymbol"/>
    </w:rPr>
  </w:style>
  <w:style w:type="character" w:customStyle="1" w:styleId="WW8Num18z1">
    <w:name w:val="WW8Num18z1"/>
    <w:rsid w:val="00CF0FD2"/>
    <w:rPr>
      <w:rFonts w:ascii="OpenSymbol" w:hAnsi="OpenSymbol" w:cs="OpenSymbol"/>
    </w:rPr>
  </w:style>
  <w:style w:type="character" w:customStyle="1" w:styleId="WW8Num18z3">
    <w:name w:val="WW8Num18z3"/>
    <w:rsid w:val="00CF0FD2"/>
    <w:rPr>
      <w:rFonts w:ascii="Symbol" w:hAnsi="Symbol" w:cs="OpenSymbol"/>
      <w:sz w:val="24"/>
      <w:szCs w:val="24"/>
    </w:rPr>
  </w:style>
  <w:style w:type="character" w:customStyle="1" w:styleId="WW8Num19z0">
    <w:name w:val="WW8Num19z0"/>
    <w:rsid w:val="00CF0FD2"/>
    <w:rPr>
      <w:rFonts w:ascii="Symbol" w:hAnsi="Symbol" w:cs="OpenSymbol"/>
      <w:szCs w:val="24"/>
    </w:rPr>
  </w:style>
  <w:style w:type="character" w:customStyle="1" w:styleId="WW8Num19z1">
    <w:name w:val="WW8Num19z1"/>
    <w:rsid w:val="00CF0FD2"/>
    <w:rPr>
      <w:rFonts w:ascii="OpenSymbol" w:hAnsi="OpenSymbol" w:cs="OpenSymbol"/>
    </w:rPr>
  </w:style>
  <w:style w:type="character" w:customStyle="1" w:styleId="WW8Num20z0">
    <w:name w:val="WW8Num20z0"/>
    <w:rsid w:val="00CF0FD2"/>
    <w:rPr>
      <w:rFonts w:ascii="Wingdings" w:eastAsia="Times New Roman" w:hAnsi="Wingdings" w:cs="OpenSymbol"/>
      <w:szCs w:val="24"/>
    </w:rPr>
  </w:style>
  <w:style w:type="character" w:customStyle="1" w:styleId="WW8Num20z1">
    <w:name w:val="WW8Num20z1"/>
    <w:rsid w:val="00CF0FD2"/>
    <w:rPr>
      <w:rFonts w:ascii="OpenSymbol" w:hAnsi="OpenSymbol" w:cs="OpenSymbol"/>
    </w:rPr>
  </w:style>
  <w:style w:type="character" w:customStyle="1" w:styleId="WW8Num20z3">
    <w:name w:val="WW8Num20z3"/>
    <w:rsid w:val="00CF0FD2"/>
    <w:rPr>
      <w:rFonts w:ascii="Symbol" w:hAnsi="Symbol" w:cs="OpenSymbol"/>
      <w:szCs w:val="24"/>
      <w:shd w:val="clear" w:color="auto" w:fill="auto"/>
    </w:rPr>
  </w:style>
  <w:style w:type="character" w:customStyle="1" w:styleId="WW8Num21z0">
    <w:name w:val="WW8Num21z0"/>
    <w:rsid w:val="00CF0FD2"/>
    <w:rPr>
      <w:rFonts w:ascii="Arial Narrow" w:hAnsi="Arial Narrow" w:cs="Arial Narrow"/>
      <w:color w:val="00000A"/>
      <w:szCs w:val="24"/>
      <w:shd w:val="clear" w:color="auto" w:fill="FFFFFF"/>
    </w:rPr>
  </w:style>
  <w:style w:type="character" w:customStyle="1" w:styleId="WW8Num21z1">
    <w:name w:val="WW8Num21z1"/>
    <w:rsid w:val="00CF0FD2"/>
    <w:rPr>
      <w:rFonts w:ascii="Courier New" w:hAnsi="Courier New" w:cs="Courier New"/>
    </w:rPr>
  </w:style>
  <w:style w:type="character" w:customStyle="1" w:styleId="WW8Num21z2">
    <w:name w:val="WW8Num21z2"/>
    <w:rsid w:val="00CF0FD2"/>
    <w:rPr>
      <w:rFonts w:ascii="Wingdings" w:hAnsi="Wingdings" w:cs="Wingdings"/>
    </w:rPr>
  </w:style>
  <w:style w:type="character" w:customStyle="1" w:styleId="WW8Num21z3">
    <w:name w:val="WW8Num21z3"/>
    <w:rsid w:val="00CF0FD2"/>
    <w:rPr>
      <w:rFonts w:ascii="Symbol" w:hAnsi="Symbol" w:cs="Courier New"/>
    </w:rPr>
  </w:style>
  <w:style w:type="character" w:customStyle="1" w:styleId="WW8Num22z0">
    <w:name w:val="WW8Num22z0"/>
    <w:rsid w:val="00CF0FD2"/>
    <w:rPr>
      <w:rFonts w:ascii="Calibri" w:hAnsi="Calibri" w:cs="Times New Roman"/>
    </w:rPr>
  </w:style>
  <w:style w:type="character" w:customStyle="1" w:styleId="WW8Num22z1">
    <w:name w:val="WW8Num22z1"/>
    <w:rsid w:val="00CF0FD2"/>
    <w:rPr>
      <w:rFonts w:ascii="Courier New" w:hAnsi="Courier New" w:cs="Courier New"/>
    </w:rPr>
  </w:style>
  <w:style w:type="character" w:customStyle="1" w:styleId="WW8Num22z2">
    <w:name w:val="WW8Num22z2"/>
    <w:rsid w:val="00CF0FD2"/>
    <w:rPr>
      <w:rFonts w:ascii="Wingdings" w:hAnsi="Wingdings" w:cs="Wingdings"/>
    </w:rPr>
  </w:style>
  <w:style w:type="character" w:customStyle="1" w:styleId="WW8Num22z3">
    <w:name w:val="WW8Num22z3"/>
    <w:rsid w:val="00CF0FD2"/>
    <w:rPr>
      <w:rFonts w:ascii="Symbol" w:hAnsi="Symbol" w:cs="Courier New"/>
    </w:rPr>
  </w:style>
  <w:style w:type="character" w:customStyle="1" w:styleId="WW8Num23z0">
    <w:name w:val="WW8Num23z0"/>
    <w:rsid w:val="00CF0FD2"/>
  </w:style>
  <w:style w:type="character" w:customStyle="1" w:styleId="WW8Num23z1">
    <w:name w:val="WW8Num23z1"/>
    <w:rsid w:val="00CF0FD2"/>
  </w:style>
  <w:style w:type="character" w:customStyle="1" w:styleId="WW8Num23z2">
    <w:name w:val="WW8Num23z2"/>
    <w:rsid w:val="00CF0FD2"/>
  </w:style>
  <w:style w:type="character" w:customStyle="1" w:styleId="WW8Num23z3">
    <w:name w:val="WW8Num23z3"/>
    <w:rsid w:val="00CF0FD2"/>
  </w:style>
  <w:style w:type="character" w:customStyle="1" w:styleId="WW8Num23z4">
    <w:name w:val="WW8Num23z4"/>
    <w:rsid w:val="00CF0FD2"/>
  </w:style>
  <w:style w:type="character" w:customStyle="1" w:styleId="WW8Num23z5">
    <w:name w:val="WW8Num23z5"/>
    <w:rsid w:val="00CF0FD2"/>
  </w:style>
  <w:style w:type="character" w:customStyle="1" w:styleId="WW8Num23z6">
    <w:name w:val="WW8Num23z6"/>
    <w:rsid w:val="00CF0FD2"/>
  </w:style>
  <w:style w:type="character" w:customStyle="1" w:styleId="WW8Num23z7">
    <w:name w:val="WW8Num23z7"/>
    <w:rsid w:val="00CF0FD2"/>
  </w:style>
  <w:style w:type="character" w:customStyle="1" w:styleId="WW8Num23z8">
    <w:name w:val="WW8Num23z8"/>
    <w:rsid w:val="00CF0FD2"/>
  </w:style>
  <w:style w:type="character" w:customStyle="1" w:styleId="WW8Num24z0">
    <w:name w:val="WW8Num24z0"/>
    <w:rsid w:val="00CF0FD2"/>
    <w:rPr>
      <w:rFonts w:ascii="Wingdings" w:hAnsi="Wingdings" w:cs="OpenSymbol"/>
      <w:shd w:val="clear" w:color="auto" w:fill="auto"/>
    </w:rPr>
  </w:style>
  <w:style w:type="character" w:customStyle="1" w:styleId="WW8Num24z1">
    <w:name w:val="WW8Num24z1"/>
    <w:rsid w:val="00CF0FD2"/>
    <w:rPr>
      <w:rFonts w:ascii="OpenSymbol" w:hAnsi="OpenSymbol" w:cs="OpenSymbol"/>
    </w:rPr>
  </w:style>
  <w:style w:type="character" w:customStyle="1" w:styleId="WW8Num24z3">
    <w:name w:val="WW8Num24z3"/>
    <w:rsid w:val="00CF0FD2"/>
    <w:rPr>
      <w:rFonts w:ascii="Symbol" w:hAnsi="Symbol" w:cs="OpenSymbol"/>
    </w:rPr>
  </w:style>
  <w:style w:type="character" w:customStyle="1" w:styleId="WW8Num25z0">
    <w:name w:val="WW8Num25z0"/>
    <w:rsid w:val="00CF0FD2"/>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CF0FD2"/>
    <w:rPr>
      <w:rFonts w:ascii="Wingdings" w:eastAsia="Times New Roman" w:hAnsi="Wingdings" w:cs="OpenSymbol"/>
      <w:szCs w:val="24"/>
    </w:rPr>
  </w:style>
  <w:style w:type="character" w:customStyle="1" w:styleId="WW8Num27z0">
    <w:name w:val="WW8Num27z0"/>
    <w:rsid w:val="00CF0FD2"/>
    <w:rPr>
      <w:rFonts w:ascii="Wingdings" w:eastAsia="Times New Roman" w:hAnsi="Wingdings" w:cs="OpenSymbol"/>
      <w:color w:val="333333"/>
      <w:szCs w:val="24"/>
    </w:rPr>
  </w:style>
  <w:style w:type="character" w:customStyle="1" w:styleId="WW8Num28z0">
    <w:name w:val="WW8Num28z0"/>
    <w:rsid w:val="00CF0FD2"/>
    <w:rPr>
      <w:rFonts w:ascii="Symbol" w:eastAsia="Times New Roman" w:hAnsi="Symbol" w:cs="OpenSymbol"/>
      <w:szCs w:val="24"/>
    </w:rPr>
  </w:style>
  <w:style w:type="character" w:customStyle="1" w:styleId="WW8Num28z1">
    <w:name w:val="WW8Num28z1"/>
    <w:rsid w:val="00CF0FD2"/>
    <w:rPr>
      <w:rFonts w:ascii="OpenSymbol" w:hAnsi="OpenSymbol" w:cs="OpenSymbol"/>
    </w:rPr>
  </w:style>
  <w:style w:type="character" w:customStyle="1" w:styleId="WW8Num29z0">
    <w:name w:val="WW8Num29z0"/>
    <w:rsid w:val="00CF0FD2"/>
    <w:rPr>
      <w:rFonts w:ascii="Symbol" w:eastAsia="Times New Roman" w:hAnsi="Symbol" w:cs="OpenSymbol"/>
      <w:color w:val="000000"/>
      <w:lang w:bidi="ar-SA"/>
    </w:rPr>
  </w:style>
  <w:style w:type="character" w:customStyle="1" w:styleId="WW8Num29z1">
    <w:name w:val="WW8Num29z1"/>
    <w:rsid w:val="00CF0FD2"/>
    <w:rPr>
      <w:rFonts w:ascii="OpenSymbol" w:hAnsi="OpenSymbol" w:cs="OpenSymbol"/>
    </w:rPr>
  </w:style>
  <w:style w:type="character" w:customStyle="1" w:styleId="WW8Num10z1">
    <w:name w:val="WW8Num10z1"/>
    <w:rsid w:val="00CF0FD2"/>
  </w:style>
  <w:style w:type="character" w:customStyle="1" w:styleId="WW8Num10z2">
    <w:name w:val="WW8Num10z2"/>
    <w:rsid w:val="00CF0FD2"/>
    <w:rPr>
      <w:color w:val="000080"/>
    </w:rPr>
  </w:style>
  <w:style w:type="character" w:customStyle="1" w:styleId="WW8Num10z3">
    <w:name w:val="WW8Num10z3"/>
    <w:rsid w:val="00CF0FD2"/>
  </w:style>
  <w:style w:type="character" w:customStyle="1" w:styleId="WW8Num10z4">
    <w:name w:val="WW8Num10z4"/>
    <w:rsid w:val="00CF0FD2"/>
  </w:style>
  <w:style w:type="character" w:customStyle="1" w:styleId="WW8Num10z5">
    <w:name w:val="WW8Num10z5"/>
    <w:rsid w:val="00CF0FD2"/>
  </w:style>
  <w:style w:type="character" w:customStyle="1" w:styleId="WW8Num10z6">
    <w:name w:val="WW8Num10z6"/>
    <w:rsid w:val="00CF0FD2"/>
  </w:style>
  <w:style w:type="character" w:customStyle="1" w:styleId="WW8Num10z7">
    <w:name w:val="WW8Num10z7"/>
    <w:rsid w:val="00CF0FD2"/>
  </w:style>
  <w:style w:type="character" w:customStyle="1" w:styleId="WW8Num10z8">
    <w:name w:val="WW8Num10z8"/>
    <w:rsid w:val="00CF0FD2"/>
  </w:style>
  <w:style w:type="character" w:customStyle="1" w:styleId="WW8Num19z2">
    <w:name w:val="WW8Num19z2"/>
    <w:rsid w:val="00CF0FD2"/>
    <w:rPr>
      <w:rFonts w:ascii="Wingdings" w:hAnsi="Wingdings" w:cs="Wingdings"/>
    </w:rPr>
  </w:style>
  <w:style w:type="character" w:customStyle="1" w:styleId="WW8Num19z3">
    <w:name w:val="WW8Num19z3"/>
    <w:rsid w:val="00CF0FD2"/>
    <w:rPr>
      <w:rFonts w:ascii="Symbol" w:hAnsi="Symbol" w:cs="Symbol"/>
      <w:sz w:val="24"/>
      <w:szCs w:val="24"/>
      <w:shd w:val="clear" w:color="auto" w:fill="auto"/>
    </w:rPr>
  </w:style>
  <w:style w:type="character" w:customStyle="1" w:styleId="WW8Num20z2">
    <w:name w:val="WW8Num20z2"/>
    <w:rsid w:val="00CF0FD2"/>
    <w:rPr>
      <w:rFonts w:ascii="Wingdings" w:hAnsi="Wingdings" w:cs="Wingdings"/>
      <w:sz w:val="24"/>
      <w:szCs w:val="24"/>
    </w:rPr>
  </w:style>
  <w:style w:type="character" w:customStyle="1" w:styleId="WW8Num24z2">
    <w:name w:val="WW8Num24z2"/>
    <w:rsid w:val="00CF0FD2"/>
    <w:rPr>
      <w:rFonts w:ascii="Wingdings" w:hAnsi="Wingdings" w:cs="Wingdings"/>
    </w:rPr>
  </w:style>
  <w:style w:type="character" w:customStyle="1" w:styleId="WW8Num25z1">
    <w:name w:val="WW8Num25z1"/>
    <w:rsid w:val="00CF0FD2"/>
    <w:rPr>
      <w:rFonts w:ascii="Courier New" w:hAnsi="Courier New" w:cs="Courier New"/>
    </w:rPr>
  </w:style>
  <w:style w:type="character" w:customStyle="1" w:styleId="WW8Num25z2">
    <w:name w:val="WW8Num25z2"/>
    <w:rsid w:val="00CF0FD2"/>
    <w:rPr>
      <w:rFonts w:ascii="Wingdings" w:hAnsi="Wingdings" w:cs="Wingdings"/>
    </w:rPr>
  </w:style>
  <w:style w:type="character" w:customStyle="1" w:styleId="WW8Num25z3">
    <w:name w:val="WW8Num25z3"/>
    <w:rsid w:val="00CF0FD2"/>
    <w:rPr>
      <w:rFonts w:ascii="Symbol" w:hAnsi="Symbol" w:cs="Courier New"/>
    </w:rPr>
  </w:style>
  <w:style w:type="character" w:customStyle="1" w:styleId="WW8Num26z1">
    <w:name w:val="WW8Num26z1"/>
    <w:rsid w:val="00CF0FD2"/>
  </w:style>
  <w:style w:type="character" w:customStyle="1" w:styleId="WW8Num26z2">
    <w:name w:val="WW8Num26z2"/>
    <w:rsid w:val="00CF0FD2"/>
  </w:style>
  <w:style w:type="character" w:customStyle="1" w:styleId="WW8Num26z3">
    <w:name w:val="WW8Num26z3"/>
    <w:rsid w:val="00CF0FD2"/>
  </w:style>
  <w:style w:type="character" w:customStyle="1" w:styleId="WW8Num26z4">
    <w:name w:val="WW8Num26z4"/>
    <w:rsid w:val="00CF0FD2"/>
  </w:style>
  <w:style w:type="character" w:customStyle="1" w:styleId="WW8Num26z5">
    <w:name w:val="WW8Num26z5"/>
    <w:rsid w:val="00CF0FD2"/>
  </w:style>
  <w:style w:type="character" w:customStyle="1" w:styleId="WW8Num26z6">
    <w:name w:val="WW8Num26z6"/>
    <w:rsid w:val="00CF0FD2"/>
  </w:style>
  <w:style w:type="character" w:customStyle="1" w:styleId="WW8Num26z7">
    <w:name w:val="WW8Num26z7"/>
    <w:rsid w:val="00CF0FD2"/>
  </w:style>
  <w:style w:type="character" w:customStyle="1" w:styleId="WW8Num26z8">
    <w:name w:val="WW8Num26z8"/>
    <w:rsid w:val="00CF0FD2"/>
  </w:style>
  <w:style w:type="character" w:customStyle="1" w:styleId="WW8Num27z1">
    <w:name w:val="WW8Num27z1"/>
    <w:rsid w:val="00CF0FD2"/>
    <w:rPr>
      <w:rFonts w:ascii="OpenSymbol" w:hAnsi="OpenSymbol" w:cs="OpenSymbol"/>
    </w:rPr>
  </w:style>
  <w:style w:type="character" w:customStyle="1" w:styleId="WW8Num27z3">
    <w:name w:val="WW8Num27z3"/>
    <w:rsid w:val="00CF0FD2"/>
    <w:rPr>
      <w:rFonts w:ascii="Symbol" w:hAnsi="Symbol" w:cs="OpenSymbol"/>
    </w:rPr>
  </w:style>
  <w:style w:type="character" w:customStyle="1" w:styleId="WW8Num30z0">
    <w:name w:val="WW8Num30z0"/>
    <w:rsid w:val="00CF0FD2"/>
    <w:rPr>
      <w:rFonts w:ascii="Wingdings" w:eastAsia="Times New Roman" w:hAnsi="Wingdings" w:cs="OpenSymbol"/>
      <w:color w:val="333333"/>
      <w:szCs w:val="24"/>
    </w:rPr>
  </w:style>
  <w:style w:type="character" w:customStyle="1" w:styleId="WW8Num31z0">
    <w:name w:val="WW8Num31z0"/>
    <w:rsid w:val="00CF0FD2"/>
    <w:rPr>
      <w:rFonts w:ascii="Symbol" w:eastAsia="Times New Roman" w:hAnsi="Symbol" w:cs="OpenSymbol"/>
      <w:szCs w:val="24"/>
    </w:rPr>
  </w:style>
  <w:style w:type="character" w:customStyle="1" w:styleId="WW8Num31z1">
    <w:name w:val="WW8Num31z1"/>
    <w:rsid w:val="00CF0FD2"/>
    <w:rPr>
      <w:rFonts w:ascii="OpenSymbol" w:hAnsi="OpenSymbol" w:cs="OpenSymbol"/>
    </w:rPr>
  </w:style>
  <w:style w:type="character" w:customStyle="1" w:styleId="WW8Num27z2">
    <w:name w:val="WW8Num27z2"/>
    <w:rsid w:val="00CF0FD2"/>
  </w:style>
  <w:style w:type="character" w:customStyle="1" w:styleId="WW8Num27z4">
    <w:name w:val="WW8Num27z4"/>
    <w:rsid w:val="00CF0FD2"/>
  </w:style>
  <w:style w:type="character" w:customStyle="1" w:styleId="WW8Num27z5">
    <w:name w:val="WW8Num27z5"/>
    <w:rsid w:val="00CF0FD2"/>
  </w:style>
  <w:style w:type="character" w:customStyle="1" w:styleId="WW8Num27z6">
    <w:name w:val="WW8Num27z6"/>
    <w:rsid w:val="00CF0FD2"/>
  </w:style>
  <w:style w:type="character" w:customStyle="1" w:styleId="WW8Num27z7">
    <w:name w:val="WW8Num27z7"/>
    <w:rsid w:val="00CF0FD2"/>
  </w:style>
  <w:style w:type="character" w:customStyle="1" w:styleId="WW8Num27z8">
    <w:name w:val="WW8Num27z8"/>
    <w:rsid w:val="00CF0FD2"/>
  </w:style>
  <w:style w:type="character" w:customStyle="1" w:styleId="WW8Num28z3">
    <w:name w:val="WW8Num28z3"/>
    <w:rsid w:val="00CF0FD2"/>
    <w:rPr>
      <w:rFonts w:ascii="Symbol" w:hAnsi="Symbol" w:cs="OpenSymbol"/>
    </w:rPr>
  </w:style>
  <w:style w:type="character" w:customStyle="1" w:styleId="WW8Num32z0">
    <w:name w:val="WW8Num32z0"/>
    <w:rsid w:val="00CF0FD2"/>
    <w:rPr>
      <w:rFonts w:ascii="Symbol" w:eastAsia="Times New Roman" w:hAnsi="Symbol" w:cs="OpenSymbol"/>
      <w:szCs w:val="24"/>
    </w:rPr>
  </w:style>
  <w:style w:type="character" w:customStyle="1" w:styleId="WW8Num32z1">
    <w:name w:val="WW8Num32z1"/>
    <w:rsid w:val="00CF0FD2"/>
    <w:rPr>
      <w:rFonts w:ascii="OpenSymbol" w:hAnsi="OpenSymbol" w:cs="OpenSymbol"/>
    </w:rPr>
  </w:style>
  <w:style w:type="character" w:customStyle="1" w:styleId="WW8Num28z2">
    <w:name w:val="WW8Num28z2"/>
    <w:rsid w:val="00CF0FD2"/>
  </w:style>
  <w:style w:type="character" w:customStyle="1" w:styleId="WW8Num28z4">
    <w:name w:val="WW8Num28z4"/>
    <w:rsid w:val="00CF0FD2"/>
  </w:style>
  <w:style w:type="character" w:customStyle="1" w:styleId="WW8Num28z5">
    <w:name w:val="WW8Num28z5"/>
    <w:rsid w:val="00CF0FD2"/>
  </w:style>
  <w:style w:type="character" w:customStyle="1" w:styleId="WW8Num28z6">
    <w:name w:val="WW8Num28z6"/>
    <w:rsid w:val="00CF0FD2"/>
  </w:style>
  <w:style w:type="character" w:customStyle="1" w:styleId="WW8Num28z7">
    <w:name w:val="WW8Num28z7"/>
    <w:rsid w:val="00CF0FD2"/>
  </w:style>
  <w:style w:type="character" w:customStyle="1" w:styleId="WW8Num28z8">
    <w:name w:val="WW8Num28z8"/>
    <w:rsid w:val="00CF0FD2"/>
  </w:style>
  <w:style w:type="character" w:customStyle="1" w:styleId="WW8Num29z2">
    <w:name w:val="WW8Num29z2"/>
    <w:rsid w:val="00CF0FD2"/>
  </w:style>
  <w:style w:type="character" w:customStyle="1" w:styleId="WW8Num29z3">
    <w:name w:val="WW8Num29z3"/>
    <w:rsid w:val="00CF0FD2"/>
  </w:style>
  <w:style w:type="character" w:customStyle="1" w:styleId="WW8Num29z4">
    <w:name w:val="WW8Num29z4"/>
    <w:rsid w:val="00CF0FD2"/>
  </w:style>
  <w:style w:type="character" w:customStyle="1" w:styleId="WW8Num29z5">
    <w:name w:val="WW8Num29z5"/>
    <w:rsid w:val="00CF0FD2"/>
  </w:style>
  <w:style w:type="character" w:customStyle="1" w:styleId="WW8Num29z6">
    <w:name w:val="WW8Num29z6"/>
    <w:rsid w:val="00CF0FD2"/>
  </w:style>
  <w:style w:type="character" w:customStyle="1" w:styleId="WW8Num29z7">
    <w:name w:val="WW8Num29z7"/>
    <w:rsid w:val="00CF0FD2"/>
  </w:style>
  <w:style w:type="character" w:customStyle="1" w:styleId="WW8Num29z8">
    <w:name w:val="WW8Num29z8"/>
    <w:rsid w:val="00CF0FD2"/>
  </w:style>
  <w:style w:type="character" w:customStyle="1" w:styleId="WW8Num30z1">
    <w:name w:val="WW8Num30z1"/>
    <w:rsid w:val="00CF0FD2"/>
  </w:style>
  <w:style w:type="character" w:customStyle="1" w:styleId="WW8Num30z2">
    <w:name w:val="WW8Num30z2"/>
    <w:rsid w:val="00CF0FD2"/>
  </w:style>
  <w:style w:type="character" w:customStyle="1" w:styleId="WW8Num30z3">
    <w:name w:val="WW8Num30z3"/>
    <w:rsid w:val="00CF0FD2"/>
  </w:style>
  <w:style w:type="character" w:customStyle="1" w:styleId="WW8Num30z4">
    <w:name w:val="WW8Num30z4"/>
    <w:rsid w:val="00CF0FD2"/>
  </w:style>
  <w:style w:type="character" w:customStyle="1" w:styleId="WW8Num30z5">
    <w:name w:val="WW8Num30z5"/>
    <w:rsid w:val="00CF0FD2"/>
  </w:style>
  <w:style w:type="character" w:customStyle="1" w:styleId="WW8Num30z6">
    <w:name w:val="WW8Num30z6"/>
    <w:rsid w:val="00CF0FD2"/>
  </w:style>
  <w:style w:type="character" w:customStyle="1" w:styleId="WW8Num30z7">
    <w:name w:val="WW8Num30z7"/>
    <w:rsid w:val="00CF0FD2"/>
  </w:style>
  <w:style w:type="character" w:customStyle="1" w:styleId="WW8Num30z8">
    <w:name w:val="WW8Num30z8"/>
    <w:rsid w:val="00CF0FD2"/>
  </w:style>
  <w:style w:type="character" w:customStyle="1" w:styleId="WW-DefaultParagraphFont">
    <w:name w:val="WW-Default Paragraph Font"/>
    <w:rsid w:val="00CF0FD2"/>
  </w:style>
  <w:style w:type="character" w:customStyle="1" w:styleId="WW8Num11z1">
    <w:name w:val="WW8Num11z1"/>
    <w:rsid w:val="00CF0FD2"/>
  </w:style>
  <w:style w:type="character" w:customStyle="1" w:styleId="WW8Num11z2">
    <w:name w:val="WW8Num11z2"/>
    <w:rsid w:val="00CF0FD2"/>
    <w:rPr>
      <w:color w:val="000080"/>
    </w:rPr>
  </w:style>
  <w:style w:type="character" w:customStyle="1" w:styleId="WW8Num11z3">
    <w:name w:val="WW8Num11z3"/>
    <w:rsid w:val="00CF0FD2"/>
  </w:style>
  <w:style w:type="character" w:customStyle="1" w:styleId="WW8Num11z4">
    <w:name w:val="WW8Num11z4"/>
    <w:rsid w:val="00CF0FD2"/>
  </w:style>
  <w:style w:type="character" w:customStyle="1" w:styleId="WW8Num11z5">
    <w:name w:val="WW8Num11z5"/>
    <w:rsid w:val="00CF0FD2"/>
  </w:style>
  <w:style w:type="character" w:customStyle="1" w:styleId="WW8Num11z6">
    <w:name w:val="WW8Num11z6"/>
    <w:rsid w:val="00CF0FD2"/>
  </w:style>
  <w:style w:type="character" w:customStyle="1" w:styleId="WW8Num11z7">
    <w:name w:val="WW8Num11z7"/>
    <w:rsid w:val="00CF0FD2"/>
  </w:style>
  <w:style w:type="character" w:customStyle="1" w:styleId="WW8Num11z8">
    <w:name w:val="WW8Num11z8"/>
    <w:rsid w:val="00CF0FD2"/>
  </w:style>
  <w:style w:type="character" w:customStyle="1" w:styleId="WW8Num18z2">
    <w:name w:val="WW8Num18z2"/>
    <w:rsid w:val="00CF0FD2"/>
    <w:rPr>
      <w:rFonts w:ascii="Wingdings" w:hAnsi="Wingdings" w:cs="Wingdings"/>
    </w:rPr>
  </w:style>
  <w:style w:type="character" w:customStyle="1" w:styleId="WW-DefaultParagraphFont1">
    <w:name w:val="WW-Default Paragraph Font1"/>
    <w:rsid w:val="00CF0FD2"/>
  </w:style>
  <w:style w:type="character" w:customStyle="1" w:styleId="WW8Num33z0">
    <w:name w:val="WW8Num33z0"/>
    <w:rsid w:val="00CF0FD2"/>
    <w:rPr>
      <w:rFonts w:ascii="Symbol" w:eastAsia="Times New Roman" w:hAnsi="Symbol" w:cs="OpenSymbol"/>
      <w:szCs w:val="24"/>
      <w:shd w:val="clear" w:color="auto" w:fill="auto"/>
    </w:rPr>
  </w:style>
  <w:style w:type="character" w:customStyle="1" w:styleId="WW8Num33z1">
    <w:name w:val="WW8Num33z1"/>
    <w:rsid w:val="00CF0FD2"/>
    <w:rPr>
      <w:rFonts w:ascii="OpenSymbol" w:hAnsi="OpenSymbol" w:cs="OpenSymbol"/>
    </w:rPr>
  </w:style>
  <w:style w:type="character" w:customStyle="1" w:styleId="WW8Num31z3">
    <w:name w:val="WW8Num31z3"/>
    <w:rsid w:val="00CF0FD2"/>
    <w:rPr>
      <w:rFonts w:ascii="Symbol" w:hAnsi="Symbol" w:cs="Symbol"/>
    </w:rPr>
  </w:style>
  <w:style w:type="character" w:customStyle="1" w:styleId="WW8Num32z3">
    <w:name w:val="WW8Num32z3"/>
    <w:rsid w:val="00CF0FD2"/>
    <w:rPr>
      <w:rFonts w:ascii="Symbol" w:hAnsi="Symbol" w:cs="OpenSymbol"/>
      <w:sz w:val="24"/>
      <w:szCs w:val="24"/>
    </w:rPr>
  </w:style>
  <w:style w:type="character" w:customStyle="1" w:styleId="WW8Num34z0">
    <w:name w:val="WW8Num34z0"/>
    <w:rsid w:val="00CF0FD2"/>
    <w:rPr>
      <w:rFonts w:ascii="Symbol" w:hAnsi="Symbol" w:cs="OpenSymbol"/>
    </w:rPr>
  </w:style>
  <w:style w:type="character" w:customStyle="1" w:styleId="WW8Num34z1">
    <w:name w:val="WW8Num34z1"/>
    <w:rsid w:val="00CF0FD2"/>
    <w:rPr>
      <w:rFonts w:ascii="OpenSymbol" w:hAnsi="OpenSymbol" w:cs="OpenSymbol"/>
    </w:rPr>
  </w:style>
  <w:style w:type="character" w:customStyle="1" w:styleId="WW8Num35z0">
    <w:name w:val="WW8Num35z0"/>
    <w:rsid w:val="00CF0FD2"/>
    <w:rPr>
      <w:rFonts w:ascii="Symbol" w:eastAsia="Times New Roman" w:hAnsi="Symbol" w:cs="OpenSymbol"/>
      <w:szCs w:val="24"/>
      <w:shd w:val="clear" w:color="auto" w:fill="auto"/>
    </w:rPr>
  </w:style>
  <w:style w:type="character" w:customStyle="1" w:styleId="WW8Num35z1">
    <w:name w:val="WW8Num35z1"/>
    <w:rsid w:val="00CF0FD2"/>
    <w:rPr>
      <w:rFonts w:ascii="OpenSymbol" w:hAnsi="OpenSymbol" w:cs="OpenSymbol"/>
    </w:rPr>
  </w:style>
  <w:style w:type="character" w:customStyle="1" w:styleId="WW8Num12z1">
    <w:name w:val="WW8Num12z1"/>
    <w:rsid w:val="00CF0FD2"/>
  </w:style>
  <w:style w:type="character" w:customStyle="1" w:styleId="WW8Num12z2">
    <w:name w:val="WW8Num12z2"/>
    <w:rsid w:val="00CF0FD2"/>
    <w:rPr>
      <w:color w:val="000080"/>
    </w:rPr>
  </w:style>
  <w:style w:type="character" w:customStyle="1" w:styleId="WW8Num12z3">
    <w:name w:val="WW8Num12z3"/>
    <w:rsid w:val="00CF0FD2"/>
  </w:style>
  <w:style w:type="character" w:customStyle="1" w:styleId="WW8Num12z4">
    <w:name w:val="WW8Num12z4"/>
    <w:rsid w:val="00CF0FD2"/>
  </w:style>
  <w:style w:type="character" w:customStyle="1" w:styleId="WW8Num12z5">
    <w:name w:val="WW8Num12z5"/>
    <w:rsid w:val="00CF0FD2"/>
  </w:style>
  <w:style w:type="character" w:customStyle="1" w:styleId="WW8Num12z6">
    <w:name w:val="WW8Num12z6"/>
    <w:rsid w:val="00CF0FD2"/>
  </w:style>
  <w:style w:type="character" w:customStyle="1" w:styleId="WW8Num12z7">
    <w:name w:val="WW8Num12z7"/>
    <w:rsid w:val="00CF0FD2"/>
  </w:style>
  <w:style w:type="character" w:customStyle="1" w:styleId="WW8Num12z8">
    <w:name w:val="WW8Num12z8"/>
    <w:rsid w:val="00CF0FD2"/>
  </w:style>
  <w:style w:type="character" w:customStyle="1" w:styleId="WW8Num32z2">
    <w:name w:val="WW8Num32z2"/>
    <w:rsid w:val="00CF0FD2"/>
    <w:rPr>
      <w:rFonts w:ascii="Wingdings" w:hAnsi="Wingdings" w:cs="Wingdings"/>
    </w:rPr>
  </w:style>
  <w:style w:type="character" w:customStyle="1" w:styleId="WW8Num33z3">
    <w:name w:val="WW8Num33z3"/>
    <w:rsid w:val="00CF0FD2"/>
    <w:rPr>
      <w:rFonts w:ascii="Symbol" w:hAnsi="Symbol" w:cs="Symbol"/>
    </w:rPr>
  </w:style>
  <w:style w:type="character" w:customStyle="1" w:styleId="WW8Num34z2">
    <w:name w:val="WW8Num34z2"/>
    <w:rsid w:val="00CF0FD2"/>
    <w:rPr>
      <w:rFonts w:ascii="Wingdings" w:hAnsi="Wingdings" w:cs="Wingdings"/>
    </w:rPr>
  </w:style>
  <w:style w:type="character" w:customStyle="1" w:styleId="WW8Num35z2">
    <w:name w:val="WW8Num35z2"/>
    <w:rsid w:val="00CF0FD2"/>
    <w:rPr>
      <w:rFonts w:ascii="Wingdings" w:hAnsi="Wingdings" w:cs="Wingdings"/>
      <w:sz w:val="24"/>
      <w:szCs w:val="24"/>
    </w:rPr>
  </w:style>
  <w:style w:type="character" w:customStyle="1" w:styleId="WW8Num35z3">
    <w:name w:val="WW8Num35z3"/>
    <w:rsid w:val="00CF0FD2"/>
    <w:rPr>
      <w:rFonts w:ascii="Symbol" w:hAnsi="Symbol" w:cs="Symbol"/>
    </w:rPr>
  </w:style>
  <w:style w:type="character" w:customStyle="1" w:styleId="WW8Num36z0">
    <w:name w:val="WW8Num36z0"/>
    <w:rsid w:val="00CF0FD2"/>
    <w:rPr>
      <w:rFonts w:ascii="Wingdings" w:hAnsi="Wingdings" w:cs="Wingdings"/>
    </w:rPr>
  </w:style>
  <w:style w:type="character" w:customStyle="1" w:styleId="WW8Num36z1">
    <w:name w:val="WW8Num36z1"/>
    <w:rsid w:val="00CF0FD2"/>
    <w:rPr>
      <w:rFonts w:ascii="Courier New" w:hAnsi="Courier New" w:cs="Courier New"/>
    </w:rPr>
  </w:style>
  <w:style w:type="character" w:customStyle="1" w:styleId="WW8Num36z3">
    <w:name w:val="WW8Num36z3"/>
    <w:rsid w:val="00CF0FD2"/>
    <w:rPr>
      <w:rFonts w:ascii="Symbol" w:hAnsi="Symbol" w:cs="Symbol"/>
    </w:rPr>
  </w:style>
  <w:style w:type="character" w:customStyle="1" w:styleId="WW8Num37z0">
    <w:name w:val="WW8Num37z0"/>
    <w:rsid w:val="00CF0FD2"/>
    <w:rPr>
      <w:rFonts w:ascii="Wingdings" w:hAnsi="Wingdings" w:cs="Wingdings"/>
      <w:sz w:val="24"/>
      <w:szCs w:val="24"/>
    </w:rPr>
  </w:style>
  <w:style w:type="character" w:customStyle="1" w:styleId="WW8Num37z1">
    <w:name w:val="WW8Num37z1"/>
    <w:rsid w:val="00CF0FD2"/>
    <w:rPr>
      <w:rFonts w:ascii="Courier New" w:hAnsi="Courier New" w:cs="Courier New"/>
    </w:rPr>
  </w:style>
  <w:style w:type="character" w:customStyle="1" w:styleId="WW8Num37z3">
    <w:name w:val="WW8Num37z3"/>
    <w:rsid w:val="00CF0FD2"/>
    <w:rPr>
      <w:rFonts w:ascii="Symbol" w:hAnsi="Symbol" w:cs="Symbol"/>
    </w:rPr>
  </w:style>
  <w:style w:type="character" w:customStyle="1" w:styleId="WW8Num38z0">
    <w:name w:val="WW8Num38z0"/>
    <w:rsid w:val="00CF0FD2"/>
    <w:rPr>
      <w:rFonts w:ascii="Symbol" w:hAnsi="Symbol" w:cs="OpenSymbol"/>
    </w:rPr>
  </w:style>
  <w:style w:type="character" w:customStyle="1" w:styleId="WW8Num38z1">
    <w:name w:val="WW8Num38z1"/>
    <w:rsid w:val="00CF0FD2"/>
    <w:rPr>
      <w:rFonts w:ascii="OpenSymbol" w:hAnsi="OpenSymbol" w:cs="OpenSymbol"/>
    </w:rPr>
  </w:style>
  <w:style w:type="character" w:customStyle="1" w:styleId="WW8Num6z1">
    <w:name w:val="WW8Num6z1"/>
    <w:rsid w:val="00CF0FD2"/>
    <w:rPr>
      <w:rFonts w:ascii="Arial" w:hAnsi="Arial" w:cs="Arial"/>
    </w:rPr>
  </w:style>
  <w:style w:type="character" w:customStyle="1" w:styleId="WW8Num6z2">
    <w:name w:val="WW8Num6z2"/>
    <w:rsid w:val="00CF0FD2"/>
    <w:rPr>
      <w:rFonts w:cs="Times New Roman"/>
    </w:rPr>
  </w:style>
  <w:style w:type="character" w:customStyle="1" w:styleId="WW8Num13z1">
    <w:name w:val="WW8Num13z1"/>
    <w:rsid w:val="00CF0FD2"/>
  </w:style>
  <w:style w:type="character" w:customStyle="1" w:styleId="WW8Num13z2">
    <w:name w:val="WW8Num13z2"/>
    <w:rsid w:val="00CF0FD2"/>
    <w:rPr>
      <w:color w:val="000080"/>
    </w:rPr>
  </w:style>
  <w:style w:type="character" w:customStyle="1" w:styleId="WW8Num13z3">
    <w:name w:val="WW8Num13z3"/>
    <w:rsid w:val="00CF0FD2"/>
  </w:style>
  <w:style w:type="character" w:customStyle="1" w:styleId="WW8Num13z4">
    <w:name w:val="WW8Num13z4"/>
    <w:rsid w:val="00CF0FD2"/>
  </w:style>
  <w:style w:type="character" w:customStyle="1" w:styleId="WW8Num13z5">
    <w:name w:val="WW8Num13z5"/>
    <w:rsid w:val="00CF0FD2"/>
  </w:style>
  <w:style w:type="character" w:customStyle="1" w:styleId="WW8Num13z6">
    <w:name w:val="WW8Num13z6"/>
    <w:rsid w:val="00CF0FD2"/>
  </w:style>
  <w:style w:type="character" w:customStyle="1" w:styleId="WW8Num13z7">
    <w:name w:val="WW8Num13z7"/>
    <w:rsid w:val="00CF0FD2"/>
  </w:style>
  <w:style w:type="character" w:customStyle="1" w:styleId="WW8Num13z8">
    <w:name w:val="WW8Num13z8"/>
    <w:rsid w:val="00CF0FD2"/>
  </w:style>
  <w:style w:type="character" w:customStyle="1" w:styleId="WW8Num34z3">
    <w:name w:val="WW8Num34z3"/>
    <w:rsid w:val="00CF0FD2"/>
    <w:rPr>
      <w:rFonts w:ascii="Symbol" w:hAnsi="Symbol" w:cs="Symbol"/>
    </w:rPr>
  </w:style>
  <w:style w:type="character" w:customStyle="1" w:styleId="WW8Num36z2">
    <w:name w:val="WW8Num36z2"/>
    <w:rsid w:val="00CF0FD2"/>
    <w:rPr>
      <w:rFonts w:ascii="Wingdings" w:hAnsi="Wingdings" w:cs="Wingdings"/>
    </w:rPr>
  </w:style>
  <w:style w:type="character" w:customStyle="1" w:styleId="WW8Num38z3">
    <w:name w:val="WW8Num38z3"/>
    <w:rsid w:val="00CF0FD2"/>
    <w:rPr>
      <w:rFonts w:ascii="Symbol" w:hAnsi="Symbol" w:cs="Symbol"/>
    </w:rPr>
  </w:style>
  <w:style w:type="character" w:customStyle="1" w:styleId="WW8Num39z0">
    <w:name w:val="WW8Num39z0"/>
    <w:rsid w:val="00CF0FD2"/>
    <w:rPr>
      <w:rFonts w:ascii="Wingdings" w:hAnsi="Wingdings" w:cs="Wingdings"/>
    </w:rPr>
  </w:style>
  <w:style w:type="character" w:customStyle="1" w:styleId="WW8Num39z1">
    <w:name w:val="WW8Num39z1"/>
    <w:rsid w:val="00CF0FD2"/>
    <w:rPr>
      <w:rFonts w:ascii="Courier New" w:hAnsi="Courier New" w:cs="Courier New"/>
    </w:rPr>
  </w:style>
  <w:style w:type="character" w:customStyle="1" w:styleId="WW8Num39z3">
    <w:name w:val="WW8Num39z3"/>
    <w:rsid w:val="00CF0FD2"/>
    <w:rPr>
      <w:rFonts w:ascii="Symbol" w:hAnsi="Symbol" w:cs="Symbol"/>
    </w:rPr>
  </w:style>
  <w:style w:type="character" w:customStyle="1" w:styleId="WW8Num40z0">
    <w:name w:val="WW8Num40z0"/>
    <w:rsid w:val="00CF0FD2"/>
    <w:rPr>
      <w:rFonts w:ascii="Wingdings" w:eastAsia="Times New Roman" w:hAnsi="Wingdings" w:cs="Wingdings"/>
      <w:sz w:val="24"/>
      <w:szCs w:val="24"/>
    </w:rPr>
  </w:style>
  <w:style w:type="character" w:customStyle="1" w:styleId="WW8Num40z1">
    <w:name w:val="WW8Num40z1"/>
    <w:rsid w:val="00CF0FD2"/>
    <w:rPr>
      <w:rFonts w:ascii="Courier New" w:hAnsi="Courier New" w:cs="Courier New"/>
    </w:rPr>
  </w:style>
  <w:style w:type="character" w:customStyle="1" w:styleId="WW8Num40z3">
    <w:name w:val="WW8Num40z3"/>
    <w:rsid w:val="00CF0FD2"/>
    <w:rPr>
      <w:rFonts w:ascii="Symbol" w:hAnsi="Symbol" w:cs="Symbol"/>
    </w:rPr>
  </w:style>
  <w:style w:type="character" w:customStyle="1" w:styleId="WW8Num41z0">
    <w:name w:val="WW8Num41z0"/>
    <w:rsid w:val="00CF0FD2"/>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CF0FD2"/>
    <w:rPr>
      <w:rFonts w:ascii="OpenSymbol" w:hAnsi="OpenSymbol" w:cs="OpenSymbol"/>
    </w:rPr>
  </w:style>
  <w:style w:type="character" w:customStyle="1" w:styleId="WW8Num5z1">
    <w:name w:val="WW8Num5z1"/>
    <w:rsid w:val="00CF0FD2"/>
    <w:rPr>
      <w:rFonts w:ascii="Arial" w:hAnsi="Arial" w:cs="Arial"/>
    </w:rPr>
  </w:style>
  <w:style w:type="character" w:customStyle="1" w:styleId="WW8Num5z2">
    <w:name w:val="WW8Num5z2"/>
    <w:rsid w:val="00CF0FD2"/>
    <w:rPr>
      <w:rFonts w:cs="Times New Roman"/>
    </w:rPr>
  </w:style>
  <w:style w:type="character" w:customStyle="1" w:styleId="WW8Num4z1">
    <w:name w:val="WW8Num4z1"/>
    <w:rsid w:val="00CF0FD2"/>
    <w:rPr>
      <w:rFonts w:cs="Times New Roman"/>
    </w:rPr>
  </w:style>
  <w:style w:type="character" w:customStyle="1" w:styleId="WW8Num6z3">
    <w:name w:val="WW8Num6z3"/>
    <w:rsid w:val="00CF0FD2"/>
  </w:style>
  <w:style w:type="character" w:customStyle="1" w:styleId="WW8Num6z4">
    <w:name w:val="WW8Num6z4"/>
    <w:rsid w:val="00CF0FD2"/>
  </w:style>
  <w:style w:type="character" w:customStyle="1" w:styleId="WW8Num6z5">
    <w:name w:val="WW8Num6z5"/>
    <w:rsid w:val="00CF0FD2"/>
  </w:style>
  <w:style w:type="character" w:customStyle="1" w:styleId="WW8Num6z6">
    <w:name w:val="WW8Num6z6"/>
    <w:rsid w:val="00CF0FD2"/>
  </w:style>
  <w:style w:type="character" w:customStyle="1" w:styleId="WW8Num6z7">
    <w:name w:val="WW8Num6z7"/>
    <w:rsid w:val="00CF0FD2"/>
  </w:style>
  <w:style w:type="character" w:customStyle="1" w:styleId="WW8Num6z8">
    <w:name w:val="WW8Num6z8"/>
    <w:rsid w:val="00CF0FD2"/>
  </w:style>
  <w:style w:type="character" w:customStyle="1" w:styleId="WW8Num7z1">
    <w:name w:val="WW8Num7z1"/>
    <w:rsid w:val="00CF0FD2"/>
    <w:rPr>
      <w:rFonts w:ascii="Courier New" w:hAnsi="Courier New" w:cs="Courier New"/>
    </w:rPr>
  </w:style>
  <w:style w:type="character" w:customStyle="1" w:styleId="WW8Num7z2">
    <w:name w:val="WW8Num7z2"/>
    <w:rsid w:val="00CF0FD2"/>
    <w:rPr>
      <w:rFonts w:ascii="Wingdings" w:hAnsi="Wingdings" w:cs="Wingdings"/>
    </w:rPr>
  </w:style>
  <w:style w:type="character" w:customStyle="1" w:styleId="WW8Num8z1">
    <w:name w:val="WW8Num8z1"/>
    <w:rsid w:val="00CF0FD2"/>
  </w:style>
  <w:style w:type="character" w:customStyle="1" w:styleId="WW8Num8z2">
    <w:name w:val="WW8Num8z2"/>
    <w:rsid w:val="00CF0FD2"/>
  </w:style>
  <w:style w:type="character" w:customStyle="1" w:styleId="WW8Num8z3">
    <w:name w:val="WW8Num8z3"/>
    <w:rsid w:val="00CF0FD2"/>
  </w:style>
  <w:style w:type="character" w:customStyle="1" w:styleId="WW8Num8z4">
    <w:name w:val="WW8Num8z4"/>
    <w:rsid w:val="00CF0FD2"/>
  </w:style>
  <w:style w:type="character" w:customStyle="1" w:styleId="WW8Num8z5">
    <w:name w:val="WW8Num8z5"/>
    <w:rsid w:val="00CF0FD2"/>
  </w:style>
  <w:style w:type="character" w:customStyle="1" w:styleId="WW8Num8z6">
    <w:name w:val="WW8Num8z6"/>
    <w:rsid w:val="00CF0FD2"/>
  </w:style>
  <w:style w:type="character" w:customStyle="1" w:styleId="WW8Num8z7">
    <w:name w:val="WW8Num8z7"/>
    <w:rsid w:val="00CF0FD2"/>
  </w:style>
  <w:style w:type="character" w:customStyle="1" w:styleId="WW8Num8z8">
    <w:name w:val="WW8Num8z8"/>
    <w:rsid w:val="00CF0FD2"/>
  </w:style>
  <w:style w:type="character" w:customStyle="1" w:styleId="WW8Num14z1">
    <w:name w:val="WW8Num14z1"/>
    <w:rsid w:val="00CF0FD2"/>
  </w:style>
  <w:style w:type="character" w:customStyle="1" w:styleId="WW8Num14z2">
    <w:name w:val="WW8Num14z2"/>
    <w:rsid w:val="00CF0FD2"/>
    <w:rPr>
      <w:color w:val="000080"/>
    </w:rPr>
  </w:style>
  <w:style w:type="character" w:customStyle="1" w:styleId="WW8Num14z3">
    <w:name w:val="WW8Num14z3"/>
    <w:rsid w:val="00CF0FD2"/>
  </w:style>
  <w:style w:type="character" w:customStyle="1" w:styleId="WW8Num14z4">
    <w:name w:val="WW8Num14z4"/>
    <w:rsid w:val="00CF0FD2"/>
  </w:style>
  <w:style w:type="character" w:customStyle="1" w:styleId="WW8Num14z5">
    <w:name w:val="WW8Num14z5"/>
    <w:rsid w:val="00CF0FD2"/>
  </w:style>
  <w:style w:type="character" w:customStyle="1" w:styleId="WW8Num14z6">
    <w:name w:val="WW8Num14z6"/>
    <w:rsid w:val="00CF0FD2"/>
  </w:style>
  <w:style w:type="character" w:customStyle="1" w:styleId="WW8Num14z7">
    <w:name w:val="WW8Num14z7"/>
    <w:rsid w:val="00CF0FD2"/>
  </w:style>
  <w:style w:type="character" w:customStyle="1" w:styleId="WW8Num14z8">
    <w:name w:val="WW8Num14z8"/>
    <w:rsid w:val="00CF0FD2"/>
  </w:style>
  <w:style w:type="character" w:customStyle="1" w:styleId="WW8Num15z1">
    <w:name w:val="WW8Num15z1"/>
    <w:rsid w:val="00CF0FD2"/>
    <w:rPr>
      <w:rFonts w:ascii="Courier New" w:hAnsi="Courier New" w:cs="Courier New"/>
    </w:rPr>
  </w:style>
  <w:style w:type="character" w:customStyle="1" w:styleId="WW8Num15z3">
    <w:name w:val="WW8Num15z3"/>
    <w:rsid w:val="00CF0FD2"/>
    <w:rPr>
      <w:rFonts w:ascii="Symbol" w:hAnsi="Symbol" w:cs="Symbol"/>
    </w:rPr>
  </w:style>
  <w:style w:type="character" w:customStyle="1" w:styleId="WW8Num24z4">
    <w:name w:val="WW8Num24z4"/>
    <w:rsid w:val="00CF0FD2"/>
  </w:style>
  <w:style w:type="character" w:customStyle="1" w:styleId="WW8Num24z5">
    <w:name w:val="WW8Num24z5"/>
    <w:rsid w:val="00CF0FD2"/>
  </w:style>
  <w:style w:type="character" w:customStyle="1" w:styleId="WW8Num24z6">
    <w:name w:val="WW8Num24z6"/>
    <w:rsid w:val="00CF0FD2"/>
  </w:style>
  <w:style w:type="character" w:customStyle="1" w:styleId="WW8Num24z7">
    <w:name w:val="WW8Num24z7"/>
    <w:rsid w:val="00CF0FD2"/>
  </w:style>
  <w:style w:type="character" w:customStyle="1" w:styleId="WW8Num24z8">
    <w:name w:val="WW8Num24z8"/>
    <w:rsid w:val="00CF0FD2"/>
  </w:style>
  <w:style w:type="character" w:customStyle="1" w:styleId="WW8Num33z2">
    <w:name w:val="WW8Num33z2"/>
    <w:rsid w:val="00CF0FD2"/>
  </w:style>
  <w:style w:type="character" w:customStyle="1" w:styleId="WW8Num33z4">
    <w:name w:val="WW8Num33z4"/>
    <w:rsid w:val="00CF0FD2"/>
  </w:style>
  <w:style w:type="character" w:customStyle="1" w:styleId="WW8Num33z5">
    <w:name w:val="WW8Num33z5"/>
    <w:rsid w:val="00CF0FD2"/>
  </w:style>
  <w:style w:type="character" w:customStyle="1" w:styleId="WW8Num33z6">
    <w:name w:val="WW8Num33z6"/>
    <w:rsid w:val="00CF0FD2"/>
  </w:style>
  <w:style w:type="character" w:customStyle="1" w:styleId="WW8Num33z7">
    <w:name w:val="WW8Num33z7"/>
    <w:rsid w:val="00CF0FD2"/>
  </w:style>
  <w:style w:type="character" w:customStyle="1" w:styleId="WW8Num33z8">
    <w:name w:val="WW8Num33z8"/>
    <w:rsid w:val="00CF0FD2"/>
  </w:style>
  <w:style w:type="character" w:customStyle="1" w:styleId="WW8Num35z4">
    <w:name w:val="WW8Num35z4"/>
    <w:rsid w:val="00CF0FD2"/>
  </w:style>
  <w:style w:type="character" w:customStyle="1" w:styleId="WW8Num35z5">
    <w:name w:val="WW8Num35z5"/>
    <w:rsid w:val="00CF0FD2"/>
  </w:style>
  <w:style w:type="character" w:customStyle="1" w:styleId="WW8Num35z6">
    <w:name w:val="WW8Num35z6"/>
    <w:rsid w:val="00CF0FD2"/>
  </w:style>
  <w:style w:type="character" w:customStyle="1" w:styleId="WW8Num35z7">
    <w:name w:val="WW8Num35z7"/>
    <w:rsid w:val="00CF0FD2"/>
  </w:style>
  <w:style w:type="character" w:customStyle="1" w:styleId="WW8Num35z8">
    <w:name w:val="WW8Num35z8"/>
    <w:rsid w:val="00CF0FD2"/>
  </w:style>
  <w:style w:type="character" w:customStyle="1" w:styleId="WW8Num37z2">
    <w:name w:val="WW8Num37z2"/>
    <w:rsid w:val="00CF0FD2"/>
  </w:style>
  <w:style w:type="character" w:customStyle="1" w:styleId="WW8Num37z4">
    <w:name w:val="WW8Num37z4"/>
    <w:rsid w:val="00CF0FD2"/>
  </w:style>
  <w:style w:type="character" w:customStyle="1" w:styleId="WW8Num37z5">
    <w:name w:val="WW8Num37z5"/>
    <w:rsid w:val="00CF0FD2"/>
  </w:style>
  <w:style w:type="character" w:customStyle="1" w:styleId="WW8Num37z6">
    <w:name w:val="WW8Num37z6"/>
    <w:rsid w:val="00CF0FD2"/>
  </w:style>
  <w:style w:type="character" w:customStyle="1" w:styleId="WW8Num37z7">
    <w:name w:val="WW8Num37z7"/>
    <w:rsid w:val="00CF0FD2"/>
  </w:style>
  <w:style w:type="character" w:customStyle="1" w:styleId="WW8Num37z8">
    <w:name w:val="WW8Num37z8"/>
    <w:rsid w:val="00CF0FD2"/>
  </w:style>
  <w:style w:type="character" w:customStyle="1" w:styleId="WW8Num39z2">
    <w:name w:val="WW8Num39z2"/>
    <w:rsid w:val="00CF0FD2"/>
    <w:rPr>
      <w:rFonts w:ascii="Wingdings" w:hAnsi="Wingdings" w:cs="Wingdings"/>
    </w:rPr>
  </w:style>
  <w:style w:type="character" w:customStyle="1" w:styleId="WW8Num41z3">
    <w:name w:val="WW8Num41z3"/>
    <w:rsid w:val="00CF0FD2"/>
    <w:rPr>
      <w:rFonts w:ascii="Symbol" w:hAnsi="Symbol" w:cs="Symbol"/>
    </w:rPr>
  </w:style>
  <w:style w:type="character" w:customStyle="1" w:styleId="WW8Num42z0">
    <w:name w:val="WW8Num42z0"/>
    <w:rsid w:val="00CF0FD2"/>
    <w:rPr>
      <w:rFonts w:ascii="Wingdings" w:hAnsi="Wingdings" w:cs="Wingdings"/>
    </w:rPr>
  </w:style>
  <w:style w:type="character" w:customStyle="1" w:styleId="WW8Num42z1">
    <w:name w:val="WW8Num42z1"/>
    <w:rsid w:val="00CF0FD2"/>
    <w:rPr>
      <w:rFonts w:ascii="Courier New" w:hAnsi="Courier New" w:cs="Courier New"/>
    </w:rPr>
  </w:style>
  <w:style w:type="character" w:customStyle="1" w:styleId="WW8Num42z3">
    <w:name w:val="WW8Num42z3"/>
    <w:rsid w:val="00CF0FD2"/>
    <w:rPr>
      <w:rFonts w:ascii="Symbol" w:hAnsi="Symbol" w:cs="Symbol"/>
    </w:rPr>
  </w:style>
  <w:style w:type="character" w:customStyle="1" w:styleId="WW8Num43z0">
    <w:name w:val="WW8Num43z0"/>
    <w:rsid w:val="00CF0FD2"/>
    <w:rPr>
      <w:rFonts w:ascii="Wingdings" w:eastAsia="Times New Roman" w:hAnsi="Wingdings" w:cs="Wingdings"/>
      <w:szCs w:val="24"/>
    </w:rPr>
  </w:style>
  <w:style w:type="character" w:customStyle="1" w:styleId="WW8Num43z1">
    <w:name w:val="WW8Num43z1"/>
    <w:rsid w:val="00CF0FD2"/>
    <w:rPr>
      <w:rFonts w:ascii="Courier New" w:hAnsi="Courier New" w:cs="Courier New"/>
    </w:rPr>
  </w:style>
  <w:style w:type="character" w:customStyle="1" w:styleId="WW8Num43z3">
    <w:name w:val="WW8Num43z3"/>
    <w:rsid w:val="00CF0FD2"/>
    <w:rPr>
      <w:rFonts w:ascii="Symbol" w:hAnsi="Symbol" w:cs="Symbol"/>
    </w:rPr>
  </w:style>
  <w:style w:type="character" w:customStyle="1" w:styleId="WW8Num44z0">
    <w:name w:val="WW8Num44z0"/>
    <w:rsid w:val="00CF0FD2"/>
    <w:rPr>
      <w:rFonts w:ascii="Symbol" w:eastAsia="Times New Roman" w:hAnsi="Symbol" w:cs="Symbol"/>
      <w:szCs w:val="24"/>
    </w:rPr>
  </w:style>
  <w:style w:type="character" w:customStyle="1" w:styleId="WW8Num44z1">
    <w:name w:val="WW8Num44z1"/>
    <w:rsid w:val="00CF0FD2"/>
    <w:rPr>
      <w:rFonts w:ascii="Courier New" w:eastAsia="Times New Roman" w:hAnsi="Courier New" w:cs="Courier New"/>
      <w:szCs w:val="24"/>
    </w:rPr>
  </w:style>
  <w:style w:type="character" w:customStyle="1" w:styleId="WW8Num44z2">
    <w:name w:val="WW8Num44z2"/>
    <w:rsid w:val="00CF0FD2"/>
    <w:rPr>
      <w:rFonts w:ascii="Wingdings" w:hAnsi="Wingdings" w:cs="Wingdings"/>
    </w:rPr>
  </w:style>
  <w:style w:type="character" w:customStyle="1" w:styleId="WW8Num45z0">
    <w:name w:val="WW8Num45z0"/>
    <w:rsid w:val="00CF0FD2"/>
    <w:rPr>
      <w:rFonts w:ascii="Wingdings" w:hAnsi="Wingdings" w:cs="Wingdings"/>
    </w:rPr>
  </w:style>
  <w:style w:type="character" w:customStyle="1" w:styleId="WW8Num45z1">
    <w:name w:val="WW8Num45z1"/>
    <w:rsid w:val="00CF0FD2"/>
    <w:rPr>
      <w:rFonts w:ascii="Courier New" w:hAnsi="Courier New" w:cs="Courier New"/>
    </w:rPr>
  </w:style>
  <w:style w:type="character" w:customStyle="1" w:styleId="WW8Num45z3">
    <w:name w:val="WW8Num45z3"/>
    <w:rsid w:val="00CF0FD2"/>
    <w:rPr>
      <w:rFonts w:ascii="Symbol" w:hAnsi="Symbol" w:cs="Symbol"/>
    </w:rPr>
  </w:style>
  <w:style w:type="character" w:customStyle="1" w:styleId="WW8Num46z0">
    <w:name w:val="WW8Num46z0"/>
    <w:rsid w:val="00CF0FD2"/>
    <w:rPr>
      <w:rFonts w:ascii="Symbol" w:hAnsi="Symbol" w:cs="Symbol"/>
    </w:rPr>
  </w:style>
  <w:style w:type="character" w:customStyle="1" w:styleId="WW8Num46z1">
    <w:name w:val="WW8Num46z1"/>
    <w:rsid w:val="00CF0FD2"/>
    <w:rPr>
      <w:rFonts w:ascii="Courier New" w:hAnsi="Courier New" w:cs="Courier New"/>
    </w:rPr>
  </w:style>
  <w:style w:type="character" w:customStyle="1" w:styleId="WW8Num46z2">
    <w:name w:val="WW8Num46z2"/>
    <w:rsid w:val="00CF0FD2"/>
    <w:rPr>
      <w:rFonts w:ascii="Wingdings" w:hAnsi="Wingdings" w:cs="Wingdings"/>
    </w:rPr>
  </w:style>
  <w:style w:type="character" w:customStyle="1" w:styleId="WW8Num47z0">
    <w:name w:val="WW8Num47z0"/>
    <w:rsid w:val="00CF0FD2"/>
    <w:rPr>
      <w:rFonts w:ascii="Arial Narrow" w:eastAsia="Times New Roman" w:hAnsi="Arial Narrow" w:cs="Calibri"/>
    </w:rPr>
  </w:style>
  <w:style w:type="character" w:customStyle="1" w:styleId="WW8Num47z1">
    <w:name w:val="WW8Num47z1"/>
    <w:rsid w:val="00CF0FD2"/>
    <w:rPr>
      <w:rFonts w:ascii="Courier New" w:hAnsi="Courier New" w:cs="Courier New"/>
    </w:rPr>
  </w:style>
  <w:style w:type="character" w:customStyle="1" w:styleId="WW8Num47z2">
    <w:name w:val="WW8Num47z2"/>
    <w:rsid w:val="00CF0FD2"/>
    <w:rPr>
      <w:rFonts w:ascii="Wingdings" w:hAnsi="Wingdings" w:cs="Wingdings"/>
    </w:rPr>
  </w:style>
  <w:style w:type="character" w:customStyle="1" w:styleId="WW8Num47z3">
    <w:name w:val="WW8Num47z3"/>
    <w:rsid w:val="00CF0FD2"/>
    <w:rPr>
      <w:rFonts w:ascii="Symbol" w:hAnsi="Symbol" w:cs="Symbol"/>
    </w:rPr>
  </w:style>
  <w:style w:type="character" w:customStyle="1" w:styleId="WW8Num48z0">
    <w:name w:val="WW8Num48z0"/>
    <w:rsid w:val="00CF0FD2"/>
    <w:rPr>
      <w:rFonts w:ascii="Symbol" w:hAnsi="Symbol" w:cs="Symbol"/>
    </w:rPr>
  </w:style>
  <w:style w:type="character" w:customStyle="1" w:styleId="WW8Num48z1">
    <w:name w:val="WW8Num48z1"/>
    <w:rsid w:val="00CF0FD2"/>
    <w:rPr>
      <w:rFonts w:ascii="Courier New" w:hAnsi="Courier New" w:cs="Courier New"/>
    </w:rPr>
  </w:style>
  <w:style w:type="character" w:customStyle="1" w:styleId="WW8Num48z2">
    <w:name w:val="WW8Num48z2"/>
    <w:rsid w:val="00CF0FD2"/>
    <w:rPr>
      <w:rFonts w:ascii="Wingdings" w:hAnsi="Wingdings" w:cs="Wingdings"/>
    </w:rPr>
  </w:style>
  <w:style w:type="character" w:customStyle="1" w:styleId="WW8Num49z0">
    <w:name w:val="WW8Num49z0"/>
    <w:rsid w:val="00CF0FD2"/>
    <w:rPr>
      <w:rFonts w:ascii="Arial Narrow" w:eastAsia="Times New Roman" w:hAnsi="Arial Narrow" w:cs="Arial Narrow"/>
      <w:color w:val="auto"/>
    </w:rPr>
  </w:style>
  <w:style w:type="character" w:customStyle="1" w:styleId="WW8Num49z1">
    <w:name w:val="WW8Num49z1"/>
    <w:rsid w:val="00CF0FD2"/>
    <w:rPr>
      <w:rFonts w:ascii="Courier New" w:hAnsi="Courier New" w:cs="Courier New"/>
    </w:rPr>
  </w:style>
  <w:style w:type="character" w:customStyle="1" w:styleId="WW8Num49z2">
    <w:name w:val="WW8Num49z2"/>
    <w:rsid w:val="00CF0FD2"/>
    <w:rPr>
      <w:rFonts w:ascii="Wingdings" w:hAnsi="Wingdings" w:cs="Wingdings"/>
    </w:rPr>
  </w:style>
  <w:style w:type="character" w:customStyle="1" w:styleId="WW8Num49z3">
    <w:name w:val="WW8Num49z3"/>
    <w:rsid w:val="00CF0FD2"/>
    <w:rPr>
      <w:rFonts w:ascii="Symbol" w:hAnsi="Symbol" w:cs="Symbol"/>
    </w:rPr>
  </w:style>
  <w:style w:type="character" w:customStyle="1" w:styleId="WW8Num50z0">
    <w:name w:val="WW8Num50z0"/>
    <w:rsid w:val="00CF0FD2"/>
    <w:rPr>
      <w:rFonts w:cs="Times New Roman"/>
    </w:rPr>
  </w:style>
  <w:style w:type="character" w:customStyle="1" w:styleId="WW-DefaultParagraphFont11">
    <w:name w:val="WW-Default Paragraph Font11"/>
    <w:rsid w:val="00CF0FD2"/>
  </w:style>
  <w:style w:type="character" w:customStyle="1" w:styleId="CharChar3">
    <w:name w:val="Char Char3"/>
    <w:rsid w:val="00CF0FD2"/>
    <w:rPr>
      <w:rFonts w:ascii="Calibri" w:hAnsi="Calibri" w:cs="Calibri"/>
      <w:sz w:val="24"/>
      <w:szCs w:val="24"/>
      <w:lang w:bidi="ar-SA"/>
    </w:rPr>
  </w:style>
  <w:style w:type="character" w:customStyle="1" w:styleId="CharChar20">
    <w:name w:val="Char Char2"/>
    <w:rsid w:val="00CF0FD2"/>
    <w:rPr>
      <w:rFonts w:cs="Times New Roman"/>
      <w:sz w:val="24"/>
      <w:szCs w:val="24"/>
    </w:rPr>
  </w:style>
  <w:style w:type="character" w:customStyle="1" w:styleId="CharChar10">
    <w:name w:val="Char Char1"/>
    <w:rsid w:val="00CF0FD2"/>
    <w:rPr>
      <w:rFonts w:cs="Times New Roman"/>
      <w:sz w:val="24"/>
      <w:szCs w:val="24"/>
    </w:rPr>
  </w:style>
  <w:style w:type="character" w:customStyle="1" w:styleId="BodyTextCharChar">
    <w:name w:val="Body Text Char Char"/>
    <w:rsid w:val="00CF0FD2"/>
    <w:rPr>
      <w:rFonts w:cs="Times New Roman"/>
      <w:sz w:val="24"/>
      <w:szCs w:val="24"/>
    </w:rPr>
  </w:style>
  <w:style w:type="character" w:customStyle="1" w:styleId="FootnoteChar">
    <w:name w:val="Footnote Char"/>
    <w:aliases w:val="fn Char Char1,Fußnote Char Char"/>
    <w:rsid w:val="00CF0FD2"/>
    <w:rPr>
      <w:lang w:bidi="ar-SA"/>
    </w:rPr>
  </w:style>
  <w:style w:type="character" w:customStyle="1" w:styleId="FootnoteCharacters">
    <w:name w:val="Footnote Characters"/>
    <w:rsid w:val="00CF0FD2"/>
    <w:rPr>
      <w:vertAlign w:val="superscript"/>
    </w:rPr>
  </w:style>
  <w:style w:type="character" w:customStyle="1" w:styleId="EndnoteCharacters">
    <w:name w:val="Endnote Characters"/>
    <w:rsid w:val="00CF0FD2"/>
    <w:rPr>
      <w:vertAlign w:val="superscript"/>
    </w:rPr>
  </w:style>
  <w:style w:type="character" w:customStyle="1" w:styleId="BodyTextNumberedCharCharChar">
    <w:name w:val="Body Text Numbered Char Char Char"/>
    <w:rsid w:val="00CF0FD2"/>
    <w:rPr>
      <w:sz w:val="24"/>
      <w:szCs w:val="24"/>
      <w:lang w:bidi="ar-SA"/>
    </w:rPr>
  </w:style>
  <w:style w:type="character" w:customStyle="1" w:styleId="CharChar0">
    <w:name w:val="Char Char"/>
    <w:rsid w:val="00CF0FD2"/>
    <w:rPr>
      <w:rFonts w:ascii="Consolas" w:eastAsia="MS Mincho" w:hAnsi="Consolas" w:cs="Consolas"/>
      <w:sz w:val="21"/>
      <w:szCs w:val="21"/>
      <w:lang w:bidi="ar-SA"/>
    </w:rPr>
  </w:style>
  <w:style w:type="character" w:customStyle="1" w:styleId="NormalWebCharCharChar">
    <w:name w:val="Normal (Web) Char Char Char"/>
    <w:rsid w:val="00CF0FD2"/>
    <w:rPr>
      <w:sz w:val="24"/>
      <w:szCs w:val="24"/>
      <w:lang w:bidi="ar-SA"/>
    </w:rPr>
  </w:style>
  <w:style w:type="character" w:customStyle="1" w:styleId="CharChar6">
    <w:name w:val="Char Char6"/>
    <w:rsid w:val="00CF0FD2"/>
    <w:rPr>
      <w:rFonts w:ascii="Arial Narrow" w:eastAsia="Times New Roman" w:hAnsi="Arial Narrow" w:cs="Times New Roman"/>
      <w:b/>
      <w:bCs/>
      <w:kern w:val="1"/>
      <w:sz w:val="24"/>
      <w:szCs w:val="32"/>
    </w:rPr>
  </w:style>
  <w:style w:type="character" w:customStyle="1" w:styleId="CharChar50">
    <w:name w:val="Char Char5"/>
    <w:rsid w:val="00CF0FD2"/>
    <w:rPr>
      <w:rFonts w:ascii="Arial Narrow" w:eastAsia="Times New Roman" w:hAnsi="Arial Narrow" w:cs="Times New Roman"/>
      <w:b/>
      <w:bCs/>
      <w:iCs/>
      <w:sz w:val="24"/>
      <w:szCs w:val="28"/>
      <w:shd w:val="clear" w:color="auto" w:fill="FABF8F"/>
    </w:rPr>
  </w:style>
  <w:style w:type="character" w:customStyle="1" w:styleId="ListLabel7">
    <w:name w:val="ListLabel 7"/>
    <w:rsid w:val="00CF0FD2"/>
    <w:rPr>
      <w:rFonts w:eastAsia="Calibri" w:cs="Times New Roman"/>
    </w:rPr>
  </w:style>
  <w:style w:type="character" w:customStyle="1" w:styleId="ListLabel2">
    <w:name w:val="ListLabel 2"/>
    <w:rsid w:val="00CF0FD2"/>
    <w:rPr>
      <w:rFonts w:cs="Courier New"/>
    </w:rPr>
  </w:style>
  <w:style w:type="character" w:customStyle="1" w:styleId="NumberingSymbols">
    <w:name w:val="Numbering Symbols"/>
    <w:rsid w:val="00CF0FD2"/>
  </w:style>
  <w:style w:type="character" w:customStyle="1" w:styleId="Bullets">
    <w:name w:val="Bullets"/>
    <w:rsid w:val="00CF0FD2"/>
    <w:rPr>
      <w:rFonts w:ascii="OpenSymbol" w:eastAsia="OpenSymbol" w:hAnsi="OpenSymbol" w:cs="OpenSymbol"/>
    </w:rPr>
  </w:style>
  <w:style w:type="character" w:customStyle="1" w:styleId="CITE">
    <w:name w:val="CITE"/>
    <w:rsid w:val="00CF0FD2"/>
    <w:rPr>
      <w:i/>
    </w:rPr>
  </w:style>
  <w:style w:type="character" w:customStyle="1" w:styleId="CODE">
    <w:name w:val="CODE"/>
    <w:rsid w:val="00CF0FD2"/>
    <w:rPr>
      <w:rFonts w:ascii="Courier New" w:hAnsi="Courier New" w:cs="Courier New"/>
      <w:sz w:val="20"/>
    </w:rPr>
  </w:style>
  <w:style w:type="character" w:customStyle="1" w:styleId="Keyboard">
    <w:name w:val="Keyboard"/>
    <w:rsid w:val="00CF0FD2"/>
    <w:rPr>
      <w:rFonts w:ascii="Courier New" w:hAnsi="Courier New" w:cs="Courier New"/>
      <w:b/>
      <w:sz w:val="20"/>
    </w:rPr>
  </w:style>
  <w:style w:type="character" w:customStyle="1" w:styleId="Sample">
    <w:name w:val="Sample"/>
    <w:rsid w:val="00CF0FD2"/>
    <w:rPr>
      <w:rFonts w:ascii="Courier New" w:hAnsi="Courier New" w:cs="Courier New"/>
    </w:rPr>
  </w:style>
  <w:style w:type="character" w:customStyle="1" w:styleId="Typewriter">
    <w:name w:val="Typewriter"/>
    <w:rsid w:val="00CF0FD2"/>
    <w:rPr>
      <w:rFonts w:ascii="Courier New" w:hAnsi="Courier New" w:cs="Courier New"/>
      <w:sz w:val="20"/>
    </w:rPr>
  </w:style>
  <w:style w:type="character" w:customStyle="1" w:styleId="HTMLMarkup">
    <w:name w:val="HTML Markup"/>
    <w:rsid w:val="00CF0FD2"/>
    <w:rPr>
      <w:vanish/>
      <w:color w:val="FF0000"/>
    </w:rPr>
  </w:style>
  <w:style w:type="character" w:customStyle="1" w:styleId="Comment">
    <w:name w:val="Comment"/>
    <w:rsid w:val="00CF0FD2"/>
    <w:rPr>
      <w:vanish/>
    </w:rPr>
  </w:style>
  <w:style w:type="character" w:customStyle="1" w:styleId="WW-FootnoteReference">
    <w:name w:val="WW-Footnote Reference"/>
    <w:rsid w:val="00CF0FD2"/>
    <w:rPr>
      <w:vertAlign w:val="superscript"/>
    </w:rPr>
  </w:style>
  <w:style w:type="character" w:customStyle="1" w:styleId="WW-EndnoteReference">
    <w:name w:val="WW-Endnote Reference"/>
    <w:rsid w:val="00CF0FD2"/>
    <w:rPr>
      <w:vertAlign w:val="superscript"/>
    </w:rPr>
  </w:style>
  <w:style w:type="character" w:customStyle="1" w:styleId="ListLabel5">
    <w:name w:val="ListLabel 5"/>
    <w:rsid w:val="00CF0FD2"/>
    <w:rPr>
      <w:b/>
      <w:bCs/>
    </w:rPr>
  </w:style>
  <w:style w:type="character" w:customStyle="1" w:styleId="ListLabel1">
    <w:name w:val="ListLabel 1"/>
    <w:rsid w:val="00CF0FD2"/>
    <w:rPr>
      <w:rFonts w:cs="Wingdings"/>
    </w:rPr>
  </w:style>
  <w:style w:type="character" w:customStyle="1" w:styleId="ListLabel3">
    <w:name w:val="ListLabel 3"/>
    <w:rsid w:val="00CF0FD2"/>
    <w:rPr>
      <w:rFonts w:cs="Courier New"/>
    </w:rPr>
  </w:style>
  <w:style w:type="character" w:customStyle="1" w:styleId="ListLabel4">
    <w:name w:val="ListLabel 4"/>
    <w:rsid w:val="00CF0FD2"/>
    <w:rPr>
      <w:rFonts w:eastAsia="Times New Roman"/>
      <w:color w:val="00000A"/>
    </w:rPr>
  </w:style>
  <w:style w:type="character" w:customStyle="1" w:styleId="WW-FootnoteReference1">
    <w:name w:val="WW-Footnote Reference1"/>
    <w:rsid w:val="00CF0FD2"/>
    <w:rPr>
      <w:vertAlign w:val="superscript"/>
    </w:rPr>
  </w:style>
  <w:style w:type="character" w:customStyle="1" w:styleId="WW-EndnoteReference1">
    <w:name w:val="WW-Endnote Reference1"/>
    <w:rsid w:val="00CF0FD2"/>
    <w:rPr>
      <w:vertAlign w:val="superscript"/>
    </w:rPr>
  </w:style>
  <w:style w:type="character" w:customStyle="1" w:styleId="at14">
    <w:name w:val="a__t14"/>
    <w:basedOn w:val="DefaultParagraphFont"/>
    <w:rsid w:val="00CF0FD2"/>
  </w:style>
  <w:style w:type="paragraph" w:customStyle="1" w:styleId="Heading">
    <w:name w:val="Heading"/>
    <w:basedOn w:val="Normal"/>
    <w:next w:val="BodyText"/>
    <w:rsid w:val="00CF0FD2"/>
    <w:pPr>
      <w:suppressAutoHyphens/>
      <w:jc w:val="center"/>
    </w:pPr>
    <w:rPr>
      <w:sz w:val="36"/>
      <w:szCs w:val="20"/>
      <w:lang w:val="ro-RO" w:eastAsia="zh-CN"/>
    </w:rPr>
  </w:style>
  <w:style w:type="paragraph" w:customStyle="1" w:styleId="Index">
    <w:name w:val="Index"/>
    <w:basedOn w:val="Normal"/>
    <w:rsid w:val="00CF0FD2"/>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CF0FD2"/>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CF0FD2"/>
    <w:pPr>
      <w:numPr>
        <w:numId w:val="4"/>
      </w:numPr>
      <w:suppressAutoHyphens/>
    </w:pPr>
    <w:rPr>
      <w:lang w:val="ro-RO" w:eastAsia="zh-CN"/>
    </w:rPr>
  </w:style>
  <w:style w:type="paragraph" w:customStyle="1" w:styleId="WW-ListBullet3">
    <w:name w:val="WW-List Bullet 3"/>
    <w:basedOn w:val="Normal"/>
    <w:rsid w:val="00CF0FD2"/>
    <w:pPr>
      <w:numPr>
        <w:numId w:val="3"/>
      </w:numPr>
      <w:suppressAutoHyphens/>
    </w:pPr>
    <w:rPr>
      <w:lang w:val="ro-RO" w:eastAsia="zh-CN"/>
    </w:rPr>
  </w:style>
  <w:style w:type="paragraph" w:customStyle="1" w:styleId="CaracterCaracter7CharCharCharChar">
    <w:name w:val="Caracter Caracter7 Char Char Char Char"/>
    <w:basedOn w:val="Normal"/>
    <w:rsid w:val="00CF0FD2"/>
    <w:pPr>
      <w:suppressAutoHyphens/>
    </w:pPr>
    <w:rPr>
      <w:szCs w:val="20"/>
      <w:lang w:val="ro-RO" w:eastAsia="zh-CN"/>
    </w:rPr>
  </w:style>
  <w:style w:type="paragraph" w:customStyle="1" w:styleId="TableContents">
    <w:name w:val="Table Contents"/>
    <w:basedOn w:val="Normal"/>
    <w:rsid w:val="00CF0FD2"/>
    <w:pPr>
      <w:suppressLineNumbers/>
      <w:suppressAutoHyphens/>
    </w:pPr>
    <w:rPr>
      <w:lang w:val="ro-RO" w:eastAsia="zh-CN"/>
    </w:rPr>
  </w:style>
  <w:style w:type="paragraph" w:customStyle="1" w:styleId="TableHeading">
    <w:name w:val="Table Heading"/>
    <w:basedOn w:val="TableContents"/>
    <w:rsid w:val="00CF0FD2"/>
    <w:pPr>
      <w:jc w:val="center"/>
    </w:pPr>
    <w:rPr>
      <w:b/>
      <w:bCs/>
    </w:rPr>
  </w:style>
  <w:style w:type="paragraph" w:customStyle="1" w:styleId="FrameContents">
    <w:name w:val="Frame Contents"/>
    <w:basedOn w:val="Normal"/>
    <w:rsid w:val="00CF0FD2"/>
    <w:pPr>
      <w:suppressAutoHyphens/>
    </w:pPr>
    <w:rPr>
      <w:lang w:val="ro-RO" w:eastAsia="zh-CN"/>
    </w:rPr>
  </w:style>
  <w:style w:type="paragraph" w:customStyle="1" w:styleId="DefinitionTerm">
    <w:name w:val="Definition Term"/>
    <w:basedOn w:val="Normal"/>
    <w:rsid w:val="00CF0FD2"/>
    <w:pPr>
      <w:suppressAutoHyphens/>
    </w:pPr>
    <w:rPr>
      <w:lang w:val="ro-RO" w:eastAsia="zh-CN"/>
    </w:rPr>
  </w:style>
  <w:style w:type="paragraph" w:customStyle="1" w:styleId="DefinitionList">
    <w:name w:val="Definition List"/>
    <w:basedOn w:val="Normal"/>
    <w:rsid w:val="00CF0FD2"/>
    <w:pPr>
      <w:suppressAutoHyphens/>
      <w:ind w:left="360"/>
    </w:pPr>
    <w:rPr>
      <w:lang w:val="ro-RO" w:eastAsia="zh-CN"/>
    </w:rPr>
  </w:style>
  <w:style w:type="paragraph" w:customStyle="1" w:styleId="H1">
    <w:name w:val="H1"/>
    <w:basedOn w:val="Normal"/>
    <w:rsid w:val="00CF0FD2"/>
    <w:pPr>
      <w:keepNext/>
      <w:suppressAutoHyphens/>
      <w:spacing w:before="100" w:after="100"/>
    </w:pPr>
    <w:rPr>
      <w:b/>
      <w:kern w:val="1"/>
      <w:sz w:val="48"/>
      <w:lang w:val="ro-RO" w:eastAsia="zh-CN"/>
    </w:rPr>
  </w:style>
  <w:style w:type="paragraph" w:customStyle="1" w:styleId="H2">
    <w:name w:val="H2"/>
    <w:basedOn w:val="Normal"/>
    <w:rsid w:val="00CF0FD2"/>
    <w:pPr>
      <w:keepNext/>
      <w:suppressAutoHyphens/>
      <w:spacing w:before="100" w:after="100"/>
    </w:pPr>
    <w:rPr>
      <w:b/>
      <w:sz w:val="36"/>
      <w:lang w:val="ro-RO" w:eastAsia="zh-CN"/>
    </w:rPr>
  </w:style>
  <w:style w:type="paragraph" w:customStyle="1" w:styleId="H3">
    <w:name w:val="H3"/>
    <w:basedOn w:val="Normal"/>
    <w:rsid w:val="00CF0FD2"/>
    <w:pPr>
      <w:keepNext/>
      <w:suppressAutoHyphens/>
      <w:spacing w:before="100" w:after="100"/>
    </w:pPr>
    <w:rPr>
      <w:b/>
      <w:sz w:val="28"/>
      <w:lang w:val="ro-RO" w:eastAsia="zh-CN"/>
    </w:rPr>
  </w:style>
  <w:style w:type="paragraph" w:customStyle="1" w:styleId="H4">
    <w:name w:val="H4"/>
    <w:basedOn w:val="Normal"/>
    <w:rsid w:val="00CF0FD2"/>
    <w:pPr>
      <w:keepNext/>
      <w:suppressAutoHyphens/>
      <w:spacing w:before="100" w:after="100"/>
    </w:pPr>
    <w:rPr>
      <w:b/>
      <w:lang w:val="ro-RO" w:eastAsia="zh-CN"/>
    </w:rPr>
  </w:style>
  <w:style w:type="paragraph" w:customStyle="1" w:styleId="H5">
    <w:name w:val="H5"/>
    <w:basedOn w:val="Normal"/>
    <w:rsid w:val="00CF0FD2"/>
    <w:pPr>
      <w:keepNext/>
      <w:suppressAutoHyphens/>
      <w:spacing w:before="100" w:after="100"/>
    </w:pPr>
    <w:rPr>
      <w:b/>
      <w:sz w:val="20"/>
      <w:lang w:val="ro-RO" w:eastAsia="zh-CN"/>
    </w:rPr>
  </w:style>
  <w:style w:type="paragraph" w:customStyle="1" w:styleId="H6">
    <w:name w:val="H6"/>
    <w:basedOn w:val="Normal"/>
    <w:rsid w:val="00CF0FD2"/>
    <w:pPr>
      <w:keepNext/>
      <w:suppressAutoHyphens/>
      <w:spacing w:before="100" w:after="100"/>
    </w:pPr>
    <w:rPr>
      <w:b/>
      <w:sz w:val="16"/>
      <w:lang w:val="ro-RO" w:eastAsia="zh-CN"/>
    </w:rPr>
  </w:style>
  <w:style w:type="paragraph" w:customStyle="1" w:styleId="Address">
    <w:name w:val="Address"/>
    <w:basedOn w:val="Normal"/>
    <w:rsid w:val="00CF0FD2"/>
    <w:pPr>
      <w:suppressAutoHyphens/>
    </w:pPr>
    <w:rPr>
      <w:i/>
      <w:lang w:val="ro-RO" w:eastAsia="zh-CN"/>
    </w:rPr>
  </w:style>
  <w:style w:type="paragraph" w:customStyle="1" w:styleId="Blockquote">
    <w:name w:val="Blockquote"/>
    <w:basedOn w:val="Normal"/>
    <w:rsid w:val="00CF0FD2"/>
    <w:pPr>
      <w:suppressAutoHyphens/>
      <w:spacing w:before="100" w:after="100"/>
      <w:ind w:left="360" w:right="360"/>
    </w:pPr>
    <w:rPr>
      <w:lang w:val="ro-RO" w:eastAsia="zh-CN"/>
    </w:rPr>
  </w:style>
  <w:style w:type="paragraph" w:customStyle="1" w:styleId="Preformatted">
    <w:name w:val="Preformatted"/>
    <w:basedOn w:val="Normal"/>
    <w:rsid w:val="00CF0FD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CF0FD2"/>
    <w:pPr>
      <w:pBdr>
        <w:top w:val="double" w:sz="2" w:space="0" w:color="000000"/>
      </w:pBdr>
      <w:suppressAutoHyphens/>
      <w:jc w:val="center"/>
    </w:pPr>
    <w:rPr>
      <w:rFonts w:ascii="Arial" w:eastAsia="Arial" w:hAnsi="Arial" w:cs="Courier New"/>
      <w:vanish/>
      <w:sz w:val="16"/>
      <w:szCs w:val="24"/>
      <w:lang w:eastAsia="zh-CN" w:bidi="hi-IN"/>
    </w:rPr>
  </w:style>
  <w:style w:type="paragraph" w:styleId="z-TopofForm">
    <w:name w:val="HTML Top of Form"/>
    <w:link w:val="z-TopofFormChar"/>
    <w:rsid w:val="00CF0FD2"/>
    <w:pPr>
      <w:pBdr>
        <w:bottom w:val="double" w:sz="2" w:space="0" w:color="000000"/>
      </w:pBdr>
      <w:suppressAutoHyphens/>
      <w:jc w:val="center"/>
    </w:pPr>
    <w:rPr>
      <w:rFonts w:ascii="Arial" w:eastAsia="Arial" w:hAnsi="Arial" w:cs="Courier New"/>
      <w:vanish/>
      <w:sz w:val="16"/>
      <w:szCs w:val="24"/>
      <w:lang w:eastAsia="zh-CN" w:bidi="hi-IN"/>
    </w:rPr>
  </w:style>
  <w:style w:type="paragraph" w:customStyle="1" w:styleId="Quotations">
    <w:name w:val="Quotations"/>
    <w:basedOn w:val="Normal"/>
    <w:rsid w:val="00CF0FD2"/>
    <w:pPr>
      <w:suppressAutoHyphens/>
      <w:spacing w:after="283"/>
      <w:ind w:left="567" w:right="567"/>
    </w:pPr>
    <w:rPr>
      <w:lang w:val="ro-RO" w:eastAsia="zh-CN"/>
    </w:rPr>
  </w:style>
  <w:style w:type="paragraph" w:styleId="Subtitle">
    <w:name w:val="Subtitle"/>
    <w:basedOn w:val="Heading"/>
    <w:next w:val="BodyText"/>
    <w:link w:val="SubtitleChar"/>
    <w:qFormat/>
    <w:rsid w:val="00CF0FD2"/>
    <w:pPr>
      <w:spacing w:before="60" w:after="120"/>
    </w:pPr>
    <w:rPr>
      <w:szCs w:val="36"/>
    </w:rPr>
  </w:style>
  <w:style w:type="paragraph" w:customStyle="1" w:styleId="astandardtiret202">
    <w:name w:val="a_standard_tiret_20_2"/>
    <w:basedOn w:val="Normal"/>
    <w:rsid w:val="00CF0FD2"/>
    <w:pPr>
      <w:suppressAutoHyphens/>
      <w:spacing w:after="40"/>
      <w:ind w:right="57"/>
      <w:jc w:val="both"/>
    </w:pPr>
    <w:rPr>
      <w:lang w:eastAsia="zh-CN"/>
    </w:rPr>
  </w:style>
  <w:style w:type="paragraph" w:customStyle="1" w:styleId="BodyTextIndent21">
    <w:name w:val="Body Text Indent 21"/>
    <w:basedOn w:val="Normal"/>
    <w:rsid w:val="00CF0FD2"/>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AF7ABE"/>
    <w:rPr>
      <w:rFonts w:ascii="Arial Narrow" w:eastAsia="Times New Roman" w:hAnsi="Arial Narrow" w:cs="Times New Roman"/>
      <w:b/>
      <w:bCs/>
      <w:kern w:val="32"/>
      <w:sz w:val="24"/>
      <w:szCs w:val="32"/>
    </w:rPr>
  </w:style>
  <w:style w:type="character" w:customStyle="1" w:styleId="Caracter6">
    <w:name w:val="Caracter6"/>
    <w:rsid w:val="00AF7AB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AD636F"/>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AD636F"/>
    <w:pPr>
      <w:spacing w:after="160" w:line="240" w:lineRule="exact"/>
    </w:pPr>
    <w:rPr>
      <w:sz w:val="20"/>
      <w:szCs w:val="20"/>
      <w:vertAlign w:val="superscript"/>
      <w:lang w:val="ro-RO" w:eastAsia="ro-RO"/>
    </w:rPr>
  </w:style>
  <w:style w:type="character" w:customStyle="1" w:styleId="shorttext">
    <w:name w:val="short_text"/>
    <w:basedOn w:val="DefaultParagraphFont"/>
    <w:rsid w:val="003A3471"/>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3A3471"/>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0058BD"/>
    <w:rPr>
      <w:lang w:val="pl-PL" w:eastAsia="pl-PL"/>
    </w:rPr>
  </w:style>
  <w:style w:type="character" w:customStyle="1" w:styleId="apple-converted-space">
    <w:name w:val="apple-converted-space"/>
    <w:basedOn w:val="DefaultParagraphFont"/>
    <w:rsid w:val="00A37269"/>
  </w:style>
  <w:style w:type="character" w:customStyle="1" w:styleId="tal1">
    <w:name w:val="tal1"/>
    <w:basedOn w:val="DefaultParagraphFont"/>
    <w:rsid w:val="00A37269"/>
  </w:style>
  <w:style w:type="character" w:customStyle="1" w:styleId="ListparagrafCaracter">
    <w:name w:val="Listă paragraf Caracter"/>
    <w:link w:val="Listparagraf"/>
    <w:locked/>
    <w:rsid w:val="00A37269"/>
    <w:rPr>
      <w:rFonts w:ascii="Arial" w:hAnsi="Arial" w:cs="Arial"/>
      <w:lang w:val="ro-RO" w:eastAsia="ro-RO" w:bidi="ar-SA"/>
    </w:rPr>
  </w:style>
  <w:style w:type="paragraph" w:customStyle="1" w:styleId="Frspaiere1">
    <w:name w:val="Fără spațiere1"/>
    <w:link w:val="FrspaiereChar"/>
    <w:qFormat/>
    <w:rsid w:val="00A37269"/>
    <w:rPr>
      <w:rFonts w:ascii="Calibri" w:eastAsia="Calibri" w:hAnsi="Calibri"/>
      <w:sz w:val="22"/>
      <w:szCs w:val="22"/>
      <w:lang w:val="en-US" w:eastAsia="en-US"/>
    </w:rPr>
  </w:style>
  <w:style w:type="character" w:customStyle="1" w:styleId="FrspaiereChar">
    <w:name w:val="Fără spațiere Char"/>
    <w:link w:val="Frspaiere1"/>
    <w:rsid w:val="00A37269"/>
    <w:rPr>
      <w:rFonts w:ascii="Calibri" w:eastAsia="Calibri" w:hAnsi="Calibri"/>
      <w:sz w:val="22"/>
      <w:szCs w:val="22"/>
      <w:lang w:val="en-US" w:eastAsia="en-US" w:bidi="ar-SA"/>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2E13DF"/>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2A124A"/>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A97FFD"/>
    <w:rPr>
      <w:lang w:val="pl-PL" w:eastAsia="pl-PL"/>
    </w:rPr>
  </w:style>
  <w:style w:type="paragraph" w:customStyle="1" w:styleId="Caracter2CharCharCaracterCharCharCaracterCharCharCaracterCharChar">
    <w:name w:val="Caracter2 Char Char Caracter Char Char Caracter Char Char Caracter Char Char"/>
    <w:basedOn w:val="Normal"/>
    <w:rsid w:val="000D7FC7"/>
    <w:rPr>
      <w:lang w:val="pl-PL" w:eastAsia="pl-PL"/>
    </w:rPr>
  </w:style>
  <w:style w:type="character" w:customStyle="1" w:styleId="StrongEmphasis">
    <w:name w:val="Strong Emphasis"/>
    <w:rsid w:val="00884E46"/>
    <w:rPr>
      <w:rFonts w:cs="Times New Roman"/>
      <w:b/>
      <w:bCs/>
    </w:rPr>
  </w:style>
  <w:style w:type="character" w:customStyle="1" w:styleId="fontstyle13">
    <w:name w:val="fontstyle13"/>
    <w:rsid w:val="00884E46"/>
    <w:rPr>
      <w:rFonts w:cs="Times New Roman"/>
    </w:rPr>
  </w:style>
  <w:style w:type="character" w:customStyle="1" w:styleId="InternetLink">
    <w:name w:val="Internet Link"/>
    <w:rsid w:val="00884E46"/>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641BA7"/>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352B52"/>
    <w:rPr>
      <w:lang w:val="pl-PL" w:eastAsia="pl-PL"/>
    </w:rPr>
  </w:style>
  <w:style w:type="table" w:customStyle="1" w:styleId="TableSimple11">
    <w:name w:val="Table Simple 11"/>
    <w:basedOn w:val="TableNormal"/>
    <w:next w:val="TableSimple1"/>
    <w:rsid w:val="00352B52"/>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352B52"/>
    <w:pPr>
      <w:spacing w:after="160" w:line="240" w:lineRule="exact"/>
    </w:pPr>
    <w:rPr>
      <w:sz w:val="20"/>
      <w:szCs w:val="20"/>
      <w:vertAlign w:val="superscript"/>
    </w:rPr>
  </w:style>
  <w:style w:type="table" w:customStyle="1" w:styleId="TableGrid1">
    <w:name w:val="Table Grid1"/>
    <w:basedOn w:val="TableNormal"/>
    <w:next w:val="TableGrid"/>
    <w:rsid w:val="00352B5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352B52"/>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352B52"/>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352B52"/>
    <w:rPr>
      <w:lang w:val="pl-PL" w:eastAsia="pl-PL"/>
    </w:rPr>
  </w:style>
  <w:style w:type="paragraph" w:customStyle="1" w:styleId="CharChar1CaracterCaracter1">
    <w:name w:val="Char Char1 Caracter Caracter1"/>
    <w:basedOn w:val="Normal"/>
    <w:rsid w:val="00352B52"/>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352B52"/>
    <w:pPr>
      <w:spacing w:after="160" w:line="240" w:lineRule="exact"/>
    </w:pPr>
    <w:rPr>
      <w:sz w:val="20"/>
      <w:szCs w:val="20"/>
      <w:vertAlign w:val="superscript"/>
      <w:lang w:val="ro-RO" w:eastAsia="ro-RO"/>
    </w:rPr>
  </w:style>
  <w:style w:type="character" w:customStyle="1" w:styleId="FootnoteAnchor">
    <w:name w:val="Footnote Anchor"/>
    <w:rsid w:val="00352B52"/>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352B52"/>
    <w:pPr>
      <w:suppressAutoHyphens/>
    </w:pPr>
    <w:rPr>
      <w:rFonts w:ascii="Arial" w:hAnsi="Arial" w:cs="Arial"/>
      <w:lang w:val="pl-PL" w:eastAsia="zh-CN"/>
    </w:rPr>
  </w:style>
  <w:style w:type="paragraph" w:customStyle="1" w:styleId="Date1">
    <w:name w:val="Date1"/>
    <w:basedOn w:val="Normal"/>
    <w:rsid w:val="00352B52"/>
    <w:pPr>
      <w:spacing w:before="100" w:beforeAutospacing="1" w:after="100" w:afterAutospacing="1"/>
    </w:pPr>
  </w:style>
  <w:style w:type="paragraph" w:customStyle="1" w:styleId="Caracter">
    <w:name w:val="Caracter"/>
    <w:basedOn w:val="Normal"/>
    <w:rsid w:val="00352B52"/>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352B52"/>
    <w:pPr>
      <w:spacing w:after="160" w:line="240" w:lineRule="exact"/>
    </w:pPr>
    <w:rPr>
      <w:sz w:val="20"/>
      <w:szCs w:val="20"/>
      <w:vertAlign w:val="superscript"/>
      <w:lang w:val="ro-RO" w:eastAsia="ro-RO"/>
    </w:rPr>
  </w:style>
  <w:style w:type="paragraph" w:customStyle="1" w:styleId="DecimalAligned">
    <w:name w:val="Decimal Aligned"/>
    <w:basedOn w:val="Normal"/>
    <w:qFormat/>
    <w:rsid w:val="00352B52"/>
    <w:pPr>
      <w:tabs>
        <w:tab w:val="decimal" w:pos="360"/>
      </w:tabs>
      <w:spacing w:after="200" w:line="276" w:lineRule="auto"/>
    </w:pPr>
    <w:rPr>
      <w:rFonts w:ascii="Calibri" w:hAnsi="Calibri"/>
      <w:sz w:val="22"/>
      <w:szCs w:val="22"/>
    </w:rPr>
  </w:style>
  <w:style w:type="character" w:styleId="SubtleEmphasis">
    <w:name w:val="Subtle Emphasis"/>
    <w:qFormat/>
    <w:rsid w:val="00352B52"/>
    <w:rPr>
      <w:rFonts w:eastAsia="Times New Roman" w:cs="Times New Roman"/>
      <w:bCs w:val="0"/>
      <w:i/>
      <w:iCs/>
      <w:color w:val="808080"/>
      <w:szCs w:val="22"/>
      <w:lang w:val="en-US"/>
    </w:rPr>
  </w:style>
  <w:style w:type="table" w:styleId="MediumShading2-Accent5">
    <w:name w:val="Medium Shading 2 Accent 5"/>
    <w:basedOn w:val="TableNormal"/>
    <w:rsid w:val="00352B52"/>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352B52"/>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352B52"/>
    <w:rPr>
      <w:lang w:val="pl-PL" w:eastAsia="pl-PL"/>
    </w:rPr>
  </w:style>
  <w:style w:type="paragraph" w:customStyle="1" w:styleId="Listparagraf1">
    <w:name w:val="Listă paragraf1"/>
    <w:basedOn w:val="Normal"/>
    <w:qFormat/>
    <w:rsid w:val="00352B52"/>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352B52"/>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352B52"/>
    <w:rPr>
      <w:lang w:val="pl-PL" w:eastAsia="pl-PL"/>
    </w:rPr>
  </w:style>
  <w:style w:type="paragraph" w:customStyle="1" w:styleId="Caracter2">
    <w:name w:val="Caracter2"/>
    <w:basedOn w:val="Normal"/>
    <w:rsid w:val="00352B52"/>
    <w:rPr>
      <w:lang w:val="pl-PL" w:eastAsia="pl-PL"/>
    </w:rPr>
  </w:style>
  <w:style w:type="paragraph" w:customStyle="1" w:styleId="Caracter2CharChar">
    <w:name w:val="Caracter2 Char Char"/>
    <w:basedOn w:val="Normal"/>
    <w:rsid w:val="00352B52"/>
    <w:rPr>
      <w:lang w:val="pl-PL" w:eastAsia="pl-PL"/>
    </w:rPr>
  </w:style>
  <w:style w:type="paragraph" w:customStyle="1" w:styleId="BodyTextIndent22">
    <w:name w:val="Body Text Indent 22"/>
    <w:basedOn w:val="Normal"/>
    <w:rsid w:val="00352B52"/>
    <w:pPr>
      <w:widowControl w:val="0"/>
      <w:suppressAutoHyphens/>
      <w:spacing w:before="120" w:after="120"/>
      <w:ind w:firstLine="1134"/>
      <w:jc w:val="both"/>
    </w:pPr>
    <w:rPr>
      <w:rFonts w:eastAsia="SimSun"/>
      <w:sz w:val="28"/>
      <w:szCs w:val="20"/>
      <w:lang w:val="ro-RO" w:eastAsia="zh-CN"/>
    </w:rPr>
  </w:style>
  <w:style w:type="paragraph" w:customStyle="1" w:styleId="Caracter20">
    <w:name w:val="Caracter2"/>
    <w:basedOn w:val="Normal"/>
    <w:rsid w:val="00352B52"/>
    <w:rPr>
      <w:lang w:val="pl-PL" w:eastAsia="pl-PL"/>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352B52"/>
    <w:pPr>
      <w:spacing w:after="160" w:line="240" w:lineRule="exact"/>
    </w:pPr>
    <w:rPr>
      <w:sz w:val="20"/>
      <w:szCs w:val="20"/>
      <w:vertAlign w:val="superscript"/>
      <w:lang w:val="ro-RO" w:eastAsia="ro-RO"/>
    </w:rPr>
  </w:style>
  <w:style w:type="character" w:customStyle="1" w:styleId="CharChar8">
    <w:name w:val="Char Char8"/>
    <w:semiHidden/>
    <w:locked/>
    <w:rsid w:val="00352B52"/>
    <w:rPr>
      <w:rFonts w:ascii="Garamond" w:hAnsi="Garamond" w:cs="Garamond"/>
      <w:sz w:val="24"/>
      <w:szCs w:val="24"/>
      <w:lang w:val="ro-RO" w:eastAsia="ro-RO" w:bidi="ar-SA"/>
    </w:rPr>
  </w:style>
  <w:style w:type="character" w:customStyle="1" w:styleId="st1">
    <w:name w:val="st1"/>
    <w:basedOn w:val="DefaultParagraphFont"/>
    <w:rsid w:val="00352B52"/>
  </w:style>
  <w:style w:type="character" w:customStyle="1" w:styleId="prdsubttitle1">
    <w:name w:val="prdsubttitle1"/>
    <w:basedOn w:val="DefaultParagraphFont"/>
    <w:rsid w:val="00352B52"/>
  </w:style>
  <w:style w:type="paragraph" w:customStyle="1" w:styleId="Caracter2CharCharCaracterCharCharCaracter">
    <w:name w:val="Caracter2 Char Char Caracter Char Char Caracter"/>
    <w:basedOn w:val="Normal"/>
    <w:rsid w:val="00352B52"/>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352B52"/>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352B52"/>
    <w:rPr>
      <w:lang w:val="pl-PL" w:eastAsia="pl-PL"/>
    </w:rPr>
  </w:style>
  <w:style w:type="paragraph" w:customStyle="1" w:styleId="CaracterCaracter2CharCharCaracterCharChar1">
    <w:name w:val="Caracter Caracter2 Char Char Caracter Char Char1"/>
    <w:basedOn w:val="Normal"/>
    <w:rsid w:val="00352B52"/>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352B52"/>
    <w:pPr>
      <w:spacing w:after="160" w:line="240" w:lineRule="exact"/>
    </w:pPr>
    <w:rPr>
      <w:sz w:val="20"/>
      <w:szCs w:val="20"/>
      <w:vertAlign w:val="superscript"/>
    </w:rPr>
  </w:style>
  <w:style w:type="paragraph" w:styleId="DocumentMap">
    <w:name w:val="Document Map"/>
    <w:basedOn w:val="Normal"/>
    <w:link w:val="DocumentMapChar"/>
    <w:rsid w:val="00352B52"/>
    <w:pPr>
      <w:shd w:val="clear" w:color="auto" w:fill="000080"/>
    </w:pPr>
    <w:rPr>
      <w:rFonts w:ascii="Tahoma" w:hAnsi="Tahoma" w:cs="Tahoma"/>
      <w:sz w:val="20"/>
      <w:szCs w:val="20"/>
    </w:rPr>
  </w:style>
  <w:style w:type="character" w:customStyle="1" w:styleId="DocumentMapChar">
    <w:name w:val="Document Map Char"/>
    <w:link w:val="DocumentMap"/>
    <w:rsid w:val="00352B52"/>
    <w:rPr>
      <w:rFonts w:ascii="Tahoma" w:hAnsi="Tahoma" w:cs="Tahoma"/>
      <w:shd w:val="clear" w:color="auto" w:fill="000080"/>
      <w:lang w:val="en-US" w:eastAsia="en-US"/>
    </w:rPr>
  </w:style>
  <w:style w:type="character" w:customStyle="1" w:styleId="NoSpacingChar">
    <w:name w:val="No Spacing Char"/>
    <w:link w:val="NoSpacing"/>
    <w:rsid w:val="00352B52"/>
    <w:rPr>
      <w:sz w:val="24"/>
      <w:szCs w:val="24"/>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352B52"/>
    <w:pPr>
      <w:spacing w:after="160" w:line="240" w:lineRule="exact"/>
    </w:pPr>
    <w:rPr>
      <w:sz w:val="20"/>
      <w:szCs w:val="20"/>
      <w:vertAlign w:val="superscript"/>
    </w:rPr>
  </w:style>
  <w:style w:type="numbering" w:customStyle="1" w:styleId="NoList1">
    <w:name w:val="No List1"/>
    <w:next w:val="NoList"/>
    <w:uiPriority w:val="99"/>
    <w:semiHidden/>
    <w:unhideWhenUsed/>
    <w:rsid w:val="00352B52"/>
  </w:style>
  <w:style w:type="character" w:customStyle="1" w:styleId="WW8Num3z1">
    <w:name w:val="WW8Num3z1"/>
    <w:rsid w:val="00352B52"/>
  </w:style>
  <w:style w:type="character" w:customStyle="1" w:styleId="WW8Num3z2">
    <w:name w:val="WW8Num3z2"/>
    <w:rsid w:val="00352B52"/>
    <w:rPr>
      <w:rFonts w:ascii="Symbol" w:hAnsi="Symbol" w:cs="Symbol"/>
    </w:rPr>
  </w:style>
  <w:style w:type="character" w:customStyle="1" w:styleId="WW8Num5z3">
    <w:name w:val="WW8Num5z3"/>
    <w:rsid w:val="00352B52"/>
    <w:rPr>
      <w:rFonts w:ascii="Symbol" w:hAnsi="Symbol" w:cs="Symbol"/>
      <w:sz w:val="24"/>
      <w:szCs w:val="24"/>
      <w:shd w:val="clear" w:color="auto" w:fill="auto"/>
    </w:rPr>
  </w:style>
  <w:style w:type="character" w:customStyle="1" w:styleId="WW8Num7z3">
    <w:name w:val="WW8Num7z3"/>
    <w:rsid w:val="00352B52"/>
    <w:rPr>
      <w:rFonts w:ascii="Symbol" w:hAnsi="Symbol" w:cs="Courier New"/>
    </w:rPr>
  </w:style>
  <w:style w:type="character" w:customStyle="1" w:styleId="WW8Num15z2">
    <w:name w:val="WW8Num15z2"/>
    <w:rsid w:val="00352B52"/>
    <w:rPr>
      <w:rFonts w:ascii="Wingdings" w:hAnsi="Wingdings" w:cs="Wingdings"/>
    </w:rPr>
  </w:style>
  <w:style w:type="character" w:customStyle="1" w:styleId="WW8Num17z4">
    <w:name w:val="WW8Num17z4"/>
    <w:rsid w:val="00352B52"/>
    <w:rPr>
      <w:rFonts w:ascii="Courier New" w:hAnsi="Courier New" w:cs="Courier New"/>
    </w:rPr>
  </w:style>
  <w:style w:type="character" w:customStyle="1" w:styleId="BalloonTextChar">
    <w:name w:val="Balloon Text Char"/>
    <w:rsid w:val="00352B52"/>
    <w:rPr>
      <w:rFonts w:ascii="Tahoma" w:eastAsia="Times New Roman" w:hAnsi="Tahoma" w:cs="Tahoma"/>
      <w:sz w:val="16"/>
      <w:szCs w:val="16"/>
      <w:lang w:val="en-US"/>
    </w:rPr>
  </w:style>
  <w:style w:type="character" w:customStyle="1" w:styleId="HeaderChar">
    <w:name w:val="Header Char"/>
    <w:link w:val="Header"/>
    <w:uiPriority w:val="99"/>
    <w:rsid w:val="00352B52"/>
    <w:rPr>
      <w:sz w:val="24"/>
      <w:lang w:val="en-GB" w:eastAsia="en-US"/>
    </w:rPr>
  </w:style>
  <w:style w:type="table" w:customStyle="1" w:styleId="TableGrid2">
    <w:name w:val="Table Grid2"/>
    <w:basedOn w:val="TableNormal"/>
    <w:next w:val="TableGrid"/>
    <w:uiPriority w:val="59"/>
    <w:rsid w:val="006A29B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B5BF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locked/>
    <w:rsid w:val="0006683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6E8F"/>
    <w:rPr>
      <w:rFonts w:ascii="Liberation Serif" w:eastAsia="SimSun" w:hAnsi="Liberation Serif" w:cs="Mangal"/>
      <w:sz w:val="24"/>
      <w:szCs w:val="24"/>
      <w:lang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0">
    <w:name w:val="Body text (2)_"/>
    <w:basedOn w:val="DefaultParagraphFont"/>
    <w:link w:val="Bodytext22"/>
    <w:locked/>
    <w:rsid w:val="00E532DC"/>
    <w:rPr>
      <w:rFonts w:ascii="Trebuchet MS" w:eastAsia="Trebuchet MS" w:hAnsi="Trebuchet MS" w:cs="Trebuchet MS"/>
      <w:shd w:val="clear" w:color="auto" w:fill="FFFFFF"/>
    </w:rPr>
  </w:style>
  <w:style w:type="paragraph" w:customStyle="1" w:styleId="Bodytext22">
    <w:name w:val="Body text (2)"/>
    <w:basedOn w:val="Normal"/>
    <w:link w:val="Bodytext20"/>
    <w:rsid w:val="00E532DC"/>
    <w:pPr>
      <w:widowControl w:val="0"/>
      <w:shd w:val="clear" w:color="auto" w:fill="FFFFFF"/>
      <w:spacing w:after="240" w:line="283" w:lineRule="exact"/>
      <w:jc w:val="both"/>
    </w:pPr>
    <w:rPr>
      <w:rFonts w:ascii="Trebuchet MS" w:eastAsia="Trebuchet MS" w:hAnsi="Trebuchet MS" w:cs="Trebuchet MS"/>
      <w:sz w:val="20"/>
      <w:szCs w:val="20"/>
      <w:lang w:val="ro-RO" w:eastAsia="ro-RO"/>
    </w:rPr>
  </w:style>
  <w:style w:type="character" w:customStyle="1" w:styleId="Heading9Char">
    <w:name w:val="Heading 9 Char"/>
    <w:basedOn w:val="DefaultParagraphFont"/>
    <w:link w:val="Heading9"/>
    <w:rsid w:val="00BD2D41"/>
    <w:rPr>
      <w:rFonts w:ascii="Cambria" w:hAnsi="Cambria"/>
      <w:color w:val="000000"/>
      <w:sz w:val="22"/>
      <w:szCs w:val="22"/>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BD2D41"/>
    <w:rPr>
      <w:lang w:val="pl-PL" w:eastAsia="pl-PL"/>
    </w:rPr>
  </w:style>
  <w:style w:type="paragraph" w:customStyle="1" w:styleId="CaracterCaracter6CharChar0">
    <w:name w:val="Caracter Caracter6 Char Char"/>
    <w:basedOn w:val="Normal"/>
    <w:rsid w:val="00BD2D41"/>
    <w:rPr>
      <w:lang w:val="pl-PL" w:eastAsia="pl-PL"/>
    </w:rPr>
  </w:style>
  <w:style w:type="paragraph" w:customStyle="1" w:styleId="CharCharCaracter1CharCharCaracterCharCharCaracterCharCharCaracterCharCharCaracterCharCharCaracterCaracterCaracter1">
    <w:name w:val="Char Char Caracter1 Char Char Caracter Char Char Caracter Char Char Caracter Char Char Caracter Char Char Caracter Caracter Caracter"/>
    <w:basedOn w:val="Normal"/>
    <w:rsid w:val="00BD2D41"/>
    <w:rPr>
      <w:lang w:val="pl-PL" w:eastAsia="pl-PL"/>
    </w:rPr>
  </w:style>
  <w:style w:type="paragraph" w:customStyle="1" w:styleId="CaracterCharCharCaracter1">
    <w:name w:val="Caracter Char Char Caracter"/>
    <w:basedOn w:val="Normal"/>
    <w:rsid w:val="00BD2D41"/>
    <w:rPr>
      <w:lang w:val="pl-PL" w:eastAsia="pl-PL"/>
    </w:rPr>
  </w:style>
  <w:style w:type="paragraph" w:customStyle="1" w:styleId="CaracterCaracter41">
    <w:name w:val="Caracter Caracter4"/>
    <w:basedOn w:val="Normal"/>
    <w:rsid w:val="00BD2D41"/>
    <w:rPr>
      <w:lang w:val="pl-PL" w:eastAsia="pl-PL"/>
    </w:rPr>
  </w:style>
  <w:style w:type="paragraph" w:customStyle="1" w:styleId="CharCharCaracter1CharCharCaracterCharCharCaracterCharCharCaracterCharCharCaracter1">
    <w:name w:val="Char Char Caracter1 Char Char Caracter Char Char Caracter Char Char Caracter Char Char Caracter"/>
    <w:basedOn w:val="Normal"/>
    <w:rsid w:val="00BD2D41"/>
    <w:rPr>
      <w:lang w:val="pl-PL" w:eastAsia="pl-PL"/>
    </w:rPr>
  </w:style>
  <w:style w:type="paragraph" w:customStyle="1" w:styleId="Char2">
    <w:name w:val="Char"/>
    <w:basedOn w:val="Normal"/>
    <w:rsid w:val="00BD2D41"/>
    <w:rPr>
      <w:lang w:val="pl-PL" w:eastAsia="pl-PL"/>
    </w:rPr>
  </w:style>
  <w:style w:type="paragraph" w:customStyle="1" w:styleId="CharCharCaracter1CharCharCaracterCharCharCaracterCharCharCaracterCharCharCaracterCharCharCaracterCaracterCaracterCharChar1">
    <w:name w:val="Char Char Caracter1 Char Char Caracter Char Char Caracter Char Char Caracter Char Char Caracter Char Char Caracter Caracter Caracter Char Char"/>
    <w:basedOn w:val="Normal"/>
    <w:rsid w:val="00BD2D41"/>
    <w:rPr>
      <w:lang w:val="pl-PL" w:eastAsia="pl-PL"/>
    </w:rPr>
  </w:style>
  <w:style w:type="character" w:customStyle="1" w:styleId="CharChar41">
    <w:name w:val="Char Char4"/>
    <w:rsid w:val="00BD2D41"/>
    <w:rPr>
      <w:rFonts w:ascii="Calibri" w:hAnsi="Calibri"/>
      <w:sz w:val="24"/>
      <w:szCs w:val="24"/>
      <w:lang w:val="en-US" w:eastAsia="en-US" w:bidi="ar-SA"/>
    </w:rPr>
  </w:style>
  <w:style w:type="paragraph" w:customStyle="1" w:styleId="CaracterCaracter3">
    <w:name w:val="Caracter Caracter"/>
    <w:basedOn w:val="Normal"/>
    <w:rsid w:val="00BD2D41"/>
    <w:rPr>
      <w:lang w:val="pl-PL" w:eastAsia="pl-PL"/>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BD2D41"/>
    <w:rPr>
      <w:lang w:val="pl-PL" w:eastAsia="pl-PL"/>
    </w:rPr>
  </w:style>
  <w:style w:type="paragraph" w:customStyle="1" w:styleId="CaracterCharCharCaracterCharCharCaracter0">
    <w:name w:val="Caracter Char Char Caracter Char Char Caracter"/>
    <w:basedOn w:val="Normal"/>
    <w:rsid w:val="00BD2D41"/>
    <w:rPr>
      <w:lang w:val="pl-PL" w:eastAsia="pl-PL"/>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BD2D41"/>
    <w:rPr>
      <w:lang w:val="pl-PL" w:eastAsia="pl-PL"/>
    </w:rPr>
  </w:style>
  <w:style w:type="paragraph" w:customStyle="1" w:styleId="CaracterCaracter5CharCharCaracterCaracterCharCharCaracterCaracter1">
    <w:name w:val="Caracter Caracter5 Char Char Caracter Caracter Char Char Caracter Caracter"/>
    <w:basedOn w:val="Normal"/>
    <w:rsid w:val="00BD2D41"/>
    <w:rPr>
      <w:lang w:val="pl-PL" w:eastAsia="pl-PL"/>
    </w:rPr>
  </w:style>
  <w:style w:type="paragraph" w:customStyle="1" w:styleId="CaracterCaracter5CharCharCaracterCaracterCharCharCaracterCaracterCharChar1">
    <w:name w:val="Caracter Caracter5 Char Char Caracter Caracter Char Char Caracter Caracter Char Char"/>
    <w:basedOn w:val="Normal"/>
    <w:rsid w:val="00BD2D41"/>
    <w:rPr>
      <w:lang w:val="pl-PL" w:eastAsia="pl-PL"/>
    </w:rPr>
  </w:style>
  <w:style w:type="paragraph" w:customStyle="1" w:styleId="CharCharCharChar1">
    <w:name w:val="Char Char Char Char"/>
    <w:basedOn w:val="Normal"/>
    <w:rsid w:val="00BD2D41"/>
    <w:rPr>
      <w:lang w:val="pl-PL" w:eastAsia="pl-PL"/>
    </w:rPr>
  </w:style>
  <w:style w:type="paragraph" w:customStyle="1" w:styleId="CaracterCaracter11">
    <w:name w:val="Caracter Caracter1"/>
    <w:basedOn w:val="Normal"/>
    <w:rsid w:val="00BD2D41"/>
    <w:rPr>
      <w:lang w:val="pl-PL" w:eastAsia="pl-PL"/>
    </w:rPr>
  </w:style>
  <w:style w:type="paragraph" w:customStyle="1" w:styleId="CaracterCaracter5CharCharCaracterCaracterCharCharCaracterCaracterCharCharCaracterCaracter1">
    <w:name w:val="Caracter Caracter5 Char Char Caracter Caracter Char Char Caracter Caracter Char Char Caracter Caracter"/>
    <w:basedOn w:val="Normal"/>
    <w:rsid w:val="00BD2D41"/>
    <w:rPr>
      <w:lang w:val="pl-PL" w:eastAsia="pl-PL"/>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BD2D41"/>
    <w:rPr>
      <w:lang w:val="pl-PL" w:eastAsia="pl-PL"/>
    </w:rPr>
  </w:style>
  <w:style w:type="paragraph" w:customStyle="1" w:styleId="CaracterCaracter5CharCharCaracterCaracter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 Char Char Caracter Caracter"/>
    <w:basedOn w:val="Normal"/>
    <w:rsid w:val="00BD2D41"/>
    <w:rPr>
      <w:lang w:val="pl-PL" w:eastAsia="pl-PL"/>
    </w:rPr>
  </w:style>
  <w:style w:type="paragraph" w:customStyle="1" w:styleId="CaracterCaracter5CharCharCaracterCaracterCharCharCaracterCaracterCharCharCaracterCaracterCharChar1CaracterCaracter1">
    <w:name w:val="Caracter Caracter5 Char Char Caracter Caracter Char Char Caracter Caracter Char Char Caracter Caracter Char Char1 Caracter Caracter"/>
    <w:basedOn w:val="Normal"/>
    <w:rsid w:val="00BD2D41"/>
    <w:rPr>
      <w:lang w:val="pl-PL" w:eastAsia="pl-PL"/>
    </w:rPr>
  </w:style>
  <w:style w:type="paragraph" w:customStyle="1" w:styleId="CaracterCaracter5CharCharCaracterCaracterCharCharCaracterCaracterCharCharCaracterCaracterCharChar1CaracterCaracterCharCharCaracterCaracterCharCharCaracterCaracter1">
    <w:name w:val="Caracter Caracter5 Char Char Caracter Caracter Char Char Caracter Caracter Char Char Caracter Caracter Char Char1 Caracter Caracter Char Char Caracter Caracter Char Char Caracter Caracter"/>
    <w:basedOn w:val="Normal"/>
    <w:rsid w:val="00BD2D41"/>
    <w:rPr>
      <w:lang w:val="pl-PL" w:eastAsia="pl-PL"/>
    </w:rPr>
  </w:style>
  <w:style w:type="paragraph" w:customStyle="1" w:styleId="CaracterCaracter2CharCharCaracterCaracter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 Char Char Caracter Caracter"/>
    <w:basedOn w:val="Normal"/>
    <w:rsid w:val="00BD2D41"/>
    <w:rPr>
      <w:lang w:val="pl-PL" w:eastAsia="pl-PL"/>
    </w:rPr>
  </w:style>
  <w:style w:type="paragraph" w:customStyle="1" w:styleId="CaracterCaracter1CharChar1CaracterCaracter0">
    <w:name w:val="Caracter Caracter1 Char Char1 Caracter Caracter"/>
    <w:basedOn w:val="Normal"/>
    <w:rsid w:val="00BD2D41"/>
    <w:rPr>
      <w:lang w:val="pl-PL" w:eastAsia="pl-PL"/>
    </w:rPr>
  </w:style>
  <w:style w:type="paragraph" w:customStyle="1" w:styleId="CharCharCaracterCaracter0">
    <w:name w:val="Char Char Caracter Caracter"/>
    <w:basedOn w:val="Normal"/>
    <w:rsid w:val="00BD2D41"/>
    <w:rPr>
      <w:lang w:val="pl-PL" w:eastAsia="pl-PL"/>
    </w:rPr>
  </w:style>
  <w:style w:type="paragraph" w:customStyle="1" w:styleId="Char3CharCharChar0">
    <w:name w:val="Char3 Char Char Char"/>
    <w:basedOn w:val="Normal"/>
    <w:rsid w:val="00BD2D41"/>
    <w:rPr>
      <w:lang w:val="pl-PL" w:eastAsia="pl-PL"/>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BD2D41"/>
    <w:rPr>
      <w:lang w:val="pl-PL" w:eastAsia="pl-PL"/>
    </w:rPr>
  </w:style>
  <w:style w:type="paragraph" w:customStyle="1" w:styleId="CaracterCaracterCharChar1CaracterCaracterCharCharCaracterCaracter0">
    <w:name w:val="Caracter Caracter Char Char1 Caracter Caracter Char Char Caracter Caracter"/>
    <w:basedOn w:val="Normal"/>
    <w:rsid w:val="00BD2D41"/>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BD2D41"/>
    <w:rPr>
      <w:lang w:val="pl-PL" w:eastAsia="pl-PL"/>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BD2D41"/>
    <w:rPr>
      <w:lang w:val="pl-PL" w:eastAsia="pl-PL"/>
    </w:rPr>
  </w:style>
  <w:style w:type="paragraph" w:customStyle="1" w:styleId="CharChar3CaracterCaracterCharCharCaracterCaracter0">
    <w:name w:val="Char Char3 Caracter Caracter Char Char Caracter Caracter"/>
    <w:basedOn w:val="Normal"/>
    <w:rsid w:val="00BD2D41"/>
    <w:rPr>
      <w:lang w:val="pl-PL" w:eastAsia="pl-PL"/>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BD2D41"/>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2">
    <w:name w:val="Char Char3 Caracter Caracter"/>
    <w:basedOn w:val="Normal"/>
    <w:rsid w:val="00BD2D41"/>
    <w:rPr>
      <w:lang w:val="pl-PL" w:eastAsia="pl-PL"/>
    </w:rPr>
  </w:style>
  <w:style w:type="paragraph" w:customStyle="1" w:styleId="CharChar3CaracterCaracterCharCharCaracterCaracter10">
    <w:name w:val="Char Char3 Caracter Caracter Char Char Caracter Caracter1"/>
    <w:basedOn w:val="Normal"/>
    <w:rsid w:val="00BD2D41"/>
    <w:rPr>
      <w:lang w:val="pl-PL" w:eastAsia="pl-PL"/>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BD2D41"/>
    <w:rPr>
      <w:lang w:val="pl-PL" w:eastAsia="pl-PL"/>
    </w:rPr>
  </w:style>
  <w:style w:type="paragraph" w:customStyle="1" w:styleId="CharChar3CaracterCaracterCharCharCaracterCaracter1CharCharCaracterCaracter0">
    <w:name w:val="Char Char3 Caracter Caracter Char Char Caracter Caracter1 Char Char Caracter Caracter"/>
    <w:basedOn w:val="Normal"/>
    <w:rsid w:val="00BD2D41"/>
    <w:rPr>
      <w:lang w:val="pl-PL" w:eastAsia="pl-PL"/>
    </w:rPr>
  </w:style>
  <w:style w:type="paragraph" w:customStyle="1" w:styleId="CaracterCaracter1Caracter0">
    <w:name w:val="Caracter Caracter1 Caracter"/>
    <w:basedOn w:val="Normal"/>
    <w:rsid w:val="00BD2D41"/>
    <w:rPr>
      <w:lang w:val="pl-PL" w:eastAsia="pl-PL"/>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BD2D41"/>
    <w:rPr>
      <w:lang w:val="pl-PL" w:eastAsia="pl-PL"/>
    </w:rPr>
  </w:style>
  <w:style w:type="paragraph" w:customStyle="1" w:styleId="CharChar3CaracterCaracterCharCharCaracterCaracter1CharCharCaracterCaracterCharCharCaracterCaracter1CharCharCaracterCaracterCharCharCaracterCaracterCharCharCaracterCaracter1">
    <w:name w:val="Char Char3 Caracter Caracter Char Char Caracter Caracter1 Char Char Caracter Caracter Char Char Caracter Caracter1 Char Char Caracter Caracter Char Char Caracter Caracter Char Char Caracter Caracter"/>
    <w:basedOn w:val="Normal"/>
    <w:rsid w:val="00BD2D41"/>
    <w:rPr>
      <w:lang w:val="pl-PL" w:eastAsia="pl-PL"/>
    </w:rPr>
  </w:style>
  <w:style w:type="paragraph" w:customStyle="1" w:styleId="CaracterCaracterCharCharCaracterCaracter0">
    <w:name w:val="Caracter Caracter Char Char Caracter Caracter"/>
    <w:basedOn w:val="Normal"/>
    <w:rsid w:val="00BD2D41"/>
    <w:rPr>
      <w:lang w:val="pl-PL" w:eastAsia="pl-PL"/>
    </w:rPr>
  </w:style>
  <w:style w:type="paragraph" w:customStyle="1" w:styleId="CaracterCaracterCharCharCaracterCaracterCharCharCaracterCaracter1">
    <w:name w:val="Caracter Caracter Char Char Caracter Caracter Char Char Caracter Caracter"/>
    <w:basedOn w:val="Normal"/>
    <w:rsid w:val="00BD2D41"/>
    <w:rPr>
      <w:lang w:val="pl-PL" w:eastAsia="pl-PL"/>
    </w:rPr>
  </w:style>
  <w:style w:type="paragraph" w:customStyle="1" w:styleId="CaracterCaracter1CharCharCaracterCaracter1CharCharCaracterCaracter0">
    <w:name w:val="Caracter Caracter1 Char Char Caracter Caracter1 Char Char Caracter Caracter"/>
    <w:basedOn w:val="Normal"/>
    <w:rsid w:val="00BD2D41"/>
    <w:rPr>
      <w:lang w:val="pl-PL" w:eastAsia="pl-PL"/>
    </w:rPr>
  </w:style>
  <w:style w:type="paragraph" w:customStyle="1" w:styleId="CharCharCaracterCaracterCharCharCaracterCaracter0">
    <w:name w:val="Char Char Caracter Caracter Char Char Caracter Caracter"/>
    <w:basedOn w:val="Normal"/>
    <w:rsid w:val="00BD2D41"/>
    <w:rPr>
      <w:lang w:val="pl-PL" w:eastAsia="pl-PL"/>
    </w:rPr>
  </w:style>
  <w:style w:type="paragraph" w:customStyle="1" w:styleId="CharCharCaracterCaracterCharCharCaracterCaracterCharChar1">
    <w:name w:val="Char Char Caracter Caracter Char Char Caracter Caracter Char Char"/>
    <w:basedOn w:val="Normal"/>
    <w:rsid w:val="00BD2D41"/>
    <w:rPr>
      <w:lang w:val="pl-PL" w:eastAsia="pl-PL"/>
    </w:rPr>
  </w:style>
  <w:style w:type="paragraph" w:customStyle="1" w:styleId="CaracterCaracterCharChar0">
    <w:name w:val="Caracter Caracter Char Char"/>
    <w:basedOn w:val="Normal"/>
    <w:rsid w:val="00BD2D41"/>
    <w:rPr>
      <w:lang w:val="pl-PL" w:eastAsia="pl-PL"/>
    </w:rPr>
  </w:style>
  <w:style w:type="paragraph" w:customStyle="1" w:styleId="CharChar3CaracterCaracter1CharChar0">
    <w:name w:val="Char Char3 Caracter Caracter1 Char Char"/>
    <w:basedOn w:val="Normal"/>
    <w:rsid w:val="00BD2D41"/>
    <w:rPr>
      <w:lang w:val="pl-PL" w:eastAsia="pl-PL"/>
    </w:rPr>
  </w:style>
  <w:style w:type="paragraph" w:customStyle="1" w:styleId="CaracterCaracter60">
    <w:name w:val="Caracter Caracter6"/>
    <w:basedOn w:val="Normal"/>
    <w:rsid w:val="00BD2D41"/>
    <w:rPr>
      <w:lang w:val="pl-PL" w:eastAsia="pl-PL"/>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BD2D41"/>
    <w:pPr>
      <w:spacing w:after="160" w:line="240" w:lineRule="exact"/>
    </w:pPr>
    <w:rPr>
      <w:rFonts w:ascii="Tahoma" w:hAnsi="Tahoma"/>
      <w:sz w:val="20"/>
      <w:szCs w:val="20"/>
      <w:lang w:val="ro-RO"/>
    </w:rPr>
  </w:style>
  <w:style w:type="paragraph" w:customStyle="1" w:styleId="CaracterCaracter6CharCharCaracterCaracterCaracterCaracter0">
    <w:name w:val="Caracter Caracter6 Char Char Caracter Caracter Caracter Caracter"/>
    <w:basedOn w:val="Normal"/>
    <w:rsid w:val="00BD2D41"/>
    <w:rPr>
      <w:lang w:val="pl-PL" w:eastAsia="pl-PL"/>
    </w:rPr>
  </w:style>
  <w:style w:type="paragraph" w:customStyle="1" w:styleId="CaracterCaracter6CharCharCaracterCaracterCaracterCaracterCharCharCaracterCaracter1">
    <w:name w:val="Caracter Caracter6 Char Char Caracter Caracter Caracter Caracter Char Char Caracter Caracter"/>
    <w:basedOn w:val="Normal"/>
    <w:rsid w:val="00BD2D41"/>
    <w:rPr>
      <w:lang w:val="pl-PL" w:eastAsia="pl-PL"/>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BD2D41"/>
    <w:rPr>
      <w:lang w:val="pl-PL" w:eastAsia="pl-PL"/>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BD2D41"/>
    <w:rPr>
      <w:lang w:val="pl-PL" w:eastAsia="pl-PL"/>
    </w:rPr>
  </w:style>
  <w:style w:type="paragraph" w:customStyle="1" w:styleId="CharChar3CaracterCaracter1CharCharCaracterCaracter0">
    <w:name w:val="Char Char3 Caracter Caracter1 Char Char Caracter Caracter"/>
    <w:basedOn w:val="Normal"/>
    <w:rsid w:val="00BD2D41"/>
    <w:rPr>
      <w:lang w:val="pl-PL" w:eastAsia="pl-PL"/>
    </w:rPr>
  </w:style>
  <w:style w:type="paragraph" w:customStyle="1" w:styleId="CharChar3CaracterCaracter1CharCharCaracterCaracterCharChar0">
    <w:name w:val="Char Char3 Caracter Caracter1 Char Char Caracter Caracter Char Char"/>
    <w:basedOn w:val="Normal"/>
    <w:rsid w:val="00BD2D41"/>
    <w:rPr>
      <w:lang w:val="pl-PL" w:eastAsia="pl-PL"/>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BD2D41"/>
    <w:rPr>
      <w:lang w:val="pl-PL" w:eastAsia="pl-PL"/>
    </w:rPr>
  </w:style>
  <w:style w:type="paragraph" w:customStyle="1" w:styleId="CaracterCaracter21">
    <w:name w:val="Caracter Caracter2"/>
    <w:basedOn w:val="Normal"/>
    <w:rsid w:val="00BD2D41"/>
    <w:rPr>
      <w:lang w:val="pl-PL" w:eastAsia="pl-PL"/>
    </w:rPr>
  </w:style>
  <w:style w:type="paragraph" w:customStyle="1" w:styleId="CharChar3CaracterCaracter11">
    <w:name w:val="Char Char3 Caracter Caracter1"/>
    <w:basedOn w:val="Normal"/>
    <w:rsid w:val="00BD2D41"/>
    <w:rPr>
      <w:lang w:val="pl-PL" w:eastAsia="pl-PL"/>
    </w:rPr>
  </w:style>
  <w:style w:type="paragraph" w:customStyle="1" w:styleId="CharChar3CaracterCaracter1CharCharCaracterCaracter1CaracterCaracter0">
    <w:name w:val="Char Char3 Caracter Caracter1 Char Char Caracter Caracter1 Caracter Caracter"/>
    <w:basedOn w:val="Normal"/>
    <w:rsid w:val="00BD2D41"/>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BD2D41"/>
    <w:rPr>
      <w:lang w:val="pl-PL" w:eastAsia="pl-PL"/>
    </w:rPr>
  </w:style>
  <w:style w:type="paragraph" w:customStyle="1" w:styleId="CaracterCaracter2CharCharCaracterCaracterCharCharCaracterCaracterCharCharCaracterCaracterCaracterCaracter1">
    <w:name w:val="Caracter Caracter2 Char Char Caracter Caracter Char Char Caracter Caracter Char Char Caracter Caracter Caracter Caracter"/>
    <w:basedOn w:val="Normal"/>
    <w:rsid w:val="00BD2D41"/>
    <w:rPr>
      <w:lang w:val="pl-PL" w:eastAsia="pl-PL"/>
    </w:rPr>
  </w:style>
  <w:style w:type="paragraph" w:customStyle="1" w:styleId="CaracterCaracter1CharCharCaracterCaracter0">
    <w:name w:val="Caracter Caracter1 Char Char Caracter Caracter"/>
    <w:basedOn w:val="Normal"/>
    <w:rsid w:val="00BD2D41"/>
    <w:rPr>
      <w:lang w:val="pl-PL" w:eastAsia="pl-PL"/>
    </w:rPr>
  </w:style>
  <w:style w:type="paragraph" w:customStyle="1" w:styleId="CaracterCharCharCaracterCharCharCaracterCharChar10">
    <w:name w:val="Caracter Char Char Caracter Char Char Caracter Char Char1"/>
    <w:basedOn w:val="Normal"/>
    <w:rsid w:val="00BD2D41"/>
    <w:rPr>
      <w:lang w:val="pl-PL" w:eastAsia="pl-PL"/>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BD2D41"/>
    <w:rPr>
      <w:lang w:val="pl-PL" w:eastAsia="pl-PL"/>
    </w:rPr>
  </w:style>
  <w:style w:type="paragraph" w:customStyle="1" w:styleId="CaracterCharCharCaracterCharCharCaracterCharChar0">
    <w:name w:val="Caracter Char Char Caracter Char Char Caracter Char Char"/>
    <w:basedOn w:val="Normal"/>
    <w:rsid w:val="00BD2D41"/>
    <w:rPr>
      <w:lang w:val="pl-PL" w:eastAsia="pl-PL"/>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BD2D41"/>
    <w:rPr>
      <w:lang w:val="pl-PL" w:eastAsia="pl-PL"/>
    </w:rPr>
  </w:style>
  <w:style w:type="paragraph" w:customStyle="1" w:styleId="CaracterCharCharCaracterCharCharCaracterCharChar1CaracterCaracterCharChar0">
    <w:name w:val="Caracter Char Char Caracter Char Char Caracter Char Char1 Caracter Caracter Char Char"/>
    <w:basedOn w:val="Normal"/>
    <w:rsid w:val="00BD2D41"/>
    <w:rPr>
      <w:lang w:val="pl-PL" w:eastAsia="pl-PL"/>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BD2D41"/>
    <w:rPr>
      <w:lang w:val="pl-PL" w:eastAsia="pl-PL"/>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BD2D41"/>
    <w:rPr>
      <w:lang w:val="pl-PL" w:eastAsia="pl-PL"/>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BD2D41"/>
    <w:rPr>
      <w:lang w:val="pl-PL" w:eastAsia="pl-PL"/>
    </w:rPr>
  </w:style>
  <w:style w:type="paragraph" w:customStyle="1" w:styleId="CaracterCaracter1CaracterCaracterCaracter0">
    <w:name w:val="Caracter Caracter1 Caracter Caracter Caracter"/>
    <w:basedOn w:val="Normal"/>
    <w:rsid w:val="00BD2D41"/>
    <w:rPr>
      <w:lang w:val="pl-PL" w:eastAsia="pl-PL"/>
    </w:rPr>
  </w:style>
  <w:style w:type="paragraph" w:customStyle="1" w:styleId="CaracterCaracterCharCharCaracterCaracter10">
    <w:name w:val="Caracter Caracter Char Char Caracter Caracter1"/>
    <w:basedOn w:val="Normal"/>
    <w:rsid w:val="00BD2D41"/>
    <w:rPr>
      <w:lang w:val="pl-PL" w:eastAsia="pl-PL"/>
    </w:rPr>
  </w:style>
  <w:style w:type="paragraph" w:customStyle="1" w:styleId="CaracterCharCharCaracterCharChar1">
    <w:name w:val="Caracter Char Char Caracter Char Char"/>
    <w:basedOn w:val="Normal"/>
    <w:rsid w:val="00BD2D41"/>
    <w:rPr>
      <w:lang w:val="pl-PL" w:eastAsia="pl-PL"/>
    </w:rPr>
  </w:style>
  <w:style w:type="paragraph" w:customStyle="1" w:styleId="CaracterCaracter4CharChar1CaracterCaracter0">
    <w:name w:val="Caracter Caracter4 Char Char1 Caracter Caracter"/>
    <w:basedOn w:val="Normal"/>
    <w:rsid w:val="00BD2D41"/>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BD2D41"/>
    <w:pPr>
      <w:spacing w:after="160" w:line="240" w:lineRule="exact"/>
    </w:pPr>
    <w:rPr>
      <w:rFonts w:ascii="Tahoma" w:hAnsi="Tahoma"/>
      <w:sz w:val="20"/>
      <w:szCs w:val="20"/>
      <w:lang w:val="ro-RO"/>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BD2D41"/>
    <w:rPr>
      <w:lang w:val="pl-PL" w:eastAsia="pl-PL"/>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BD2D41"/>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BD2D41"/>
    <w:pPr>
      <w:spacing w:after="160" w:line="240" w:lineRule="exact"/>
    </w:pPr>
    <w:rPr>
      <w:sz w:val="20"/>
      <w:szCs w:val="20"/>
      <w:vertAlign w:val="superscript"/>
      <w:lang w:val="ro-RO" w:eastAsia="ro-RO"/>
    </w:rPr>
  </w:style>
  <w:style w:type="paragraph" w:customStyle="1" w:styleId="CaracterCaracter1CharChar0">
    <w:name w:val="Caracter Caracter1 Char Char"/>
    <w:basedOn w:val="Normal"/>
    <w:rsid w:val="00BD2D41"/>
    <w:rPr>
      <w:lang w:val="pl-PL" w:eastAsia="pl-PL"/>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BD2D41"/>
    <w:pPr>
      <w:spacing w:after="160" w:line="240" w:lineRule="exact"/>
    </w:pPr>
    <w:rPr>
      <w:sz w:val="20"/>
      <w:szCs w:val="20"/>
      <w:vertAlign w:val="superscript"/>
      <w:lang w:val="ro-RO" w:eastAsia="ro-RO"/>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BD2D41"/>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BD2D41"/>
    <w:rPr>
      <w:lang w:val="pl-PL" w:eastAsia="pl-PL"/>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BD2D41"/>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BD2D41"/>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BD2D41"/>
    <w:pPr>
      <w:spacing w:after="160" w:line="240" w:lineRule="exact"/>
    </w:pPr>
    <w:rPr>
      <w:sz w:val="20"/>
      <w:szCs w:val="20"/>
      <w:vertAlign w:val="superscript"/>
      <w:lang w:val="ro-RO" w:eastAsia="ro-RO"/>
    </w:rPr>
  </w:style>
  <w:style w:type="paragraph" w:customStyle="1" w:styleId="CaracterCaracter7CharCharCharCharCharChar0">
    <w:name w:val="Caracter Caracter7 Char Char Char Char Char Char"/>
    <w:basedOn w:val="Normal"/>
    <w:rsid w:val="00BD2D41"/>
    <w:rPr>
      <w:szCs w:val="20"/>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BD2D41"/>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BD2D41"/>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BD2D41"/>
    <w:rPr>
      <w:lang w:val="pl-PL" w:eastAsia="pl-PL"/>
    </w:rPr>
  </w:style>
  <w:style w:type="paragraph" w:customStyle="1" w:styleId="CaracterCaracter2CharCharCaracterCaracterCharCharCaracterCaracter0">
    <w:name w:val="Caracter Caracter2 Char Char Caracter Caracter Char Char Caracter Caracter"/>
    <w:basedOn w:val="Normal"/>
    <w:rsid w:val="00BD2D41"/>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BD2D41"/>
    <w:rPr>
      <w:lang w:val="pl-PL" w:eastAsia="pl-PL"/>
    </w:rPr>
  </w:style>
  <w:style w:type="paragraph" w:customStyle="1" w:styleId="CaracterCaracter2CharCharCaracterCaracter0">
    <w:name w:val="Caracter Caracter2 Char Char Caracter Caracter"/>
    <w:basedOn w:val="Normal"/>
    <w:rsid w:val="00BD2D41"/>
    <w:rPr>
      <w:szCs w:val="20"/>
      <w:lang w:val="pl-PL" w:eastAsia="pl-PL"/>
    </w:rPr>
  </w:style>
  <w:style w:type="paragraph" w:customStyle="1" w:styleId="CharCharCharChar1CharCharCharCharCharCharCharCharCharChar0">
    <w:name w:val="Char Char Char Char1 Char Char Char Char Char Char Char Char Char Char"/>
    <w:basedOn w:val="Normal"/>
    <w:next w:val="Normal"/>
    <w:rsid w:val="00BD2D41"/>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1">
    <w:name w:val="Char Char3 Caracter Caracter1 Char Char Caracter Caracter1 Caracter Caracter Char Char Caracter Caracter Char Char Caracter Caracter Char Char Caracter Caracter Caracter Caracter1 Caracter Caracter"/>
    <w:basedOn w:val="Normal"/>
    <w:rsid w:val="00BD2D41"/>
    <w:rPr>
      <w:lang w:val="pl-PL" w:eastAsia="pl-PL"/>
    </w:rPr>
  </w:style>
  <w:style w:type="paragraph" w:customStyle="1" w:styleId="CaracterCaracter1CaracterCharCharCaracterCaracter0">
    <w:name w:val="Caracter Caracter1 Caracter Char Char Caracter Caracter"/>
    <w:basedOn w:val="Normal"/>
    <w:rsid w:val="00BD2D41"/>
    <w:rPr>
      <w:lang w:val="pl-PL" w:eastAsia="pl-PL"/>
    </w:rPr>
  </w:style>
  <w:style w:type="paragraph" w:customStyle="1" w:styleId="CaracterCaracter1CharCharCaracterCaracter10">
    <w:name w:val="Caracter Caracter1 Char Char Caracter Caracter1"/>
    <w:basedOn w:val="Normal"/>
    <w:rsid w:val="00BD2D41"/>
    <w:rPr>
      <w:lang w:val="pl-PL" w:eastAsia="pl-PL"/>
    </w:rPr>
  </w:style>
  <w:style w:type="paragraph" w:customStyle="1" w:styleId="CaracterCaracter70">
    <w:name w:val="Caracter Caracter7"/>
    <w:basedOn w:val="Normal"/>
    <w:rsid w:val="00BD2D41"/>
    <w:rPr>
      <w:lang w:val="pl-PL" w:eastAsia="pl-PL"/>
    </w:rPr>
  </w:style>
  <w:style w:type="character" w:customStyle="1" w:styleId="CharChar30">
    <w:name w:val="Char Char3"/>
    <w:rsid w:val="00BD2D41"/>
    <w:rPr>
      <w:rFonts w:ascii="Calibri" w:hAnsi="Calibri" w:cs="Calibri"/>
      <w:sz w:val="24"/>
      <w:szCs w:val="24"/>
      <w:lang w:bidi="ar-SA"/>
    </w:rPr>
  </w:style>
  <w:style w:type="character" w:customStyle="1" w:styleId="CharChar21">
    <w:name w:val="Char Char2"/>
    <w:rsid w:val="00BD2D41"/>
    <w:rPr>
      <w:rFonts w:cs="Times New Roman"/>
      <w:sz w:val="24"/>
      <w:szCs w:val="24"/>
    </w:rPr>
  </w:style>
  <w:style w:type="character" w:customStyle="1" w:styleId="CharChar11">
    <w:name w:val="Char Char1"/>
    <w:rsid w:val="00BD2D41"/>
    <w:rPr>
      <w:rFonts w:cs="Times New Roman"/>
      <w:sz w:val="24"/>
      <w:szCs w:val="24"/>
    </w:rPr>
  </w:style>
  <w:style w:type="character" w:customStyle="1" w:styleId="CharChar7">
    <w:name w:val="Char Char"/>
    <w:rsid w:val="00BD2D41"/>
    <w:rPr>
      <w:rFonts w:ascii="Consolas" w:eastAsia="MS Mincho" w:hAnsi="Consolas" w:cs="Consolas"/>
      <w:sz w:val="21"/>
      <w:szCs w:val="21"/>
      <w:lang w:bidi="ar-SA"/>
    </w:rPr>
  </w:style>
  <w:style w:type="character" w:customStyle="1" w:styleId="CharChar60">
    <w:name w:val="Char Char6"/>
    <w:rsid w:val="00BD2D41"/>
    <w:rPr>
      <w:rFonts w:ascii="Arial Narrow" w:eastAsia="Times New Roman" w:hAnsi="Arial Narrow" w:cs="Times New Roman"/>
      <w:b/>
      <w:bCs/>
      <w:kern w:val="1"/>
      <w:sz w:val="24"/>
      <w:szCs w:val="32"/>
    </w:rPr>
  </w:style>
  <w:style w:type="character" w:customStyle="1" w:styleId="CharChar51">
    <w:name w:val="Char Char5"/>
    <w:rsid w:val="00BD2D41"/>
    <w:rPr>
      <w:rFonts w:ascii="Arial Narrow" w:eastAsia="Times New Roman" w:hAnsi="Arial Narrow" w:cs="Times New Roman"/>
      <w:b/>
      <w:bCs/>
      <w:iCs/>
      <w:sz w:val="24"/>
      <w:szCs w:val="28"/>
      <w:shd w:val="clear" w:color="auto" w:fill="FABF8F"/>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BD2D41"/>
    <w:pPr>
      <w:suppressAutoHyphens/>
      <w:spacing w:after="160" w:line="240" w:lineRule="exact"/>
    </w:pPr>
    <w:rPr>
      <w:sz w:val="20"/>
      <w:szCs w:val="20"/>
      <w:vertAlign w:val="superscript"/>
      <w:lang w:val="ro-RO" w:eastAsia="ro-RO"/>
    </w:rPr>
  </w:style>
  <w:style w:type="paragraph" w:customStyle="1" w:styleId="CaracterCaracter7CharCharCharChar0">
    <w:name w:val="Caracter Caracter7 Char Char Char Char"/>
    <w:basedOn w:val="Normal"/>
    <w:rsid w:val="00BD2D41"/>
    <w:pPr>
      <w:suppressAutoHyphens/>
    </w:pPr>
    <w:rPr>
      <w:szCs w:val="20"/>
      <w:lang w:val="ro-RO" w:eastAsia="zh-CN"/>
    </w:rPr>
  </w:style>
  <w:style w:type="character" w:customStyle="1" w:styleId="Caracter70">
    <w:name w:val="Caracter7"/>
    <w:rsid w:val="00BD2D41"/>
    <w:rPr>
      <w:rFonts w:ascii="Arial Narrow" w:eastAsia="Times New Roman" w:hAnsi="Arial Narrow" w:cs="Times New Roman"/>
      <w:b/>
      <w:bCs/>
      <w:kern w:val="32"/>
      <w:sz w:val="24"/>
      <w:szCs w:val="32"/>
    </w:rPr>
  </w:style>
  <w:style w:type="character" w:customStyle="1" w:styleId="Caracter60">
    <w:name w:val="Caracter6"/>
    <w:rsid w:val="00BD2D41"/>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BD2D41"/>
    <w:rPr>
      <w:lang w:val="pl-PL" w:eastAsia="pl-PL"/>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BD2D41"/>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BD2D41"/>
    <w:rPr>
      <w:lang w:val="pl-PL" w:eastAsia="pl-PL"/>
    </w:rPr>
  </w:style>
  <w:style w:type="paragraph" w:customStyle="1" w:styleId="CharChar3CaracterCaracter1CharCharCaracterCaracter1CaracterCaracterCharCharCaracterCaracterCharCharCaracterCaracterCharCharCaracterCaracterCaracterCaracter1CharChar1Caracter0">
    <w:name w:val="Char Char3 Caracter Caracter1 Char Char Caracter Caracter1 Caracter Caracter Char Char Caracter Caracter Char Char Caracter Caracter Char Char Caracter Caracter Caracter Caracter1 Char Char1 Caracter"/>
    <w:basedOn w:val="Normal"/>
    <w:rsid w:val="00BD2D41"/>
    <w:rPr>
      <w:lang w:val="pl-PL" w:eastAsia="pl-PL"/>
    </w:rPr>
  </w:style>
  <w:style w:type="paragraph" w:customStyle="1" w:styleId="Caracter2CharCharCaracterCharCharCaracterCharCharCaracterCharChar0">
    <w:name w:val="Caracter2 Char Char Caracter Char Char Caracter Char Char Caracter Char Char"/>
    <w:basedOn w:val="Normal"/>
    <w:rsid w:val="00BD2D41"/>
    <w:rPr>
      <w:lang w:val="pl-PL" w:eastAsia="pl-PL"/>
    </w:rPr>
  </w:style>
  <w:style w:type="paragraph" w:customStyle="1" w:styleId="Caracter2CharCharCaracterCharCharCaracterCharCharCaracter0">
    <w:name w:val="Caracter2 Char Char Caracter Char Char Caracter Char Char Caracter"/>
    <w:basedOn w:val="Normal"/>
    <w:rsid w:val="00BD2D41"/>
    <w:rPr>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BD2D41"/>
    <w:rPr>
      <w:lang w:val="pl-PL" w:eastAsia="pl-PL"/>
    </w:rPr>
  </w:style>
  <w:style w:type="paragraph" w:customStyle="1" w:styleId="CharChar1CaracterCaracter10">
    <w:name w:val="Char Char1 Caracter Caracter1"/>
    <w:basedOn w:val="Normal"/>
    <w:rsid w:val="00BD2D41"/>
    <w:rPr>
      <w:lang w:val="pl-PL" w:eastAsia="pl-PL"/>
    </w:rPr>
  </w:style>
  <w:style w:type="paragraph" w:customStyle="1" w:styleId="Date2">
    <w:name w:val="Date2"/>
    <w:basedOn w:val="Normal"/>
    <w:rsid w:val="00BD2D41"/>
    <w:pPr>
      <w:spacing w:before="100" w:beforeAutospacing="1" w:after="100" w:afterAutospacing="1"/>
    </w:pPr>
  </w:style>
  <w:style w:type="paragraph" w:customStyle="1" w:styleId="Caracter0">
    <w:name w:val="Caracter"/>
    <w:basedOn w:val="Normal"/>
    <w:rsid w:val="00BD2D41"/>
    <w:rPr>
      <w:szCs w:val="20"/>
      <w:lang w:val="pl-PL" w:eastAsia="pl-PL"/>
    </w:rPr>
  </w:style>
  <w:style w:type="table" w:customStyle="1" w:styleId="MediumShading2-Accent51">
    <w:name w:val="Medium Shading 2 - Accent 51"/>
    <w:basedOn w:val="TableNormal"/>
    <w:next w:val="MediumShading2-Accent5"/>
    <w:rsid w:val="00BD2D41"/>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racterCaracter1CharChar1CaracterCharCharCaracterCaracter0">
    <w:name w:val="Caracter Caracter1 Char Char1 Caracter Char Char Caracter Caracter"/>
    <w:basedOn w:val="Normal"/>
    <w:rsid w:val="00BD2D41"/>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BD2D41"/>
    <w:rPr>
      <w:lang w:val="pl-PL" w:eastAsia="pl-PL"/>
    </w:rPr>
  </w:style>
  <w:style w:type="paragraph" w:customStyle="1" w:styleId="Caracter2CharChar0">
    <w:name w:val="Caracter2 Char Char"/>
    <w:basedOn w:val="Normal"/>
    <w:rsid w:val="00BD2D41"/>
    <w:rPr>
      <w:lang w:val="pl-PL" w:eastAsia="pl-PL"/>
    </w:rPr>
  </w:style>
  <w:style w:type="paragraph" w:customStyle="1" w:styleId="Caracter21">
    <w:name w:val="Caracter2"/>
    <w:basedOn w:val="Normal"/>
    <w:rsid w:val="00BD2D41"/>
    <w:rPr>
      <w:lang w:val="pl-PL" w:eastAsia="pl-PL"/>
    </w:rPr>
  </w:style>
  <w:style w:type="character" w:customStyle="1" w:styleId="CharChar80">
    <w:name w:val="Char Char8"/>
    <w:semiHidden/>
    <w:locked/>
    <w:rsid w:val="00BD2D41"/>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BD2D41"/>
    <w:rPr>
      <w:lang w:val="pl-PL" w:eastAsia="pl-PL"/>
    </w:rPr>
  </w:style>
  <w:style w:type="paragraph" w:customStyle="1" w:styleId="CharChar2CaracterCharCharCaracter0">
    <w:name w:val="Char Char2 Caracter Char Char Caracter"/>
    <w:basedOn w:val="Normal"/>
    <w:rsid w:val="00BD2D41"/>
    <w:rPr>
      <w:lang w:val="pl-PL" w:eastAsia="pl-PL"/>
    </w:rPr>
  </w:style>
  <w:style w:type="paragraph" w:customStyle="1" w:styleId="CaracterCaracter2CharCharCaracterCharChar10">
    <w:name w:val="Caracter Caracter2 Char Char Caracter Char Char1"/>
    <w:basedOn w:val="Normal"/>
    <w:rsid w:val="00BD2D41"/>
    <w:rPr>
      <w:lang w:val="pl-PL" w:eastAsia="pl-PL"/>
    </w:rPr>
  </w:style>
  <w:style w:type="character" w:customStyle="1" w:styleId="Heading50">
    <w:name w:val="Heading #5_"/>
    <w:link w:val="Heading51"/>
    <w:rsid w:val="00BD2D41"/>
    <w:rPr>
      <w:rFonts w:ascii="Trebuchet MS" w:eastAsia="Trebuchet MS" w:hAnsi="Trebuchet MS" w:cs="Trebuchet MS"/>
      <w:b/>
      <w:bCs/>
      <w:shd w:val="clear" w:color="auto" w:fill="FFFFFF"/>
    </w:rPr>
  </w:style>
  <w:style w:type="paragraph" w:customStyle="1" w:styleId="Heading51">
    <w:name w:val="Heading #5"/>
    <w:basedOn w:val="Normal"/>
    <w:link w:val="Heading50"/>
    <w:rsid w:val="00BD2D41"/>
    <w:pPr>
      <w:widowControl w:val="0"/>
      <w:shd w:val="clear" w:color="auto" w:fill="FFFFFF"/>
      <w:spacing w:before="240" w:after="420" w:line="0" w:lineRule="atLeast"/>
      <w:jc w:val="both"/>
      <w:outlineLvl w:val="4"/>
    </w:pPr>
    <w:rPr>
      <w:rFonts w:ascii="Trebuchet MS" w:eastAsia="Trebuchet MS" w:hAnsi="Trebuchet MS" w:cs="Trebuchet MS"/>
      <w:b/>
      <w:bCs/>
      <w:sz w:val="20"/>
      <w:szCs w:val="20"/>
      <w:lang w:val="ro-RO" w:eastAsia="ro-RO"/>
    </w:rPr>
  </w:style>
  <w:style w:type="character" w:customStyle="1" w:styleId="Headerorfooter4">
    <w:name w:val="Header or footer (4)_"/>
    <w:link w:val="Headerorfooter40"/>
    <w:rsid w:val="00BD2D41"/>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BD2D41"/>
    <w:pPr>
      <w:widowControl w:val="0"/>
      <w:shd w:val="clear" w:color="auto" w:fill="FFFFFF"/>
      <w:spacing w:line="0" w:lineRule="atLeast"/>
    </w:pPr>
    <w:rPr>
      <w:rFonts w:ascii="Trebuchet MS" w:eastAsia="Trebuchet MS" w:hAnsi="Trebuchet MS" w:cs="Trebuchet MS"/>
      <w:sz w:val="20"/>
      <w:szCs w:val="20"/>
      <w:lang w:val="ro-RO" w:eastAsia="ro-RO"/>
    </w:rPr>
  </w:style>
  <w:style w:type="character" w:customStyle="1" w:styleId="NoSpacingChar1">
    <w:name w:val="No Spacing Char1"/>
    <w:uiPriority w:val="99"/>
    <w:locked/>
    <w:rsid w:val="00BD2D41"/>
    <w:rPr>
      <w:rFonts w:ascii="Arial" w:eastAsia="Times New Roman" w:hAnsi="Arial" w:cs="Arial"/>
      <w:sz w:val="20"/>
      <w:szCs w:val="20"/>
      <w:lang w:val="ro-RO" w:eastAsia="ro-RO"/>
    </w:rPr>
  </w:style>
  <w:style w:type="character" w:customStyle="1" w:styleId="Heading3Char">
    <w:name w:val="Heading 3 Char"/>
    <w:link w:val="Heading3"/>
    <w:rsid w:val="00BD2D41"/>
    <w:rPr>
      <w:b/>
      <w:bCs/>
      <w:sz w:val="27"/>
      <w:szCs w:val="27"/>
      <w:lang w:val="en-US" w:eastAsia="en-US"/>
    </w:rPr>
  </w:style>
  <w:style w:type="character" w:customStyle="1" w:styleId="PlainTextChar">
    <w:name w:val="Plain Text Char"/>
    <w:link w:val="PlainText"/>
    <w:uiPriority w:val="99"/>
    <w:rsid w:val="00BD2D41"/>
    <w:rPr>
      <w:rFonts w:ascii="Consolas" w:eastAsia="MS Mincho" w:hAnsi="Consolas"/>
      <w:sz w:val="21"/>
      <w:szCs w:val="21"/>
      <w:lang w:val="en-US" w:eastAsia="en-US"/>
    </w:rPr>
  </w:style>
  <w:style w:type="character" w:customStyle="1" w:styleId="StyleTahoma">
    <w:name w:val="Style Tahoma"/>
    <w:semiHidden/>
    <w:rsid w:val="00BD2D41"/>
    <w:rPr>
      <w:rFonts w:ascii="Tahoma" w:hAnsi="Tahoma"/>
      <w:sz w:val="24"/>
    </w:rPr>
  </w:style>
  <w:style w:type="character" w:customStyle="1" w:styleId="gri1">
    <w:name w:val="gri1"/>
    <w:rsid w:val="00BD2D41"/>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BD2D41"/>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BD2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BD2D41"/>
    <w:rPr>
      <w:rFonts w:ascii="Courier New" w:hAnsi="Courier New"/>
      <w:color w:val="000000"/>
    </w:rPr>
  </w:style>
  <w:style w:type="character" w:customStyle="1" w:styleId="ListParagraphChar1">
    <w:name w:val="List Paragraph Char1"/>
    <w:aliases w:val="Antes de enumeración Char"/>
    <w:uiPriority w:val="99"/>
    <w:rsid w:val="00BD2D41"/>
    <w:rPr>
      <w:rFonts w:ascii="Times New Roman" w:eastAsia="Times New Roman" w:hAnsi="Times New Roman" w:cs="Times New Roman"/>
      <w:sz w:val="24"/>
      <w:szCs w:val="24"/>
      <w:lang w:val="ro-RO"/>
    </w:rPr>
  </w:style>
  <w:style w:type="character" w:customStyle="1" w:styleId="FontStyle208">
    <w:name w:val="Font Style208"/>
    <w:rsid w:val="00BD2D41"/>
    <w:rPr>
      <w:rFonts w:ascii="Times New Roman" w:hAnsi="Times New Roman" w:cs="Times New Roman"/>
      <w:sz w:val="16"/>
      <w:szCs w:val="16"/>
    </w:rPr>
  </w:style>
  <w:style w:type="character" w:customStyle="1" w:styleId="Heading4Char">
    <w:name w:val="Heading 4 Char"/>
    <w:link w:val="Heading4"/>
    <w:rsid w:val="00BD2D41"/>
    <w:rPr>
      <w:b/>
      <w:bCs/>
      <w:sz w:val="24"/>
      <w:lang w:val="en-GB" w:eastAsia="en-US"/>
    </w:rPr>
  </w:style>
  <w:style w:type="character" w:customStyle="1" w:styleId="Heading5Char">
    <w:name w:val="Heading 5 Char"/>
    <w:link w:val="Heading5"/>
    <w:rsid w:val="00BD2D41"/>
    <w:rPr>
      <w:b/>
      <w:bCs/>
      <w:sz w:val="28"/>
      <w:szCs w:val="24"/>
      <w:lang w:val="en-US" w:eastAsia="en-US"/>
    </w:rPr>
  </w:style>
  <w:style w:type="character" w:customStyle="1" w:styleId="Heading6Char">
    <w:name w:val="Heading 6 Char"/>
    <w:link w:val="Heading6"/>
    <w:rsid w:val="00BD2D41"/>
    <w:rPr>
      <w:rFonts w:ascii="TimesRomanR" w:hAnsi="TimesRomanR"/>
      <w:b/>
      <w:bCs/>
      <w:sz w:val="24"/>
      <w:lang w:val="en-US" w:eastAsia="en-US"/>
    </w:rPr>
  </w:style>
  <w:style w:type="character" w:customStyle="1" w:styleId="Heading8Char">
    <w:name w:val="Heading 8 Char"/>
    <w:link w:val="Heading8"/>
    <w:rsid w:val="00BD2D41"/>
    <w:rPr>
      <w:i/>
      <w:iCs/>
      <w:sz w:val="24"/>
      <w:szCs w:val="24"/>
      <w:lang w:val="en-US" w:eastAsia="en-US"/>
    </w:rPr>
  </w:style>
  <w:style w:type="character" w:customStyle="1" w:styleId="BodyText3Char">
    <w:name w:val="Body Text 3 Char"/>
    <w:link w:val="BodyText3"/>
    <w:rsid w:val="00BD2D41"/>
    <w:rPr>
      <w:sz w:val="28"/>
      <w:lang w:val="en-GB" w:eastAsia="en-US"/>
    </w:rPr>
  </w:style>
  <w:style w:type="paragraph" w:customStyle="1" w:styleId="NoteHead">
    <w:name w:val="NoteHead"/>
    <w:basedOn w:val="Normal"/>
    <w:next w:val="Normal"/>
    <w:rsid w:val="00BD2D41"/>
    <w:pPr>
      <w:spacing w:before="720" w:after="720"/>
      <w:jc w:val="center"/>
    </w:pPr>
    <w:rPr>
      <w:b/>
      <w:smallCaps/>
      <w:szCs w:val="20"/>
      <w:lang w:val="en-GB" w:eastAsia="en-GB"/>
    </w:rPr>
  </w:style>
  <w:style w:type="character" w:customStyle="1" w:styleId="ar1">
    <w:name w:val="ar1"/>
    <w:rsid w:val="00BD2D41"/>
    <w:rPr>
      <w:b/>
      <w:bCs/>
      <w:color w:val="0000AF"/>
      <w:sz w:val="22"/>
      <w:szCs w:val="22"/>
    </w:rPr>
  </w:style>
  <w:style w:type="character" w:customStyle="1" w:styleId="pt1">
    <w:name w:val="pt1"/>
    <w:rsid w:val="00BD2D41"/>
    <w:rPr>
      <w:b/>
      <w:bCs/>
      <w:color w:val="8F0000"/>
    </w:rPr>
  </w:style>
  <w:style w:type="character" w:customStyle="1" w:styleId="tpt1">
    <w:name w:val="tpt1"/>
    <w:rsid w:val="00BD2D41"/>
  </w:style>
  <w:style w:type="paragraph" w:customStyle="1" w:styleId="CaracterCaracter1CharCharCaracter">
    <w:name w:val="Caracter Caracter1 Char Char Caracter"/>
    <w:basedOn w:val="Normal"/>
    <w:rsid w:val="00BD2D41"/>
    <w:rPr>
      <w:lang w:val="pl-PL" w:eastAsia="pl-PL"/>
    </w:rPr>
  </w:style>
  <w:style w:type="character" w:customStyle="1" w:styleId="TitleChar">
    <w:name w:val="Title Char"/>
    <w:link w:val="Title"/>
    <w:rsid w:val="00BD2D41"/>
    <w:rPr>
      <w:sz w:val="36"/>
      <w:lang w:eastAsia="en-US"/>
    </w:rPr>
  </w:style>
  <w:style w:type="paragraph" w:styleId="TOC3">
    <w:name w:val="toc 3"/>
    <w:basedOn w:val="Normal"/>
    <w:next w:val="Normal"/>
    <w:autoRedefine/>
    <w:uiPriority w:val="39"/>
    <w:unhideWhenUsed/>
    <w:rsid w:val="00BD2D41"/>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BD2D41"/>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BD2D41"/>
  </w:style>
  <w:style w:type="character" w:customStyle="1" w:styleId="tax1">
    <w:name w:val="tax1"/>
    <w:rsid w:val="00BD2D41"/>
    <w:rPr>
      <w:b/>
      <w:bCs/>
      <w:sz w:val="26"/>
      <w:szCs w:val="26"/>
    </w:rPr>
  </w:style>
  <w:style w:type="paragraph" w:customStyle="1" w:styleId="Frspaiere2">
    <w:name w:val="Fără spațiere2"/>
    <w:qFormat/>
    <w:rsid w:val="00BD2D41"/>
    <w:rPr>
      <w:rFonts w:ascii="Calibri" w:eastAsia="Calibri" w:hAnsi="Calibri" w:cs="Calibri"/>
      <w:sz w:val="22"/>
      <w:szCs w:val="22"/>
      <w:lang w:val="en-US" w:eastAsia="en-US"/>
    </w:rPr>
  </w:style>
  <w:style w:type="paragraph" w:customStyle="1" w:styleId="Frspaiere3">
    <w:name w:val="Fără spațiere3"/>
    <w:qFormat/>
    <w:rsid w:val="00BD2D41"/>
    <w:pPr>
      <w:jc w:val="both"/>
    </w:pPr>
    <w:rPr>
      <w:sz w:val="24"/>
      <w:szCs w:val="24"/>
      <w:lang w:val="en-GB" w:eastAsia="en-US"/>
    </w:rPr>
  </w:style>
  <w:style w:type="character" w:customStyle="1" w:styleId="ln2alineat">
    <w:name w:val="ln2alineat"/>
    <w:rsid w:val="00BD2D41"/>
  </w:style>
  <w:style w:type="character" w:customStyle="1" w:styleId="ln2talineat">
    <w:name w:val="ln2talineat"/>
    <w:rsid w:val="00BD2D41"/>
  </w:style>
  <w:style w:type="character" w:customStyle="1" w:styleId="SubtitleChar">
    <w:name w:val="Subtitle Char"/>
    <w:link w:val="Subtitle"/>
    <w:rsid w:val="00BD2D41"/>
    <w:rPr>
      <w:sz w:val="36"/>
      <w:szCs w:val="36"/>
      <w:lang w:eastAsia="zh-CN"/>
    </w:rPr>
  </w:style>
  <w:style w:type="character" w:customStyle="1" w:styleId="BodyTextIndent3Char">
    <w:name w:val="Body Text Indent 3 Char"/>
    <w:link w:val="BodyTextIndent3"/>
    <w:rsid w:val="00BD2D41"/>
    <w:rPr>
      <w:sz w:val="16"/>
      <w:szCs w:val="16"/>
      <w:lang w:val="en-US"/>
    </w:rPr>
  </w:style>
  <w:style w:type="character" w:customStyle="1" w:styleId="BodyTextIndentChar">
    <w:name w:val="Body Text Indent Char"/>
    <w:link w:val="BodyTextIndent"/>
    <w:rsid w:val="00BD2D41"/>
    <w:rPr>
      <w:sz w:val="24"/>
      <w:szCs w:val="24"/>
      <w:lang w:val="en-US" w:eastAsia="en-US"/>
    </w:rPr>
  </w:style>
  <w:style w:type="paragraph" w:styleId="TOC4">
    <w:name w:val="toc 4"/>
    <w:basedOn w:val="Normal"/>
    <w:next w:val="Normal"/>
    <w:autoRedefine/>
    <w:uiPriority w:val="39"/>
    <w:unhideWhenUsed/>
    <w:rsid w:val="00BD2D41"/>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BD2D41"/>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BD2D41"/>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BD2D41"/>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BD2D41"/>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BD2D41"/>
    <w:pPr>
      <w:spacing w:line="276" w:lineRule="auto"/>
      <w:ind w:left="1540"/>
    </w:pPr>
    <w:rPr>
      <w:rFonts w:ascii="Calibri" w:eastAsia="Perpetua" w:hAnsi="Calibri"/>
      <w:color w:val="000000"/>
      <w:sz w:val="20"/>
      <w:szCs w:val="20"/>
    </w:rPr>
  </w:style>
  <w:style w:type="character" w:customStyle="1" w:styleId="Stil1">
    <w:name w:val="Stil1"/>
    <w:uiPriority w:val="1"/>
    <w:qFormat/>
    <w:rsid w:val="00BD2D41"/>
  </w:style>
  <w:style w:type="paragraph" w:customStyle="1" w:styleId="CaracterCaracter4CharCharCaracterCaracter1CharChar">
    <w:name w:val="Caracter Caracter4 Char Char Caracter Caracter1 Char Char"/>
    <w:basedOn w:val="Normal"/>
    <w:rsid w:val="00BD2D41"/>
    <w:rPr>
      <w:lang w:val="pl-PL" w:eastAsia="pl-PL"/>
    </w:rPr>
  </w:style>
  <w:style w:type="character" w:customStyle="1" w:styleId="Style12ptBoldCustomColorRGB84141212">
    <w:name w:val="Style 12 pt Bold Custom Color(RGB(84141212))"/>
    <w:rsid w:val="00BD2D41"/>
    <w:rPr>
      <w:rFonts w:cs="Times New Roman"/>
      <w:b/>
      <w:color w:val="auto"/>
      <w:sz w:val="24"/>
    </w:rPr>
  </w:style>
  <w:style w:type="paragraph" w:customStyle="1" w:styleId="albastru">
    <w:name w:val="albastru"/>
    <w:basedOn w:val="Normal"/>
    <w:rsid w:val="00BD2D41"/>
    <w:pPr>
      <w:spacing w:before="100" w:beforeAutospacing="1" w:after="100" w:afterAutospacing="1"/>
    </w:pPr>
  </w:style>
  <w:style w:type="character" w:customStyle="1" w:styleId="highlightterm">
    <w:name w:val="highlight_term"/>
    <w:rsid w:val="00BD2D41"/>
  </w:style>
  <w:style w:type="character" w:customStyle="1" w:styleId="st">
    <w:name w:val="st"/>
    <w:rsid w:val="00BD2D41"/>
  </w:style>
  <w:style w:type="character" w:customStyle="1" w:styleId="li1">
    <w:name w:val="li1"/>
    <w:rsid w:val="00BD2D41"/>
    <w:rPr>
      <w:b/>
      <w:bCs/>
      <w:color w:val="8F0000"/>
    </w:rPr>
  </w:style>
  <w:style w:type="character" w:customStyle="1" w:styleId="lia1">
    <w:name w:val="li_a1"/>
    <w:rsid w:val="00BD2D41"/>
    <w:rPr>
      <w:b/>
      <w:bCs/>
      <w:strike/>
      <w:color w:val="DC143C"/>
    </w:rPr>
  </w:style>
  <w:style w:type="character" w:customStyle="1" w:styleId="tlia1">
    <w:name w:val="tli_a1"/>
    <w:rsid w:val="00BD2D41"/>
    <w:rPr>
      <w:strike/>
      <w:color w:val="DC143C"/>
    </w:rPr>
  </w:style>
  <w:style w:type="paragraph" w:customStyle="1" w:styleId="Frspaiere4">
    <w:name w:val="Fără spațiere4"/>
    <w:uiPriority w:val="1"/>
    <w:qFormat/>
    <w:rsid w:val="00BD2D41"/>
    <w:rPr>
      <w:rFonts w:ascii="Calibri" w:eastAsia="Calibri" w:hAnsi="Calibri"/>
      <w:sz w:val="22"/>
      <w:szCs w:val="22"/>
      <w:lang w:eastAsia="en-US"/>
    </w:rPr>
  </w:style>
  <w:style w:type="paragraph" w:customStyle="1" w:styleId="Style13">
    <w:name w:val="Style13"/>
    <w:basedOn w:val="Normal"/>
    <w:rsid w:val="00BD2D41"/>
    <w:pPr>
      <w:widowControl w:val="0"/>
      <w:autoSpaceDE w:val="0"/>
      <w:autoSpaceDN w:val="0"/>
      <w:adjustRightInd w:val="0"/>
    </w:pPr>
    <w:rPr>
      <w:rFonts w:eastAsia="MS Mincho"/>
      <w:lang w:eastAsia="ja-JP"/>
    </w:rPr>
  </w:style>
  <w:style w:type="paragraph" w:customStyle="1" w:styleId="Normaltableau">
    <w:name w:val="Normal tableau"/>
    <w:basedOn w:val="Normal"/>
    <w:rsid w:val="00BD2D41"/>
    <w:rPr>
      <w:rFonts w:ascii="Arial" w:hAnsi="Arial" w:cs="Arial"/>
      <w:sz w:val="18"/>
      <w:szCs w:val="20"/>
      <w:lang w:val="fr-FR" w:eastAsia="fr-FR"/>
    </w:rPr>
  </w:style>
  <w:style w:type="paragraph" w:customStyle="1" w:styleId="Style47">
    <w:name w:val="Style47"/>
    <w:basedOn w:val="Normal"/>
    <w:rsid w:val="00BD2D41"/>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BD2D41"/>
    <w:rPr>
      <w:rFonts w:ascii="Calibri" w:eastAsia="Calibri" w:hAnsi="Calibri" w:cs="Calibri"/>
      <w:sz w:val="22"/>
      <w:szCs w:val="22"/>
      <w:lang w:eastAsia="en-US"/>
    </w:rPr>
  </w:style>
  <w:style w:type="paragraph" w:customStyle="1" w:styleId="ZDGName">
    <w:name w:val="Z_DGName"/>
    <w:basedOn w:val="Normal"/>
    <w:rsid w:val="00BD2D41"/>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BD2D41"/>
    <w:pPr>
      <w:widowControl w:val="0"/>
      <w:autoSpaceDE w:val="0"/>
      <w:autoSpaceDN w:val="0"/>
      <w:ind w:right="85"/>
      <w:jc w:val="both"/>
    </w:pPr>
    <w:rPr>
      <w:rFonts w:ascii="Arial" w:hAnsi="Arial" w:cs="Arial"/>
      <w:lang w:val="ro-RO" w:eastAsia="en-GB"/>
    </w:rPr>
  </w:style>
  <w:style w:type="character" w:customStyle="1" w:styleId="rvts8">
    <w:name w:val="rvts8"/>
    <w:rsid w:val="00BD2D41"/>
    <w:rPr>
      <w:rFonts w:ascii="Times New Roman" w:hAnsi="Times New Roman" w:cs="Times New Roman" w:hint="default"/>
      <w:b/>
      <w:bCs/>
      <w:sz w:val="24"/>
      <w:szCs w:val="24"/>
    </w:rPr>
  </w:style>
  <w:style w:type="character" w:customStyle="1" w:styleId="albastru6">
    <w:name w:val="albastru6"/>
    <w:rsid w:val="00BD2D41"/>
    <w:rPr>
      <w:rFonts w:ascii="Verdana" w:hAnsi="Verdana" w:hint="default"/>
      <w:b/>
      <w:bCs/>
      <w:strike w:val="0"/>
      <w:dstrike w:val="0"/>
      <w:color w:val="133984"/>
      <w:sz w:val="20"/>
      <w:szCs w:val="20"/>
      <w:u w:val="none"/>
      <w:effect w:val="none"/>
    </w:rPr>
  </w:style>
  <w:style w:type="paragraph" w:customStyle="1" w:styleId="Frspaiere5">
    <w:name w:val="Fără spațiere5"/>
    <w:qFormat/>
    <w:rsid w:val="00BD2D41"/>
    <w:rPr>
      <w:rFonts w:ascii="Calibri" w:eastAsia="Calibri" w:hAnsi="Calibri"/>
      <w:sz w:val="22"/>
      <w:szCs w:val="22"/>
      <w:lang w:eastAsia="en-US"/>
    </w:rPr>
  </w:style>
  <w:style w:type="paragraph" w:customStyle="1" w:styleId="CaracterCaracter1CharCharCaracterCaracter1Caracter">
    <w:name w:val="Caracter Caracter1 Char Char Caracter Caracter1 Caracter"/>
    <w:basedOn w:val="Normal"/>
    <w:rsid w:val="00BD2D41"/>
    <w:rPr>
      <w:rFonts w:ascii="Arial" w:hAnsi="Arial" w:cs="Arial"/>
      <w:sz w:val="20"/>
      <w:szCs w:val="20"/>
      <w:lang w:val="pl-PL" w:eastAsia="pl-PL"/>
    </w:rPr>
  </w:style>
  <w:style w:type="paragraph" w:customStyle="1" w:styleId="ListParagraph1">
    <w:name w:val="List Paragraph1"/>
    <w:aliases w:val="Normal bullet 2"/>
    <w:basedOn w:val="Normal"/>
    <w:qFormat/>
    <w:rsid w:val="00BD2D41"/>
    <w:pPr>
      <w:spacing w:after="200" w:line="276" w:lineRule="auto"/>
      <w:ind w:left="720"/>
    </w:pPr>
    <w:rPr>
      <w:rFonts w:ascii="Calibri" w:hAnsi="Calibri" w:cs="Calibri"/>
      <w:sz w:val="22"/>
      <w:szCs w:val="22"/>
    </w:rPr>
  </w:style>
  <w:style w:type="character" w:customStyle="1" w:styleId="al1">
    <w:name w:val="al1"/>
    <w:rsid w:val="00BD2D41"/>
    <w:rPr>
      <w:b/>
      <w:bCs/>
      <w:color w:val="008F00"/>
    </w:rPr>
  </w:style>
  <w:style w:type="paragraph" w:customStyle="1" w:styleId="Style8">
    <w:name w:val="Style8"/>
    <w:basedOn w:val="Normal"/>
    <w:rsid w:val="00BD2D41"/>
    <w:pPr>
      <w:widowControl w:val="0"/>
      <w:autoSpaceDE w:val="0"/>
      <w:autoSpaceDN w:val="0"/>
      <w:adjustRightInd w:val="0"/>
      <w:spacing w:line="274" w:lineRule="exact"/>
      <w:jc w:val="center"/>
    </w:pPr>
    <w:rPr>
      <w:lang w:val="ro-RO" w:eastAsia="ro-RO"/>
    </w:rPr>
  </w:style>
  <w:style w:type="character" w:customStyle="1" w:styleId="FontStyle55">
    <w:name w:val="Font Style55"/>
    <w:rsid w:val="00BD2D41"/>
    <w:rPr>
      <w:rFonts w:ascii="Times New Roman" w:hAnsi="Times New Roman" w:cs="Times New Roman" w:hint="default"/>
      <w:b/>
      <w:bCs/>
      <w:sz w:val="20"/>
      <w:szCs w:val="20"/>
    </w:rPr>
  </w:style>
  <w:style w:type="paragraph" w:customStyle="1" w:styleId="Listparagraf3">
    <w:name w:val="Listă paragraf3"/>
    <w:basedOn w:val="Normal"/>
    <w:qFormat/>
    <w:rsid w:val="00BD2D41"/>
    <w:pPr>
      <w:spacing w:after="200" w:line="276" w:lineRule="auto"/>
      <w:ind w:left="720"/>
      <w:contextualSpacing/>
    </w:pPr>
    <w:rPr>
      <w:rFonts w:ascii="Calibri" w:eastAsia="Calibri" w:hAnsi="Calibri"/>
      <w:sz w:val="22"/>
      <w:szCs w:val="22"/>
      <w:lang w:val="ro-RO"/>
    </w:rPr>
  </w:style>
  <w:style w:type="character" w:customStyle="1" w:styleId="do">
    <w:name w:val="do"/>
    <w:rsid w:val="00BD2D41"/>
  </w:style>
  <w:style w:type="character" w:customStyle="1" w:styleId="rvts16">
    <w:name w:val="rvts16"/>
    <w:rsid w:val="00BD2D41"/>
  </w:style>
  <w:style w:type="paragraph" w:customStyle="1" w:styleId="NormalBulletSquare">
    <w:name w:val="Normal Bullet Square"/>
    <w:basedOn w:val="Normal"/>
    <w:uiPriority w:val="99"/>
    <w:rsid w:val="00BD2D41"/>
    <w:pPr>
      <w:numPr>
        <w:numId w:val="12"/>
      </w:numPr>
      <w:spacing w:after="120"/>
      <w:jc w:val="both"/>
    </w:pPr>
    <w:rPr>
      <w:rFonts w:ascii="Calibri" w:eastAsia="Calibri" w:hAnsi="Calibri" w:cs="Calibri"/>
      <w:color w:val="253959"/>
      <w:sz w:val="22"/>
      <w:szCs w:val="22"/>
      <w:lang w:val="ro-RO"/>
    </w:rPr>
  </w:style>
  <w:style w:type="character" w:customStyle="1" w:styleId="rvts13">
    <w:name w:val="rvts13"/>
    <w:rsid w:val="00BD2D41"/>
  </w:style>
  <w:style w:type="paragraph" w:customStyle="1" w:styleId="yiv1944280112msonormal">
    <w:name w:val="yiv1944280112msonormal"/>
    <w:basedOn w:val="Normal"/>
    <w:rsid w:val="00BD2D41"/>
    <w:pPr>
      <w:spacing w:before="100" w:beforeAutospacing="1" w:after="100" w:afterAutospacing="1"/>
    </w:pPr>
  </w:style>
  <w:style w:type="paragraph" w:customStyle="1" w:styleId="Frspaiere6">
    <w:name w:val="Fără spațiere6"/>
    <w:uiPriority w:val="1"/>
    <w:qFormat/>
    <w:rsid w:val="00BD2D41"/>
    <w:rPr>
      <w:sz w:val="28"/>
      <w:szCs w:val="24"/>
      <w:lang w:eastAsia="en-US"/>
    </w:rPr>
  </w:style>
  <w:style w:type="character" w:customStyle="1" w:styleId="ca1">
    <w:name w:val="ca1"/>
    <w:rsid w:val="00BD2D41"/>
    <w:rPr>
      <w:b/>
      <w:bCs/>
      <w:color w:val="005F00"/>
      <w:sz w:val="24"/>
      <w:szCs w:val="24"/>
    </w:rPr>
  </w:style>
  <w:style w:type="character" w:customStyle="1" w:styleId="CaracterCaracter1Char">
    <w:name w:val="Caracter Caracter1 Char"/>
    <w:rsid w:val="00BD2D41"/>
    <w:rPr>
      <w:sz w:val="24"/>
      <w:szCs w:val="24"/>
      <w:lang w:val="pl-PL" w:eastAsia="pl-PL" w:bidi="ar-SA"/>
    </w:rPr>
  </w:style>
  <w:style w:type="paragraph" w:customStyle="1" w:styleId="Listparagraf4">
    <w:name w:val="Listă paragraf4"/>
    <w:basedOn w:val="Normal"/>
    <w:uiPriority w:val="99"/>
    <w:qFormat/>
    <w:rsid w:val="00BD2D41"/>
    <w:pPr>
      <w:spacing w:after="200" w:line="276" w:lineRule="auto"/>
      <w:ind w:left="720"/>
      <w:contextualSpacing/>
    </w:pPr>
    <w:rPr>
      <w:rFonts w:ascii="Calibri" w:eastAsia="Calibri" w:hAnsi="Calibri"/>
      <w:sz w:val="22"/>
      <w:szCs w:val="22"/>
      <w:lang w:val="ro-RO"/>
    </w:rPr>
  </w:style>
  <w:style w:type="character" w:customStyle="1" w:styleId="rvts10">
    <w:name w:val="rvts10"/>
    <w:rsid w:val="00BD2D41"/>
  </w:style>
  <w:style w:type="paragraph" w:customStyle="1" w:styleId="CaracterCaracter1CharCharCaracterCharCharCaracterCharCharCaracter">
    <w:name w:val="Caracter Caracter1 Char Char Caracter Char Char Caracter Char Char Caracter"/>
    <w:basedOn w:val="Normal"/>
    <w:rsid w:val="00BD2D41"/>
    <w:rPr>
      <w:lang w:val="pl-PL" w:eastAsia="pl-PL"/>
    </w:rPr>
  </w:style>
  <w:style w:type="paragraph" w:customStyle="1" w:styleId="MediumGrid21">
    <w:name w:val="Medium Grid 21"/>
    <w:uiPriority w:val="1"/>
    <w:qFormat/>
    <w:rsid w:val="00BD2D41"/>
    <w:rPr>
      <w:rFonts w:ascii="Trebuchet MS" w:eastAsia="MS Mincho" w:hAnsi="Trebuchet MS"/>
      <w:sz w:val="18"/>
      <w:szCs w:val="18"/>
      <w:lang w:val="en-US" w:eastAsia="en-US"/>
    </w:rPr>
  </w:style>
  <w:style w:type="character" w:customStyle="1" w:styleId="CommentTextChar">
    <w:name w:val="Comment Text Char"/>
    <w:link w:val="CommentText"/>
    <w:rsid w:val="00BD2D41"/>
    <w:rPr>
      <w:lang w:val="en-US" w:eastAsia="en-US"/>
    </w:rPr>
  </w:style>
  <w:style w:type="character" w:customStyle="1" w:styleId="CommentSubjectChar">
    <w:name w:val="Comment Subject Char"/>
    <w:link w:val="CommentSubject"/>
    <w:rsid w:val="00BD2D41"/>
    <w:rPr>
      <w:b/>
      <w:bCs/>
      <w:lang w:val="en-US" w:eastAsia="en-US"/>
    </w:rPr>
  </w:style>
  <w:style w:type="paragraph" w:customStyle="1" w:styleId="Titreobjet">
    <w:name w:val="Titre objet"/>
    <w:basedOn w:val="Normal"/>
    <w:next w:val="Normal"/>
    <w:rsid w:val="00BD2D41"/>
    <w:pPr>
      <w:spacing w:before="360" w:after="360"/>
      <w:jc w:val="center"/>
    </w:pPr>
    <w:rPr>
      <w:b/>
      <w:szCs w:val="20"/>
      <w:lang w:val="en-GB" w:eastAsia="ro-RO"/>
    </w:rPr>
  </w:style>
  <w:style w:type="character" w:customStyle="1" w:styleId="CaracterCaracter5">
    <w:name w:val="Caracter Caracter5"/>
    <w:rsid w:val="00BD2D41"/>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BD2D41"/>
    <w:rPr>
      <w:sz w:val="20"/>
      <w:szCs w:val="20"/>
      <w:lang w:bidi="en-US"/>
    </w:rPr>
  </w:style>
  <w:style w:type="paragraph" w:customStyle="1" w:styleId="NormalCentered">
    <w:name w:val="Normal Centered"/>
    <w:basedOn w:val="Normal"/>
    <w:rsid w:val="00BD2D41"/>
    <w:pPr>
      <w:spacing w:before="120" w:after="120"/>
      <w:jc w:val="center"/>
    </w:pPr>
    <w:rPr>
      <w:szCs w:val="20"/>
      <w:lang w:val="en-GB"/>
    </w:rPr>
  </w:style>
  <w:style w:type="paragraph" w:customStyle="1" w:styleId="Subtitlu3">
    <w:name w:val="Subtitlu3"/>
    <w:basedOn w:val="Normal"/>
    <w:link w:val="SubtitluChar1"/>
    <w:rsid w:val="00BD2D41"/>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BD2D41"/>
    <w:rPr>
      <w:rFonts w:ascii="Arial" w:eastAsia="Calibri" w:hAnsi="Arial" w:cs="Arial"/>
      <w:b/>
      <w:i/>
      <w:color w:val="006600"/>
      <w:sz w:val="24"/>
      <w:szCs w:val="24"/>
      <w:lang w:eastAsia="en-US"/>
    </w:rPr>
  </w:style>
  <w:style w:type="paragraph" w:customStyle="1" w:styleId="doc-ti">
    <w:name w:val="doc-ti"/>
    <w:basedOn w:val="Normal"/>
    <w:rsid w:val="00BD2D41"/>
    <w:pPr>
      <w:spacing w:before="100" w:beforeAutospacing="1" w:after="100" w:afterAutospacing="1"/>
    </w:pPr>
  </w:style>
  <w:style w:type="character" w:styleId="HTMLTypewriter">
    <w:name w:val="HTML Typewriter"/>
    <w:basedOn w:val="DefaultParagraphFont"/>
    <w:uiPriority w:val="99"/>
    <w:unhideWhenUsed/>
    <w:rsid w:val="00FD5064"/>
    <w:rPr>
      <w:rFonts w:ascii="Courier New" w:eastAsia="Calibri" w:hAnsi="Courier New" w:cs="Courier New" w:hint="default"/>
      <w:sz w:val="20"/>
      <w:szCs w:val="20"/>
    </w:rPr>
  </w:style>
  <w:style w:type="character" w:customStyle="1" w:styleId="tal">
    <w:name w:val="tal"/>
    <w:rsid w:val="00FD5064"/>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FD5064"/>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CC6C94"/>
  </w:style>
  <w:style w:type="table" w:customStyle="1" w:styleId="TableGrid6">
    <w:name w:val="Table Grid6"/>
    <w:basedOn w:val="TableNormal"/>
    <w:next w:val="TableGrid"/>
    <w:uiPriority w:val="59"/>
    <w:rsid w:val="00CC6C9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rsid w:val="00CC6C94"/>
    <w:rPr>
      <w:lang w:val="en-US" w:eastAsia="en-US"/>
    </w:rPr>
  </w:style>
  <w:style w:type="paragraph" w:customStyle="1" w:styleId="Caracter2CharCharCaracterCharCharCaracterCharCharCaracterCharChar1">
    <w:name w:val="Caracter2 Char Char Caracter Char Char Caracter Char Char Caracter Char Char"/>
    <w:basedOn w:val="Normal"/>
    <w:rsid w:val="0030014C"/>
    <w:rPr>
      <w:lang w:val="pl-PL" w:eastAsia="pl-PL"/>
    </w:rPr>
  </w:style>
  <w:style w:type="paragraph" w:customStyle="1" w:styleId="Caracter2CharCharCaracterCharCharCaracterCharCharCaracterCharChar2">
    <w:name w:val="Caracter2 Char Char Caracter Char Char Caracter Char Char Caracter Char Char"/>
    <w:basedOn w:val="Normal"/>
    <w:rsid w:val="00D03B49"/>
    <w:rPr>
      <w:lang w:val="pl-PL" w:eastAsia="pl-PL"/>
    </w:rPr>
  </w:style>
  <w:style w:type="paragraph" w:customStyle="1" w:styleId="defaulttext0">
    <w:name w:val="default text"/>
    <w:basedOn w:val="Normal"/>
    <w:rsid w:val="0002401E"/>
    <w:rPr>
      <w:rFonts w:ascii="Arial" w:hAnsi="Arial" w:cs="Arial"/>
      <w:kern w:val="1"/>
      <w:lang w:eastAsia="zh-CN"/>
    </w:rPr>
  </w:style>
  <w:style w:type="paragraph" w:customStyle="1" w:styleId="Caracter2CharCharCaracterCharCharCaracterCharCharCaracterCharChar3">
    <w:name w:val="Caracter2 Char Char Caracter Char Char Caracter Char Char Caracter Char Char"/>
    <w:basedOn w:val="Normal"/>
    <w:rsid w:val="000553D3"/>
    <w:rPr>
      <w:lang w:val="pl-PL" w:eastAsia="pl-PL"/>
    </w:rPr>
  </w:style>
  <w:style w:type="paragraph" w:customStyle="1" w:styleId="Caracter2CharCharCaracterCharCharCaracterCharCharCaracterCharChar4">
    <w:name w:val="Caracter2 Char Char Caracter Char Char Caracter Char Char Caracter Char Char"/>
    <w:basedOn w:val="Normal"/>
    <w:rsid w:val="00991374"/>
    <w:rPr>
      <w:lang w:val="pl-PL" w:eastAsia="pl-PL"/>
    </w:rPr>
  </w:style>
  <w:style w:type="paragraph" w:customStyle="1" w:styleId="CaracterCharCharCaracterCharCharCaracterCharChar1CaracterCaracterCharCharCaracter">
    <w:name w:val="Caracter Char Char Caracter Char Char Caracter Char Char1 Caracter Caracter Char Char Caracter"/>
    <w:basedOn w:val="Normal"/>
    <w:rsid w:val="00DC78F8"/>
    <w:rPr>
      <w:lang w:val="pl-PL"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rsid w:val="00DC78F8"/>
    <w:rPr>
      <w:lang w:val="pl-PL" w:eastAsia="pl-PL"/>
    </w:rPr>
  </w:style>
  <w:style w:type="paragraph" w:customStyle="1" w:styleId="CaracterCharCharCaracterCharCharCaracterCharChar2">
    <w:name w:val="Caracter Char Char Caracter Char Char Caracter Char Char"/>
    <w:basedOn w:val="Normal"/>
    <w:rsid w:val="00DC78F8"/>
    <w:rPr>
      <w:lang w:val="pl-PL"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rsid w:val="00DC78F8"/>
    <w:rPr>
      <w:lang w:val="pl-PL"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rsid w:val="00DC78F8"/>
    <w:pPr>
      <w:spacing w:after="160" w:line="240" w:lineRule="exact"/>
    </w:pPr>
    <w:rPr>
      <w:rFonts w:ascii="Tahoma" w:hAnsi="Tahoma"/>
      <w:sz w:val="20"/>
      <w:szCs w:val="20"/>
      <w:lang w:val="ro-RO"/>
    </w:rPr>
  </w:style>
  <w:style w:type="paragraph" w:customStyle="1" w:styleId="CaracterCaracter30">
    <w:name w:val="Caracter Caracter3"/>
    <w:basedOn w:val="Normal"/>
    <w:rsid w:val="00DC78F8"/>
    <w:pPr>
      <w:spacing w:after="160" w:line="240" w:lineRule="exact"/>
    </w:pPr>
    <w:rPr>
      <w:rFonts w:ascii="Tahoma" w:hAnsi="Tahoma"/>
      <w:sz w:val="20"/>
      <w:szCs w:val="20"/>
      <w:lang w:val="ro-RO"/>
    </w:rPr>
  </w:style>
  <w:style w:type="paragraph" w:customStyle="1" w:styleId="CaracterCaracter31">
    <w:name w:val="Caracter Caracter3"/>
    <w:basedOn w:val="Normal"/>
    <w:rsid w:val="00DC78F8"/>
    <w:pPr>
      <w:spacing w:after="160" w:line="240" w:lineRule="exact"/>
    </w:pPr>
    <w:rPr>
      <w:rFonts w:ascii="Tahoma" w:hAnsi="Tahoma"/>
      <w:sz w:val="20"/>
      <w:szCs w:val="20"/>
      <w:lang w:val="ro-RO"/>
    </w:rPr>
  </w:style>
  <w:style w:type="paragraph" w:customStyle="1" w:styleId="CaracterCharCharCaracterCharCharCaracterCharChar1CaracterCaracterCharCharCaracter0">
    <w:name w:val="Caracter Char Char Caracter Char Char Caracter Char Char1 Caracter Caracter Char Char Caracter"/>
    <w:basedOn w:val="Normal"/>
    <w:rsid w:val="00DC78F8"/>
    <w:rPr>
      <w:lang w:val="pl-PL" w:eastAsia="pl-PL"/>
    </w:rPr>
  </w:style>
  <w:style w:type="paragraph" w:customStyle="1" w:styleId="rvps1">
    <w:name w:val="rvps1"/>
    <w:basedOn w:val="Normal"/>
    <w:rsid w:val="00DC78F8"/>
    <w:pPr>
      <w:spacing w:before="100" w:beforeAutospacing="1" w:after="100" w:afterAutospacing="1"/>
    </w:pPr>
    <w:rPr>
      <w:lang w:val="ro-RO" w:eastAsia="ro-RO"/>
    </w:rPr>
  </w:style>
  <w:style w:type="character" w:customStyle="1" w:styleId="rvts1">
    <w:name w:val="rvts1"/>
    <w:rsid w:val="00DC78F8"/>
  </w:style>
  <w:style w:type="character" w:customStyle="1" w:styleId="rvts2">
    <w:name w:val="rvts2"/>
    <w:rsid w:val="00DC78F8"/>
  </w:style>
  <w:style w:type="character" w:customStyle="1" w:styleId="rvts4">
    <w:name w:val="rvts4"/>
    <w:rsid w:val="00DC78F8"/>
  </w:style>
  <w:style w:type="character" w:customStyle="1" w:styleId="rvts6">
    <w:name w:val="rvts6"/>
    <w:rsid w:val="00DC78F8"/>
  </w:style>
  <w:style w:type="character" w:customStyle="1" w:styleId="rvts7">
    <w:name w:val="rvts7"/>
    <w:rsid w:val="00DC78F8"/>
  </w:style>
  <w:style w:type="character" w:customStyle="1" w:styleId="rvts11">
    <w:name w:val="rvts11"/>
    <w:rsid w:val="00DC78F8"/>
  </w:style>
  <w:style w:type="character" w:customStyle="1" w:styleId="ln2tlinie">
    <w:name w:val="ln2tlinie"/>
    <w:rsid w:val="00DC78F8"/>
  </w:style>
  <w:style w:type="character" w:styleId="HTMLCite">
    <w:name w:val="HTML Cite"/>
    <w:uiPriority w:val="99"/>
    <w:unhideWhenUsed/>
    <w:rsid w:val="00DC78F8"/>
    <w:rPr>
      <w:i/>
      <w:iCs/>
    </w:rPr>
  </w:style>
  <w:style w:type="character" w:customStyle="1" w:styleId="SubtleEmphasis1">
    <w:name w:val="Subtle Emphasis1"/>
    <w:uiPriority w:val="19"/>
    <w:qFormat/>
    <w:rsid w:val="00DC78F8"/>
    <w:rPr>
      <w:color w:val="808080"/>
    </w:rPr>
  </w:style>
  <w:style w:type="character" w:customStyle="1" w:styleId="IntenseEmphasis1">
    <w:name w:val="Intense Emphasis1"/>
    <w:uiPriority w:val="21"/>
    <w:qFormat/>
    <w:rsid w:val="00DC78F8"/>
    <w:rPr>
      <w:b/>
      <w:bCs/>
      <w:i/>
      <w:iCs/>
      <w:color w:val="4F81BD"/>
    </w:rPr>
  </w:style>
  <w:style w:type="paragraph" w:customStyle="1" w:styleId="ColorfulGrid-Accent11">
    <w:name w:val="Colorful Grid - Accent 11"/>
    <w:basedOn w:val="Normal"/>
    <w:next w:val="Normal"/>
    <w:link w:val="ColorfulGrid-Accent1Char"/>
    <w:uiPriority w:val="29"/>
    <w:qFormat/>
    <w:rsid w:val="00DC78F8"/>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DC78F8"/>
    <w:rPr>
      <w:rFonts w:ascii="Trebuchet MS" w:eastAsia="MS Mincho" w:hAnsi="Trebuchet MS"/>
      <w:i/>
      <w:iCs/>
      <w:color w:val="000000"/>
      <w:sz w:val="22"/>
      <w:szCs w:val="22"/>
    </w:rPr>
  </w:style>
  <w:style w:type="character" w:customStyle="1" w:styleId="FontStyle12">
    <w:name w:val="Font Style12"/>
    <w:rsid w:val="00DC78F8"/>
    <w:rPr>
      <w:rFonts w:ascii="Arial" w:hAnsi="Arial" w:cs="Arial"/>
      <w:sz w:val="22"/>
      <w:szCs w:val="22"/>
    </w:rPr>
  </w:style>
  <w:style w:type="paragraph" w:styleId="TOCHeading">
    <w:name w:val="TOC Heading"/>
    <w:basedOn w:val="Heading1"/>
    <w:next w:val="Normal"/>
    <w:uiPriority w:val="39"/>
    <w:unhideWhenUsed/>
    <w:qFormat/>
    <w:rsid w:val="00DC78F8"/>
    <w:pPr>
      <w:keepLines/>
      <w:spacing w:after="0" w:line="259" w:lineRule="auto"/>
      <w:outlineLvl w:val="9"/>
    </w:pPr>
    <w:rPr>
      <w:rFonts w:ascii="Calibri Light" w:hAnsi="Calibri Light" w:cs="Times New Roman"/>
      <w:b w:val="0"/>
      <w:bCs w:val="0"/>
      <w:color w:val="2E74B5"/>
      <w:kern w:val="0"/>
    </w:rPr>
  </w:style>
  <w:style w:type="character" w:customStyle="1" w:styleId="BodyTextFirstIndentChar">
    <w:name w:val="Body Text First Indent Char"/>
    <w:link w:val="BodyTextFirstIndent"/>
    <w:rsid w:val="00B50260"/>
    <w:rPr>
      <w:sz w:val="24"/>
      <w:szCs w:val="24"/>
      <w:lang w:val="en-US" w:eastAsia="en-US"/>
    </w:rPr>
  </w:style>
  <w:style w:type="paragraph" w:customStyle="1" w:styleId="CaracterCaracter8">
    <w:name w:val="Caracter Caracter"/>
    <w:basedOn w:val="Normal"/>
    <w:rsid w:val="00C31FBF"/>
    <w:pPr>
      <w:suppressAutoHyphens/>
    </w:pPr>
    <w:rPr>
      <w:lang w:val="pl-PL" w:eastAsia="zh-CN"/>
    </w:rPr>
  </w:style>
  <w:style w:type="paragraph" w:customStyle="1" w:styleId="Caracter2CharCharCaracterCharCharCaracterCharCharCaracterCharCharCharChar">
    <w:name w:val="Caracter2 Char Char Caracter Char Char Caracter Char Char Caracter Char Char Char Char"/>
    <w:basedOn w:val="Normal"/>
    <w:rsid w:val="00773D9A"/>
    <w:rPr>
      <w:lang w:val="pl-PL" w:eastAsia="pl-PL"/>
    </w:rPr>
  </w:style>
  <w:style w:type="paragraph" w:customStyle="1" w:styleId="Caracter2CharCharCaracterCharCharCaracterCharCharCaracterCharChar5">
    <w:name w:val="Caracter2 Char Char Caracter Char Char Caracter Char Char Caracter Char Char"/>
    <w:basedOn w:val="Normal"/>
    <w:rsid w:val="008976FB"/>
    <w:rPr>
      <w:lang w:val="pl-PL" w:eastAsia="pl-PL"/>
    </w:rPr>
  </w:style>
  <w:style w:type="paragraph" w:customStyle="1" w:styleId="Caracter2CharCharCaracterCharCharCaracterCharCharCaracterCharChar6">
    <w:name w:val="Caracter2 Char Char Caracter Char Char Caracter Char Char Caracter Char Char"/>
    <w:basedOn w:val="Normal"/>
    <w:rsid w:val="00D425FA"/>
    <w:rPr>
      <w:lang w:val="pl-PL" w:eastAsia="pl-PL"/>
    </w:rPr>
  </w:style>
  <w:style w:type="paragraph" w:customStyle="1" w:styleId="Caracter2CharCharCaracterCharCharCaracterCharCharCaracterCharChar7">
    <w:name w:val="Caracter2 Char Char Caracter Char Char Caracter Char Char Caracter Char Char"/>
    <w:basedOn w:val="Normal"/>
    <w:rsid w:val="00AE29B6"/>
    <w:rPr>
      <w:lang w:val="pl-PL" w:eastAsia="pl-PL"/>
    </w:rPr>
  </w:style>
  <w:style w:type="paragraph" w:customStyle="1" w:styleId="Caracter2CharCharCaracterCharCharCaracterCharCharCaracterCharChar8">
    <w:name w:val="Caracter2 Char Char Caracter Char Char Caracter Char Char Caracter Char Char"/>
    <w:basedOn w:val="Normal"/>
    <w:rsid w:val="005941C8"/>
    <w:rPr>
      <w:lang w:val="pl-PL" w:eastAsia="pl-PL"/>
    </w:rPr>
  </w:style>
  <w:style w:type="paragraph" w:customStyle="1" w:styleId="Caracter2CharCharCaracterCharCharCaracterCharCharCaracterCharChar9">
    <w:name w:val="Caracter2 Char Char Caracter Char Char Caracter Char Char Caracter Char Char"/>
    <w:basedOn w:val="Normal"/>
    <w:rsid w:val="00641563"/>
    <w:rPr>
      <w:lang w:val="pl-PL" w:eastAsia="pl-PL"/>
    </w:rPr>
  </w:style>
  <w:style w:type="character" w:customStyle="1" w:styleId="HTMLAddressChar">
    <w:name w:val="HTML Address Char"/>
    <w:basedOn w:val="DefaultParagraphFont"/>
    <w:link w:val="HTMLAddress"/>
    <w:rsid w:val="00E440EC"/>
    <w:rPr>
      <w:i/>
      <w:iCs/>
      <w:sz w:val="24"/>
      <w:szCs w:val="24"/>
      <w:lang w:val="en-US" w:eastAsia="en-US"/>
    </w:rPr>
  </w:style>
  <w:style w:type="character" w:customStyle="1" w:styleId="BodyTextFirstIndent2Char">
    <w:name w:val="Body Text First Indent 2 Char"/>
    <w:basedOn w:val="BodyTextIndentChar"/>
    <w:link w:val="BodyTextFirstIndent2"/>
    <w:rsid w:val="00E440EC"/>
    <w:rPr>
      <w:sz w:val="24"/>
      <w:szCs w:val="24"/>
      <w:lang w:val="en-US" w:eastAsia="en-US"/>
    </w:rPr>
  </w:style>
  <w:style w:type="character" w:customStyle="1" w:styleId="z-BottomofFormChar">
    <w:name w:val="z-Bottom of Form Char"/>
    <w:basedOn w:val="DefaultParagraphFont"/>
    <w:link w:val="z-BottomofForm"/>
    <w:rsid w:val="00E440EC"/>
    <w:rPr>
      <w:rFonts w:ascii="Arial" w:eastAsia="Arial" w:hAnsi="Arial" w:cs="Courier New"/>
      <w:vanish/>
      <w:sz w:val="16"/>
      <w:szCs w:val="24"/>
      <w:lang w:eastAsia="zh-CN" w:bidi="hi-IN"/>
    </w:rPr>
  </w:style>
  <w:style w:type="character" w:customStyle="1" w:styleId="z-TopofFormChar">
    <w:name w:val="z-Top of Form Char"/>
    <w:basedOn w:val="DefaultParagraphFont"/>
    <w:link w:val="z-TopofForm"/>
    <w:rsid w:val="00E440EC"/>
    <w:rPr>
      <w:rFonts w:ascii="Arial" w:eastAsia="Arial" w:hAnsi="Arial" w:cs="Courier New"/>
      <w:vanish/>
      <w:sz w:val="16"/>
      <w:szCs w:val="24"/>
      <w:lang w:eastAsia="zh-CN" w:bidi="hi-IN"/>
    </w:rPr>
  </w:style>
  <w:style w:type="table" w:customStyle="1" w:styleId="Tabelgril1">
    <w:name w:val="Tabel grilă1"/>
    <w:basedOn w:val="TableNormal"/>
    <w:next w:val="TableGrid"/>
    <w:uiPriority w:val="39"/>
    <w:rsid w:val="00E440EC"/>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D4A3E"/>
  </w:style>
  <w:style w:type="numbering" w:customStyle="1" w:styleId="NoList11">
    <w:name w:val="No List11"/>
    <w:next w:val="NoList"/>
    <w:uiPriority w:val="99"/>
    <w:semiHidden/>
    <w:unhideWhenUsed/>
    <w:rsid w:val="00BD4A3E"/>
  </w:style>
  <w:style w:type="table" w:customStyle="1" w:styleId="TableGrid7">
    <w:name w:val="Table Grid7"/>
    <w:basedOn w:val="TableNormal"/>
    <w:next w:val="TableGrid"/>
    <w:uiPriority w:val="39"/>
    <w:rsid w:val="00BD4A3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
    <w:name w:val="Table Simple 12"/>
    <w:basedOn w:val="TableNormal"/>
    <w:next w:val="TableSimple1"/>
    <w:rsid w:val="00BD4A3E"/>
    <w:rPr>
      <w:lang w:val="en-US" w:eastAsia="en-US"/>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BD4A3E"/>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BD4A3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52">
    <w:name w:val="Medium Shading 2 - Accent 52"/>
    <w:basedOn w:val="TableNormal"/>
    <w:next w:val="MediumShading2-Accent5"/>
    <w:rsid w:val="00BD4A3E"/>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BD4A3E"/>
  </w:style>
  <w:style w:type="table" w:customStyle="1" w:styleId="TableGrid21">
    <w:name w:val="Table Grid21"/>
    <w:basedOn w:val="TableNormal"/>
    <w:next w:val="TableGrid"/>
    <w:uiPriority w:val="59"/>
    <w:rsid w:val="00BD4A3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D4A3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locked/>
    <w:rsid w:val="00BD4A3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D4A3E"/>
    <w:rPr>
      <w:rFonts w:ascii="Liberation Serif" w:eastAsia="SimSun" w:hAnsi="Liberation Serif" w:cs="Mangal"/>
      <w:sz w:val="24"/>
      <w:szCs w:val="24"/>
      <w:lang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511">
    <w:name w:val="Medium Shading 2 - Accent 511"/>
    <w:basedOn w:val="TableNormal"/>
    <w:next w:val="MediumShading2-Accent5"/>
    <w:rsid w:val="00BD4A3E"/>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BD4A3E"/>
  </w:style>
  <w:style w:type="table" w:customStyle="1" w:styleId="TableGrid61">
    <w:name w:val="Table Grid61"/>
    <w:basedOn w:val="TableNormal"/>
    <w:next w:val="TableGrid"/>
    <w:uiPriority w:val="59"/>
    <w:rsid w:val="00BD4A3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1">
    <w:name w:val="Tabel grilă11"/>
    <w:basedOn w:val="TableNormal"/>
    <w:next w:val="TableGrid"/>
    <w:uiPriority w:val="39"/>
    <w:rsid w:val="00BD4A3E"/>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nchor">
    <w:name w:val="panchor"/>
    <w:basedOn w:val="DefaultParagraphFont"/>
    <w:rsid w:val="00BD4A3E"/>
  </w:style>
  <w:style w:type="table" w:customStyle="1" w:styleId="Tabelgril12">
    <w:name w:val="Tabel grilă12"/>
    <w:basedOn w:val="TableNormal"/>
    <w:next w:val="TableGrid"/>
    <w:uiPriority w:val="39"/>
    <w:rsid w:val="00BD4A3E"/>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6525D"/>
    <w:rPr>
      <w:rFonts w:ascii="Liberation Serif" w:eastAsia="SimSun" w:hAnsi="Liberation Serif" w:cs="Mangal"/>
      <w:sz w:val="24"/>
      <w:szCs w:val="24"/>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3">
    <w:name w:val="Tabel grilă13"/>
    <w:basedOn w:val="TableNormal"/>
    <w:next w:val="TableGrid"/>
    <w:uiPriority w:val="39"/>
    <w:rsid w:val="00311D99"/>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acter2CharCharCaracterCharCharCaracterCharCharCaracterCharChara">
    <w:name w:val="Caracter2 Char Char Caracter Char Char Caracter Char Char Caracter Char Char"/>
    <w:basedOn w:val="Normal"/>
    <w:rsid w:val="00864DF0"/>
    <w:rPr>
      <w:lang w:val="pl-PL" w:eastAsia="pl-PL"/>
    </w:rPr>
  </w:style>
  <w:style w:type="paragraph" w:customStyle="1" w:styleId="Caracter2CharCharCaracterCharCharCaracterCharCharCaracterCharCharb">
    <w:name w:val="Caracter2 Char Char Caracter Char Char Caracter Char Char Caracter Char Char"/>
    <w:basedOn w:val="Normal"/>
    <w:rsid w:val="002C487B"/>
    <w:rPr>
      <w:lang w:val="pl-PL" w:eastAsia="pl-PL"/>
    </w:rPr>
  </w:style>
  <w:style w:type="paragraph" w:customStyle="1" w:styleId="Caracter2CharCharCaracterCharCharCaracterCharCharCaracterCharCharc">
    <w:name w:val="Caracter2 Char Char Caracter Char Char Caracter Char Char Caracter Char Char"/>
    <w:basedOn w:val="Normal"/>
    <w:rsid w:val="00A325AD"/>
    <w:rPr>
      <w:lang w:val="pl-PL" w:eastAsia="pl-PL"/>
    </w:rPr>
  </w:style>
  <w:style w:type="paragraph" w:customStyle="1" w:styleId="TableParagraph">
    <w:name w:val="Table Paragraph"/>
    <w:basedOn w:val="Normal"/>
    <w:uiPriority w:val="1"/>
    <w:qFormat/>
    <w:rsid w:val="00256F44"/>
    <w:pPr>
      <w:widowControl w:val="0"/>
    </w:pPr>
    <w:rPr>
      <w:rFonts w:asciiTheme="minorHAnsi" w:eastAsiaTheme="minorHAnsi" w:hAnsiTheme="minorHAnsi" w:cstheme="minorBidi"/>
      <w:sz w:val="22"/>
      <w:szCs w:val="22"/>
    </w:rPr>
  </w:style>
  <w:style w:type="paragraph" w:customStyle="1" w:styleId="Caracter2CharCharCaracterCharCharCaracterCharCharCaracterCharChard">
    <w:name w:val="Caracter2 Char Char Caracter Char Char Caracter Char Char Caracter Char Char"/>
    <w:basedOn w:val="Normal"/>
    <w:rsid w:val="00D92F70"/>
    <w:rPr>
      <w:lang w:val="pl-PL" w:eastAsia="pl-PL"/>
    </w:rPr>
  </w:style>
  <w:style w:type="paragraph" w:customStyle="1" w:styleId="Caracter2CharCharCaracterCharCharCaracterCharCharCaracterCharChare">
    <w:name w:val="Caracter2 Char Char Caracter Char Char Caracter Char Char Caracter Char Char"/>
    <w:basedOn w:val="Normal"/>
    <w:rsid w:val="00740421"/>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7386">
      <w:bodyDiv w:val="1"/>
      <w:marLeft w:val="0"/>
      <w:marRight w:val="0"/>
      <w:marTop w:val="0"/>
      <w:marBottom w:val="0"/>
      <w:divBdr>
        <w:top w:val="none" w:sz="0" w:space="0" w:color="auto"/>
        <w:left w:val="none" w:sz="0" w:space="0" w:color="auto"/>
        <w:bottom w:val="none" w:sz="0" w:space="0" w:color="auto"/>
        <w:right w:val="none" w:sz="0" w:space="0" w:color="auto"/>
      </w:divBdr>
    </w:div>
    <w:div w:id="39286906">
      <w:bodyDiv w:val="1"/>
      <w:marLeft w:val="0"/>
      <w:marRight w:val="0"/>
      <w:marTop w:val="0"/>
      <w:marBottom w:val="0"/>
      <w:divBdr>
        <w:top w:val="none" w:sz="0" w:space="0" w:color="auto"/>
        <w:left w:val="none" w:sz="0" w:space="0" w:color="auto"/>
        <w:bottom w:val="none" w:sz="0" w:space="0" w:color="auto"/>
        <w:right w:val="none" w:sz="0" w:space="0" w:color="auto"/>
      </w:divBdr>
    </w:div>
    <w:div w:id="57172011">
      <w:bodyDiv w:val="1"/>
      <w:marLeft w:val="0"/>
      <w:marRight w:val="0"/>
      <w:marTop w:val="0"/>
      <w:marBottom w:val="0"/>
      <w:divBdr>
        <w:top w:val="none" w:sz="0" w:space="0" w:color="auto"/>
        <w:left w:val="none" w:sz="0" w:space="0" w:color="auto"/>
        <w:bottom w:val="none" w:sz="0" w:space="0" w:color="auto"/>
        <w:right w:val="none" w:sz="0" w:space="0" w:color="auto"/>
      </w:divBdr>
    </w:div>
    <w:div w:id="72316689">
      <w:bodyDiv w:val="1"/>
      <w:marLeft w:val="0"/>
      <w:marRight w:val="0"/>
      <w:marTop w:val="0"/>
      <w:marBottom w:val="0"/>
      <w:divBdr>
        <w:top w:val="none" w:sz="0" w:space="0" w:color="auto"/>
        <w:left w:val="none" w:sz="0" w:space="0" w:color="auto"/>
        <w:bottom w:val="none" w:sz="0" w:space="0" w:color="auto"/>
        <w:right w:val="none" w:sz="0" w:space="0" w:color="auto"/>
      </w:divBdr>
    </w:div>
    <w:div w:id="114562718">
      <w:bodyDiv w:val="1"/>
      <w:marLeft w:val="0"/>
      <w:marRight w:val="0"/>
      <w:marTop w:val="0"/>
      <w:marBottom w:val="0"/>
      <w:divBdr>
        <w:top w:val="none" w:sz="0" w:space="0" w:color="auto"/>
        <w:left w:val="none" w:sz="0" w:space="0" w:color="auto"/>
        <w:bottom w:val="none" w:sz="0" w:space="0" w:color="auto"/>
        <w:right w:val="none" w:sz="0" w:space="0" w:color="auto"/>
      </w:divBdr>
    </w:div>
    <w:div w:id="179127344">
      <w:bodyDiv w:val="1"/>
      <w:marLeft w:val="0"/>
      <w:marRight w:val="0"/>
      <w:marTop w:val="0"/>
      <w:marBottom w:val="0"/>
      <w:divBdr>
        <w:top w:val="none" w:sz="0" w:space="0" w:color="auto"/>
        <w:left w:val="none" w:sz="0" w:space="0" w:color="auto"/>
        <w:bottom w:val="none" w:sz="0" w:space="0" w:color="auto"/>
        <w:right w:val="none" w:sz="0" w:space="0" w:color="auto"/>
      </w:divBdr>
    </w:div>
    <w:div w:id="190648462">
      <w:bodyDiv w:val="1"/>
      <w:marLeft w:val="0"/>
      <w:marRight w:val="0"/>
      <w:marTop w:val="0"/>
      <w:marBottom w:val="0"/>
      <w:divBdr>
        <w:top w:val="none" w:sz="0" w:space="0" w:color="auto"/>
        <w:left w:val="none" w:sz="0" w:space="0" w:color="auto"/>
        <w:bottom w:val="none" w:sz="0" w:space="0" w:color="auto"/>
        <w:right w:val="none" w:sz="0" w:space="0" w:color="auto"/>
      </w:divBdr>
      <w:divsChild>
        <w:div w:id="1296714601">
          <w:marLeft w:val="0"/>
          <w:marRight w:val="0"/>
          <w:marTop w:val="0"/>
          <w:marBottom w:val="0"/>
          <w:divBdr>
            <w:top w:val="none" w:sz="0" w:space="0" w:color="auto"/>
            <w:left w:val="none" w:sz="0" w:space="0" w:color="auto"/>
            <w:bottom w:val="none" w:sz="0" w:space="0" w:color="auto"/>
            <w:right w:val="none" w:sz="0" w:space="0" w:color="auto"/>
          </w:divBdr>
          <w:divsChild>
            <w:div w:id="1001856941">
              <w:marLeft w:val="0"/>
              <w:marRight w:val="0"/>
              <w:marTop w:val="0"/>
              <w:marBottom w:val="0"/>
              <w:divBdr>
                <w:top w:val="none" w:sz="0" w:space="0" w:color="auto"/>
                <w:left w:val="none" w:sz="0" w:space="0" w:color="auto"/>
                <w:bottom w:val="none" w:sz="0" w:space="0" w:color="auto"/>
                <w:right w:val="none" w:sz="0" w:space="0" w:color="auto"/>
              </w:divBdr>
              <w:divsChild>
                <w:div w:id="1127509305">
                  <w:marLeft w:val="0"/>
                  <w:marRight w:val="0"/>
                  <w:marTop w:val="0"/>
                  <w:marBottom w:val="0"/>
                  <w:divBdr>
                    <w:top w:val="none" w:sz="0" w:space="0" w:color="auto"/>
                    <w:left w:val="none" w:sz="0" w:space="0" w:color="auto"/>
                    <w:bottom w:val="none" w:sz="0" w:space="0" w:color="auto"/>
                    <w:right w:val="none" w:sz="0" w:space="0" w:color="auto"/>
                  </w:divBdr>
                  <w:divsChild>
                    <w:div w:id="1000735736">
                      <w:marLeft w:val="0"/>
                      <w:marRight w:val="0"/>
                      <w:marTop w:val="0"/>
                      <w:marBottom w:val="0"/>
                      <w:divBdr>
                        <w:top w:val="none" w:sz="0" w:space="0" w:color="auto"/>
                        <w:left w:val="none" w:sz="0" w:space="0" w:color="auto"/>
                        <w:bottom w:val="none" w:sz="0" w:space="0" w:color="auto"/>
                        <w:right w:val="none" w:sz="0" w:space="0" w:color="auto"/>
                      </w:divBdr>
                      <w:divsChild>
                        <w:div w:id="1880507708">
                          <w:marLeft w:val="0"/>
                          <w:marRight w:val="0"/>
                          <w:marTop w:val="0"/>
                          <w:marBottom w:val="0"/>
                          <w:divBdr>
                            <w:top w:val="none" w:sz="0" w:space="0" w:color="auto"/>
                            <w:left w:val="none" w:sz="0" w:space="0" w:color="auto"/>
                            <w:bottom w:val="none" w:sz="0" w:space="0" w:color="auto"/>
                            <w:right w:val="none" w:sz="0" w:space="0" w:color="auto"/>
                          </w:divBdr>
                          <w:divsChild>
                            <w:div w:id="517086420">
                              <w:marLeft w:val="0"/>
                              <w:marRight w:val="0"/>
                              <w:marTop w:val="0"/>
                              <w:marBottom w:val="0"/>
                              <w:divBdr>
                                <w:top w:val="none" w:sz="0" w:space="0" w:color="auto"/>
                                <w:left w:val="none" w:sz="0" w:space="0" w:color="auto"/>
                                <w:bottom w:val="none" w:sz="0" w:space="0" w:color="auto"/>
                                <w:right w:val="none" w:sz="0" w:space="0" w:color="auto"/>
                              </w:divBdr>
                              <w:divsChild>
                                <w:div w:id="13311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167348">
      <w:bodyDiv w:val="1"/>
      <w:marLeft w:val="0"/>
      <w:marRight w:val="0"/>
      <w:marTop w:val="0"/>
      <w:marBottom w:val="0"/>
      <w:divBdr>
        <w:top w:val="none" w:sz="0" w:space="0" w:color="auto"/>
        <w:left w:val="none" w:sz="0" w:space="0" w:color="auto"/>
        <w:bottom w:val="none" w:sz="0" w:space="0" w:color="auto"/>
        <w:right w:val="none" w:sz="0" w:space="0" w:color="auto"/>
      </w:divBdr>
    </w:div>
    <w:div w:id="280846383">
      <w:bodyDiv w:val="1"/>
      <w:marLeft w:val="0"/>
      <w:marRight w:val="0"/>
      <w:marTop w:val="0"/>
      <w:marBottom w:val="0"/>
      <w:divBdr>
        <w:top w:val="none" w:sz="0" w:space="0" w:color="auto"/>
        <w:left w:val="none" w:sz="0" w:space="0" w:color="auto"/>
        <w:bottom w:val="none" w:sz="0" w:space="0" w:color="auto"/>
        <w:right w:val="none" w:sz="0" w:space="0" w:color="auto"/>
      </w:divBdr>
    </w:div>
    <w:div w:id="287201040">
      <w:bodyDiv w:val="1"/>
      <w:marLeft w:val="0"/>
      <w:marRight w:val="0"/>
      <w:marTop w:val="0"/>
      <w:marBottom w:val="0"/>
      <w:divBdr>
        <w:top w:val="none" w:sz="0" w:space="0" w:color="auto"/>
        <w:left w:val="none" w:sz="0" w:space="0" w:color="auto"/>
        <w:bottom w:val="none" w:sz="0" w:space="0" w:color="auto"/>
        <w:right w:val="none" w:sz="0" w:space="0" w:color="auto"/>
      </w:divBdr>
    </w:div>
    <w:div w:id="341664784">
      <w:bodyDiv w:val="1"/>
      <w:marLeft w:val="0"/>
      <w:marRight w:val="0"/>
      <w:marTop w:val="0"/>
      <w:marBottom w:val="0"/>
      <w:divBdr>
        <w:top w:val="none" w:sz="0" w:space="0" w:color="auto"/>
        <w:left w:val="none" w:sz="0" w:space="0" w:color="auto"/>
        <w:bottom w:val="none" w:sz="0" w:space="0" w:color="auto"/>
        <w:right w:val="none" w:sz="0" w:space="0" w:color="auto"/>
      </w:divBdr>
    </w:div>
    <w:div w:id="343243543">
      <w:bodyDiv w:val="1"/>
      <w:marLeft w:val="0"/>
      <w:marRight w:val="0"/>
      <w:marTop w:val="0"/>
      <w:marBottom w:val="0"/>
      <w:divBdr>
        <w:top w:val="none" w:sz="0" w:space="0" w:color="auto"/>
        <w:left w:val="none" w:sz="0" w:space="0" w:color="auto"/>
        <w:bottom w:val="none" w:sz="0" w:space="0" w:color="auto"/>
        <w:right w:val="none" w:sz="0" w:space="0" w:color="auto"/>
      </w:divBdr>
    </w:div>
    <w:div w:id="345719057">
      <w:bodyDiv w:val="1"/>
      <w:marLeft w:val="0"/>
      <w:marRight w:val="0"/>
      <w:marTop w:val="0"/>
      <w:marBottom w:val="0"/>
      <w:divBdr>
        <w:top w:val="none" w:sz="0" w:space="0" w:color="auto"/>
        <w:left w:val="none" w:sz="0" w:space="0" w:color="auto"/>
        <w:bottom w:val="none" w:sz="0" w:space="0" w:color="auto"/>
        <w:right w:val="none" w:sz="0" w:space="0" w:color="auto"/>
      </w:divBdr>
    </w:div>
    <w:div w:id="372004784">
      <w:bodyDiv w:val="1"/>
      <w:marLeft w:val="0"/>
      <w:marRight w:val="0"/>
      <w:marTop w:val="0"/>
      <w:marBottom w:val="0"/>
      <w:divBdr>
        <w:top w:val="none" w:sz="0" w:space="0" w:color="auto"/>
        <w:left w:val="none" w:sz="0" w:space="0" w:color="auto"/>
        <w:bottom w:val="none" w:sz="0" w:space="0" w:color="auto"/>
        <w:right w:val="none" w:sz="0" w:space="0" w:color="auto"/>
      </w:divBdr>
      <w:divsChild>
        <w:div w:id="1092702187">
          <w:marLeft w:val="0"/>
          <w:marRight w:val="0"/>
          <w:marTop w:val="0"/>
          <w:marBottom w:val="0"/>
          <w:divBdr>
            <w:top w:val="none" w:sz="0" w:space="0" w:color="auto"/>
            <w:left w:val="none" w:sz="0" w:space="0" w:color="auto"/>
            <w:bottom w:val="none" w:sz="0" w:space="0" w:color="auto"/>
            <w:right w:val="none" w:sz="0" w:space="0" w:color="auto"/>
          </w:divBdr>
        </w:div>
      </w:divsChild>
    </w:div>
    <w:div w:id="391580465">
      <w:bodyDiv w:val="1"/>
      <w:marLeft w:val="0"/>
      <w:marRight w:val="0"/>
      <w:marTop w:val="0"/>
      <w:marBottom w:val="0"/>
      <w:divBdr>
        <w:top w:val="none" w:sz="0" w:space="0" w:color="auto"/>
        <w:left w:val="none" w:sz="0" w:space="0" w:color="auto"/>
        <w:bottom w:val="none" w:sz="0" w:space="0" w:color="auto"/>
        <w:right w:val="none" w:sz="0" w:space="0" w:color="auto"/>
      </w:divBdr>
    </w:div>
    <w:div w:id="394351454">
      <w:bodyDiv w:val="1"/>
      <w:marLeft w:val="0"/>
      <w:marRight w:val="0"/>
      <w:marTop w:val="0"/>
      <w:marBottom w:val="0"/>
      <w:divBdr>
        <w:top w:val="none" w:sz="0" w:space="0" w:color="auto"/>
        <w:left w:val="none" w:sz="0" w:space="0" w:color="auto"/>
        <w:bottom w:val="none" w:sz="0" w:space="0" w:color="auto"/>
        <w:right w:val="none" w:sz="0" w:space="0" w:color="auto"/>
      </w:divBdr>
    </w:div>
    <w:div w:id="397627773">
      <w:bodyDiv w:val="1"/>
      <w:marLeft w:val="0"/>
      <w:marRight w:val="0"/>
      <w:marTop w:val="0"/>
      <w:marBottom w:val="0"/>
      <w:divBdr>
        <w:top w:val="none" w:sz="0" w:space="0" w:color="auto"/>
        <w:left w:val="none" w:sz="0" w:space="0" w:color="auto"/>
        <w:bottom w:val="none" w:sz="0" w:space="0" w:color="auto"/>
        <w:right w:val="none" w:sz="0" w:space="0" w:color="auto"/>
      </w:divBdr>
    </w:div>
    <w:div w:id="407967243">
      <w:bodyDiv w:val="1"/>
      <w:marLeft w:val="0"/>
      <w:marRight w:val="0"/>
      <w:marTop w:val="0"/>
      <w:marBottom w:val="0"/>
      <w:divBdr>
        <w:top w:val="none" w:sz="0" w:space="0" w:color="auto"/>
        <w:left w:val="none" w:sz="0" w:space="0" w:color="auto"/>
        <w:bottom w:val="none" w:sz="0" w:space="0" w:color="auto"/>
        <w:right w:val="none" w:sz="0" w:space="0" w:color="auto"/>
      </w:divBdr>
    </w:div>
    <w:div w:id="414403555">
      <w:bodyDiv w:val="1"/>
      <w:marLeft w:val="0"/>
      <w:marRight w:val="0"/>
      <w:marTop w:val="0"/>
      <w:marBottom w:val="0"/>
      <w:divBdr>
        <w:top w:val="none" w:sz="0" w:space="0" w:color="auto"/>
        <w:left w:val="none" w:sz="0" w:space="0" w:color="auto"/>
        <w:bottom w:val="none" w:sz="0" w:space="0" w:color="auto"/>
        <w:right w:val="none" w:sz="0" w:space="0" w:color="auto"/>
      </w:divBdr>
      <w:divsChild>
        <w:div w:id="1426732760">
          <w:marLeft w:val="0"/>
          <w:marRight w:val="0"/>
          <w:marTop w:val="0"/>
          <w:marBottom w:val="0"/>
          <w:divBdr>
            <w:top w:val="none" w:sz="0" w:space="0" w:color="auto"/>
            <w:left w:val="none" w:sz="0" w:space="0" w:color="auto"/>
            <w:bottom w:val="none" w:sz="0" w:space="0" w:color="auto"/>
            <w:right w:val="none" w:sz="0" w:space="0" w:color="auto"/>
          </w:divBdr>
          <w:divsChild>
            <w:div w:id="59717398">
              <w:marLeft w:val="0"/>
              <w:marRight w:val="0"/>
              <w:marTop w:val="0"/>
              <w:marBottom w:val="0"/>
              <w:divBdr>
                <w:top w:val="none" w:sz="0" w:space="0" w:color="auto"/>
                <w:left w:val="none" w:sz="0" w:space="0" w:color="auto"/>
                <w:bottom w:val="none" w:sz="0" w:space="0" w:color="auto"/>
                <w:right w:val="none" w:sz="0" w:space="0" w:color="auto"/>
              </w:divBdr>
            </w:div>
            <w:div w:id="154423838">
              <w:marLeft w:val="0"/>
              <w:marRight w:val="0"/>
              <w:marTop w:val="0"/>
              <w:marBottom w:val="0"/>
              <w:divBdr>
                <w:top w:val="none" w:sz="0" w:space="0" w:color="auto"/>
                <w:left w:val="none" w:sz="0" w:space="0" w:color="auto"/>
                <w:bottom w:val="none" w:sz="0" w:space="0" w:color="auto"/>
                <w:right w:val="none" w:sz="0" w:space="0" w:color="auto"/>
              </w:divBdr>
            </w:div>
            <w:div w:id="202057516">
              <w:marLeft w:val="0"/>
              <w:marRight w:val="0"/>
              <w:marTop w:val="0"/>
              <w:marBottom w:val="0"/>
              <w:divBdr>
                <w:top w:val="none" w:sz="0" w:space="0" w:color="auto"/>
                <w:left w:val="none" w:sz="0" w:space="0" w:color="auto"/>
                <w:bottom w:val="none" w:sz="0" w:space="0" w:color="auto"/>
                <w:right w:val="none" w:sz="0" w:space="0" w:color="auto"/>
              </w:divBdr>
            </w:div>
            <w:div w:id="1646273321">
              <w:marLeft w:val="0"/>
              <w:marRight w:val="0"/>
              <w:marTop w:val="0"/>
              <w:marBottom w:val="0"/>
              <w:divBdr>
                <w:top w:val="none" w:sz="0" w:space="0" w:color="auto"/>
                <w:left w:val="none" w:sz="0" w:space="0" w:color="auto"/>
                <w:bottom w:val="none" w:sz="0" w:space="0" w:color="auto"/>
                <w:right w:val="none" w:sz="0" w:space="0" w:color="auto"/>
              </w:divBdr>
            </w:div>
            <w:div w:id="1704792731">
              <w:marLeft w:val="0"/>
              <w:marRight w:val="0"/>
              <w:marTop w:val="0"/>
              <w:marBottom w:val="0"/>
              <w:divBdr>
                <w:top w:val="none" w:sz="0" w:space="0" w:color="auto"/>
                <w:left w:val="none" w:sz="0" w:space="0" w:color="auto"/>
                <w:bottom w:val="none" w:sz="0" w:space="0" w:color="auto"/>
                <w:right w:val="none" w:sz="0" w:space="0" w:color="auto"/>
              </w:divBdr>
            </w:div>
            <w:div w:id="1753970630">
              <w:marLeft w:val="0"/>
              <w:marRight w:val="0"/>
              <w:marTop w:val="0"/>
              <w:marBottom w:val="0"/>
              <w:divBdr>
                <w:top w:val="none" w:sz="0" w:space="0" w:color="auto"/>
                <w:left w:val="none" w:sz="0" w:space="0" w:color="auto"/>
                <w:bottom w:val="none" w:sz="0" w:space="0" w:color="auto"/>
                <w:right w:val="none" w:sz="0" w:space="0" w:color="auto"/>
              </w:divBdr>
            </w:div>
            <w:div w:id="1820145978">
              <w:marLeft w:val="0"/>
              <w:marRight w:val="0"/>
              <w:marTop w:val="0"/>
              <w:marBottom w:val="0"/>
              <w:divBdr>
                <w:top w:val="none" w:sz="0" w:space="0" w:color="auto"/>
                <w:left w:val="none" w:sz="0" w:space="0" w:color="auto"/>
                <w:bottom w:val="none" w:sz="0" w:space="0" w:color="auto"/>
                <w:right w:val="none" w:sz="0" w:space="0" w:color="auto"/>
              </w:divBdr>
            </w:div>
            <w:div w:id="1879203402">
              <w:marLeft w:val="0"/>
              <w:marRight w:val="0"/>
              <w:marTop w:val="0"/>
              <w:marBottom w:val="0"/>
              <w:divBdr>
                <w:top w:val="none" w:sz="0" w:space="0" w:color="auto"/>
                <w:left w:val="none" w:sz="0" w:space="0" w:color="auto"/>
                <w:bottom w:val="none" w:sz="0" w:space="0" w:color="auto"/>
                <w:right w:val="none" w:sz="0" w:space="0" w:color="auto"/>
              </w:divBdr>
            </w:div>
            <w:div w:id="19617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69459">
      <w:bodyDiv w:val="1"/>
      <w:marLeft w:val="0"/>
      <w:marRight w:val="0"/>
      <w:marTop w:val="0"/>
      <w:marBottom w:val="0"/>
      <w:divBdr>
        <w:top w:val="none" w:sz="0" w:space="0" w:color="auto"/>
        <w:left w:val="none" w:sz="0" w:space="0" w:color="auto"/>
        <w:bottom w:val="none" w:sz="0" w:space="0" w:color="auto"/>
        <w:right w:val="none" w:sz="0" w:space="0" w:color="auto"/>
      </w:divBdr>
    </w:div>
    <w:div w:id="448205343">
      <w:bodyDiv w:val="1"/>
      <w:marLeft w:val="0"/>
      <w:marRight w:val="0"/>
      <w:marTop w:val="0"/>
      <w:marBottom w:val="0"/>
      <w:divBdr>
        <w:top w:val="none" w:sz="0" w:space="0" w:color="auto"/>
        <w:left w:val="none" w:sz="0" w:space="0" w:color="auto"/>
        <w:bottom w:val="none" w:sz="0" w:space="0" w:color="auto"/>
        <w:right w:val="none" w:sz="0" w:space="0" w:color="auto"/>
      </w:divBdr>
    </w:div>
    <w:div w:id="494538567">
      <w:bodyDiv w:val="1"/>
      <w:marLeft w:val="0"/>
      <w:marRight w:val="0"/>
      <w:marTop w:val="0"/>
      <w:marBottom w:val="0"/>
      <w:divBdr>
        <w:top w:val="none" w:sz="0" w:space="0" w:color="auto"/>
        <w:left w:val="none" w:sz="0" w:space="0" w:color="auto"/>
        <w:bottom w:val="none" w:sz="0" w:space="0" w:color="auto"/>
        <w:right w:val="none" w:sz="0" w:space="0" w:color="auto"/>
      </w:divBdr>
    </w:div>
    <w:div w:id="501241633">
      <w:bodyDiv w:val="1"/>
      <w:marLeft w:val="0"/>
      <w:marRight w:val="0"/>
      <w:marTop w:val="0"/>
      <w:marBottom w:val="0"/>
      <w:divBdr>
        <w:top w:val="none" w:sz="0" w:space="0" w:color="auto"/>
        <w:left w:val="none" w:sz="0" w:space="0" w:color="auto"/>
        <w:bottom w:val="none" w:sz="0" w:space="0" w:color="auto"/>
        <w:right w:val="none" w:sz="0" w:space="0" w:color="auto"/>
      </w:divBdr>
    </w:div>
    <w:div w:id="594825002">
      <w:bodyDiv w:val="1"/>
      <w:marLeft w:val="0"/>
      <w:marRight w:val="0"/>
      <w:marTop w:val="0"/>
      <w:marBottom w:val="0"/>
      <w:divBdr>
        <w:top w:val="none" w:sz="0" w:space="0" w:color="auto"/>
        <w:left w:val="none" w:sz="0" w:space="0" w:color="auto"/>
        <w:bottom w:val="none" w:sz="0" w:space="0" w:color="auto"/>
        <w:right w:val="none" w:sz="0" w:space="0" w:color="auto"/>
      </w:divBdr>
      <w:divsChild>
        <w:div w:id="389621540">
          <w:marLeft w:val="0"/>
          <w:marRight w:val="0"/>
          <w:marTop w:val="0"/>
          <w:marBottom w:val="0"/>
          <w:divBdr>
            <w:top w:val="none" w:sz="0" w:space="0" w:color="auto"/>
            <w:left w:val="none" w:sz="0" w:space="0" w:color="auto"/>
            <w:bottom w:val="none" w:sz="0" w:space="0" w:color="auto"/>
            <w:right w:val="none" w:sz="0" w:space="0" w:color="auto"/>
          </w:divBdr>
          <w:divsChild>
            <w:div w:id="740374602">
              <w:marLeft w:val="0"/>
              <w:marRight w:val="0"/>
              <w:marTop w:val="0"/>
              <w:marBottom w:val="0"/>
              <w:divBdr>
                <w:top w:val="none" w:sz="0" w:space="0" w:color="auto"/>
                <w:left w:val="none" w:sz="0" w:space="0" w:color="auto"/>
                <w:bottom w:val="none" w:sz="0" w:space="0" w:color="auto"/>
                <w:right w:val="none" w:sz="0" w:space="0" w:color="auto"/>
              </w:divBdr>
              <w:divsChild>
                <w:div w:id="15566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331">
      <w:bodyDiv w:val="1"/>
      <w:marLeft w:val="0"/>
      <w:marRight w:val="0"/>
      <w:marTop w:val="0"/>
      <w:marBottom w:val="0"/>
      <w:divBdr>
        <w:top w:val="none" w:sz="0" w:space="0" w:color="auto"/>
        <w:left w:val="none" w:sz="0" w:space="0" w:color="auto"/>
        <w:bottom w:val="none" w:sz="0" w:space="0" w:color="auto"/>
        <w:right w:val="none" w:sz="0" w:space="0" w:color="auto"/>
      </w:divBdr>
    </w:div>
    <w:div w:id="597635431">
      <w:bodyDiv w:val="1"/>
      <w:marLeft w:val="0"/>
      <w:marRight w:val="0"/>
      <w:marTop w:val="0"/>
      <w:marBottom w:val="0"/>
      <w:divBdr>
        <w:top w:val="none" w:sz="0" w:space="0" w:color="auto"/>
        <w:left w:val="none" w:sz="0" w:space="0" w:color="auto"/>
        <w:bottom w:val="none" w:sz="0" w:space="0" w:color="auto"/>
        <w:right w:val="none" w:sz="0" w:space="0" w:color="auto"/>
      </w:divBdr>
      <w:divsChild>
        <w:div w:id="51658670">
          <w:marLeft w:val="0"/>
          <w:marRight w:val="0"/>
          <w:marTop w:val="0"/>
          <w:marBottom w:val="0"/>
          <w:divBdr>
            <w:top w:val="none" w:sz="0" w:space="0" w:color="auto"/>
            <w:left w:val="none" w:sz="0" w:space="0" w:color="auto"/>
            <w:bottom w:val="none" w:sz="0" w:space="0" w:color="auto"/>
            <w:right w:val="none" w:sz="0" w:space="0" w:color="auto"/>
          </w:divBdr>
          <w:divsChild>
            <w:div w:id="1401367225">
              <w:marLeft w:val="0"/>
              <w:marRight w:val="0"/>
              <w:marTop w:val="0"/>
              <w:marBottom w:val="0"/>
              <w:divBdr>
                <w:top w:val="none" w:sz="0" w:space="0" w:color="auto"/>
                <w:left w:val="none" w:sz="0" w:space="0" w:color="auto"/>
                <w:bottom w:val="none" w:sz="0" w:space="0" w:color="auto"/>
                <w:right w:val="none" w:sz="0" w:space="0" w:color="auto"/>
              </w:divBdr>
              <w:divsChild>
                <w:div w:id="243876173">
                  <w:marLeft w:val="0"/>
                  <w:marRight w:val="0"/>
                  <w:marTop w:val="0"/>
                  <w:marBottom w:val="0"/>
                  <w:divBdr>
                    <w:top w:val="none" w:sz="0" w:space="0" w:color="auto"/>
                    <w:left w:val="none" w:sz="0" w:space="0" w:color="auto"/>
                    <w:bottom w:val="none" w:sz="0" w:space="0" w:color="auto"/>
                    <w:right w:val="none" w:sz="0" w:space="0" w:color="auto"/>
                  </w:divBdr>
                  <w:divsChild>
                    <w:div w:id="1655799500">
                      <w:marLeft w:val="0"/>
                      <w:marRight w:val="0"/>
                      <w:marTop w:val="0"/>
                      <w:marBottom w:val="0"/>
                      <w:divBdr>
                        <w:top w:val="none" w:sz="0" w:space="0" w:color="auto"/>
                        <w:left w:val="none" w:sz="0" w:space="0" w:color="auto"/>
                        <w:bottom w:val="none" w:sz="0" w:space="0" w:color="auto"/>
                        <w:right w:val="none" w:sz="0" w:space="0" w:color="auto"/>
                      </w:divBdr>
                      <w:divsChild>
                        <w:div w:id="2135438712">
                          <w:marLeft w:val="0"/>
                          <w:marRight w:val="0"/>
                          <w:marTop w:val="0"/>
                          <w:marBottom w:val="0"/>
                          <w:divBdr>
                            <w:top w:val="none" w:sz="0" w:space="0" w:color="auto"/>
                            <w:left w:val="none" w:sz="0" w:space="0" w:color="auto"/>
                            <w:bottom w:val="none" w:sz="0" w:space="0" w:color="auto"/>
                            <w:right w:val="none" w:sz="0" w:space="0" w:color="auto"/>
                          </w:divBdr>
                          <w:divsChild>
                            <w:div w:id="63529617">
                              <w:marLeft w:val="0"/>
                              <w:marRight w:val="0"/>
                              <w:marTop w:val="0"/>
                              <w:marBottom w:val="0"/>
                              <w:divBdr>
                                <w:top w:val="none" w:sz="0" w:space="0" w:color="auto"/>
                                <w:left w:val="none" w:sz="0" w:space="0" w:color="auto"/>
                                <w:bottom w:val="none" w:sz="0" w:space="0" w:color="auto"/>
                                <w:right w:val="none" w:sz="0" w:space="0" w:color="auto"/>
                              </w:divBdr>
                              <w:divsChild>
                                <w:div w:id="1140150271">
                                  <w:marLeft w:val="0"/>
                                  <w:marRight w:val="0"/>
                                  <w:marTop w:val="0"/>
                                  <w:marBottom w:val="0"/>
                                  <w:divBdr>
                                    <w:top w:val="none" w:sz="0" w:space="0" w:color="auto"/>
                                    <w:left w:val="none" w:sz="0" w:space="0" w:color="auto"/>
                                    <w:bottom w:val="none" w:sz="0" w:space="0" w:color="auto"/>
                                    <w:right w:val="none" w:sz="0" w:space="0" w:color="auto"/>
                                  </w:divBdr>
                                  <w:divsChild>
                                    <w:div w:id="248581723">
                                      <w:marLeft w:val="0"/>
                                      <w:marRight w:val="1200"/>
                                      <w:marTop w:val="0"/>
                                      <w:marBottom w:val="0"/>
                                      <w:divBdr>
                                        <w:top w:val="none" w:sz="0" w:space="0" w:color="auto"/>
                                        <w:left w:val="none" w:sz="0" w:space="0" w:color="auto"/>
                                        <w:bottom w:val="none" w:sz="0" w:space="0" w:color="auto"/>
                                        <w:right w:val="none" w:sz="0" w:space="0" w:color="auto"/>
                                      </w:divBdr>
                                      <w:divsChild>
                                        <w:div w:id="689066670">
                                          <w:marLeft w:val="6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176931">
      <w:bodyDiv w:val="1"/>
      <w:marLeft w:val="0"/>
      <w:marRight w:val="0"/>
      <w:marTop w:val="0"/>
      <w:marBottom w:val="0"/>
      <w:divBdr>
        <w:top w:val="none" w:sz="0" w:space="0" w:color="auto"/>
        <w:left w:val="none" w:sz="0" w:space="0" w:color="auto"/>
        <w:bottom w:val="none" w:sz="0" w:space="0" w:color="auto"/>
        <w:right w:val="none" w:sz="0" w:space="0" w:color="auto"/>
      </w:divBdr>
    </w:div>
    <w:div w:id="641928722">
      <w:bodyDiv w:val="1"/>
      <w:marLeft w:val="0"/>
      <w:marRight w:val="0"/>
      <w:marTop w:val="0"/>
      <w:marBottom w:val="0"/>
      <w:divBdr>
        <w:top w:val="none" w:sz="0" w:space="0" w:color="auto"/>
        <w:left w:val="none" w:sz="0" w:space="0" w:color="auto"/>
        <w:bottom w:val="none" w:sz="0" w:space="0" w:color="auto"/>
        <w:right w:val="none" w:sz="0" w:space="0" w:color="auto"/>
      </w:divBdr>
    </w:div>
    <w:div w:id="667708172">
      <w:bodyDiv w:val="1"/>
      <w:marLeft w:val="0"/>
      <w:marRight w:val="0"/>
      <w:marTop w:val="0"/>
      <w:marBottom w:val="0"/>
      <w:divBdr>
        <w:top w:val="none" w:sz="0" w:space="0" w:color="auto"/>
        <w:left w:val="none" w:sz="0" w:space="0" w:color="auto"/>
        <w:bottom w:val="none" w:sz="0" w:space="0" w:color="auto"/>
        <w:right w:val="none" w:sz="0" w:space="0" w:color="auto"/>
      </w:divBdr>
      <w:divsChild>
        <w:div w:id="271789397">
          <w:marLeft w:val="0"/>
          <w:marRight w:val="0"/>
          <w:marTop w:val="0"/>
          <w:marBottom w:val="0"/>
          <w:divBdr>
            <w:top w:val="none" w:sz="0" w:space="0" w:color="auto"/>
            <w:left w:val="none" w:sz="0" w:space="0" w:color="auto"/>
            <w:bottom w:val="none" w:sz="0" w:space="0" w:color="auto"/>
            <w:right w:val="none" w:sz="0" w:space="0" w:color="auto"/>
          </w:divBdr>
          <w:divsChild>
            <w:div w:id="769399643">
              <w:marLeft w:val="0"/>
              <w:marRight w:val="0"/>
              <w:marTop w:val="0"/>
              <w:marBottom w:val="0"/>
              <w:divBdr>
                <w:top w:val="none" w:sz="0" w:space="0" w:color="auto"/>
                <w:left w:val="none" w:sz="0" w:space="0" w:color="auto"/>
                <w:bottom w:val="none" w:sz="0" w:space="0" w:color="auto"/>
                <w:right w:val="none" w:sz="0" w:space="0" w:color="auto"/>
              </w:divBdr>
              <w:divsChild>
                <w:div w:id="1721510296">
                  <w:marLeft w:val="0"/>
                  <w:marRight w:val="0"/>
                  <w:marTop w:val="0"/>
                  <w:marBottom w:val="0"/>
                  <w:divBdr>
                    <w:top w:val="none" w:sz="0" w:space="0" w:color="auto"/>
                    <w:left w:val="none" w:sz="0" w:space="0" w:color="auto"/>
                    <w:bottom w:val="none" w:sz="0" w:space="0" w:color="auto"/>
                    <w:right w:val="none" w:sz="0" w:space="0" w:color="auto"/>
                  </w:divBdr>
                  <w:divsChild>
                    <w:div w:id="936206892">
                      <w:marLeft w:val="0"/>
                      <w:marRight w:val="0"/>
                      <w:marTop w:val="0"/>
                      <w:marBottom w:val="0"/>
                      <w:divBdr>
                        <w:top w:val="none" w:sz="0" w:space="0" w:color="auto"/>
                        <w:left w:val="none" w:sz="0" w:space="0" w:color="auto"/>
                        <w:bottom w:val="none" w:sz="0" w:space="0" w:color="auto"/>
                        <w:right w:val="none" w:sz="0" w:space="0" w:color="auto"/>
                      </w:divBdr>
                      <w:divsChild>
                        <w:div w:id="2088653194">
                          <w:marLeft w:val="0"/>
                          <w:marRight w:val="0"/>
                          <w:marTop w:val="0"/>
                          <w:marBottom w:val="0"/>
                          <w:divBdr>
                            <w:top w:val="none" w:sz="0" w:space="0" w:color="auto"/>
                            <w:left w:val="none" w:sz="0" w:space="0" w:color="auto"/>
                            <w:bottom w:val="none" w:sz="0" w:space="0" w:color="auto"/>
                            <w:right w:val="none" w:sz="0" w:space="0" w:color="auto"/>
                          </w:divBdr>
                          <w:divsChild>
                            <w:div w:id="32776197">
                              <w:marLeft w:val="0"/>
                              <w:marRight w:val="0"/>
                              <w:marTop w:val="0"/>
                              <w:marBottom w:val="0"/>
                              <w:divBdr>
                                <w:top w:val="none" w:sz="0" w:space="0" w:color="auto"/>
                                <w:left w:val="none" w:sz="0" w:space="0" w:color="auto"/>
                                <w:bottom w:val="none" w:sz="0" w:space="0" w:color="auto"/>
                                <w:right w:val="none" w:sz="0" w:space="0" w:color="auto"/>
                              </w:divBdr>
                              <w:divsChild>
                                <w:div w:id="1357151868">
                                  <w:marLeft w:val="0"/>
                                  <w:marRight w:val="0"/>
                                  <w:marTop w:val="0"/>
                                  <w:marBottom w:val="0"/>
                                  <w:divBdr>
                                    <w:top w:val="none" w:sz="0" w:space="0" w:color="auto"/>
                                    <w:left w:val="none" w:sz="0" w:space="0" w:color="auto"/>
                                    <w:bottom w:val="none" w:sz="0" w:space="0" w:color="auto"/>
                                    <w:right w:val="none" w:sz="0" w:space="0" w:color="auto"/>
                                  </w:divBdr>
                                  <w:divsChild>
                                    <w:div w:id="287862477">
                                      <w:marLeft w:val="0"/>
                                      <w:marRight w:val="0"/>
                                      <w:marTop w:val="0"/>
                                      <w:marBottom w:val="0"/>
                                      <w:divBdr>
                                        <w:top w:val="single" w:sz="6" w:space="0" w:color="F5F5F5"/>
                                        <w:left w:val="single" w:sz="6" w:space="0" w:color="F5F5F5"/>
                                        <w:bottom w:val="single" w:sz="6" w:space="0" w:color="F5F5F5"/>
                                        <w:right w:val="single" w:sz="6" w:space="0" w:color="F5F5F5"/>
                                      </w:divBdr>
                                      <w:divsChild>
                                        <w:div w:id="119420232">
                                          <w:marLeft w:val="0"/>
                                          <w:marRight w:val="0"/>
                                          <w:marTop w:val="0"/>
                                          <w:marBottom w:val="0"/>
                                          <w:divBdr>
                                            <w:top w:val="none" w:sz="0" w:space="0" w:color="auto"/>
                                            <w:left w:val="none" w:sz="0" w:space="0" w:color="auto"/>
                                            <w:bottom w:val="none" w:sz="0" w:space="0" w:color="auto"/>
                                            <w:right w:val="none" w:sz="0" w:space="0" w:color="auto"/>
                                          </w:divBdr>
                                          <w:divsChild>
                                            <w:div w:id="9588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794655">
      <w:bodyDiv w:val="1"/>
      <w:marLeft w:val="0"/>
      <w:marRight w:val="0"/>
      <w:marTop w:val="0"/>
      <w:marBottom w:val="0"/>
      <w:divBdr>
        <w:top w:val="none" w:sz="0" w:space="0" w:color="auto"/>
        <w:left w:val="none" w:sz="0" w:space="0" w:color="auto"/>
        <w:bottom w:val="none" w:sz="0" w:space="0" w:color="auto"/>
        <w:right w:val="none" w:sz="0" w:space="0" w:color="auto"/>
      </w:divBdr>
    </w:div>
    <w:div w:id="729227042">
      <w:bodyDiv w:val="1"/>
      <w:marLeft w:val="0"/>
      <w:marRight w:val="0"/>
      <w:marTop w:val="0"/>
      <w:marBottom w:val="0"/>
      <w:divBdr>
        <w:top w:val="none" w:sz="0" w:space="0" w:color="auto"/>
        <w:left w:val="none" w:sz="0" w:space="0" w:color="auto"/>
        <w:bottom w:val="none" w:sz="0" w:space="0" w:color="auto"/>
        <w:right w:val="none" w:sz="0" w:space="0" w:color="auto"/>
      </w:divBdr>
    </w:div>
    <w:div w:id="742147787">
      <w:bodyDiv w:val="1"/>
      <w:marLeft w:val="0"/>
      <w:marRight w:val="0"/>
      <w:marTop w:val="0"/>
      <w:marBottom w:val="0"/>
      <w:divBdr>
        <w:top w:val="none" w:sz="0" w:space="0" w:color="auto"/>
        <w:left w:val="none" w:sz="0" w:space="0" w:color="auto"/>
        <w:bottom w:val="none" w:sz="0" w:space="0" w:color="auto"/>
        <w:right w:val="none" w:sz="0" w:space="0" w:color="auto"/>
      </w:divBdr>
    </w:div>
    <w:div w:id="747727400">
      <w:bodyDiv w:val="1"/>
      <w:marLeft w:val="0"/>
      <w:marRight w:val="0"/>
      <w:marTop w:val="0"/>
      <w:marBottom w:val="0"/>
      <w:divBdr>
        <w:top w:val="none" w:sz="0" w:space="0" w:color="auto"/>
        <w:left w:val="none" w:sz="0" w:space="0" w:color="auto"/>
        <w:bottom w:val="none" w:sz="0" w:space="0" w:color="auto"/>
        <w:right w:val="none" w:sz="0" w:space="0" w:color="auto"/>
      </w:divBdr>
    </w:div>
    <w:div w:id="767232620">
      <w:bodyDiv w:val="1"/>
      <w:marLeft w:val="0"/>
      <w:marRight w:val="0"/>
      <w:marTop w:val="0"/>
      <w:marBottom w:val="0"/>
      <w:divBdr>
        <w:top w:val="none" w:sz="0" w:space="0" w:color="auto"/>
        <w:left w:val="none" w:sz="0" w:space="0" w:color="auto"/>
        <w:bottom w:val="none" w:sz="0" w:space="0" w:color="auto"/>
        <w:right w:val="none" w:sz="0" w:space="0" w:color="auto"/>
      </w:divBdr>
    </w:div>
    <w:div w:id="770124795">
      <w:bodyDiv w:val="1"/>
      <w:marLeft w:val="0"/>
      <w:marRight w:val="0"/>
      <w:marTop w:val="0"/>
      <w:marBottom w:val="0"/>
      <w:divBdr>
        <w:top w:val="none" w:sz="0" w:space="0" w:color="auto"/>
        <w:left w:val="none" w:sz="0" w:space="0" w:color="auto"/>
        <w:bottom w:val="none" w:sz="0" w:space="0" w:color="auto"/>
        <w:right w:val="none" w:sz="0" w:space="0" w:color="auto"/>
      </w:divBdr>
    </w:div>
    <w:div w:id="799687199">
      <w:bodyDiv w:val="1"/>
      <w:marLeft w:val="0"/>
      <w:marRight w:val="0"/>
      <w:marTop w:val="0"/>
      <w:marBottom w:val="0"/>
      <w:divBdr>
        <w:top w:val="none" w:sz="0" w:space="0" w:color="auto"/>
        <w:left w:val="none" w:sz="0" w:space="0" w:color="auto"/>
        <w:bottom w:val="none" w:sz="0" w:space="0" w:color="auto"/>
        <w:right w:val="none" w:sz="0" w:space="0" w:color="auto"/>
      </w:divBdr>
    </w:div>
    <w:div w:id="823551935">
      <w:bodyDiv w:val="1"/>
      <w:marLeft w:val="0"/>
      <w:marRight w:val="0"/>
      <w:marTop w:val="0"/>
      <w:marBottom w:val="0"/>
      <w:divBdr>
        <w:top w:val="none" w:sz="0" w:space="0" w:color="auto"/>
        <w:left w:val="none" w:sz="0" w:space="0" w:color="auto"/>
        <w:bottom w:val="none" w:sz="0" w:space="0" w:color="auto"/>
        <w:right w:val="none" w:sz="0" w:space="0" w:color="auto"/>
      </w:divBdr>
      <w:divsChild>
        <w:div w:id="55131452">
          <w:marLeft w:val="0"/>
          <w:marRight w:val="0"/>
          <w:marTop w:val="0"/>
          <w:marBottom w:val="0"/>
          <w:divBdr>
            <w:top w:val="none" w:sz="0" w:space="0" w:color="auto"/>
            <w:left w:val="none" w:sz="0" w:space="0" w:color="auto"/>
            <w:bottom w:val="none" w:sz="0" w:space="0" w:color="auto"/>
            <w:right w:val="none" w:sz="0" w:space="0" w:color="auto"/>
          </w:divBdr>
          <w:divsChild>
            <w:div w:id="313796418">
              <w:marLeft w:val="0"/>
              <w:marRight w:val="0"/>
              <w:marTop w:val="0"/>
              <w:marBottom w:val="0"/>
              <w:divBdr>
                <w:top w:val="none" w:sz="0" w:space="0" w:color="auto"/>
                <w:left w:val="none" w:sz="0" w:space="0" w:color="auto"/>
                <w:bottom w:val="none" w:sz="0" w:space="0" w:color="auto"/>
                <w:right w:val="none" w:sz="0" w:space="0" w:color="auto"/>
              </w:divBdr>
            </w:div>
            <w:div w:id="441075066">
              <w:marLeft w:val="0"/>
              <w:marRight w:val="0"/>
              <w:marTop w:val="0"/>
              <w:marBottom w:val="0"/>
              <w:divBdr>
                <w:top w:val="none" w:sz="0" w:space="0" w:color="auto"/>
                <w:left w:val="none" w:sz="0" w:space="0" w:color="auto"/>
                <w:bottom w:val="none" w:sz="0" w:space="0" w:color="auto"/>
                <w:right w:val="none" w:sz="0" w:space="0" w:color="auto"/>
              </w:divBdr>
            </w:div>
            <w:div w:id="9223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3208">
      <w:bodyDiv w:val="1"/>
      <w:marLeft w:val="0"/>
      <w:marRight w:val="0"/>
      <w:marTop w:val="0"/>
      <w:marBottom w:val="0"/>
      <w:divBdr>
        <w:top w:val="none" w:sz="0" w:space="0" w:color="auto"/>
        <w:left w:val="none" w:sz="0" w:space="0" w:color="auto"/>
        <w:bottom w:val="none" w:sz="0" w:space="0" w:color="auto"/>
        <w:right w:val="none" w:sz="0" w:space="0" w:color="auto"/>
      </w:divBdr>
    </w:div>
    <w:div w:id="854732781">
      <w:bodyDiv w:val="1"/>
      <w:marLeft w:val="0"/>
      <w:marRight w:val="0"/>
      <w:marTop w:val="0"/>
      <w:marBottom w:val="0"/>
      <w:divBdr>
        <w:top w:val="none" w:sz="0" w:space="0" w:color="auto"/>
        <w:left w:val="none" w:sz="0" w:space="0" w:color="auto"/>
        <w:bottom w:val="none" w:sz="0" w:space="0" w:color="auto"/>
        <w:right w:val="none" w:sz="0" w:space="0" w:color="auto"/>
      </w:divBdr>
    </w:div>
    <w:div w:id="864096477">
      <w:bodyDiv w:val="1"/>
      <w:marLeft w:val="0"/>
      <w:marRight w:val="0"/>
      <w:marTop w:val="0"/>
      <w:marBottom w:val="0"/>
      <w:divBdr>
        <w:top w:val="none" w:sz="0" w:space="0" w:color="auto"/>
        <w:left w:val="none" w:sz="0" w:space="0" w:color="auto"/>
        <w:bottom w:val="none" w:sz="0" w:space="0" w:color="auto"/>
        <w:right w:val="none" w:sz="0" w:space="0" w:color="auto"/>
      </w:divBdr>
    </w:div>
    <w:div w:id="869798974">
      <w:bodyDiv w:val="1"/>
      <w:marLeft w:val="0"/>
      <w:marRight w:val="0"/>
      <w:marTop w:val="0"/>
      <w:marBottom w:val="0"/>
      <w:divBdr>
        <w:top w:val="none" w:sz="0" w:space="0" w:color="auto"/>
        <w:left w:val="none" w:sz="0" w:space="0" w:color="auto"/>
        <w:bottom w:val="none" w:sz="0" w:space="0" w:color="auto"/>
        <w:right w:val="none" w:sz="0" w:space="0" w:color="auto"/>
      </w:divBdr>
    </w:div>
    <w:div w:id="871385347">
      <w:bodyDiv w:val="1"/>
      <w:marLeft w:val="0"/>
      <w:marRight w:val="0"/>
      <w:marTop w:val="0"/>
      <w:marBottom w:val="0"/>
      <w:divBdr>
        <w:top w:val="none" w:sz="0" w:space="0" w:color="auto"/>
        <w:left w:val="none" w:sz="0" w:space="0" w:color="auto"/>
        <w:bottom w:val="none" w:sz="0" w:space="0" w:color="auto"/>
        <w:right w:val="none" w:sz="0" w:space="0" w:color="auto"/>
      </w:divBdr>
    </w:div>
    <w:div w:id="880241536">
      <w:bodyDiv w:val="1"/>
      <w:marLeft w:val="0"/>
      <w:marRight w:val="0"/>
      <w:marTop w:val="0"/>
      <w:marBottom w:val="0"/>
      <w:divBdr>
        <w:top w:val="none" w:sz="0" w:space="0" w:color="auto"/>
        <w:left w:val="none" w:sz="0" w:space="0" w:color="auto"/>
        <w:bottom w:val="none" w:sz="0" w:space="0" w:color="auto"/>
        <w:right w:val="none" w:sz="0" w:space="0" w:color="auto"/>
      </w:divBdr>
      <w:divsChild>
        <w:div w:id="1519739342">
          <w:marLeft w:val="0"/>
          <w:marRight w:val="0"/>
          <w:marTop w:val="0"/>
          <w:marBottom w:val="0"/>
          <w:divBdr>
            <w:top w:val="none" w:sz="0" w:space="0" w:color="auto"/>
            <w:left w:val="none" w:sz="0" w:space="0" w:color="auto"/>
            <w:bottom w:val="none" w:sz="0" w:space="0" w:color="auto"/>
            <w:right w:val="none" w:sz="0" w:space="0" w:color="auto"/>
          </w:divBdr>
          <w:divsChild>
            <w:div w:id="649749503">
              <w:marLeft w:val="0"/>
              <w:marRight w:val="0"/>
              <w:marTop w:val="0"/>
              <w:marBottom w:val="0"/>
              <w:divBdr>
                <w:top w:val="none" w:sz="0" w:space="0" w:color="auto"/>
                <w:left w:val="none" w:sz="0" w:space="0" w:color="auto"/>
                <w:bottom w:val="none" w:sz="0" w:space="0" w:color="auto"/>
                <w:right w:val="none" w:sz="0" w:space="0" w:color="auto"/>
              </w:divBdr>
            </w:div>
            <w:div w:id="1329361884">
              <w:marLeft w:val="0"/>
              <w:marRight w:val="0"/>
              <w:marTop w:val="0"/>
              <w:marBottom w:val="0"/>
              <w:divBdr>
                <w:top w:val="none" w:sz="0" w:space="0" w:color="auto"/>
                <w:left w:val="none" w:sz="0" w:space="0" w:color="auto"/>
                <w:bottom w:val="none" w:sz="0" w:space="0" w:color="auto"/>
                <w:right w:val="none" w:sz="0" w:space="0" w:color="auto"/>
              </w:divBdr>
            </w:div>
            <w:div w:id="16185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1298">
      <w:bodyDiv w:val="1"/>
      <w:marLeft w:val="0"/>
      <w:marRight w:val="0"/>
      <w:marTop w:val="0"/>
      <w:marBottom w:val="0"/>
      <w:divBdr>
        <w:top w:val="none" w:sz="0" w:space="0" w:color="auto"/>
        <w:left w:val="none" w:sz="0" w:space="0" w:color="auto"/>
        <w:bottom w:val="none" w:sz="0" w:space="0" w:color="auto"/>
        <w:right w:val="none" w:sz="0" w:space="0" w:color="auto"/>
      </w:divBdr>
    </w:div>
    <w:div w:id="926839446">
      <w:bodyDiv w:val="1"/>
      <w:marLeft w:val="0"/>
      <w:marRight w:val="0"/>
      <w:marTop w:val="0"/>
      <w:marBottom w:val="0"/>
      <w:divBdr>
        <w:top w:val="none" w:sz="0" w:space="0" w:color="auto"/>
        <w:left w:val="none" w:sz="0" w:space="0" w:color="auto"/>
        <w:bottom w:val="none" w:sz="0" w:space="0" w:color="auto"/>
        <w:right w:val="none" w:sz="0" w:space="0" w:color="auto"/>
      </w:divBdr>
    </w:div>
    <w:div w:id="927271488">
      <w:bodyDiv w:val="1"/>
      <w:marLeft w:val="0"/>
      <w:marRight w:val="0"/>
      <w:marTop w:val="0"/>
      <w:marBottom w:val="0"/>
      <w:divBdr>
        <w:top w:val="none" w:sz="0" w:space="0" w:color="auto"/>
        <w:left w:val="none" w:sz="0" w:space="0" w:color="auto"/>
        <w:bottom w:val="none" w:sz="0" w:space="0" w:color="auto"/>
        <w:right w:val="none" w:sz="0" w:space="0" w:color="auto"/>
      </w:divBdr>
    </w:div>
    <w:div w:id="939332089">
      <w:bodyDiv w:val="1"/>
      <w:marLeft w:val="0"/>
      <w:marRight w:val="0"/>
      <w:marTop w:val="0"/>
      <w:marBottom w:val="0"/>
      <w:divBdr>
        <w:top w:val="none" w:sz="0" w:space="0" w:color="auto"/>
        <w:left w:val="none" w:sz="0" w:space="0" w:color="auto"/>
        <w:bottom w:val="none" w:sz="0" w:space="0" w:color="auto"/>
        <w:right w:val="none" w:sz="0" w:space="0" w:color="auto"/>
      </w:divBdr>
    </w:div>
    <w:div w:id="957368359">
      <w:bodyDiv w:val="1"/>
      <w:marLeft w:val="0"/>
      <w:marRight w:val="0"/>
      <w:marTop w:val="0"/>
      <w:marBottom w:val="0"/>
      <w:divBdr>
        <w:top w:val="none" w:sz="0" w:space="0" w:color="auto"/>
        <w:left w:val="none" w:sz="0" w:space="0" w:color="auto"/>
        <w:bottom w:val="none" w:sz="0" w:space="0" w:color="auto"/>
        <w:right w:val="none" w:sz="0" w:space="0" w:color="auto"/>
      </w:divBdr>
    </w:div>
    <w:div w:id="961611881">
      <w:bodyDiv w:val="1"/>
      <w:marLeft w:val="0"/>
      <w:marRight w:val="0"/>
      <w:marTop w:val="0"/>
      <w:marBottom w:val="0"/>
      <w:divBdr>
        <w:top w:val="none" w:sz="0" w:space="0" w:color="auto"/>
        <w:left w:val="none" w:sz="0" w:space="0" w:color="auto"/>
        <w:bottom w:val="none" w:sz="0" w:space="0" w:color="auto"/>
        <w:right w:val="none" w:sz="0" w:space="0" w:color="auto"/>
      </w:divBdr>
    </w:div>
    <w:div w:id="963927927">
      <w:bodyDiv w:val="1"/>
      <w:marLeft w:val="0"/>
      <w:marRight w:val="0"/>
      <w:marTop w:val="0"/>
      <w:marBottom w:val="0"/>
      <w:divBdr>
        <w:top w:val="none" w:sz="0" w:space="0" w:color="auto"/>
        <w:left w:val="none" w:sz="0" w:space="0" w:color="auto"/>
        <w:bottom w:val="none" w:sz="0" w:space="0" w:color="auto"/>
        <w:right w:val="none" w:sz="0" w:space="0" w:color="auto"/>
      </w:divBdr>
    </w:div>
    <w:div w:id="1002050644">
      <w:bodyDiv w:val="1"/>
      <w:marLeft w:val="0"/>
      <w:marRight w:val="0"/>
      <w:marTop w:val="0"/>
      <w:marBottom w:val="0"/>
      <w:divBdr>
        <w:top w:val="none" w:sz="0" w:space="0" w:color="auto"/>
        <w:left w:val="none" w:sz="0" w:space="0" w:color="auto"/>
        <w:bottom w:val="none" w:sz="0" w:space="0" w:color="auto"/>
        <w:right w:val="none" w:sz="0" w:space="0" w:color="auto"/>
      </w:divBdr>
    </w:div>
    <w:div w:id="1042437197">
      <w:bodyDiv w:val="1"/>
      <w:marLeft w:val="0"/>
      <w:marRight w:val="0"/>
      <w:marTop w:val="0"/>
      <w:marBottom w:val="0"/>
      <w:divBdr>
        <w:top w:val="none" w:sz="0" w:space="0" w:color="auto"/>
        <w:left w:val="none" w:sz="0" w:space="0" w:color="auto"/>
        <w:bottom w:val="none" w:sz="0" w:space="0" w:color="auto"/>
        <w:right w:val="none" w:sz="0" w:space="0" w:color="auto"/>
      </w:divBdr>
    </w:div>
    <w:div w:id="1057975850">
      <w:bodyDiv w:val="1"/>
      <w:marLeft w:val="0"/>
      <w:marRight w:val="0"/>
      <w:marTop w:val="0"/>
      <w:marBottom w:val="0"/>
      <w:divBdr>
        <w:top w:val="none" w:sz="0" w:space="0" w:color="auto"/>
        <w:left w:val="none" w:sz="0" w:space="0" w:color="auto"/>
        <w:bottom w:val="none" w:sz="0" w:space="0" w:color="auto"/>
        <w:right w:val="none" w:sz="0" w:space="0" w:color="auto"/>
      </w:divBdr>
      <w:divsChild>
        <w:div w:id="320935125">
          <w:marLeft w:val="0"/>
          <w:marRight w:val="0"/>
          <w:marTop w:val="0"/>
          <w:marBottom w:val="0"/>
          <w:divBdr>
            <w:top w:val="none" w:sz="0" w:space="0" w:color="auto"/>
            <w:left w:val="none" w:sz="0" w:space="0" w:color="auto"/>
            <w:bottom w:val="none" w:sz="0" w:space="0" w:color="auto"/>
            <w:right w:val="none" w:sz="0" w:space="0" w:color="auto"/>
          </w:divBdr>
          <w:divsChild>
            <w:div w:id="2019119213">
              <w:marLeft w:val="0"/>
              <w:marRight w:val="0"/>
              <w:marTop w:val="0"/>
              <w:marBottom w:val="0"/>
              <w:divBdr>
                <w:top w:val="none" w:sz="0" w:space="0" w:color="auto"/>
                <w:left w:val="none" w:sz="0" w:space="0" w:color="auto"/>
                <w:bottom w:val="none" w:sz="0" w:space="0" w:color="auto"/>
                <w:right w:val="none" w:sz="0" w:space="0" w:color="auto"/>
              </w:divBdr>
              <w:divsChild>
                <w:div w:id="1589533375">
                  <w:marLeft w:val="2250"/>
                  <w:marRight w:val="0"/>
                  <w:marTop w:val="0"/>
                  <w:marBottom w:val="0"/>
                  <w:divBdr>
                    <w:top w:val="single" w:sz="6" w:space="0" w:color="DDDDFF"/>
                    <w:left w:val="single" w:sz="6" w:space="0" w:color="DDDDFF"/>
                    <w:bottom w:val="single" w:sz="6" w:space="0" w:color="DDDDFF"/>
                    <w:right w:val="single" w:sz="6" w:space="0" w:color="DDDDFF"/>
                  </w:divBdr>
                  <w:divsChild>
                    <w:div w:id="2439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08569">
      <w:bodyDiv w:val="1"/>
      <w:marLeft w:val="0"/>
      <w:marRight w:val="0"/>
      <w:marTop w:val="0"/>
      <w:marBottom w:val="0"/>
      <w:divBdr>
        <w:top w:val="none" w:sz="0" w:space="0" w:color="auto"/>
        <w:left w:val="none" w:sz="0" w:space="0" w:color="auto"/>
        <w:bottom w:val="none" w:sz="0" w:space="0" w:color="auto"/>
        <w:right w:val="none" w:sz="0" w:space="0" w:color="auto"/>
      </w:divBdr>
    </w:div>
    <w:div w:id="1064181669">
      <w:bodyDiv w:val="1"/>
      <w:marLeft w:val="0"/>
      <w:marRight w:val="0"/>
      <w:marTop w:val="0"/>
      <w:marBottom w:val="0"/>
      <w:divBdr>
        <w:top w:val="none" w:sz="0" w:space="0" w:color="auto"/>
        <w:left w:val="none" w:sz="0" w:space="0" w:color="auto"/>
        <w:bottom w:val="none" w:sz="0" w:space="0" w:color="auto"/>
        <w:right w:val="none" w:sz="0" w:space="0" w:color="auto"/>
      </w:divBdr>
    </w:div>
    <w:div w:id="1074013430">
      <w:bodyDiv w:val="1"/>
      <w:marLeft w:val="0"/>
      <w:marRight w:val="0"/>
      <w:marTop w:val="0"/>
      <w:marBottom w:val="0"/>
      <w:divBdr>
        <w:top w:val="none" w:sz="0" w:space="0" w:color="auto"/>
        <w:left w:val="none" w:sz="0" w:space="0" w:color="auto"/>
        <w:bottom w:val="none" w:sz="0" w:space="0" w:color="auto"/>
        <w:right w:val="none" w:sz="0" w:space="0" w:color="auto"/>
      </w:divBdr>
    </w:div>
    <w:div w:id="1083989566">
      <w:bodyDiv w:val="1"/>
      <w:marLeft w:val="0"/>
      <w:marRight w:val="0"/>
      <w:marTop w:val="0"/>
      <w:marBottom w:val="0"/>
      <w:divBdr>
        <w:top w:val="none" w:sz="0" w:space="0" w:color="auto"/>
        <w:left w:val="none" w:sz="0" w:space="0" w:color="auto"/>
        <w:bottom w:val="none" w:sz="0" w:space="0" w:color="auto"/>
        <w:right w:val="none" w:sz="0" w:space="0" w:color="auto"/>
      </w:divBdr>
    </w:div>
    <w:div w:id="1090084359">
      <w:bodyDiv w:val="1"/>
      <w:marLeft w:val="0"/>
      <w:marRight w:val="0"/>
      <w:marTop w:val="0"/>
      <w:marBottom w:val="0"/>
      <w:divBdr>
        <w:top w:val="none" w:sz="0" w:space="0" w:color="auto"/>
        <w:left w:val="none" w:sz="0" w:space="0" w:color="auto"/>
        <w:bottom w:val="none" w:sz="0" w:space="0" w:color="auto"/>
        <w:right w:val="none" w:sz="0" w:space="0" w:color="auto"/>
      </w:divBdr>
    </w:div>
    <w:div w:id="1112894997">
      <w:bodyDiv w:val="1"/>
      <w:marLeft w:val="0"/>
      <w:marRight w:val="0"/>
      <w:marTop w:val="0"/>
      <w:marBottom w:val="0"/>
      <w:divBdr>
        <w:top w:val="none" w:sz="0" w:space="0" w:color="auto"/>
        <w:left w:val="none" w:sz="0" w:space="0" w:color="auto"/>
        <w:bottom w:val="none" w:sz="0" w:space="0" w:color="auto"/>
        <w:right w:val="none" w:sz="0" w:space="0" w:color="auto"/>
      </w:divBdr>
      <w:divsChild>
        <w:div w:id="1781099092">
          <w:marLeft w:val="0"/>
          <w:marRight w:val="0"/>
          <w:marTop w:val="0"/>
          <w:marBottom w:val="0"/>
          <w:divBdr>
            <w:top w:val="none" w:sz="0" w:space="0" w:color="auto"/>
            <w:left w:val="none" w:sz="0" w:space="0" w:color="auto"/>
            <w:bottom w:val="none" w:sz="0" w:space="0" w:color="auto"/>
            <w:right w:val="none" w:sz="0" w:space="0" w:color="auto"/>
          </w:divBdr>
          <w:divsChild>
            <w:div w:id="244071102">
              <w:marLeft w:val="0"/>
              <w:marRight w:val="0"/>
              <w:marTop w:val="0"/>
              <w:marBottom w:val="0"/>
              <w:divBdr>
                <w:top w:val="none" w:sz="0" w:space="0" w:color="auto"/>
                <w:left w:val="none" w:sz="0" w:space="0" w:color="auto"/>
                <w:bottom w:val="none" w:sz="0" w:space="0" w:color="auto"/>
                <w:right w:val="none" w:sz="0" w:space="0" w:color="auto"/>
              </w:divBdr>
            </w:div>
            <w:div w:id="5298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8049">
      <w:bodyDiv w:val="1"/>
      <w:marLeft w:val="0"/>
      <w:marRight w:val="0"/>
      <w:marTop w:val="0"/>
      <w:marBottom w:val="0"/>
      <w:divBdr>
        <w:top w:val="none" w:sz="0" w:space="0" w:color="auto"/>
        <w:left w:val="none" w:sz="0" w:space="0" w:color="auto"/>
        <w:bottom w:val="none" w:sz="0" w:space="0" w:color="auto"/>
        <w:right w:val="none" w:sz="0" w:space="0" w:color="auto"/>
      </w:divBdr>
    </w:div>
    <w:div w:id="1121148096">
      <w:bodyDiv w:val="1"/>
      <w:marLeft w:val="0"/>
      <w:marRight w:val="0"/>
      <w:marTop w:val="0"/>
      <w:marBottom w:val="0"/>
      <w:divBdr>
        <w:top w:val="none" w:sz="0" w:space="0" w:color="auto"/>
        <w:left w:val="none" w:sz="0" w:space="0" w:color="auto"/>
        <w:bottom w:val="none" w:sz="0" w:space="0" w:color="auto"/>
        <w:right w:val="none" w:sz="0" w:space="0" w:color="auto"/>
      </w:divBdr>
      <w:divsChild>
        <w:div w:id="539318266">
          <w:marLeft w:val="0"/>
          <w:marRight w:val="0"/>
          <w:marTop w:val="0"/>
          <w:marBottom w:val="0"/>
          <w:divBdr>
            <w:top w:val="none" w:sz="0" w:space="0" w:color="auto"/>
            <w:left w:val="none" w:sz="0" w:space="0" w:color="auto"/>
            <w:bottom w:val="none" w:sz="0" w:space="0" w:color="auto"/>
            <w:right w:val="none" w:sz="0" w:space="0" w:color="auto"/>
          </w:divBdr>
          <w:divsChild>
            <w:div w:id="374699984">
              <w:marLeft w:val="0"/>
              <w:marRight w:val="0"/>
              <w:marTop w:val="0"/>
              <w:marBottom w:val="0"/>
              <w:divBdr>
                <w:top w:val="none" w:sz="0" w:space="0" w:color="auto"/>
                <w:left w:val="none" w:sz="0" w:space="0" w:color="auto"/>
                <w:bottom w:val="none" w:sz="0" w:space="0" w:color="auto"/>
                <w:right w:val="none" w:sz="0" w:space="0" w:color="auto"/>
              </w:divBdr>
              <w:divsChild>
                <w:div w:id="71662574">
                  <w:marLeft w:val="0"/>
                  <w:marRight w:val="0"/>
                  <w:marTop w:val="0"/>
                  <w:marBottom w:val="0"/>
                  <w:divBdr>
                    <w:top w:val="none" w:sz="0" w:space="0" w:color="auto"/>
                    <w:left w:val="none" w:sz="0" w:space="0" w:color="auto"/>
                    <w:bottom w:val="none" w:sz="0" w:space="0" w:color="auto"/>
                    <w:right w:val="none" w:sz="0" w:space="0" w:color="auto"/>
                  </w:divBdr>
                  <w:divsChild>
                    <w:div w:id="268858453">
                      <w:marLeft w:val="0"/>
                      <w:marRight w:val="0"/>
                      <w:marTop w:val="0"/>
                      <w:marBottom w:val="0"/>
                      <w:divBdr>
                        <w:top w:val="none" w:sz="0" w:space="0" w:color="auto"/>
                        <w:left w:val="none" w:sz="0" w:space="0" w:color="auto"/>
                        <w:bottom w:val="none" w:sz="0" w:space="0" w:color="auto"/>
                        <w:right w:val="none" w:sz="0" w:space="0" w:color="auto"/>
                      </w:divBdr>
                      <w:divsChild>
                        <w:div w:id="2100516533">
                          <w:marLeft w:val="0"/>
                          <w:marRight w:val="0"/>
                          <w:marTop w:val="0"/>
                          <w:marBottom w:val="0"/>
                          <w:divBdr>
                            <w:top w:val="none" w:sz="0" w:space="0" w:color="auto"/>
                            <w:left w:val="none" w:sz="0" w:space="0" w:color="auto"/>
                            <w:bottom w:val="none" w:sz="0" w:space="0" w:color="auto"/>
                            <w:right w:val="none" w:sz="0" w:space="0" w:color="auto"/>
                          </w:divBdr>
                          <w:divsChild>
                            <w:div w:id="1943220387">
                              <w:marLeft w:val="0"/>
                              <w:marRight w:val="0"/>
                              <w:marTop w:val="0"/>
                              <w:marBottom w:val="0"/>
                              <w:divBdr>
                                <w:top w:val="none" w:sz="0" w:space="0" w:color="auto"/>
                                <w:left w:val="none" w:sz="0" w:space="0" w:color="auto"/>
                                <w:bottom w:val="none" w:sz="0" w:space="0" w:color="auto"/>
                                <w:right w:val="none" w:sz="0" w:space="0" w:color="auto"/>
                              </w:divBdr>
                              <w:divsChild>
                                <w:div w:id="494759526">
                                  <w:marLeft w:val="0"/>
                                  <w:marRight w:val="0"/>
                                  <w:marTop w:val="0"/>
                                  <w:marBottom w:val="0"/>
                                  <w:divBdr>
                                    <w:top w:val="none" w:sz="0" w:space="0" w:color="auto"/>
                                    <w:left w:val="none" w:sz="0" w:space="0" w:color="auto"/>
                                    <w:bottom w:val="none" w:sz="0" w:space="0" w:color="auto"/>
                                    <w:right w:val="none" w:sz="0" w:space="0" w:color="auto"/>
                                  </w:divBdr>
                                </w:div>
                                <w:div w:id="1117211475">
                                  <w:marLeft w:val="0"/>
                                  <w:marRight w:val="0"/>
                                  <w:marTop w:val="0"/>
                                  <w:marBottom w:val="0"/>
                                  <w:divBdr>
                                    <w:top w:val="none" w:sz="0" w:space="0" w:color="auto"/>
                                    <w:left w:val="none" w:sz="0" w:space="0" w:color="auto"/>
                                    <w:bottom w:val="none" w:sz="0" w:space="0" w:color="auto"/>
                                    <w:right w:val="none" w:sz="0" w:space="0" w:color="auto"/>
                                  </w:divBdr>
                                </w:div>
                                <w:div w:id="1463187108">
                                  <w:marLeft w:val="0"/>
                                  <w:marRight w:val="0"/>
                                  <w:marTop w:val="0"/>
                                  <w:marBottom w:val="0"/>
                                  <w:divBdr>
                                    <w:top w:val="none" w:sz="0" w:space="0" w:color="auto"/>
                                    <w:left w:val="none" w:sz="0" w:space="0" w:color="auto"/>
                                    <w:bottom w:val="none" w:sz="0" w:space="0" w:color="auto"/>
                                    <w:right w:val="none" w:sz="0" w:space="0" w:color="auto"/>
                                  </w:divBdr>
                                </w:div>
                                <w:div w:id="14692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3118">
      <w:bodyDiv w:val="1"/>
      <w:marLeft w:val="0"/>
      <w:marRight w:val="0"/>
      <w:marTop w:val="0"/>
      <w:marBottom w:val="0"/>
      <w:divBdr>
        <w:top w:val="none" w:sz="0" w:space="0" w:color="auto"/>
        <w:left w:val="none" w:sz="0" w:space="0" w:color="auto"/>
        <w:bottom w:val="none" w:sz="0" w:space="0" w:color="auto"/>
        <w:right w:val="none" w:sz="0" w:space="0" w:color="auto"/>
      </w:divBdr>
    </w:div>
    <w:div w:id="1126849823">
      <w:bodyDiv w:val="1"/>
      <w:marLeft w:val="0"/>
      <w:marRight w:val="0"/>
      <w:marTop w:val="0"/>
      <w:marBottom w:val="0"/>
      <w:divBdr>
        <w:top w:val="none" w:sz="0" w:space="0" w:color="auto"/>
        <w:left w:val="none" w:sz="0" w:space="0" w:color="auto"/>
        <w:bottom w:val="none" w:sz="0" w:space="0" w:color="auto"/>
        <w:right w:val="none" w:sz="0" w:space="0" w:color="auto"/>
      </w:divBdr>
    </w:div>
    <w:div w:id="1140878753">
      <w:bodyDiv w:val="1"/>
      <w:marLeft w:val="0"/>
      <w:marRight w:val="0"/>
      <w:marTop w:val="0"/>
      <w:marBottom w:val="0"/>
      <w:divBdr>
        <w:top w:val="none" w:sz="0" w:space="0" w:color="auto"/>
        <w:left w:val="none" w:sz="0" w:space="0" w:color="auto"/>
        <w:bottom w:val="none" w:sz="0" w:space="0" w:color="auto"/>
        <w:right w:val="none" w:sz="0" w:space="0" w:color="auto"/>
      </w:divBdr>
    </w:div>
    <w:div w:id="1151827239">
      <w:bodyDiv w:val="1"/>
      <w:marLeft w:val="0"/>
      <w:marRight w:val="0"/>
      <w:marTop w:val="0"/>
      <w:marBottom w:val="0"/>
      <w:divBdr>
        <w:top w:val="none" w:sz="0" w:space="0" w:color="auto"/>
        <w:left w:val="none" w:sz="0" w:space="0" w:color="auto"/>
        <w:bottom w:val="none" w:sz="0" w:space="0" w:color="auto"/>
        <w:right w:val="none" w:sz="0" w:space="0" w:color="auto"/>
      </w:divBdr>
    </w:div>
    <w:div w:id="1152259600">
      <w:bodyDiv w:val="1"/>
      <w:marLeft w:val="0"/>
      <w:marRight w:val="0"/>
      <w:marTop w:val="0"/>
      <w:marBottom w:val="0"/>
      <w:divBdr>
        <w:top w:val="none" w:sz="0" w:space="0" w:color="auto"/>
        <w:left w:val="none" w:sz="0" w:space="0" w:color="auto"/>
        <w:bottom w:val="none" w:sz="0" w:space="0" w:color="auto"/>
        <w:right w:val="none" w:sz="0" w:space="0" w:color="auto"/>
      </w:divBdr>
    </w:div>
    <w:div w:id="1165589999">
      <w:bodyDiv w:val="1"/>
      <w:marLeft w:val="0"/>
      <w:marRight w:val="0"/>
      <w:marTop w:val="0"/>
      <w:marBottom w:val="0"/>
      <w:divBdr>
        <w:top w:val="none" w:sz="0" w:space="0" w:color="auto"/>
        <w:left w:val="none" w:sz="0" w:space="0" w:color="auto"/>
        <w:bottom w:val="none" w:sz="0" w:space="0" w:color="auto"/>
        <w:right w:val="none" w:sz="0" w:space="0" w:color="auto"/>
      </w:divBdr>
    </w:div>
    <w:div w:id="1166743410">
      <w:bodyDiv w:val="1"/>
      <w:marLeft w:val="0"/>
      <w:marRight w:val="0"/>
      <w:marTop w:val="0"/>
      <w:marBottom w:val="0"/>
      <w:divBdr>
        <w:top w:val="none" w:sz="0" w:space="0" w:color="auto"/>
        <w:left w:val="none" w:sz="0" w:space="0" w:color="auto"/>
        <w:bottom w:val="none" w:sz="0" w:space="0" w:color="auto"/>
        <w:right w:val="none" w:sz="0" w:space="0" w:color="auto"/>
      </w:divBdr>
    </w:div>
    <w:div w:id="1178613647">
      <w:bodyDiv w:val="1"/>
      <w:marLeft w:val="0"/>
      <w:marRight w:val="0"/>
      <w:marTop w:val="0"/>
      <w:marBottom w:val="0"/>
      <w:divBdr>
        <w:top w:val="none" w:sz="0" w:space="0" w:color="auto"/>
        <w:left w:val="none" w:sz="0" w:space="0" w:color="auto"/>
        <w:bottom w:val="none" w:sz="0" w:space="0" w:color="auto"/>
        <w:right w:val="none" w:sz="0" w:space="0" w:color="auto"/>
      </w:divBdr>
    </w:div>
    <w:div w:id="1193496335">
      <w:bodyDiv w:val="1"/>
      <w:marLeft w:val="0"/>
      <w:marRight w:val="0"/>
      <w:marTop w:val="0"/>
      <w:marBottom w:val="0"/>
      <w:divBdr>
        <w:top w:val="none" w:sz="0" w:space="0" w:color="auto"/>
        <w:left w:val="none" w:sz="0" w:space="0" w:color="auto"/>
        <w:bottom w:val="none" w:sz="0" w:space="0" w:color="auto"/>
        <w:right w:val="none" w:sz="0" w:space="0" w:color="auto"/>
      </w:divBdr>
      <w:divsChild>
        <w:div w:id="909510081">
          <w:marLeft w:val="0"/>
          <w:marRight w:val="0"/>
          <w:marTop w:val="0"/>
          <w:marBottom w:val="0"/>
          <w:divBdr>
            <w:top w:val="none" w:sz="0" w:space="0" w:color="auto"/>
            <w:left w:val="none" w:sz="0" w:space="0" w:color="auto"/>
            <w:bottom w:val="none" w:sz="0" w:space="0" w:color="auto"/>
            <w:right w:val="none" w:sz="0" w:space="0" w:color="auto"/>
          </w:divBdr>
          <w:divsChild>
            <w:div w:id="2026662867">
              <w:marLeft w:val="0"/>
              <w:marRight w:val="0"/>
              <w:marTop w:val="0"/>
              <w:marBottom w:val="0"/>
              <w:divBdr>
                <w:top w:val="none" w:sz="0" w:space="0" w:color="auto"/>
                <w:left w:val="none" w:sz="0" w:space="0" w:color="auto"/>
                <w:bottom w:val="none" w:sz="0" w:space="0" w:color="auto"/>
                <w:right w:val="none" w:sz="0" w:space="0" w:color="auto"/>
              </w:divBdr>
              <w:divsChild>
                <w:div w:id="263075276">
                  <w:marLeft w:val="0"/>
                  <w:marRight w:val="0"/>
                  <w:marTop w:val="0"/>
                  <w:marBottom w:val="0"/>
                  <w:divBdr>
                    <w:top w:val="none" w:sz="0" w:space="0" w:color="auto"/>
                    <w:left w:val="none" w:sz="0" w:space="0" w:color="auto"/>
                    <w:bottom w:val="none" w:sz="0" w:space="0" w:color="auto"/>
                    <w:right w:val="none" w:sz="0" w:space="0" w:color="auto"/>
                  </w:divBdr>
                  <w:divsChild>
                    <w:div w:id="1567227981">
                      <w:marLeft w:val="0"/>
                      <w:marRight w:val="0"/>
                      <w:marTop w:val="0"/>
                      <w:marBottom w:val="0"/>
                      <w:divBdr>
                        <w:top w:val="none" w:sz="0" w:space="0" w:color="auto"/>
                        <w:left w:val="none" w:sz="0" w:space="0" w:color="auto"/>
                        <w:bottom w:val="none" w:sz="0" w:space="0" w:color="auto"/>
                        <w:right w:val="none" w:sz="0" w:space="0" w:color="auto"/>
                      </w:divBdr>
                      <w:divsChild>
                        <w:div w:id="1946423393">
                          <w:marLeft w:val="0"/>
                          <w:marRight w:val="0"/>
                          <w:marTop w:val="0"/>
                          <w:marBottom w:val="0"/>
                          <w:divBdr>
                            <w:top w:val="none" w:sz="0" w:space="0" w:color="auto"/>
                            <w:left w:val="none" w:sz="0" w:space="0" w:color="auto"/>
                            <w:bottom w:val="none" w:sz="0" w:space="0" w:color="auto"/>
                            <w:right w:val="none" w:sz="0" w:space="0" w:color="auto"/>
                          </w:divBdr>
                          <w:divsChild>
                            <w:div w:id="2006350990">
                              <w:marLeft w:val="0"/>
                              <w:marRight w:val="0"/>
                              <w:marTop w:val="0"/>
                              <w:marBottom w:val="0"/>
                              <w:divBdr>
                                <w:top w:val="none" w:sz="0" w:space="0" w:color="auto"/>
                                <w:left w:val="none" w:sz="0" w:space="0" w:color="auto"/>
                                <w:bottom w:val="none" w:sz="0" w:space="0" w:color="auto"/>
                                <w:right w:val="none" w:sz="0" w:space="0" w:color="auto"/>
                              </w:divBdr>
                              <w:divsChild>
                                <w:div w:id="16116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195853">
      <w:bodyDiv w:val="1"/>
      <w:marLeft w:val="0"/>
      <w:marRight w:val="0"/>
      <w:marTop w:val="0"/>
      <w:marBottom w:val="0"/>
      <w:divBdr>
        <w:top w:val="none" w:sz="0" w:space="0" w:color="auto"/>
        <w:left w:val="none" w:sz="0" w:space="0" w:color="auto"/>
        <w:bottom w:val="none" w:sz="0" w:space="0" w:color="auto"/>
        <w:right w:val="none" w:sz="0" w:space="0" w:color="auto"/>
      </w:divBdr>
    </w:div>
    <w:div w:id="1260024126">
      <w:bodyDiv w:val="1"/>
      <w:marLeft w:val="0"/>
      <w:marRight w:val="0"/>
      <w:marTop w:val="0"/>
      <w:marBottom w:val="0"/>
      <w:divBdr>
        <w:top w:val="none" w:sz="0" w:space="0" w:color="auto"/>
        <w:left w:val="none" w:sz="0" w:space="0" w:color="auto"/>
        <w:bottom w:val="none" w:sz="0" w:space="0" w:color="auto"/>
        <w:right w:val="none" w:sz="0" w:space="0" w:color="auto"/>
      </w:divBdr>
    </w:div>
    <w:div w:id="1286696635">
      <w:bodyDiv w:val="1"/>
      <w:marLeft w:val="0"/>
      <w:marRight w:val="0"/>
      <w:marTop w:val="0"/>
      <w:marBottom w:val="0"/>
      <w:divBdr>
        <w:top w:val="none" w:sz="0" w:space="0" w:color="auto"/>
        <w:left w:val="none" w:sz="0" w:space="0" w:color="auto"/>
        <w:bottom w:val="none" w:sz="0" w:space="0" w:color="auto"/>
        <w:right w:val="none" w:sz="0" w:space="0" w:color="auto"/>
      </w:divBdr>
    </w:div>
    <w:div w:id="1319110675">
      <w:bodyDiv w:val="1"/>
      <w:marLeft w:val="0"/>
      <w:marRight w:val="0"/>
      <w:marTop w:val="0"/>
      <w:marBottom w:val="0"/>
      <w:divBdr>
        <w:top w:val="none" w:sz="0" w:space="0" w:color="auto"/>
        <w:left w:val="none" w:sz="0" w:space="0" w:color="auto"/>
        <w:bottom w:val="none" w:sz="0" w:space="0" w:color="auto"/>
        <w:right w:val="none" w:sz="0" w:space="0" w:color="auto"/>
      </w:divBdr>
    </w:div>
    <w:div w:id="1365134915">
      <w:bodyDiv w:val="1"/>
      <w:marLeft w:val="0"/>
      <w:marRight w:val="0"/>
      <w:marTop w:val="0"/>
      <w:marBottom w:val="0"/>
      <w:divBdr>
        <w:top w:val="none" w:sz="0" w:space="0" w:color="auto"/>
        <w:left w:val="none" w:sz="0" w:space="0" w:color="auto"/>
        <w:bottom w:val="none" w:sz="0" w:space="0" w:color="auto"/>
        <w:right w:val="none" w:sz="0" w:space="0" w:color="auto"/>
      </w:divBdr>
    </w:div>
    <w:div w:id="1386491626">
      <w:bodyDiv w:val="1"/>
      <w:marLeft w:val="0"/>
      <w:marRight w:val="0"/>
      <w:marTop w:val="0"/>
      <w:marBottom w:val="0"/>
      <w:divBdr>
        <w:top w:val="none" w:sz="0" w:space="0" w:color="auto"/>
        <w:left w:val="none" w:sz="0" w:space="0" w:color="auto"/>
        <w:bottom w:val="none" w:sz="0" w:space="0" w:color="auto"/>
        <w:right w:val="none" w:sz="0" w:space="0" w:color="auto"/>
      </w:divBdr>
    </w:div>
    <w:div w:id="1423335779">
      <w:bodyDiv w:val="1"/>
      <w:marLeft w:val="0"/>
      <w:marRight w:val="0"/>
      <w:marTop w:val="0"/>
      <w:marBottom w:val="0"/>
      <w:divBdr>
        <w:top w:val="none" w:sz="0" w:space="0" w:color="auto"/>
        <w:left w:val="none" w:sz="0" w:space="0" w:color="auto"/>
        <w:bottom w:val="none" w:sz="0" w:space="0" w:color="auto"/>
        <w:right w:val="none" w:sz="0" w:space="0" w:color="auto"/>
      </w:divBdr>
    </w:div>
    <w:div w:id="1436290749">
      <w:bodyDiv w:val="1"/>
      <w:marLeft w:val="0"/>
      <w:marRight w:val="0"/>
      <w:marTop w:val="0"/>
      <w:marBottom w:val="0"/>
      <w:divBdr>
        <w:top w:val="none" w:sz="0" w:space="0" w:color="auto"/>
        <w:left w:val="none" w:sz="0" w:space="0" w:color="auto"/>
        <w:bottom w:val="none" w:sz="0" w:space="0" w:color="auto"/>
        <w:right w:val="none" w:sz="0" w:space="0" w:color="auto"/>
      </w:divBdr>
    </w:div>
    <w:div w:id="1437408930">
      <w:bodyDiv w:val="1"/>
      <w:marLeft w:val="0"/>
      <w:marRight w:val="0"/>
      <w:marTop w:val="0"/>
      <w:marBottom w:val="0"/>
      <w:divBdr>
        <w:top w:val="none" w:sz="0" w:space="0" w:color="auto"/>
        <w:left w:val="none" w:sz="0" w:space="0" w:color="auto"/>
        <w:bottom w:val="none" w:sz="0" w:space="0" w:color="auto"/>
        <w:right w:val="none" w:sz="0" w:space="0" w:color="auto"/>
      </w:divBdr>
    </w:div>
    <w:div w:id="1467580041">
      <w:bodyDiv w:val="1"/>
      <w:marLeft w:val="0"/>
      <w:marRight w:val="0"/>
      <w:marTop w:val="0"/>
      <w:marBottom w:val="0"/>
      <w:divBdr>
        <w:top w:val="none" w:sz="0" w:space="0" w:color="auto"/>
        <w:left w:val="none" w:sz="0" w:space="0" w:color="auto"/>
        <w:bottom w:val="none" w:sz="0" w:space="0" w:color="auto"/>
        <w:right w:val="none" w:sz="0" w:space="0" w:color="auto"/>
      </w:divBdr>
    </w:div>
    <w:div w:id="1471510663">
      <w:bodyDiv w:val="1"/>
      <w:marLeft w:val="0"/>
      <w:marRight w:val="0"/>
      <w:marTop w:val="0"/>
      <w:marBottom w:val="0"/>
      <w:divBdr>
        <w:top w:val="none" w:sz="0" w:space="0" w:color="auto"/>
        <w:left w:val="none" w:sz="0" w:space="0" w:color="auto"/>
        <w:bottom w:val="none" w:sz="0" w:space="0" w:color="auto"/>
        <w:right w:val="none" w:sz="0" w:space="0" w:color="auto"/>
      </w:divBdr>
    </w:div>
    <w:div w:id="1475751481">
      <w:bodyDiv w:val="1"/>
      <w:marLeft w:val="0"/>
      <w:marRight w:val="0"/>
      <w:marTop w:val="0"/>
      <w:marBottom w:val="0"/>
      <w:divBdr>
        <w:top w:val="none" w:sz="0" w:space="0" w:color="auto"/>
        <w:left w:val="none" w:sz="0" w:space="0" w:color="auto"/>
        <w:bottom w:val="none" w:sz="0" w:space="0" w:color="auto"/>
        <w:right w:val="none" w:sz="0" w:space="0" w:color="auto"/>
      </w:divBdr>
    </w:div>
    <w:div w:id="1482230680">
      <w:bodyDiv w:val="1"/>
      <w:marLeft w:val="0"/>
      <w:marRight w:val="0"/>
      <w:marTop w:val="0"/>
      <w:marBottom w:val="0"/>
      <w:divBdr>
        <w:top w:val="none" w:sz="0" w:space="0" w:color="auto"/>
        <w:left w:val="none" w:sz="0" w:space="0" w:color="auto"/>
        <w:bottom w:val="none" w:sz="0" w:space="0" w:color="auto"/>
        <w:right w:val="none" w:sz="0" w:space="0" w:color="auto"/>
      </w:divBdr>
    </w:div>
    <w:div w:id="1482769155">
      <w:bodyDiv w:val="1"/>
      <w:marLeft w:val="0"/>
      <w:marRight w:val="0"/>
      <w:marTop w:val="0"/>
      <w:marBottom w:val="0"/>
      <w:divBdr>
        <w:top w:val="none" w:sz="0" w:space="0" w:color="auto"/>
        <w:left w:val="none" w:sz="0" w:space="0" w:color="auto"/>
        <w:bottom w:val="none" w:sz="0" w:space="0" w:color="auto"/>
        <w:right w:val="none" w:sz="0" w:space="0" w:color="auto"/>
      </w:divBdr>
    </w:div>
    <w:div w:id="1533882173">
      <w:bodyDiv w:val="1"/>
      <w:marLeft w:val="0"/>
      <w:marRight w:val="0"/>
      <w:marTop w:val="0"/>
      <w:marBottom w:val="0"/>
      <w:divBdr>
        <w:top w:val="none" w:sz="0" w:space="0" w:color="auto"/>
        <w:left w:val="none" w:sz="0" w:space="0" w:color="auto"/>
        <w:bottom w:val="none" w:sz="0" w:space="0" w:color="auto"/>
        <w:right w:val="none" w:sz="0" w:space="0" w:color="auto"/>
      </w:divBdr>
    </w:div>
    <w:div w:id="1548566313">
      <w:bodyDiv w:val="1"/>
      <w:marLeft w:val="0"/>
      <w:marRight w:val="0"/>
      <w:marTop w:val="0"/>
      <w:marBottom w:val="0"/>
      <w:divBdr>
        <w:top w:val="none" w:sz="0" w:space="0" w:color="auto"/>
        <w:left w:val="none" w:sz="0" w:space="0" w:color="auto"/>
        <w:bottom w:val="none" w:sz="0" w:space="0" w:color="auto"/>
        <w:right w:val="none" w:sz="0" w:space="0" w:color="auto"/>
      </w:divBdr>
    </w:div>
    <w:div w:id="1557623805">
      <w:bodyDiv w:val="1"/>
      <w:marLeft w:val="0"/>
      <w:marRight w:val="0"/>
      <w:marTop w:val="0"/>
      <w:marBottom w:val="0"/>
      <w:divBdr>
        <w:top w:val="none" w:sz="0" w:space="0" w:color="auto"/>
        <w:left w:val="none" w:sz="0" w:space="0" w:color="auto"/>
        <w:bottom w:val="none" w:sz="0" w:space="0" w:color="auto"/>
        <w:right w:val="none" w:sz="0" w:space="0" w:color="auto"/>
      </w:divBdr>
    </w:div>
    <w:div w:id="1574393952">
      <w:bodyDiv w:val="1"/>
      <w:marLeft w:val="0"/>
      <w:marRight w:val="0"/>
      <w:marTop w:val="0"/>
      <w:marBottom w:val="0"/>
      <w:divBdr>
        <w:top w:val="none" w:sz="0" w:space="0" w:color="auto"/>
        <w:left w:val="none" w:sz="0" w:space="0" w:color="auto"/>
        <w:bottom w:val="none" w:sz="0" w:space="0" w:color="auto"/>
        <w:right w:val="none" w:sz="0" w:space="0" w:color="auto"/>
      </w:divBdr>
    </w:div>
    <w:div w:id="1581721416">
      <w:bodyDiv w:val="1"/>
      <w:marLeft w:val="0"/>
      <w:marRight w:val="0"/>
      <w:marTop w:val="0"/>
      <w:marBottom w:val="0"/>
      <w:divBdr>
        <w:top w:val="none" w:sz="0" w:space="0" w:color="auto"/>
        <w:left w:val="none" w:sz="0" w:space="0" w:color="auto"/>
        <w:bottom w:val="none" w:sz="0" w:space="0" w:color="auto"/>
        <w:right w:val="none" w:sz="0" w:space="0" w:color="auto"/>
      </w:divBdr>
    </w:div>
    <w:div w:id="1598367894">
      <w:bodyDiv w:val="1"/>
      <w:marLeft w:val="0"/>
      <w:marRight w:val="0"/>
      <w:marTop w:val="0"/>
      <w:marBottom w:val="0"/>
      <w:divBdr>
        <w:top w:val="none" w:sz="0" w:space="0" w:color="auto"/>
        <w:left w:val="none" w:sz="0" w:space="0" w:color="auto"/>
        <w:bottom w:val="none" w:sz="0" w:space="0" w:color="auto"/>
        <w:right w:val="none" w:sz="0" w:space="0" w:color="auto"/>
      </w:divBdr>
      <w:divsChild>
        <w:div w:id="1082875960">
          <w:marLeft w:val="0"/>
          <w:marRight w:val="0"/>
          <w:marTop w:val="0"/>
          <w:marBottom w:val="0"/>
          <w:divBdr>
            <w:top w:val="none" w:sz="0" w:space="0" w:color="auto"/>
            <w:left w:val="none" w:sz="0" w:space="0" w:color="auto"/>
            <w:bottom w:val="none" w:sz="0" w:space="0" w:color="auto"/>
            <w:right w:val="none" w:sz="0" w:space="0" w:color="auto"/>
          </w:divBdr>
          <w:divsChild>
            <w:div w:id="207569465">
              <w:marLeft w:val="0"/>
              <w:marRight w:val="0"/>
              <w:marTop w:val="0"/>
              <w:marBottom w:val="0"/>
              <w:divBdr>
                <w:top w:val="none" w:sz="0" w:space="0" w:color="auto"/>
                <w:left w:val="none" w:sz="0" w:space="0" w:color="auto"/>
                <w:bottom w:val="none" w:sz="0" w:space="0" w:color="auto"/>
                <w:right w:val="none" w:sz="0" w:space="0" w:color="auto"/>
              </w:divBdr>
            </w:div>
            <w:div w:id="226648575">
              <w:marLeft w:val="0"/>
              <w:marRight w:val="0"/>
              <w:marTop w:val="0"/>
              <w:marBottom w:val="0"/>
              <w:divBdr>
                <w:top w:val="none" w:sz="0" w:space="0" w:color="auto"/>
                <w:left w:val="none" w:sz="0" w:space="0" w:color="auto"/>
                <w:bottom w:val="none" w:sz="0" w:space="0" w:color="auto"/>
                <w:right w:val="none" w:sz="0" w:space="0" w:color="auto"/>
              </w:divBdr>
            </w:div>
            <w:div w:id="232740398">
              <w:marLeft w:val="0"/>
              <w:marRight w:val="0"/>
              <w:marTop w:val="0"/>
              <w:marBottom w:val="0"/>
              <w:divBdr>
                <w:top w:val="none" w:sz="0" w:space="0" w:color="auto"/>
                <w:left w:val="none" w:sz="0" w:space="0" w:color="auto"/>
                <w:bottom w:val="none" w:sz="0" w:space="0" w:color="auto"/>
                <w:right w:val="none" w:sz="0" w:space="0" w:color="auto"/>
              </w:divBdr>
            </w:div>
            <w:div w:id="260800096">
              <w:marLeft w:val="0"/>
              <w:marRight w:val="0"/>
              <w:marTop w:val="0"/>
              <w:marBottom w:val="0"/>
              <w:divBdr>
                <w:top w:val="none" w:sz="0" w:space="0" w:color="auto"/>
                <w:left w:val="none" w:sz="0" w:space="0" w:color="auto"/>
                <w:bottom w:val="none" w:sz="0" w:space="0" w:color="auto"/>
                <w:right w:val="none" w:sz="0" w:space="0" w:color="auto"/>
              </w:divBdr>
            </w:div>
            <w:div w:id="313607391">
              <w:marLeft w:val="0"/>
              <w:marRight w:val="0"/>
              <w:marTop w:val="0"/>
              <w:marBottom w:val="0"/>
              <w:divBdr>
                <w:top w:val="none" w:sz="0" w:space="0" w:color="auto"/>
                <w:left w:val="none" w:sz="0" w:space="0" w:color="auto"/>
                <w:bottom w:val="none" w:sz="0" w:space="0" w:color="auto"/>
                <w:right w:val="none" w:sz="0" w:space="0" w:color="auto"/>
              </w:divBdr>
            </w:div>
            <w:div w:id="538250254">
              <w:marLeft w:val="0"/>
              <w:marRight w:val="0"/>
              <w:marTop w:val="0"/>
              <w:marBottom w:val="0"/>
              <w:divBdr>
                <w:top w:val="none" w:sz="0" w:space="0" w:color="auto"/>
                <w:left w:val="none" w:sz="0" w:space="0" w:color="auto"/>
                <w:bottom w:val="none" w:sz="0" w:space="0" w:color="auto"/>
                <w:right w:val="none" w:sz="0" w:space="0" w:color="auto"/>
              </w:divBdr>
            </w:div>
            <w:div w:id="719204378">
              <w:marLeft w:val="0"/>
              <w:marRight w:val="0"/>
              <w:marTop w:val="0"/>
              <w:marBottom w:val="0"/>
              <w:divBdr>
                <w:top w:val="none" w:sz="0" w:space="0" w:color="auto"/>
                <w:left w:val="none" w:sz="0" w:space="0" w:color="auto"/>
                <w:bottom w:val="none" w:sz="0" w:space="0" w:color="auto"/>
                <w:right w:val="none" w:sz="0" w:space="0" w:color="auto"/>
              </w:divBdr>
            </w:div>
            <w:div w:id="788624861">
              <w:marLeft w:val="0"/>
              <w:marRight w:val="0"/>
              <w:marTop w:val="0"/>
              <w:marBottom w:val="0"/>
              <w:divBdr>
                <w:top w:val="none" w:sz="0" w:space="0" w:color="auto"/>
                <w:left w:val="none" w:sz="0" w:space="0" w:color="auto"/>
                <w:bottom w:val="none" w:sz="0" w:space="0" w:color="auto"/>
                <w:right w:val="none" w:sz="0" w:space="0" w:color="auto"/>
              </w:divBdr>
            </w:div>
            <w:div w:id="1132749272">
              <w:marLeft w:val="0"/>
              <w:marRight w:val="0"/>
              <w:marTop w:val="0"/>
              <w:marBottom w:val="0"/>
              <w:divBdr>
                <w:top w:val="none" w:sz="0" w:space="0" w:color="auto"/>
                <w:left w:val="none" w:sz="0" w:space="0" w:color="auto"/>
                <w:bottom w:val="none" w:sz="0" w:space="0" w:color="auto"/>
                <w:right w:val="none" w:sz="0" w:space="0" w:color="auto"/>
              </w:divBdr>
            </w:div>
            <w:div w:id="1328284146">
              <w:marLeft w:val="0"/>
              <w:marRight w:val="0"/>
              <w:marTop w:val="0"/>
              <w:marBottom w:val="0"/>
              <w:divBdr>
                <w:top w:val="none" w:sz="0" w:space="0" w:color="auto"/>
                <w:left w:val="none" w:sz="0" w:space="0" w:color="auto"/>
                <w:bottom w:val="none" w:sz="0" w:space="0" w:color="auto"/>
                <w:right w:val="none" w:sz="0" w:space="0" w:color="auto"/>
              </w:divBdr>
            </w:div>
            <w:div w:id="1351832722">
              <w:marLeft w:val="0"/>
              <w:marRight w:val="0"/>
              <w:marTop w:val="0"/>
              <w:marBottom w:val="0"/>
              <w:divBdr>
                <w:top w:val="none" w:sz="0" w:space="0" w:color="auto"/>
                <w:left w:val="none" w:sz="0" w:space="0" w:color="auto"/>
                <w:bottom w:val="none" w:sz="0" w:space="0" w:color="auto"/>
                <w:right w:val="none" w:sz="0" w:space="0" w:color="auto"/>
              </w:divBdr>
            </w:div>
            <w:div w:id="1431311648">
              <w:marLeft w:val="0"/>
              <w:marRight w:val="0"/>
              <w:marTop w:val="0"/>
              <w:marBottom w:val="0"/>
              <w:divBdr>
                <w:top w:val="none" w:sz="0" w:space="0" w:color="auto"/>
                <w:left w:val="none" w:sz="0" w:space="0" w:color="auto"/>
                <w:bottom w:val="none" w:sz="0" w:space="0" w:color="auto"/>
                <w:right w:val="none" w:sz="0" w:space="0" w:color="auto"/>
              </w:divBdr>
            </w:div>
            <w:div w:id="1727608010">
              <w:marLeft w:val="0"/>
              <w:marRight w:val="0"/>
              <w:marTop w:val="0"/>
              <w:marBottom w:val="0"/>
              <w:divBdr>
                <w:top w:val="none" w:sz="0" w:space="0" w:color="auto"/>
                <w:left w:val="none" w:sz="0" w:space="0" w:color="auto"/>
                <w:bottom w:val="none" w:sz="0" w:space="0" w:color="auto"/>
                <w:right w:val="none" w:sz="0" w:space="0" w:color="auto"/>
              </w:divBdr>
            </w:div>
            <w:div w:id="1948921352">
              <w:marLeft w:val="0"/>
              <w:marRight w:val="0"/>
              <w:marTop w:val="0"/>
              <w:marBottom w:val="0"/>
              <w:divBdr>
                <w:top w:val="none" w:sz="0" w:space="0" w:color="auto"/>
                <w:left w:val="none" w:sz="0" w:space="0" w:color="auto"/>
                <w:bottom w:val="none" w:sz="0" w:space="0" w:color="auto"/>
                <w:right w:val="none" w:sz="0" w:space="0" w:color="auto"/>
              </w:divBdr>
            </w:div>
            <w:div w:id="20544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74441">
      <w:bodyDiv w:val="1"/>
      <w:marLeft w:val="0"/>
      <w:marRight w:val="0"/>
      <w:marTop w:val="0"/>
      <w:marBottom w:val="0"/>
      <w:divBdr>
        <w:top w:val="none" w:sz="0" w:space="0" w:color="auto"/>
        <w:left w:val="none" w:sz="0" w:space="0" w:color="auto"/>
        <w:bottom w:val="none" w:sz="0" w:space="0" w:color="auto"/>
        <w:right w:val="none" w:sz="0" w:space="0" w:color="auto"/>
      </w:divBdr>
      <w:divsChild>
        <w:div w:id="229659179">
          <w:marLeft w:val="0"/>
          <w:marRight w:val="0"/>
          <w:marTop w:val="75"/>
          <w:marBottom w:val="75"/>
          <w:divBdr>
            <w:top w:val="none" w:sz="0" w:space="0" w:color="auto"/>
            <w:left w:val="none" w:sz="0" w:space="0" w:color="auto"/>
            <w:bottom w:val="none" w:sz="0" w:space="0" w:color="auto"/>
            <w:right w:val="none" w:sz="0" w:space="0" w:color="auto"/>
          </w:divBdr>
          <w:divsChild>
            <w:div w:id="1307584004">
              <w:marLeft w:val="0"/>
              <w:marRight w:val="0"/>
              <w:marTop w:val="75"/>
              <w:marBottom w:val="0"/>
              <w:divBdr>
                <w:top w:val="none" w:sz="0" w:space="0" w:color="auto"/>
                <w:left w:val="none" w:sz="0" w:space="0" w:color="auto"/>
                <w:bottom w:val="none" w:sz="0" w:space="0" w:color="auto"/>
                <w:right w:val="none" w:sz="0" w:space="0" w:color="auto"/>
              </w:divBdr>
              <w:divsChild>
                <w:div w:id="1367173319">
                  <w:marLeft w:val="0"/>
                  <w:marRight w:val="0"/>
                  <w:marTop w:val="0"/>
                  <w:marBottom w:val="0"/>
                  <w:divBdr>
                    <w:top w:val="none" w:sz="0" w:space="0" w:color="auto"/>
                    <w:left w:val="none" w:sz="0" w:space="0" w:color="auto"/>
                    <w:bottom w:val="none" w:sz="0" w:space="0" w:color="auto"/>
                    <w:right w:val="none" w:sz="0" w:space="0" w:color="auto"/>
                  </w:divBdr>
                  <w:divsChild>
                    <w:div w:id="932511757">
                      <w:marLeft w:val="0"/>
                      <w:marRight w:val="0"/>
                      <w:marTop w:val="75"/>
                      <w:marBottom w:val="75"/>
                      <w:divBdr>
                        <w:top w:val="none" w:sz="0" w:space="0" w:color="auto"/>
                        <w:left w:val="none" w:sz="0" w:space="0" w:color="auto"/>
                        <w:bottom w:val="none" w:sz="0" w:space="0" w:color="auto"/>
                        <w:right w:val="none" w:sz="0" w:space="0" w:color="auto"/>
                      </w:divBdr>
                      <w:divsChild>
                        <w:div w:id="142456744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71973669">
                      <w:marLeft w:val="0"/>
                      <w:marRight w:val="0"/>
                      <w:marTop w:val="0"/>
                      <w:marBottom w:val="0"/>
                      <w:divBdr>
                        <w:top w:val="none" w:sz="0" w:space="0" w:color="auto"/>
                        <w:left w:val="none" w:sz="0" w:space="0" w:color="auto"/>
                        <w:bottom w:val="none" w:sz="0" w:space="0" w:color="auto"/>
                        <w:right w:val="none" w:sz="0" w:space="0" w:color="auto"/>
                      </w:divBdr>
                    </w:div>
                    <w:div w:id="18670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59120">
      <w:bodyDiv w:val="1"/>
      <w:marLeft w:val="0"/>
      <w:marRight w:val="0"/>
      <w:marTop w:val="0"/>
      <w:marBottom w:val="0"/>
      <w:divBdr>
        <w:top w:val="none" w:sz="0" w:space="0" w:color="auto"/>
        <w:left w:val="none" w:sz="0" w:space="0" w:color="auto"/>
        <w:bottom w:val="none" w:sz="0" w:space="0" w:color="auto"/>
        <w:right w:val="none" w:sz="0" w:space="0" w:color="auto"/>
      </w:divBdr>
    </w:div>
    <w:div w:id="1663391027">
      <w:bodyDiv w:val="1"/>
      <w:marLeft w:val="0"/>
      <w:marRight w:val="0"/>
      <w:marTop w:val="0"/>
      <w:marBottom w:val="0"/>
      <w:divBdr>
        <w:top w:val="none" w:sz="0" w:space="0" w:color="auto"/>
        <w:left w:val="none" w:sz="0" w:space="0" w:color="auto"/>
        <w:bottom w:val="none" w:sz="0" w:space="0" w:color="auto"/>
        <w:right w:val="none" w:sz="0" w:space="0" w:color="auto"/>
      </w:divBdr>
      <w:divsChild>
        <w:div w:id="276958962">
          <w:marLeft w:val="0"/>
          <w:marRight w:val="0"/>
          <w:marTop w:val="0"/>
          <w:marBottom w:val="0"/>
          <w:divBdr>
            <w:top w:val="none" w:sz="0" w:space="0" w:color="auto"/>
            <w:left w:val="none" w:sz="0" w:space="0" w:color="auto"/>
            <w:bottom w:val="none" w:sz="0" w:space="0" w:color="auto"/>
            <w:right w:val="none" w:sz="0" w:space="0" w:color="auto"/>
          </w:divBdr>
          <w:divsChild>
            <w:div w:id="1465542292">
              <w:marLeft w:val="0"/>
              <w:marRight w:val="0"/>
              <w:marTop w:val="0"/>
              <w:marBottom w:val="0"/>
              <w:divBdr>
                <w:top w:val="none" w:sz="0" w:space="0" w:color="auto"/>
                <w:left w:val="none" w:sz="0" w:space="0" w:color="auto"/>
                <w:bottom w:val="none" w:sz="0" w:space="0" w:color="auto"/>
                <w:right w:val="none" w:sz="0" w:space="0" w:color="auto"/>
              </w:divBdr>
            </w:div>
            <w:div w:id="1855924798">
              <w:marLeft w:val="0"/>
              <w:marRight w:val="0"/>
              <w:marTop w:val="0"/>
              <w:marBottom w:val="0"/>
              <w:divBdr>
                <w:top w:val="none" w:sz="0" w:space="0" w:color="auto"/>
                <w:left w:val="none" w:sz="0" w:space="0" w:color="auto"/>
                <w:bottom w:val="none" w:sz="0" w:space="0" w:color="auto"/>
                <w:right w:val="none" w:sz="0" w:space="0" w:color="auto"/>
              </w:divBdr>
            </w:div>
            <w:div w:id="20830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1996">
      <w:bodyDiv w:val="1"/>
      <w:marLeft w:val="0"/>
      <w:marRight w:val="0"/>
      <w:marTop w:val="0"/>
      <w:marBottom w:val="0"/>
      <w:divBdr>
        <w:top w:val="none" w:sz="0" w:space="0" w:color="auto"/>
        <w:left w:val="none" w:sz="0" w:space="0" w:color="auto"/>
        <w:bottom w:val="none" w:sz="0" w:space="0" w:color="auto"/>
        <w:right w:val="none" w:sz="0" w:space="0" w:color="auto"/>
      </w:divBdr>
    </w:div>
    <w:div w:id="1689136317">
      <w:bodyDiv w:val="1"/>
      <w:marLeft w:val="0"/>
      <w:marRight w:val="0"/>
      <w:marTop w:val="0"/>
      <w:marBottom w:val="0"/>
      <w:divBdr>
        <w:top w:val="none" w:sz="0" w:space="0" w:color="auto"/>
        <w:left w:val="none" w:sz="0" w:space="0" w:color="auto"/>
        <w:bottom w:val="none" w:sz="0" w:space="0" w:color="auto"/>
        <w:right w:val="none" w:sz="0" w:space="0" w:color="auto"/>
      </w:divBdr>
    </w:div>
    <w:div w:id="1713460163">
      <w:bodyDiv w:val="1"/>
      <w:marLeft w:val="0"/>
      <w:marRight w:val="0"/>
      <w:marTop w:val="0"/>
      <w:marBottom w:val="0"/>
      <w:divBdr>
        <w:top w:val="none" w:sz="0" w:space="0" w:color="auto"/>
        <w:left w:val="none" w:sz="0" w:space="0" w:color="auto"/>
        <w:bottom w:val="none" w:sz="0" w:space="0" w:color="auto"/>
        <w:right w:val="none" w:sz="0" w:space="0" w:color="auto"/>
      </w:divBdr>
    </w:div>
    <w:div w:id="1733698549">
      <w:bodyDiv w:val="1"/>
      <w:marLeft w:val="0"/>
      <w:marRight w:val="0"/>
      <w:marTop w:val="0"/>
      <w:marBottom w:val="0"/>
      <w:divBdr>
        <w:top w:val="none" w:sz="0" w:space="0" w:color="auto"/>
        <w:left w:val="none" w:sz="0" w:space="0" w:color="auto"/>
        <w:bottom w:val="none" w:sz="0" w:space="0" w:color="auto"/>
        <w:right w:val="none" w:sz="0" w:space="0" w:color="auto"/>
      </w:divBdr>
    </w:div>
    <w:div w:id="1736276277">
      <w:bodyDiv w:val="1"/>
      <w:marLeft w:val="0"/>
      <w:marRight w:val="0"/>
      <w:marTop w:val="0"/>
      <w:marBottom w:val="0"/>
      <w:divBdr>
        <w:top w:val="none" w:sz="0" w:space="0" w:color="auto"/>
        <w:left w:val="none" w:sz="0" w:space="0" w:color="auto"/>
        <w:bottom w:val="none" w:sz="0" w:space="0" w:color="auto"/>
        <w:right w:val="none" w:sz="0" w:space="0" w:color="auto"/>
      </w:divBdr>
    </w:div>
    <w:div w:id="1743944200">
      <w:bodyDiv w:val="1"/>
      <w:marLeft w:val="0"/>
      <w:marRight w:val="0"/>
      <w:marTop w:val="0"/>
      <w:marBottom w:val="0"/>
      <w:divBdr>
        <w:top w:val="none" w:sz="0" w:space="0" w:color="auto"/>
        <w:left w:val="none" w:sz="0" w:space="0" w:color="auto"/>
        <w:bottom w:val="none" w:sz="0" w:space="0" w:color="auto"/>
        <w:right w:val="none" w:sz="0" w:space="0" w:color="auto"/>
      </w:divBdr>
    </w:div>
    <w:div w:id="1761175602">
      <w:bodyDiv w:val="1"/>
      <w:marLeft w:val="0"/>
      <w:marRight w:val="0"/>
      <w:marTop w:val="0"/>
      <w:marBottom w:val="0"/>
      <w:divBdr>
        <w:top w:val="none" w:sz="0" w:space="0" w:color="auto"/>
        <w:left w:val="none" w:sz="0" w:space="0" w:color="auto"/>
        <w:bottom w:val="none" w:sz="0" w:space="0" w:color="auto"/>
        <w:right w:val="none" w:sz="0" w:space="0" w:color="auto"/>
      </w:divBdr>
      <w:divsChild>
        <w:div w:id="1624119137">
          <w:marLeft w:val="0"/>
          <w:marRight w:val="0"/>
          <w:marTop w:val="0"/>
          <w:marBottom w:val="0"/>
          <w:divBdr>
            <w:top w:val="none" w:sz="0" w:space="0" w:color="auto"/>
            <w:left w:val="none" w:sz="0" w:space="0" w:color="auto"/>
            <w:bottom w:val="none" w:sz="0" w:space="0" w:color="auto"/>
            <w:right w:val="none" w:sz="0" w:space="0" w:color="auto"/>
          </w:divBdr>
          <w:divsChild>
            <w:div w:id="1903371122">
              <w:marLeft w:val="0"/>
              <w:marRight w:val="0"/>
              <w:marTop w:val="0"/>
              <w:marBottom w:val="0"/>
              <w:divBdr>
                <w:top w:val="none" w:sz="0" w:space="0" w:color="auto"/>
                <w:left w:val="none" w:sz="0" w:space="0" w:color="auto"/>
                <w:bottom w:val="none" w:sz="0" w:space="0" w:color="auto"/>
                <w:right w:val="none" w:sz="0" w:space="0" w:color="auto"/>
              </w:divBdr>
              <w:divsChild>
                <w:div w:id="1611934232">
                  <w:marLeft w:val="0"/>
                  <w:marRight w:val="0"/>
                  <w:marTop w:val="0"/>
                  <w:marBottom w:val="0"/>
                  <w:divBdr>
                    <w:top w:val="none" w:sz="0" w:space="0" w:color="auto"/>
                    <w:left w:val="none" w:sz="0" w:space="0" w:color="auto"/>
                    <w:bottom w:val="none" w:sz="0" w:space="0" w:color="auto"/>
                    <w:right w:val="none" w:sz="0" w:space="0" w:color="auto"/>
                  </w:divBdr>
                  <w:divsChild>
                    <w:div w:id="185024235">
                      <w:marLeft w:val="0"/>
                      <w:marRight w:val="0"/>
                      <w:marTop w:val="0"/>
                      <w:marBottom w:val="0"/>
                      <w:divBdr>
                        <w:top w:val="none" w:sz="0" w:space="0" w:color="auto"/>
                        <w:left w:val="none" w:sz="0" w:space="0" w:color="auto"/>
                        <w:bottom w:val="none" w:sz="0" w:space="0" w:color="auto"/>
                        <w:right w:val="none" w:sz="0" w:space="0" w:color="auto"/>
                      </w:divBdr>
                      <w:divsChild>
                        <w:div w:id="1382828805">
                          <w:marLeft w:val="0"/>
                          <w:marRight w:val="0"/>
                          <w:marTop w:val="0"/>
                          <w:marBottom w:val="0"/>
                          <w:divBdr>
                            <w:top w:val="none" w:sz="0" w:space="0" w:color="auto"/>
                            <w:left w:val="none" w:sz="0" w:space="0" w:color="auto"/>
                            <w:bottom w:val="none" w:sz="0" w:space="0" w:color="auto"/>
                            <w:right w:val="none" w:sz="0" w:space="0" w:color="auto"/>
                          </w:divBdr>
                          <w:divsChild>
                            <w:div w:id="12570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477">
      <w:bodyDiv w:val="1"/>
      <w:marLeft w:val="0"/>
      <w:marRight w:val="0"/>
      <w:marTop w:val="0"/>
      <w:marBottom w:val="0"/>
      <w:divBdr>
        <w:top w:val="none" w:sz="0" w:space="0" w:color="auto"/>
        <w:left w:val="none" w:sz="0" w:space="0" w:color="auto"/>
        <w:bottom w:val="none" w:sz="0" w:space="0" w:color="auto"/>
        <w:right w:val="none" w:sz="0" w:space="0" w:color="auto"/>
      </w:divBdr>
    </w:div>
    <w:div w:id="1832522150">
      <w:bodyDiv w:val="1"/>
      <w:marLeft w:val="0"/>
      <w:marRight w:val="0"/>
      <w:marTop w:val="0"/>
      <w:marBottom w:val="0"/>
      <w:divBdr>
        <w:top w:val="none" w:sz="0" w:space="0" w:color="auto"/>
        <w:left w:val="none" w:sz="0" w:space="0" w:color="auto"/>
        <w:bottom w:val="none" w:sz="0" w:space="0" w:color="auto"/>
        <w:right w:val="none" w:sz="0" w:space="0" w:color="auto"/>
      </w:divBdr>
    </w:div>
    <w:div w:id="1848254858">
      <w:bodyDiv w:val="1"/>
      <w:marLeft w:val="0"/>
      <w:marRight w:val="0"/>
      <w:marTop w:val="0"/>
      <w:marBottom w:val="0"/>
      <w:divBdr>
        <w:top w:val="none" w:sz="0" w:space="0" w:color="auto"/>
        <w:left w:val="none" w:sz="0" w:space="0" w:color="auto"/>
        <w:bottom w:val="none" w:sz="0" w:space="0" w:color="auto"/>
        <w:right w:val="none" w:sz="0" w:space="0" w:color="auto"/>
      </w:divBdr>
    </w:div>
    <w:div w:id="1856191261">
      <w:bodyDiv w:val="1"/>
      <w:marLeft w:val="0"/>
      <w:marRight w:val="0"/>
      <w:marTop w:val="0"/>
      <w:marBottom w:val="0"/>
      <w:divBdr>
        <w:top w:val="none" w:sz="0" w:space="0" w:color="auto"/>
        <w:left w:val="none" w:sz="0" w:space="0" w:color="auto"/>
        <w:bottom w:val="none" w:sz="0" w:space="0" w:color="auto"/>
        <w:right w:val="none" w:sz="0" w:space="0" w:color="auto"/>
      </w:divBdr>
    </w:div>
    <w:div w:id="1857495318">
      <w:bodyDiv w:val="1"/>
      <w:marLeft w:val="0"/>
      <w:marRight w:val="0"/>
      <w:marTop w:val="0"/>
      <w:marBottom w:val="0"/>
      <w:divBdr>
        <w:top w:val="none" w:sz="0" w:space="0" w:color="auto"/>
        <w:left w:val="none" w:sz="0" w:space="0" w:color="auto"/>
        <w:bottom w:val="none" w:sz="0" w:space="0" w:color="auto"/>
        <w:right w:val="none" w:sz="0" w:space="0" w:color="auto"/>
      </w:divBdr>
    </w:div>
    <w:div w:id="1877231324">
      <w:bodyDiv w:val="1"/>
      <w:marLeft w:val="0"/>
      <w:marRight w:val="0"/>
      <w:marTop w:val="0"/>
      <w:marBottom w:val="0"/>
      <w:divBdr>
        <w:top w:val="none" w:sz="0" w:space="0" w:color="auto"/>
        <w:left w:val="none" w:sz="0" w:space="0" w:color="auto"/>
        <w:bottom w:val="none" w:sz="0" w:space="0" w:color="auto"/>
        <w:right w:val="none" w:sz="0" w:space="0" w:color="auto"/>
      </w:divBdr>
      <w:divsChild>
        <w:div w:id="533082498">
          <w:marLeft w:val="0"/>
          <w:marRight w:val="0"/>
          <w:marTop w:val="0"/>
          <w:marBottom w:val="0"/>
          <w:divBdr>
            <w:top w:val="none" w:sz="0" w:space="0" w:color="auto"/>
            <w:left w:val="none" w:sz="0" w:space="0" w:color="auto"/>
            <w:bottom w:val="none" w:sz="0" w:space="0" w:color="auto"/>
            <w:right w:val="none" w:sz="0" w:space="0" w:color="auto"/>
          </w:divBdr>
          <w:divsChild>
            <w:div w:id="331378143">
              <w:marLeft w:val="0"/>
              <w:marRight w:val="0"/>
              <w:marTop w:val="0"/>
              <w:marBottom w:val="0"/>
              <w:divBdr>
                <w:top w:val="none" w:sz="0" w:space="0" w:color="auto"/>
                <w:left w:val="none" w:sz="0" w:space="0" w:color="auto"/>
                <w:bottom w:val="none" w:sz="0" w:space="0" w:color="auto"/>
                <w:right w:val="none" w:sz="0" w:space="0" w:color="auto"/>
              </w:divBdr>
              <w:divsChild>
                <w:div w:id="15265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2023">
      <w:bodyDiv w:val="1"/>
      <w:marLeft w:val="0"/>
      <w:marRight w:val="0"/>
      <w:marTop w:val="0"/>
      <w:marBottom w:val="0"/>
      <w:divBdr>
        <w:top w:val="none" w:sz="0" w:space="0" w:color="auto"/>
        <w:left w:val="none" w:sz="0" w:space="0" w:color="auto"/>
        <w:bottom w:val="none" w:sz="0" w:space="0" w:color="auto"/>
        <w:right w:val="none" w:sz="0" w:space="0" w:color="auto"/>
      </w:divBdr>
    </w:div>
    <w:div w:id="1887797147">
      <w:bodyDiv w:val="1"/>
      <w:marLeft w:val="0"/>
      <w:marRight w:val="0"/>
      <w:marTop w:val="0"/>
      <w:marBottom w:val="0"/>
      <w:divBdr>
        <w:top w:val="none" w:sz="0" w:space="0" w:color="auto"/>
        <w:left w:val="none" w:sz="0" w:space="0" w:color="auto"/>
        <w:bottom w:val="none" w:sz="0" w:space="0" w:color="auto"/>
        <w:right w:val="none" w:sz="0" w:space="0" w:color="auto"/>
      </w:divBdr>
    </w:div>
    <w:div w:id="1889494076">
      <w:bodyDiv w:val="1"/>
      <w:marLeft w:val="0"/>
      <w:marRight w:val="0"/>
      <w:marTop w:val="0"/>
      <w:marBottom w:val="0"/>
      <w:divBdr>
        <w:top w:val="none" w:sz="0" w:space="0" w:color="auto"/>
        <w:left w:val="none" w:sz="0" w:space="0" w:color="auto"/>
        <w:bottom w:val="none" w:sz="0" w:space="0" w:color="auto"/>
        <w:right w:val="none" w:sz="0" w:space="0" w:color="auto"/>
      </w:divBdr>
    </w:div>
    <w:div w:id="1906211890">
      <w:bodyDiv w:val="1"/>
      <w:marLeft w:val="0"/>
      <w:marRight w:val="0"/>
      <w:marTop w:val="0"/>
      <w:marBottom w:val="0"/>
      <w:divBdr>
        <w:top w:val="none" w:sz="0" w:space="0" w:color="auto"/>
        <w:left w:val="none" w:sz="0" w:space="0" w:color="auto"/>
        <w:bottom w:val="none" w:sz="0" w:space="0" w:color="auto"/>
        <w:right w:val="none" w:sz="0" w:space="0" w:color="auto"/>
      </w:divBdr>
    </w:div>
    <w:div w:id="1922517210">
      <w:bodyDiv w:val="1"/>
      <w:marLeft w:val="0"/>
      <w:marRight w:val="0"/>
      <w:marTop w:val="0"/>
      <w:marBottom w:val="0"/>
      <w:divBdr>
        <w:top w:val="none" w:sz="0" w:space="0" w:color="auto"/>
        <w:left w:val="none" w:sz="0" w:space="0" w:color="auto"/>
        <w:bottom w:val="none" w:sz="0" w:space="0" w:color="auto"/>
        <w:right w:val="none" w:sz="0" w:space="0" w:color="auto"/>
      </w:divBdr>
      <w:divsChild>
        <w:div w:id="1644194726">
          <w:marLeft w:val="0"/>
          <w:marRight w:val="0"/>
          <w:marTop w:val="0"/>
          <w:marBottom w:val="0"/>
          <w:divBdr>
            <w:top w:val="none" w:sz="0" w:space="0" w:color="auto"/>
            <w:left w:val="none" w:sz="0" w:space="0" w:color="auto"/>
            <w:bottom w:val="none" w:sz="0" w:space="0" w:color="auto"/>
            <w:right w:val="none" w:sz="0" w:space="0" w:color="auto"/>
          </w:divBdr>
          <w:divsChild>
            <w:div w:id="1121264588">
              <w:marLeft w:val="0"/>
              <w:marRight w:val="0"/>
              <w:marTop w:val="0"/>
              <w:marBottom w:val="0"/>
              <w:divBdr>
                <w:top w:val="none" w:sz="0" w:space="0" w:color="auto"/>
                <w:left w:val="none" w:sz="0" w:space="0" w:color="auto"/>
                <w:bottom w:val="none" w:sz="0" w:space="0" w:color="auto"/>
                <w:right w:val="none" w:sz="0" w:space="0" w:color="auto"/>
              </w:divBdr>
              <w:divsChild>
                <w:div w:id="1262298546">
                  <w:marLeft w:val="2250"/>
                  <w:marRight w:val="0"/>
                  <w:marTop w:val="0"/>
                  <w:marBottom w:val="0"/>
                  <w:divBdr>
                    <w:top w:val="single" w:sz="6" w:space="0" w:color="DDDDFF"/>
                    <w:left w:val="single" w:sz="6" w:space="0" w:color="DDDDFF"/>
                    <w:bottom w:val="single" w:sz="6" w:space="0" w:color="DDDDFF"/>
                    <w:right w:val="single" w:sz="6" w:space="0" w:color="DDDDFF"/>
                  </w:divBdr>
                  <w:divsChild>
                    <w:div w:id="15815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7391">
      <w:bodyDiv w:val="1"/>
      <w:marLeft w:val="0"/>
      <w:marRight w:val="0"/>
      <w:marTop w:val="0"/>
      <w:marBottom w:val="0"/>
      <w:divBdr>
        <w:top w:val="none" w:sz="0" w:space="0" w:color="auto"/>
        <w:left w:val="none" w:sz="0" w:space="0" w:color="auto"/>
        <w:bottom w:val="none" w:sz="0" w:space="0" w:color="auto"/>
        <w:right w:val="none" w:sz="0" w:space="0" w:color="auto"/>
      </w:divBdr>
      <w:divsChild>
        <w:div w:id="491147142">
          <w:marLeft w:val="0"/>
          <w:marRight w:val="0"/>
          <w:marTop w:val="0"/>
          <w:marBottom w:val="0"/>
          <w:divBdr>
            <w:top w:val="none" w:sz="0" w:space="0" w:color="auto"/>
            <w:left w:val="single" w:sz="12" w:space="0" w:color="003399"/>
            <w:bottom w:val="none" w:sz="0" w:space="0" w:color="auto"/>
            <w:right w:val="single" w:sz="12" w:space="0" w:color="003399"/>
          </w:divBdr>
          <w:divsChild>
            <w:div w:id="1927837762">
              <w:marLeft w:val="0"/>
              <w:marRight w:val="0"/>
              <w:marTop w:val="45"/>
              <w:marBottom w:val="0"/>
              <w:divBdr>
                <w:top w:val="none" w:sz="0" w:space="0" w:color="auto"/>
                <w:left w:val="none" w:sz="0" w:space="0" w:color="auto"/>
                <w:bottom w:val="none" w:sz="0" w:space="0" w:color="auto"/>
                <w:right w:val="none" w:sz="0" w:space="0" w:color="auto"/>
              </w:divBdr>
              <w:divsChild>
                <w:div w:id="1408771671">
                  <w:marLeft w:val="0"/>
                  <w:marRight w:val="0"/>
                  <w:marTop w:val="0"/>
                  <w:marBottom w:val="0"/>
                  <w:divBdr>
                    <w:top w:val="none" w:sz="0" w:space="0" w:color="auto"/>
                    <w:left w:val="none" w:sz="0" w:space="0" w:color="auto"/>
                    <w:bottom w:val="none" w:sz="0" w:space="0" w:color="auto"/>
                    <w:right w:val="none" w:sz="0" w:space="0" w:color="auto"/>
                  </w:divBdr>
                  <w:divsChild>
                    <w:div w:id="2006086216">
                      <w:marLeft w:val="0"/>
                      <w:marRight w:val="0"/>
                      <w:marTop w:val="0"/>
                      <w:marBottom w:val="0"/>
                      <w:divBdr>
                        <w:top w:val="none" w:sz="0" w:space="0" w:color="auto"/>
                        <w:left w:val="none" w:sz="0" w:space="0" w:color="auto"/>
                        <w:bottom w:val="none" w:sz="0" w:space="0" w:color="auto"/>
                        <w:right w:val="none" w:sz="0" w:space="0" w:color="auto"/>
                      </w:divBdr>
                      <w:divsChild>
                        <w:div w:id="2032223503">
                          <w:marLeft w:val="120"/>
                          <w:marRight w:val="120"/>
                          <w:marTop w:val="0"/>
                          <w:marBottom w:val="120"/>
                          <w:divBdr>
                            <w:top w:val="none" w:sz="0" w:space="0" w:color="auto"/>
                            <w:left w:val="none" w:sz="0" w:space="0" w:color="auto"/>
                            <w:bottom w:val="none" w:sz="0" w:space="0" w:color="auto"/>
                            <w:right w:val="none" w:sz="0" w:space="0" w:color="auto"/>
                          </w:divBdr>
                          <w:divsChild>
                            <w:div w:id="1925645983">
                              <w:marLeft w:val="300"/>
                              <w:marRight w:val="300"/>
                              <w:marTop w:val="0"/>
                              <w:marBottom w:val="0"/>
                              <w:divBdr>
                                <w:top w:val="none" w:sz="0" w:space="0" w:color="auto"/>
                                <w:left w:val="none" w:sz="0" w:space="0" w:color="auto"/>
                                <w:bottom w:val="none" w:sz="0" w:space="0" w:color="auto"/>
                                <w:right w:val="none" w:sz="0" w:space="0" w:color="auto"/>
                              </w:divBdr>
                              <w:divsChild>
                                <w:div w:id="117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004040">
      <w:bodyDiv w:val="1"/>
      <w:marLeft w:val="0"/>
      <w:marRight w:val="0"/>
      <w:marTop w:val="0"/>
      <w:marBottom w:val="0"/>
      <w:divBdr>
        <w:top w:val="none" w:sz="0" w:space="0" w:color="auto"/>
        <w:left w:val="none" w:sz="0" w:space="0" w:color="auto"/>
        <w:bottom w:val="none" w:sz="0" w:space="0" w:color="auto"/>
        <w:right w:val="none" w:sz="0" w:space="0" w:color="auto"/>
      </w:divBdr>
      <w:divsChild>
        <w:div w:id="311056590">
          <w:marLeft w:val="0"/>
          <w:marRight w:val="0"/>
          <w:marTop w:val="0"/>
          <w:marBottom w:val="0"/>
          <w:divBdr>
            <w:top w:val="none" w:sz="0" w:space="0" w:color="auto"/>
            <w:left w:val="none" w:sz="0" w:space="0" w:color="auto"/>
            <w:bottom w:val="none" w:sz="0" w:space="0" w:color="auto"/>
            <w:right w:val="none" w:sz="0" w:space="0" w:color="auto"/>
          </w:divBdr>
          <w:divsChild>
            <w:div w:id="1630741363">
              <w:marLeft w:val="0"/>
              <w:marRight w:val="0"/>
              <w:marTop w:val="0"/>
              <w:marBottom w:val="0"/>
              <w:divBdr>
                <w:top w:val="none" w:sz="0" w:space="0" w:color="auto"/>
                <w:left w:val="none" w:sz="0" w:space="0" w:color="auto"/>
                <w:bottom w:val="none" w:sz="0" w:space="0" w:color="auto"/>
                <w:right w:val="none" w:sz="0" w:space="0" w:color="auto"/>
              </w:divBdr>
              <w:divsChild>
                <w:div w:id="939414032">
                  <w:marLeft w:val="0"/>
                  <w:marRight w:val="0"/>
                  <w:marTop w:val="0"/>
                  <w:marBottom w:val="0"/>
                  <w:divBdr>
                    <w:top w:val="none" w:sz="0" w:space="0" w:color="auto"/>
                    <w:left w:val="none" w:sz="0" w:space="0" w:color="auto"/>
                    <w:bottom w:val="none" w:sz="0" w:space="0" w:color="auto"/>
                    <w:right w:val="none" w:sz="0" w:space="0" w:color="auto"/>
                  </w:divBdr>
                  <w:divsChild>
                    <w:div w:id="611673527">
                      <w:marLeft w:val="0"/>
                      <w:marRight w:val="0"/>
                      <w:marTop w:val="0"/>
                      <w:marBottom w:val="0"/>
                      <w:divBdr>
                        <w:top w:val="none" w:sz="0" w:space="0" w:color="auto"/>
                        <w:left w:val="none" w:sz="0" w:space="0" w:color="auto"/>
                        <w:bottom w:val="none" w:sz="0" w:space="0" w:color="auto"/>
                        <w:right w:val="none" w:sz="0" w:space="0" w:color="auto"/>
                      </w:divBdr>
                      <w:divsChild>
                        <w:div w:id="1669333803">
                          <w:marLeft w:val="0"/>
                          <w:marRight w:val="0"/>
                          <w:marTop w:val="0"/>
                          <w:marBottom w:val="0"/>
                          <w:divBdr>
                            <w:top w:val="none" w:sz="0" w:space="0" w:color="auto"/>
                            <w:left w:val="none" w:sz="0" w:space="0" w:color="auto"/>
                            <w:bottom w:val="none" w:sz="0" w:space="0" w:color="auto"/>
                            <w:right w:val="none" w:sz="0" w:space="0" w:color="auto"/>
                          </w:divBdr>
                          <w:divsChild>
                            <w:div w:id="2721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262364">
      <w:bodyDiv w:val="1"/>
      <w:marLeft w:val="0"/>
      <w:marRight w:val="0"/>
      <w:marTop w:val="0"/>
      <w:marBottom w:val="0"/>
      <w:divBdr>
        <w:top w:val="none" w:sz="0" w:space="0" w:color="auto"/>
        <w:left w:val="none" w:sz="0" w:space="0" w:color="auto"/>
        <w:bottom w:val="none" w:sz="0" w:space="0" w:color="auto"/>
        <w:right w:val="none" w:sz="0" w:space="0" w:color="auto"/>
      </w:divBdr>
    </w:div>
    <w:div w:id="1970284747">
      <w:bodyDiv w:val="1"/>
      <w:marLeft w:val="0"/>
      <w:marRight w:val="0"/>
      <w:marTop w:val="0"/>
      <w:marBottom w:val="0"/>
      <w:divBdr>
        <w:top w:val="none" w:sz="0" w:space="0" w:color="auto"/>
        <w:left w:val="none" w:sz="0" w:space="0" w:color="auto"/>
        <w:bottom w:val="none" w:sz="0" w:space="0" w:color="auto"/>
        <w:right w:val="none" w:sz="0" w:space="0" w:color="auto"/>
      </w:divBdr>
    </w:div>
    <w:div w:id="2024428569">
      <w:bodyDiv w:val="1"/>
      <w:marLeft w:val="0"/>
      <w:marRight w:val="0"/>
      <w:marTop w:val="0"/>
      <w:marBottom w:val="0"/>
      <w:divBdr>
        <w:top w:val="none" w:sz="0" w:space="0" w:color="auto"/>
        <w:left w:val="none" w:sz="0" w:space="0" w:color="auto"/>
        <w:bottom w:val="none" w:sz="0" w:space="0" w:color="auto"/>
        <w:right w:val="none" w:sz="0" w:space="0" w:color="auto"/>
      </w:divBdr>
    </w:div>
    <w:div w:id="2029478113">
      <w:bodyDiv w:val="1"/>
      <w:marLeft w:val="0"/>
      <w:marRight w:val="0"/>
      <w:marTop w:val="0"/>
      <w:marBottom w:val="0"/>
      <w:divBdr>
        <w:top w:val="none" w:sz="0" w:space="0" w:color="auto"/>
        <w:left w:val="none" w:sz="0" w:space="0" w:color="auto"/>
        <w:bottom w:val="none" w:sz="0" w:space="0" w:color="auto"/>
        <w:right w:val="none" w:sz="0" w:space="0" w:color="auto"/>
      </w:divBdr>
    </w:div>
    <w:div w:id="2063363113">
      <w:bodyDiv w:val="1"/>
      <w:marLeft w:val="0"/>
      <w:marRight w:val="0"/>
      <w:marTop w:val="0"/>
      <w:marBottom w:val="0"/>
      <w:divBdr>
        <w:top w:val="none" w:sz="0" w:space="0" w:color="auto"/>
        <w:left w:val="none" w:sz="0" w:space="0" w:color="auto"/>
        <w:bottom w:val="none" w:sz="0" w:space="0" w:color="auto"/>
        <w:right w:val="none" w:sz="0" w:space="0" w:color="auto"/>
      </w:divBdr>
      <w:divsChild>
        <w:div w:id="820123659">
          <w:marLeft w:val="0"/>
          <w:marRight w:val="0"/>
          <w:marTop w:val="0"/>
          <w:marBottom w:val="0"/>
          <w:divBdr>
            <w:top w:val="none" w:sz="0" w:space="0" w:color="auto"/>
            <w:left w:val="none" w:sz="0" w:space="0" w:color="auto"/>
            <w:bottom w:val="none" w:sz="0" w:space="0" w:color="auto"/>
            <w:right w:val="none" w:sz="0" w:space="0" w:color="auto"/>
          </w:divBdr>
          <w:divsChild>
            <w:div w:id="84694543">
              <w:marLeft w:val="0"/>
              <w:marRight w:val="0"/>
              <w:marTop w:val="0"/>
              <w:marBottom w:val="0"/>
              <w:divBdr>
                <w:top w:val="none" w:sz="0" w:space="0" w:color="auto"/>
                <w:left w:val="none" w:sz="0" w:space="0" w:color="auto"/>
                <w:bottom w:val="none" w:sz="0" w:space="0" w:color="auto"/>
                <w:right w:val="none" w:sz="0" w:space="0" w:color="auto"/>
              </w:divBdr>
            </w:div>
            <w:div w:id="3392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7023">
      <w:bodyDiv w:val="1"/>
      <w:marLeft w:val="0"/>
      <w:marRight w:val="0"/>
      <w:marTop w:val="0"/>
      <w:marBottom w:val="0"/>
      <w:divBdr>
        <w:top w:val="none" w:sz="0" w:space="0" w:color="auto"/>
        <w:left w:val="none" w:sz="0" w:space="0" w:color="auto"/>
        <w:bottom w:val="none" w:sz="0" w:space="0" w:color="auto"/>
        <w:right w:val="none" w:sz="0" w:space="0" w:color="auto"/>
      </w:divBdr>
      <w:divsChild>
        <w:div w:id="1527329239">
          <w:marLeft w:val="0"/>
          <w:marRight w:val="0"/>
          <w:marTop w:val="0"/>
          <w:marBottom w:val="0"/>
          <w:divBdr>
            <w:top w:val="none" w:sz="0" w:space="0" w:color="auto"/>
            <w:left w:val="none" w:sz="0" w:space="0" w:color="auto"/>
            <w:bottom w:val="none" w:sz="0" w:space="0" w:color="auto"/>
            <w:right w:val="none" w:sz="0" w:space="0" w:color="auto"/>
          </w:divBdr>
        </w:div>
      </w:divsChild>
    </w:div>
    <w:div w:id="2123187929">
      <w:bodyDiv w:val="1"/>
      <w:marLeft w:val="0"/>
      <w:marRight w:val="0"/>
      <w:marTop w:val="0"/>
      <w:marBottom w:val="0"/>
      <w:divBdr>
        <w:top w:val="none" w:sz="0" w:space="0" w:color="auto"/>
        <w:left w:val="none" w:sz="0" w:space="0" w:color="auto"/>
        <w:bottom w:val="none" w:sz="0" w:space="0" w:color="auto"/>
        <w:right w:val="none" w:sz="0" w:space="0" w:color="auto"/>
      </w:divBdr>
    </w:div>
    <w:div w:id="2133092212">
      <w:bodyDiv w:val="1"/>
      <w:marLeft w:val="0"/>
      <w:marRight w:val="0"/>
      <w:marTop w:val="0"/>
      <w:marBottom w:val="0"/>
      <w:divBdr>
        <w:top w:val="none" w:sz="0" w:space="0" w:color="auto"/>
        <w:left w:val="none" w:sz="0" w:space="0" w:color="auto"/>
        <w:bottom w:val="none" w:sz="0" w:space="0" w:color="auto"/>
        <w:right w:val="none" w:sz="0" w:space="0" w:color="auto"/>
      </w:divBdr>
    </w:div>
    <w:div w:id="2142914735">
      <w:bodyDiv w:val="1"/>
      <w:marLeft w:val="0"/>
      <w:marRight w:val="0"/>
      <w:marTop w:val="0"/>
      <w:marBottom w:val="0"/>
      <w:divBdr>
        <w:top w:val="none" w:sz="0" w:space="0" w:color="auto"/>
        <w:left w:val="none" w:sz="0" w:space="0" w:color="auto"/>
        <w:bottom w:val="none" w:sz="0" w:space="0" w:color="auto"/>
        <w:right w:val="none" w:sz="0" w:space="0" w:color="auto"/>
      </w:divBdr>
      <w:divsChild>
        <w:div w:id="1174144777">
          <w:marLeft w:val="0"/>
          <w:marRight w:val="0"/>
          <w:marTop w:val="0"/>
          <w:marBottom w:val="0"/>
          <w:divBdr>
            <w:top w:val="none" w:sz="0" w:space="0" w:color="auto"/>
            <w:left w:val="none" w:sz="0" w:space="0" w:color="auto"/>
            <w:bottom w:val="none" w:sz="0" w:space="0" w:color="auto"/>
            <w:right w:val="none" w:sz="0" w:space="0" w:color="auto"/>
          </w:divBdr>
          <w:divsChild>
            <w:div w:id="1614509396">
              <w:marLeft w:val="0"/>
              <w:marRight w:val="0"/>
              <w:marTop w:val="0"/>
              <w:marBottom w:val="0"/>
              <w:divBdr>
                <w:top w:val="none" w:sz="0" w:space="0" w:color="auto"/>
                <w:left w:val="none" w:sz="0" w:space="0" w:color="auto"/>
                <w:bottom w:val="none" w:sz="0" w:space="0" w:color="auto"/>
                <w:right w:val="none" w:sz="0" w:space="0" w:color="auto"/>
              </w:divBdr>
              <w:divsChild>
                <w:div w:id="1176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footer" Target="footer5.xml"/><Relationship Id="rId47" Type="http://schemas.openxmlformats.org/officeDocument/2006/relationships/image" Target="media/image25.png"/><Relationship Id="rId63" Type="http://schemas.openxmlformats.org/officeDocument/2006/relationships/image" Target="media/image40.emf"/><Relationship Id="rId68"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oleObject" Target="embeddings/Microsoft_Excel_97-2003_Worksheet1.xls"/><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24.emf"/><Relationship Id="rId53" Type="http://schemas.openxmlformats.org/officeDocument/2006/relationships/image" Target="media/image31.png"/><Relationship Id="rId58" Type="http://schemas.openxmlformats.org/officeDocument/2006/relationships/image" Target="media/image35.jpeg"/><Relationship Id="rId66"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chart" Target="charts/chart2.xml"/><Relationship Id="rId43" Type="http://schemas.openxmlformats.org/officeDocument/2006/relationships/footer" Target="footer6.xml"/><Relationship Id="rId48" Type="http://schemas.openxmlformats.org/officeDocument/2006/relationships/image" Target="media/image26.png"/><Relationship Id="rId56" Type="http://schemas.openxmlformats.org/officeDocument/2006/relationships/chart" Target="charts/chart4.xml"/><Relationship Id="rId64" Type="http://schemas.openxmlformats.org/officeDocument/2006/relationships/image" Target="media/image41.emf"/><Relationship Id="rId69" Type="http://schemas.openxmlformats.org/officeDocument/2006/relationships/image" Target="media/image46.emf"/><Relationship Id="rId8" Type="http://schemas.openxmlformats.org/officeDocument/2006/relationships/image" Target="media/image2.png"/><Relationship Id="rId51" Type="http://schemas.openxmlformats.org/officeDocument/2006/relationships/image" Target="media/image2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Microsoft_Excel_97-2003_Worksheet3.xls"/><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2.xml"/><Relationship Id="rId46" Type="http://schemas.openxmlformats.org/officeDocument/2006/relationships/chart" Target="charts/chart3.xml"/><Relationship Id="rId59" Type="http://schemas.openxmlformats.org/officeDocument/2006/relationships/image" Target="media/image36.jpeg"/><Relationship Id="rId67" Type="http://schemas.openxmlformats.org/officeDocument/2006/relationships/image" Target="media/image44.emf"/><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png@01D4B4B9.DC7399E0" TargetMode="Externa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1.xml"/><Relationship Id="rId49" Type="http://schemas.openxmlformats.org/officeDocument/2006/relationships/image" Target="media/image27.emf"/><Relationship Id="rId57" Type="http://schemas.openxmlformats.org/officeDocument/2006/relationships/image" Target="media/image34.jpeg"/><Relationship Id="rId10" Type="http://schemas.openxmlformats.org/officeDocument/2006/relationships/image" Target="media/image4.emf"/><Relationship Id="rId31" Type="http://schemas.openxmlformats.org/officeDocument/2006/relationships/image" Target="media/image21.emf"/><Relationship Id="rId44" Type="http://schemas.openxmlformats.org/officeDocument/2006/relationships/hyperlink" Target="http://www.apia.org.ro" TargetMode="External"/><Relationship Id="rId52" Type="http://schemas.openxmlformats.org/officeDocument/2006/relationships/image" Target="media/image30.jpeg"/><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Microsoft_Excel_97-2003_Worksheet2.xls"/><Relationship Id="rId18" Type="http://schemas.openxmlformats.org/officeDocument/2006/relationships/image" Target="media/image8.png"/><Relationship Id="rId39" Type="http://schemas.openxmlformats.org/officeDocument/2006/relationships/footer" Target="footer3.xml"/><Relationship Id="rId34" Type="http://schemas.openxmlformats.org/officeDocument/2006/relationships/chart" Target="charts/chart1.xml"/><Relationship Id="rId50" Type="http://schemas.openxmlformats.org/officeDocument/2006/relationships/image" Target="media/image28.emf"/><Relationship Id="rId55"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e\01%20adrese\adrese%202018\lista%20proiecte%20de%20inv%20publice%20prioritizate%20rev.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10.176.112.41\retea\Strategia%20Fiscal%20Bugetara%202019%20-%202021\SFB%2011%20martie\Tabele%204%20modificarea%20datorie.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Ruxi\Desktop\Tables_for_RO.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a:t>Distribuția procentuală a </a:t>
            </a:r>
            <a:r>
              <a:rPr lang="en-US" sz="1000"/>
              <a:t>valorii</a:t>
            </a:r>
            <a:r>
              <a:rPr lang="en-US" sz="1000" baseline="0"/>
              <a:t> actualizate a proiectelor de investi</a:t>
            </a:r>
            <a:r>
              <a:rPr lang="ro-RO" sz="1000" baseline="0"/>
              <a:t>ț</a:t>
            </a:r>
            <a:r>
              <a:rPr lang="en-US" sz="1000" baseline="0"/>
              <a:t>ii </a:t>
            </a:r>
            <a:r>
              <a:rPr lang="ro-RO" sz="1000"/>
              <a:t>pe ordonatorii principali de credite</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36529619065268"/>
          <c:y val="0.32893678327528497"/>
          <c:w val="0.7831796119256772"/>
          <c:h val="0.57652362887895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6E6-41F3-BE7B-32ADBB06C13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6E6-41F3-BE7B-32ADBB06C13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6E6-41F3-BE7B-32ADBB06C13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6E6-41F3-BE7B-32ADBB06C13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6E6-41F3-BE7B-32ADBB06C13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6E6-41F3-BE7B-32ADBB06C13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A6E6-41F3-BE7B-32ADBB06C13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A6E6-41F3-BE7B-32ADBB06C13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A6E6-41F3-BE7B-32ADBB06C137}"/>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A6E6-41F3-BE7B-32ADBB06C137}"/>
              </c:ext>
            </c:extLst>
          </c:dPt>
          <c:dLbls>
            <c:dLbl>
              <c:idx val="1"/>
              <c:layout>
                <c:manualLayout>
                  <c:x val="-0.1268638604119422"/>
                  <c:y val="-6.25922811102088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E6-41F3-BE7B-32ADBB06C137}"/>
                </c:ext>
                <c:ext xmlns:c15="http://schemas.microsoft.com/office/drawing/2012/chart" uri="{CE6537A1-D6FC-4f65-9D91-7224C49458BB}">
                  <c15:layout/>
                </c:ext>
              </c:extLst>
            </c:dLbl>
            <c:dLbl>
              <c:idx val="2"/>
              <c:layout>
                <c:manualLayout>
                  <c:x val="-0.13536157392656997"/>
                  <c:y val="1.5252155085445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E6-41F3-BE7B-32ADBB06C137}"/>
                </c:ext>
                <c:ext xmlns:c15="http://schemas.microsoft.com/office/drawing/2012/chart" uri="{CE6537A1-D6FC-4f65-9D91-7224C49458BB}">
                  <c15:layout/>
                </c:ext>
              </c:extLst>
            </c:dLbl>
            <c:dLbl>
              <c:idx val="3"/>
              <c:layout>
                <c:manualLayout>
                  <c:x val="-9.0035281218959082E-2"/>
                  <c:y val="-0.123330455164842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E6-41F3-BE7B-32ADBB06C137}"/>
                </c:ext>
                <c:ext xmlns:c15="http://schemas.microsoft.com/office/drawing/2012/chart" uri="{CE6537A1-D6FC-4f65-9D91-7224C49458BB}">
                  <c15:layout/>
                </c:ext>
              </c:extLst>
            </c:dLbl>
            <c:dLbl>
              <c:idx val="4"/>
              <c:layout>
                <c:manualLayout>
                  <c:x val="-3.0818355604700438E-2"/>
                  <c:y val="-0.141732026746389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E6-41F3-BE7B-32ADBB06C137}"/>
                </c:ext>
                <c:ext xmlns:c15="http://schemas.microsoft.com/office/drawing/2012/chart" uri="{CE6537A1-D6FC-4f65-9D91-7224C49458BB}">
                  <c15:layout/>
                </c:ext>
              </c:extLst>
            </c:dLbl>
            <c:dLbl>
              <c:idx val="5"/>
              <c:layout>
                <c:manualLayout>
                  <c:x val="1.6078958712071465E-2"/>
                  <c:y val="-0.13700269083366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E6-41F3-BE7B-32ADBB06C137}"/>
                </c:ext>
                <c:ext xmlns:c15="http://schemas.microsoft.com/office/drawing/2012/chart" uri="{CE6537A1-D6FC-4f65-9D91-7224C49458BB}">
                  <c15:layout/>
                </c:ext>
              </c:extLst>
            </c:dLbl>
            <c:dLbl>
              <c:idx val="6"/>
              <c:layout>
                <c:manualLayout>
                  <c:x val="8.8641368517720392E-2"/>
                  <c:y val="-0.13939314739349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6E6-41F3-BE7B-32ADBB06C137}"/>
                </c:ext>
                <c:ext xmlns:c15="http://schemas.microsoft.com/office/drawing/2012/chart" uri="{CE6537A1-D6FC-4f65-9D91-7224C49458BB}">
                  <c15:layout/>
                </c:ext>
              </c:extLst>
            </c:dLbl>
            <c:dLbl>
              <c:idx val="7"/>
              <c:layout>
                <c:manualLayout>
                  <c:x val="0.14480691380699828"/>
                  <c:y val="-6.09693361478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6E6-41F3-BE7B-32ADBB06C137}"/>
                </c:ext>
                <c:ext xmlns:c15="http://schemas.microsoft.com/office/drawing/2012/chart" uri="{CE6537A1-D6FC-4f65-9D91-7224C49458BB}">
                  <c15:layout/>
                </c:ext>
              </c:extLst>
            </c:dLbl>
            <c:dLbl>
              <c:idx val="8"/>
              <c:layout>
                <c:manualLayout>
                  <c:x val="0.14415212624397913"/>
                  <c:y val="-2.33219836754131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6E6-41F3-BE7B-32ADBB06C137}"/>
                </c:ext>
                <c:ext xmlns:c15="http://schemas.microsoft.com/office/drawing/2012/chart" uri="{CE6537A1-D6FC-4f65-9D91-7224C49458BB}">
                  <c15:layout/>
                </c:ext>
              </c:extLst>
            </c:dLbl>
            <c:dLbl>
              <c:idx val="9"/>
              <c:layout>
                <c:manualLayout>
                  <c:x val="0.13791934516558282"/>
                  <c:y val="-0.120085901437293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6E6-41F3-BE7B-32ADBB06C13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centralizare!$K$166:$K$175</c:f>
              <c:strCache>
                <c:ptCount val="10"/>
                <c:pt idx="0">
                  <c:v>MT</c:v>
                </c:pt>
                <c:pt idx="1">
                  <c:v>MS</c:v>
                </c:pt>
                <c:pt idx="2">
                  <c:v>MJ</c:v>
                </c:pt>
                <c:pt idx="3">
                  <c:v>MDRAP</c:v>
                </c:pt>
                <c:pt idx="4">
                  <c:v>MAP</c:v>
                </c:pt>
                <c:pt idx="5">
                  <c:v>ME</c:v>
                </c:pt>
                <c:pt idx="6">
                  <c:v>MCI</c:v>
                </c:pt>
                <c:pt idx="7">
                  <c:v>SPP</c:v>
                </c:pt>
                <c:pt idx="8">
                  <c:v>MCSI</c:v>
                </c:pt>
                <c:pt idx="9">
                  <c:v>MAPN</c:v>
                </c:pt>
              </c:strCache>
            </c:strRef>
          </c:cat>
          <c:val>
            <c:numRef>
              <c:f>centralizare!$L$166:$L$175</c:f>
              <c:numCache>
                <c:formatCode>0.00%</c:formatCode>
                <c:ptCount val="10"/>
                <c:pt idx="0">
                  <c:v>0.95499513286611704</c:v>
                </c:pt>
                <c:pt idx="1">
                  <c:v>3.807186643000695E-3</c:v>
                </c:pt>
                <c:pt idx="2">
                  <c:v>1.2704654744142745E-3</c:v>
                </c:pt>
                <c:pt idx="3">
                  <c:v>4.1423227474588833E-3</c:v>
                </c:pt>
                <c:pt idx="4">
                  <c:v>2.1414288783038402E-2</c:v>
                </c:pt>
                <c:pt idx="5">
                  <c:v>8.169564516119093E-4</c:v>
                </c:pt>
                <c:pt idx="6">
                  <c:v>9.6244478630521969E-3</c:v>
                </c:pt>
                <c:pt idx="7">
                  <c:v>9.9218372223900753E-4</c:v>
                </c:pt>
                <c:pt idx="8">
                  <c:v>2.1734463094741636E-3</c:v>
                </c:pt>
                <c:pt idx="9">
                  <c:v>7.6356913959398098E-4</c:v>
                </c:pt>
              </c:numCache>
            </c:numRef>
          </c:val>
          <c:extLst xmlns:c16r2="http://schemas.microsoft.com/office/drawing/2015/06/chart">
            <c:ext xmlns:c16="http://schemas.microsoft.com/office/drawing/2014/chart" uri="{C3380CC4-5D6E-409C-BE32-E72D297353CC}">
              <c16:uniqueId val="{00000014-A6E6-41F3-BE7B-32ADBB06C13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6433691924208635"/>
          <c:y val="0.8831522385443149"/>
          <c:w val="0.71892980302490817"/>
          <c:h val="0.110059880335535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a:t>Distribuția procentuală a restului de finanțat până la finalizare pe ordonatori principali de credite</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3886058360353"/>
          <c:y val="0.33111764793605386"/>
          <c:w val="0.78531037718299557"/>
          <c:h val="0.585545501846469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6DE-4A38-858A-D607B67ACCC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6DE-4A38-858A-D607B67ACCC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6DE-4A38-858A-D607B67ACCC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6DE-4A38-858A-D607B67ACCC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6DE-4A38-858A-D607B67ACCC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6DE-4A38-858A-D607B67ACCC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6DE-4A38-858A-D607B67ACCC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E6DE-4A38-858A-D607B67ACCC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E6DE-4A38-858A-D607B67ACCC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E6DE-4A38-858A-D607B67ACCC2}"/>
              </c:ext>
            </c:extLst>
          </c:dPt>
          <c:dLbls>
            <c:dLbl>
              <c:idx val="1"/>
              <c:layout>
                <c:manualLayout>
                  <c:x val="-0.13071099218466356"/>
                  <c:y val="2.4818781676532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DE-4A38-858A-D607B67ACCC2}"/>
                </c:ext>
                <c:ext xmlns:c15="http://schemas.microsoft.com/office/drawing/2012/chart" uri="{CE6537A1-D6FC-4f65-9D91-7224C49458BB}">
                  <c15:layout/>
                </c:ext>
              </c:extLst>
            </c:dLbl>
            <c:dLbl>
              <c:idx val="2"/>
              <c:layout>
                <c:manualLayout>
                  <c:x val="-0.17142467092167238"/>
                  <c:y val="-3.0108704063979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DE-4A38-858A-D607B67ACCC2}"/>
                </c:ext>
                <c:ext xmlns:c15="http://schemas.microsoft.com/office/drawing/2012/chart" uri="{CE6537A1-D6FC-4f65-9D91-7224C49458BB}">
                  <c15:layout/>
                </c:ext>
              </c:extLst>
            </c:dLbl>
            <c:dLbl>
              <c:idx val="3"/>
              <c:layout>
                <c:manualLayout>
                  <c:x val="-0.15476536956155676"/>
                  <c:y val="-8.22124977782666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DE-4A38-858A-D607B67ACCC2}"/>
                </c:ext>
                <c:ext xmlns:c15="http://schemas.microsoft.com/office/drawing/2012/chart" uri="{CE6537A1-D6FC-4f65-9D91-7224C49458BB}">
                  <c15:layout/>
                </c:ext>
              </c:extLst>
            </c:dLbl>
            <c:dLbl>
              <c:idx val="4"/>
              <c:layout>
                <c:manualLayout>
                  <c:x val="-0.1062266204242224"/>
                  <c:y val="-0.102516377045234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6DE-4A38-858A-D607B67ACCC2}"/>
                </c:ext>
                <c:ext xmlns:c15="http://schemas.microsoft.com/office/drawing/2012/chart" uri="{CE6537A1-D6FC-4f65-9D91-7224C49458BB}">
                  <c15:layout/>
                </c:ext>
              </c:extLst>
            </c:dLbl>
            <c:dLbl>
              <c:idx val="5"/>
              <c:layout>
                <c:manualLayout>
                  <c:x val="-6.5925901771469786E-2"/>
                  <c:y val="-0.11934570625042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6DE-4A38-858A-D607B67ACCC2}"/>
                </c:ext>
                <c:ext xmlns:c15="http://schemas.microsoft.com/office/drawing/2012/chart" uri="{CE6537A1-D6FC-4f65-9D91-7224C49458BB}">
                  <c15:layout/>
                </c:ext>
              </c:extLst>
            </c:dLbl>
            <c:dLbl>
              <c:idx val="6"/>
              <c:layout>
                <c:manualLayout>
                  <c:x val="0.13656105725568668"/>
                  <c:y val="-0.106023243228993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6DE-4A38-858A-D607B67ACCC2}"/>
                </c:ext>
                <c:ext xmlns:c15="http://schemas.microsoft.com/office/drawing/2012/chart" uri="{CE6537A1-D6FC-4f65-9D91-7224C49458BB}">
                  <c15:layout/>
                </c:ext>
              </c:extLst>
            </c:dLbl>
            <c:dLbl>
              <c:idx val="7"/>
              <c:layout>
                <c:manualLayout>
                  <c:x val="0.16835387345365052"/>
                  <c:y val="-6.266436220589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6DE-4A38-858A-D607B67ACCC2}"/>
                </c:ext>
                <c:ext xmlns:c15="http://schemas.microsoft.com/office/drawing/2012/chart" uri="{CE6537A1-D6FC-4f65-9D91-7224C49458BB}">
                  <c15:layout/>
                </c:ext>
              </c:extLst>
            </c:dLbl>
            <c:dLbl>
              <c:idx val="8"/>
              <c:layout>
                <c:manualLayout>
                  <c:x val="0.19160471859824266"/>
                  <c:y val="2.98583958560526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6DE-4A38-858A-D607B67ACCC2}"/>
                </c:ext>
                <c:ext xmlns:c15="http://schemas.microsoft.com/office/drawing/2012/chart" uri="{CE6537A1-D6FC-4f65-9D91-7224C49458BB}">
                  <c15:layout/>
                </c:ext>
              </c:extLst>
            </c:dLbl>
            <c:dLbl>
              <c:idx val="9"/>
              <c:layout>
                <c:manualLayout>
                  <c:x val="1.9172103852769143E-2"/>
                  <c:y val="-0.12755740292903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6DE-4A38-858A-D607B67ACCC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centralizare!$K$166:$K$175</c:f>
              <c:strCache>
                <c:ptCount val="10"/>
                <c:pt idx="0">
                  <c:v>MT</c:v>
                </c:pt>
                <c:pt idx="1">
                  <c:v>MS</c:v>
                </c:pt>
                <c:pt idx="2">
                  <c:v>MJ</c:v>
                </c:pt>
                <c:pt idx="3">
                  <c:v>MDRAP</c:v>
                </c:pt>
                <c:pt idx="4">
                  <c:v>MAP</c:v>
                </c:pt>
                <c:pt idx="5">
                  <c:v>ME</c:v>
                </c:pt>
                <c:pt idx="6">
                  <c:v>MCI</c:v>
                </c:pt>
                <c:pt idx="7">
                  <c:v>SPP</c:v>
                </c:pt>
                <c:pt idx="8">
                  <c:v>MCSI</c:v>
                </c:pt>
                <c:pt idx="9">
                  <c:v>MAPN</c:v>
                </c:pt>
              </c:strCache>
            </c:strRef>
          </c:cat>
          <c:val>
            <c:numRef>
              <c:f>centralizare!$M$166:$M$175</c:f>
              <c:numCache>
                <c:formatCode>0.00%</c:formatCode>
                <c:ptCount val="10"/>
                <c:pt idx="0">
                  <c:v>0.95881486824717965</c:v>
                </c:pt>
                <c:pt idx="1">
                  <c:v>5.9810457954466208E-3</c:v>
                </c:pt>
                <c:pt idx="2">
                  <c:v>1.397875342818962E-3</c:v>
                </c:pt>
                <c:pt idx="3">
                  <c:v>4.7398369460415314E-3</c:v>
                </c:pt>
                <c:pt idx="4">
                  <c:v>2.4019412643073983E-2</c:v>
                </c:pt>
                <c:pt idx="5">
                  <c:v>9.0051872316932087E-4</c:v>
                </c:pt>
                <c:pt idx="6">
                  <c:v>8.7203005390261022E-4</c:v>
                </c:pt>
                <c:pt idx="7">
                  <c:v>0</c:v>
                </c:pt>
                <c:pt idx="8">
                  <c:v>2.0718754551998409E-3</c:v>
                </c:pt>
                <c:pt idx="9">
                  <c:v>1.2025367931676558E-3</c:v>
                </c:pt>
              </c:numCache>
            </c:numRef>
          </c:val>
          <c:extLst xmlns:c16r2="http://schemas.microsoft.com/office/drawing/2015/06/chart">
            <c:ext xmlns:c16="http://schemas.microsoft.com/office/drawing/2014/chart" uri="{C3380CC4-5D6E-409C-BE32-E72D297353CC}">
              <c16:uniqueId val="{00000014-E6DE-4A38-858A-D607B67ACCC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2801120448179292E-2"/>
          <c:y val="0.91967721009305714"/>
          <c:w val="0.9"/>
          <c:h val="8.03227899069434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39395856031021E-2"/>
          <c:y val="5.7238693640712601E-2"/>
          <c:w val="0.68744005566070776"/>
          <c:h val="0.84626630430917715"/>
        </c:manualLayout>
      </c:layout>
      <c:barChart>
        <c:barDir val="col"/>
        <c:grouping val="clustered"/>
        <c:varyColors val="0"/>
        <c:ser>
          <c:idx val="0"/>
          <c:order val="0"/>
          <c:tx>
            <c:strRef>
              <c:f>'[Tabele 4 modificarea datorie.xls]table4 2017 -2021'!$D$45</c:f>
              <c:strCache>
                <c:ptCount val="1"/>
                <c:pt idx="0">
                  <c:v>datoria guvernamentala bruta (%PIB)</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'[Tabele 4 modificarea datorie.xls]table4 2017 -2021'!$E$44:$I$44</c:f>
              <c:strCache>
                <c:ptCount val="5"/>
                <c:pt idx="0">
                  <c:v>2017</c:v>
                </c:pt>
                <c:pt idx="1">
                  <c:v>2018 est</c:v>
                </c:pt>
                <c:pt idx="2">
                  <c:v>2019 prog</c:v>
                </c:pt>
                <c:pt idx="3">
                  <c:v>2020 prog</c:v>
                </c:pt>
                <c:pt idx="4">
                  <c:v>2021 prog</c:v>
                </c:pt>
              </c:strCache>
            </c:strRef>
          </c:cat>
          <c:val>
            <c:numRef>
              <c:f>'[Tabele 4 modificarea datorie.xls]table4 2017 -2021'!$E$45:$I$45</c:f>
              <c:numCache>
                <c:formatCode>0.0%</c:formatCode>
                <c:ptCount val="5"/>
                <c:pt idx="0">
                  <c:v>0.35199999999999998</c:v>
                </c:pt>
                <c:pt idx="1">
                  <c:v>0.35099999999999998</c:v>
                </c:pt>
                <c:pt idx="2">
                  <c:v>0.35499999999999998</c:v>
                </c:pt>
                <c:pt idx="3">
                  <c:v>0.35399999999999998</c:v>
                </c:pt>
                <c:pt idx="4">
                  <c:v>0.35199999999999998</c:v>
                </c:pt>
              </c:numCache>
            </c:numRef>
          </c:val>
          <c:extLst xmlns:c16r2="http://schemas.microsoft.com/office/drawing/2015/06/chart">
            <c:ext xmlns:c16="http://schemas.microsoft.com/office/drawing/2014/chart" uri="{C3380CC4-5D6E-409C-BE32-E72D297353CC}">
              <c16:uniqueId val="{00000000-170D-4E00-A8A6-8EA0230B1EDB}"/>
            </c:ext>
          </c:extLst>
        </c:ser>
        <c:ser>
          <c:idx val="1"/>
          <c:order val="1"/>
          <c:tx>
            <c:strRef>
              <c:f>'[Tabele 4 modificarea datorie.xls]table4 2017 -2021'!$D$46</c:f>
              <c:strCache>
                <c:ptCount val="1"/>
                <c:pt idx="0">
                  <c:v>datoria guvernamentala neta (%PIB)</c:v>
                </c:pt>
              </c:strCache>
            </c:strRef>
          </c:tx>
          <c:spPr>
            <a:solidFill>
              <a:srgbClr val="C0504D"/>
            </a:solidFill>
            <a:ln w="25400">
              <a:noFill/>
            </a:ln>
          </c:spPr>
          <c:invertIfNegative val="0"/>
          <c:dLbls>
            <c:dLbl>
              <c:idx val="0"/>
              <c:layout>
                <c:manualLayout>
                  <c:x val="9.1906476837577741E-3"/>
                  <c:y val="0"/>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0D-4E00-A8A6-8EA0230B1EDB}"/>
                </c:ext>
                <c:ext xmlns:c15="http://schemas.microsoft.com/office/drawing/2012/chart" uri="{CE6537A1-D6FC-4f65-9D91-7224C49458BB}">
                  <c15:layout/>
                </c:ext>
              </c:extLst>
            </c:dLbl>
            <c:dLbl>
              <c:idx val="1"/>
              <c:layout>
                <c:manualLayout>
                  <c:x val="1.1488309604697216E-2"/>
                  <c:y val="0"/>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0D-4E00-A8A6-8EA0230B1EDB}"/>
                </c:ext>
                <c:ext xmlns:c15="http://schemas.microsoft.com/office/drawing/2012/chart" uri="{CE6537A1-D6FC-4f65-9D91-7224C49458BB}">
                  <c15:layout/>
                </c:ext>
              </c:extLst>
            </c:dLbl>
            <c:dLbl>
              <c:idx val="2"/>
              <c:layout>
                <c:manualLayout>
                  <c:x val="6.892985762818246E-3"/>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0D-4E00-A8A6-8EA0230B1EDB}"/>
                </c:ext>
                <c:ext xmlns:c15="http://schemas.microsoft.com/office/drawing/2012/chart" uri="{CE6537A1-D6FC-4f65-9D91-7224C49458BB}">
                  <c15:layout/>
                </c:ext>
              </c:extLst>
            </c:dLbl>
            <c:dLbl>
              <c:idx val="3"/>
              <c:layout>
                <c:manualLayout>
                  <c:x val="1.6083633446576102E-2"/>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0D-4E00-A8A6-8EA0230B1EDB}"/>
                </c:ext>
                <c:ext xmlns:c15="http://schemas.microsoft.com/office/drawing/2012/chart" uri="{CE6537A1-D6FC-4f65-9D91-7224C49458BB}">
                  <c15:layout/>
                </c:ext>
              </c:extLst>
            </c:dLbl>
            <c:dLbl>
              <c:idx val="4"/>
              <c:layout>
                <c:manualLayout>
                  <c:x val="1.378597152563666E-2"/>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0D-4E00-A8A6-8EA0230B1EDB}"/>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'[Tabele 4 modificarea datorie.xls]table4 2017 -2021'!$E$44:$I$44</c:f>
              <c:strCache>
                <c:ptCount val="5"/>
                <c:pt idx="0">
                  <c:v>2017</c:v>
                </c:pt>
                <c:pt idx="1">
                  <c:v>2018 est</c:v>
                </c:pt>
                <c:pt idx="2">
                  <c:v>2019 prog</c:v>
                </c:pt>
                <c:pt idx="3">
                  <c:v>2020 prog</c:v>
                </c:pt>
                <c:pt idx="4">
                  <c:v>2021 prog</c:v>
                </c:pt>
              </c:strCache>
            </c:strRef>
          </c:cat>
          <c:val>
            <c:numRef>
              <c:f>'[Tabele 4 modificarea datorie.xls]table4 2017 -2021'!$E$46:$I$46</c:f>
              <c:numCache>
                <c:formatCode>0.0%</c:formatCode>
                <c:ptCount val="5"/>
                <c:pt idx="0">
                  <c:v>0.26073549667328116</c:v>
                </c:pt>
                <c:pt idx="1">
                  <c:v>0.26786531575715522</c:v>
                </c:pt>
                <c:pt idx="2">
                  <c:v>0.27853418092909532</c:v>
                </c:pt>
                <c:pt idx="3">
                  <c:v>0.2829861035422343</c:v>
                </c:pt>
                <c:pt idx="4">
                  <c:v>0.28566171729170198</c:v>
                </c:pt>
              </c:numCache>
            </c:numRef>
          </c:val>
          <c:extLst xmlns:c16r2="http://schemas.microsoft.com/office/drawing/2015/06/chart">
            <c:ext xmlns:c16="http://schemas.microsoft.com/office/drawing/2014/chart" uri="{C3380CC4-5D6E-409C-BE32-E72D297353CC}">
              <c16:uniqueId val="{00000006-170D-4E00-A8A6-8EA0230B1EDB}"/>
            </c:ext>
          </c:extLst>
        </c:ser>
        <c:dLbls>
          <c:showLegendKey val="0"/>
          <c:showVal val="0"/>
          <c:showCatName val="0"/>
          <c:showSerName val="0"/>
          <c:showPercent val="0"/>
          <c:showBubbleSize val="0"/>
        </c:dLbls>
        <c:gapWidth val="219"/>
        <c:overlap val="-27"/>
        <c:axId val="241896288"/>
        <c:axId val="135170480"/>
      </c:barChart>
      <c:catAx>
        <c:axId val="2418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Calibri"/>
                <a:ea typeface="Calibri"/>
                <a:cs typeface="Calibri"/>
              </a:defRPr>
            </a:pPr>
            <a:endParaRPr lang="ro-RO"/>
          </a:p>
        </c:txPr>
        <c:crossAx val="135170480"/>
        <c:crosses val="autoZero"/>
        <c:auto val="1"/>
        <c:lblAlgn val="ctr"/>
        <c:lblOffset val="100"/>
        <c:noMultiLvlLbl val="0"/>
      </c:catAx>
      <c:valAx>
        <c:axId val="135170480"/>
        <c:scaling>
          <c:orientation val="minMax"/>
        </c:scaling>
        <c:delete val="0"/>
        <c:axPos val="l"/>
        <c:numFmt formatCode="0.0%" sourceLinked="1"/>
        <c:majorTickMark val="none"/>
        <c:minorTickMark val="none"/>
        <c:tickLblPos val="nextTo"/>
        <c:spPr>
          <a:ln w="9525">
            <a:noFill/>
          </a:ln>
        </c:spPr>
        <c:txPr>
          <a:bodyPr rot="0" vert="horz"/>
          <a:lstStyle/>
          <a:p>
            <a:pPr>
              <a:defRPr sz="800" b="0" i="0" u="none" strike="noStrike" baseline="0">
                <a:solidFill>
                  <a:srgbClr val="333333"/>
                </a:solidFill>
                <a:latin typeface="Calibri"/>
                <a:ea typeface="Calibri"/>
                <a:cs typeface="Calibri"/>
              </a:defRPr>
            </a:pPr>
            <a:endParaRPr lang="ro-RO"/>
          </a:p>
        </c:txPr>
        <c:crossAx val="241896288"/>
        <c:crosses val="autoZero"/>
        <c:crossBetween val="between"/>
      </c:valAx>
      <c:spPr>
        <a:noFill/>
        <a:ln w="25400">
          <a:noFill/>
        </a:ln>
      </c:spPr>
    </c:plotArea>
    <c:legend>
      <c:legendPos val="r"/>
      <c:legendEntry>
        <c:idx val="0"/>
        <c:txPr>
          <a:bodyPr/>
          <a:lstStyle/>
          <a:p>
            <a:pPr>
              <a:defRPr sz="620" b="0" i="0" u="none" strike="noStrike" baseline="0">
                <a:solidFill>
                  <a:srgbClr val="333333"/>
                </a:solidFill>
                <a:latin typeface="Calibri"/>
                <a:ea typeface="Calibri"/>
                <a:cs typeface="Calibri"/>
              </a:defRPr>
            </a:pPr>
            <a:endParaRPr lang="ro-RO"/>
          </a:p>
        </c:txPr>
      </c:legendEntry>
      <c:layout>
        <c:manualLayout>
          <c:xMode val="edge"/>
          <c:yMode val="edge"/>
          <c:x val="0.75194998907831367"/>
          <c:y val="0.64058919681303172"/>
          <c:w val="0.24191833352402947"/>
          <c:h val="0.313176973874707"/>
        </c:manualLayout>
      </c:layout>
      <c:overlay val="0"/>
      <c:spPr>
        <a:noFill/>
        <a:ln w="25400">
          <a:noFill/>
        </a:ln>
      </c:spPr>
      <c:txPr>
        <a:bodyPr/>
        <a:lstStyle/>
        <a:p>
          <a:pPr>
            <a:defRPr sz="620" b="0" i="0" u="none" strike="noStrike" baseline="0">
              <a:solidFill>
                <a:srgbClr val="333333"/>
              </a:solidFill>
              <a:latin typeface="Calibri"/>
              <a:ea typeface="Calibri"/>
              <a:cs typeface="Calibri"/>
            </a:defRPr>
          </a:pPr>
          <a:endParaRPr lang="ro-RO"/>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Calibri"/>
          <a:ea typeface="Calibri"/>
          <a:cs typeface="Calibri"/>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0648745567797"/>
          <c:y val="0.10565553092271242"/>
          <c:w val="0.86290806494162653"/>
          <c:h val="0.64377035394847593"/>
        </c:manualLayout>
      </c:layout>
      <c:lineChart>
        <c:grouping val="standard"/>
        <c:varyColors val="0"/>
        <c:ser>
          <c:idx val="0"/>
          <c:order val="0"/>
          <c:tx>
            <c:strRef>
              <c:f>[Tables_for_RO.xlsx]Sheet2!$C$7</c:f>
              <c:strCache>
                <c:ptCount val="1"/>
                <c:pt idx="0">
                  <c:v>Total</c:v>
                </c:pt>
              </c:strCache>
            </c:strRef>
          </c:tx>
          <c:spPr>
            <a:ln w="28575" cap="rnd">
              <a:solidFill>
                <a:schemeClr val="accent1"/>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[Tables_for_RO.xlsx]Sheet2!$D$7:$BF$7</c:f>
              <c:numCache>
                <c:formatCode>0</c:formatCode>
                <c:ptCount val="55"/>
                <c:pt idx="0">
                  <c:v>19672486.5</c:v>
                </c:pt>
                <c:pt idx="1">
                  <c:v>19550489</c:v>
                </c:pt>
                <c:pt idx="2">
                  <c:v>19434729.5</c:v>
                </c:pt>
                <c:pt idx="3">
                  <c:v>19317720</c:v>
                </c:pt>
                <c:pt idx="4">
                  <c:v>19199233</c:v>
                </c:pt>
                <c:pt idx="5">
                  <c:v>19078539</c:v>
                </c:pt>
                <c:pt idx="6">
                  <c:v>18955833.5</c:v>
                </c:pt>
                <c:pt idx="7">
                  <c:v>18831299</c:v>
                </c:pt>
                <c:pt idx="8">
                  <c:v>18705371</c:v>
                </c:pt>
                <c:pt idx="9">
                  <c:v>18579137</c:v>
                </c:pt>
                <c:pt idx="10">
                  <c:v>18453942</c:v>
                </c:pt>
                <c:pt idx="11">
                  <c:v>18329917.5</c:v>
                </c:pt>
                <c:pt idx="12">
                  <c:v>18206477</c:v>
                </c:pt>
                <c:pt idx="13">
                  <c:v>18084416.5</c:v>
                </c:pt>
                <c:pt idx="14">
                  <c:v>17965143</c:v>
                </c:pt>
                <c:pt idx="15">
                  <c:v>17848705</c:v>
                </c:pt>
                <c:pt idx="16">
                  <c:v>17742674</c:v>
                </c:pt>
                <c:pt idx="17">
                  <c:v>17647664.5</c:v>
                </c:pt>
                <c:pt idx="18">
                  <c:v>17554895.5</c:v>
                </c:pt>
                <c:pt idx="19">
                  <c:v>17463871.5</c:v>
                </c:pt>
                <c:pt idx="20">
                  <c:v>17374142.5</c:v>
                </c:pt>
                <c:pt idx="21">
                  <c:v>17284918</c:v>
                </c:pt>
                <c:pt idx="22">
                  <c:v>17196692.5</c:v>
                </c:pt>
                <c:pt idx="23">
                  <c:v>17111300</c:v>
                </c:pt>
                <c:pt idx="24">
                  <c:v>17028793</c:v>
                </c:pt>
                <c:pt idx="25">
                  <c:v>16947648.5</c:v>
                </c:pt>
                <c:pt idx="26">
                  <c:v>16868491</c:v>
                </c:pt>
                <c:pt idx="27">
                  <c:v>16791226</c:v>
                </c:pt>
                <c:pt idx="28">
                  <c:v>16715728</c:v>
                </c:pt>
                <c:pt idx="29">
                  <c:v>16642244.5</c:v>
                </c:pt>
                <c:pt idx="30">
                  <c:v>16570495.5</c:v>
                </c:pt>
                <c:pt idx="31">
                  <c:v>16499780</c:v>
                </c:pt>
                <c:pt idx="32">
                  <c:v>16430094.5</c:v>
                </c:pt>
                <c:pt idx="33">
                  <c:v>16363494</c:v>
                </c:pt>
                <c:pt idx="34">
                  <c:v>16300817</c:v>
                </c:pt>
                <c:pt idx="35">
                  <c:v>16240507.5</c:v>
                </c:pt>
                <c:pt idx="36">
                  <c:v>16181338</c:v>
                </c:pt>
                <c:pt idx="37">
                  <c:v>16122444.5</c:v>
                </c:pt>
                <c:pt idx="38">
                  <c:v>16063053.5</c:v>
                </c:pt>
                <c:pt idx="39">
                  <c:v>16001407.5</c:v>
                </c:pt>
                <c:pt idx="40">
                  <c:v>15936488</c:v>
                </c:pt>
                <c:pt idx="41">
                  <c:v>15869570</c:v>
                </c:pt>
                <c:pt idx="42">
                  <c:v>15801587.5</c:v>
                </c:pt>
                <c:pt idx="43">
                  <c:v>15733051.5</c:v>
                </c:pt>
                <c:pt idx="44">
                  <c:v>15663800</c:v>
                </c:pt>
                <c:pt idx="45">
                  <c:v>15593485</c:v>
                </c:pt>
                <c:pt idx="46">
                  <c:v>15522844</c:v>
                </c:pt>
                <c:pt idx="47">
                  <c:v>15452494.5</c:v>
                </c:pt>
                <c:pt idx="48">
                  <c:v>15382553</c:v>
                </c:pt>
                <c:pt idx="49">
                  <c:v>15313297.5</c:v>
                </c:pt>
                <c:pt idx="50">
                  <c:v>15244629</c:v>
                </c:pt>
                <c:pt idx="51">
                  <c:v>15176693.5</c:v>
                </c:pt>
                <c:pt idx="52">
                  <c:v>15110535</c:v>
                </c:pt>
                <c:pt idx="53">
                  <c:v>15046665.5</c:v>
                </c:pt>
                <c:pt idx="54">
                  <c:v>14985477</c:v>
                </c:pt>
              </c:numCache>
            </c:numRef>
          </c:val>
          <c:smooth val="0"/>
          <c:extLst xmlns:c16r2="http://schemas.microsoft.com/office/drawing/2015/06/chart">
            <c:ext xmlns:c16="http://schemas.microsoft.com/office/drawing/2014/chart" uri="{C3380CC4-5D6E-409C-BE32-E72D297353CC}">
              <c16:uniqueId val="{00000000-96DF-4734-BADF-E2B8B1A19BB7}"/>
            </c:ext>
          </c:extLst>
        </c:ser>
        <c:ser>
          <c:idx val="1"/>
          <c:order val="1"/>
          <c:tx>
            <c:strRef>
              <c:f>[Tables_for_RO.xlsx]Sheet2!$C$8</c:f>
              <c:strCache>
                <c:ptCount val="1"/>
                <c:pt idx="0">
                  <c:v>15-64</c:v>
                </c:pt>
              </c:strCache>
            </c:strRef>
          </c:tx>
          <c:spPr>
            <a:ln w="28575" cap="rnd">
              <a:solidFill>
                <a:schemeClr val="accent2"/>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[Tables_for_RO.xlsx]Sheet2!$D$8:$BF$8</c:f>
              <c:numCache>
                <c:formatCode>0</c:formatCode>
                <c:ptCount val="55"/>
                <c:pt idx="0">
                  <c:v>13192876.5</c:v>
                </c:pt>
                <c:pt idx="1">
                  <c:v>13038496.5</c:v>
                </c:pt>
                <c:pt idx="2">
                  <c:v>12885988</c:v>
                </c:pt>
                <c:pt idx="3">
                  <c:v>12729866</c:v>
                </c:pt>
                <c:pt idx="4">
                  <c:v>12563453</c:v>
                </c:pt>
                <c:pt idx="5">
                  <c:v>12398766.5</c:v>
                </c:pt>
                <c:pt idx="6">
                  <c:v>12244938</c:v>
                </c:pt>
                <c:pt idx="7">
                  <c:v>12104762.5</c:v>
                </c:pt>
                <c:pt idx="8">
                  <c:v>11978996.5</c:v>
                </c:pt>
                <c:pt idx="9">
                  <c:v>11861775.5</c:v>
                </c:pt>
                <c:pt idx="10">
                  <c:v>11744601</c:v>
                </c:pt>
                <c:pt idx="11">
                  <c:v>11631103.5</c:v>
                </c:pt>
                <c:pt idx="12">
                  <c:v>11531594.5</c:v>
                </c:pt>
                <c:pt idx="13">
                  <c:v>11442581</c:v>
                </c:pt>
                <c:pt idx="14">
                  <c:v>11355574</c:v>
                </c:pt>
                <c:pt idx="15">
                  <c:v>11274092</c:v>
                </c:pt>
                <c:pt idx="16">
                  <c:v>11131708.5</c:v>
                </c:pt>
                <c:pt idx="17">
                  <c:v>10927783</c:v>
                </c:pt>
                <c:pt idx="18">
                  <c:v>10747515</c:v>
                </c:pt>
                <c:pt idx="19">
                  <c:v>10598327</c:v>
                </c:pt>
                <c:pt idx="20">
                  <c:v>10469232.5</c:v>
                </c:pt>
                <c:pt idx="21">
                  <c:v>10350834</c:v>
                </c:pt>
                <c:pt idx="22">
                  <c:v>10238649.5</c:v>
                </c:pt>
                <c:pt idx="23">
                  <c:v>10116097</c:v>
                </c:pt>
                <c:pt idx="24">
                  <c:v>9983442.5</c:v>
                </c:pt>
                <c:pt idx="25">
                  <c:v>9855945.5</c:v>
                </c:pt>
                <c:pt idx="26">
                  <c:v>9729184.5</c:v>
                </c:pt>
                <c:pt idx="27">
                  <c:v>9605881.5</c:v>
                </c:pt>
                <c:pt idx="28">
                  <c:v>9489371</c:v>
                </c:pt>
                <c:pt idx="29">
                  <c:v>9379301.5</c:v>
                </c:pt>
                <c:pt idx="30">
                  <c:v>9279853</c:v>
                </c:pt>
                <c:pt idx="31">
                  <c:v>9198598</c:v>
                </c:pt>
                <c:pt idx="32">
                  <c:v>9136199.5</c:v>
                </c:pt>
                <c:pt idx="33">
                  <c:v>9073701</c:v>
                </c:pt>
                <c:pt idx="34">
                  <c:v>9002727.5</c:v>
                </c:pt>
                <c:pt idx="35">
                  <c:v>8925710</c:v>
                </c:pt>
                <c:pt idx="36">
                  <c:v>8841565</c:v>
                </c:pt>
                <c:pt idx="37">
                  <c:v>8756031.5</c:v>
                </c:pt>
                <c:pt idx="38">
                  <c:v>8673903.5</c:v>
                </c:pt>
                <c:pt idx="39">
                  <c:v>8609606</c:v>
                </c:pt>
                <c:pt idx="40">
                  <c:v>8571211</c:v>
                </c:pt>
                <c:pt idx="41">
                  <c:v>8545984.5</c:v>
                </c:pt>
                <c:pt idx="42">
                  <c:v>8524542.5</c:v>
                </c:pt>
                <c:pt idx="43">
                  <c:v>8501945.5</c:v>
                </c:pt>
                <c:pt idx="44">
                  <c:v>8480345.5</c:v>
                </c:pt>
                <c:pt idx="45">
                  <c:v>8464017.5</c:v>
                </c:pt>
                <c:pt idx="46">
                  <c:v>8447643.5</c:v>
                </c:pt>
                <c:pt idx="47">
                  <c:v>8427778.5</c:v>
                </c:pt>
                <c:pt idx="48">
                  <c:v>8405949.5</c:v>
                </c:pt>
                <c:pt idx="49">
                  <c:v>8382646.5</c:v>
                </c:pt>
                <c:pt idx="50">
                  <c:v>8362185</c:v>
                </c:pt>
                <c:pt idx="51">
                  <c:v>8346415</c:v>
                </c:pt>
                <c:pt idx="52">
                  <c:v>8329551</c:v>
                </c:pt>
                <c:pt idx="53">
                  <c:v>8310359.5</c:v>
                </c:pt>
                <c:pt idx="54">
                  <c:v>8287191.5</c:v>
                </c:pt>
              </c:numCache>
            </c:numRef>
          </c:val>
          <c:smooth val="0"/>
          <c:extLst xmlns:c16r2="http://schemas.microsoft.com/office/drawing/2015/06/chart">
            <c:ext xmlns:c16="http://schemas.microsoft.com/office/drawing/2014/chart" uri="{C3380CC4-5D6E-409C-BE32-E72D297353CC}">
              <c16:uniqueId val="{00000001-96DF-4734-BADF-E2B8B1A19BB7}"/>
            </c:ext>
          </c:extLst>
        </c:ser>
        <c:ser>
          <c:idx val="2"/>
          <c:order val="2"/>
          <c:tx>
            <c:strRef>
              <c:f>[Tables_for_RO.xlsx]Sheet2!$C$9</c:f>
              <c:strCache>
                <c:ptCount val="1"/>
                <c:pt idx="0">
                  <c:v>65+</c:v>
                </c:pt>
              </c:strCache>
            </c:strRef>
          </c:tx>
          <c:spPr>
            <a:ln w="28575" cap="rnd">
              <a:solidFill>
                <a:schemeClr val="accent3"/>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[Tables_for_RO.xlsx]Sheet2!$D$9:$BF$9</c:f>
              <c:numCache>
                <c:formatCode>0</c:formatCode>
                <c:ptCount val="55"/>
                <c:pt idx="0">
                  <c:v>3463171.5</c:v>
                </c:pt>
                <c:pt idx="1">
                  <c:v>3521455.5</c:v>
                </c:pt>
                <c:pt idx="2">
                  <c:v>3578712</c:v>
                </c:pt>
                <c:pt idx="3">
                  <c:v>3640641.5</c:v>
                </c:pt>
                <c:pt idx="4">
                  <c:v>3716109</c:v>
                </c:pt>
                <c:pt idx="5">
                  <c:v>3791450</c:v>
                </c:pt>
                <c:pt idx="6">
                  <c:v>3853993</c:v>
                </c:pt>
                <c:pt idx="7">
                  <c:v>3904430.5</c:v>
                </c:pt>
                <c:pt idx="8">
                  <c:v>3942286</c:v>
                </c:pt>
                <c:pt idx="9">
                  <c:v>3968144.5</c:v>
                </c:pt>
                <c:pt idx="10">
                  <c:v>3981319</c:v>
                </c:pt>
                <c:pt idx="11">
                  <c:v>3980059</c:v>
                </c:pt>
                <c:pt idx="12">
                  <c:v>3970202</c:v>
                </c:pt>
                <c:pt idx="13">
                  <c:v>3957373.5</c:v>
                </c:pt>
                <c:pt idx="14">
                  <c:v>3941296</c:v>
                </c:pt>
                <c:pt idx="15">
                  <c:v>3921192</c:v>
                </c:pt>
                <c:pt idx="16">
                  <c:v>3979345.5</c:v>
                </c:pt>
                <c:pt idx="17">
                  <c:v>4114051</c:v>
                </c:pt>
                <c:pt idx="18">
                  <c:v>4225882.5</c:v>
                </c:pt>
                <c:pt idx="19">
                  <c:v>4306432.5</c:v>
                </c:pt>
                <c:pt idx="20">
                  <c:v>4366031.5</c:v>
                </c:pt>
                <c:pt idx="21">
                  <c:v>4413340.5</c:v>
                </c:pt>
                <c:pt idx="22">
                  <c:v>4453433.5</c:v>
                </c:pt>
                <c:pt idx="23">
                  <c:v>4504725</c:v>
                </c:pt>
                <c:pt idx="24">
                  <c:v>4567106.5</c:v>
                </c:pt>
                <c:pt idx="25">
                  <c:v>4624081</c:v>
                </c:pt>
                <c:pt idx="26">
                  <c:v>4680838.5</c:v>
                </c:pt>
                <c:pt idx="27">
                  <c:v>4734789.5</c:v>
                </c:pt>
                <c:pt idx="28">
                  <c:v>4782603</c:v>
                </c:pt>
                <c:pt idx="29">
                  <c:v>4825045.5</c:v>
                </c:pt>
                <c:pt idx="30">
                  <c:v>4857842.5</c:v>
                </c:pt>
                <c:pt idx="31">
                  <c:v>4872791.5</c:v>
                </c:pt>
                <c:pt idx="32">
                  <c:v>4869473.5</c:v>
                </c:pt>
                <c:pt idx="33">
                  <c:v>4868937</c:v>
                </c:pt>
                <c:pt idx="34">
                  <c:v>4880344</c:v>
                </c:pt>
                <c:pt idx="35">
                  <c:v>4899936</c:v>
                </c:pt>
                <c:pt idx="36">
                  <c:v>4927766.5</c:v>
                </c:pt>
                <c:pt idx="37">
                  <c:v>4957347</c:v>
                </c:pt>
                <c:pt idx="38">
                  <c:v>4983175.5</c:v>
                </c:pt>
                <c:pt idx="39">
                  <c:v>4989305.5</c:v>
                </c:pt>
                <c:pt idx="40">
                  <c:v>4966813.5</c:v>
                </c:pt>
                <c:pt idx="41">
                  <c:v>4929563.5</c:v>
                </c:pt>
                <c:pt idx="42">
                  <c:v>4887796</c:v>
                </c:pt>
                <c:pt idx="43">
                  <c:v>4846931</c:v>
                </c:pt>
                <c:pt idx="44">
                  <c:v>4804680</c:v>
                </c:pt>
                <c:pt idx="45">
                  <c:v>4756464.5</c:v>
                </c:pt>
                <c:pt idx="46">
                  <c:v>4708257</c:v>
                </c:pt>
                <c:pt idx="47">
                  <c:v>4664007</c:v>
                </c:pt>
                <c:pt idx="48">
                  <c:v>4622205</c:v>
                </c:pt>
                <c:pt idx="49">
                  <c:v>4582548</c:v>
                </c:pt>
                <c:pt idx="50">
                  <c:v>4540606</c:v>
                </c:pt>
                <c:pt idx="51">
                  <c:v>4494626.5</c:v>
                </c:pt>
                <c:pt idx="52">
                  <c:v>4451264</c:v>
                </c:pt>
                <c:pt idx="53">
                  <c:v>4412170.5</c:v>
                </c:pt>
                <c:pt idx="54">
                  <c:v>4379335.5</c:v>
                </c:pt>
              </c:numCache>
            </c:numRef>
          </c:val>
          <c:smooth val="0"/>
          <c:extLst xmlns:c16r2="http://schemas.microsoft.com/office/drawing/2015/06/chart">
            <c:ext xmlns:c16="http://schemas.microsoft.com/office/drawing/2014/chart" uri="{C3380CC4-5D6E-409C-BE32-E72D297353CC}">
              <c16:uniqueId val="{00000002-96DF-4734-BADF-E2B8B1A19BB7}"/>
            </c:ext>
          </c:extLst>
        </c:ser>
        <c:dLbls>
          <c:showLegendKey val="0"/>
          <c:showVal val="0"/>
          <c:showCatName val="0"/>
          <c:showSerName val="0"/>
          <c:showPercent val="0"/>
          <c:showBubbleSize val="0"/>
        </c:dLbls>
        <c:smooth val="0"/>
        <c:axId val="306547696"/>
        <c:axId val="306548256"/>
      </c:lineChart>
      <c:catAx>
        <c:axId val="3065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crossAx val="306548256"/>
        <c:crosses val="autoZero"/>
        <c:auto val="1"/>
        <c:lblAlgn val="ctr"/>
        <c:lblOffset val="100"/>
        <c:noMultiLvlLbl val="0"/>
      </c:catAx>
      <c:valAx>
        <c:axId val="3065482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crossAx val="306547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A5C89-D12F-4EC5-9DF0-9EFC9F98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209</Pages>
  <Words>75030</Words>
  <Characters>435175</Characters>
  <Application>Microsoft Office Word</Application>
  <DocSecurity>0</DocSecurity>
  <Lines>3626</Lines>
  <Paragraphs>1018</Paragraphs>
  <ScaleCrop>false</ScaleCrop>
  <HeadingPairs>
    <vt:vector size="2" baseType="variant">
      <vt:variant>
        <vt:lpstr>Title</vt:lpstr>
      </vt:variant>
      <vt:variant>
        <vt:i4>1</vt:i4>
      </vt:variant>
    </vt:vector>
  </HeadingPairs>
  <TitlesOfParts>
    <vt:vector size="1" baseType="lpstr">
      <vt:lpstr>GUVERNUL ROMANIEI</vt:lpstr>
    </vt:vector>
  </TitlesOfParts>
  <Company>ANAF</Company>
  <LinksUpToDate>false</LinksUpToDate>
  <CharactersWithSpaces>509187</CharactersWithSpaces>
  <SharedDoc>false</SharedDoc>
  <HLinks>
    <vt:vector size="24" baseType="variant">
      <vt:variant>
        <vt:i4>524326</vt:i4>
      </vt:variant>
      <vt:variant>
        <vt:i4>54</vt:i4>
      </vt:variant>
      <vt:variant>
        <vt:i4>0</vt:i4>
      </vt:variant>
      <vt:variant>
        <vt:i4>5</vt:i4>
      </vt:variant>
      <vt:variant>
        <vt:lpwstr>http://www.apia.org.ro/materiale_2014.htm</vt:lpwstr>
      </vt:variant>
      <vt:variant>
        <vt:lpwstr/>
      </vt:variant>
      <vt:variant>
        <vt:i4>4063291</vt:i4>
      </vt:variant>
      <vt:variant>
        <vt:i4>51</vt:i4>
      </vt:variant>
      <vt:variant>
        <vt:i4>0</vt:i4>
      </vt:variant>
      <vt:variant>
        <vt:i4>5</vt:i4>
      </vt:variant>
      <vt:variant>
        <vt:lpwstr>http://www.apia.org.ro/</vt:lpwstr>
      </vt:variant>
      <vt:variant>
        <vt:lpwstr/>
      </vt:variant>
      <vt:variant>
        <vt:i4>3538982</vt:i4>
      </vt:variant>
      <vt:variant>
        <vt:i4>45</vt:i4>
      </vt:variant>
      <vt:variant>
        <vt:i4>0</vt:i4>
      </vt:variant>
      <vt:variant>
        <vt:i4>5</vt:i4>
      </vt:variant>
      <vt:variant>
        <vt:lpwstr>http://lege5.ro/Gratuit/guzdomjvgm/ordonanta-nr-4-2015-pentru-modificarea-si-completarea-legii-nr-571-2003-privind-codul-fiscal</vt:lpwstr>
      </vt:variant>
      <vt:variant>
        <vt:lpwstr/>
      </vt:variant>
      <vt:variant>
        <vt:i4>4980755</vt:i4>
      </vt:variant>
      <vt:variant>
        <vt:i4>15</vt:i4>
      </vt:variant>
      <vt:variant>
        <vt:i4>0</vt:i4>
      </vt:variant>
      <vt:variant>
        <vt:i4>5</vt:i4>
      </vt:variant>
      <vt:variant>
        <vt:lpwstr>http://cursdeguvernare.ro/dictionar-economic/deficit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GUVERNUL ROMANIEI</dc:title>
  <dc:creator>User</dc:creator>
  <cp:lastModifiedBy>MIRCEA-GABRIEL NEAGU</cp:lastModifiedBy>
  <cp:revision>46</cp:revision>
  <cp:lastPrinted>2019-03-12T13:20:00Z</cp:lastPrinted>
  <dcterms:created xsi:type="dcterms:W3CDTF">2019-03-10T18:26:00Z</dcterms:created>
  <dcterms:modified xsi:type="dcterms:W3CDTF">2019-03-12T13:21:00Z</dcterms:modified>
</cp:coreProperties>
</file>